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031" w:rsidRPr="008F587D" w:rsidRDefault="002C0031" w:rsidP="002C0031">
      <w:pPr>
        <w:spacing w:after="0"/>
        <w:jc w:val="center"/>
        <w:rPr>
          <w:rFonts w:ascii="Times New Roman" w:hAnsi="Times New Roman" w:cs="Times New Roman"/>
          <w:b/>
          <w:sz w:val="28"/>
          <w:szCs w:val="28"/>
          <w:lang w:val="es-ES_tradnl"/>
        </w:rPr>
      </w:pPr>
      <w:bookmarkStart w:id="0" w:name="_GoBack"/>
      <w:bookmarkEnd w:id="0"/>
      <w:r w:rsidRPr="008F587D">
        <w:rPr>
          <w:rFonts w:ascii="Times New Roman" w:hAnsi="Times New Roman" w:cs="Times New Roman"/>
          <w:b/>
          <w:sz w:val="28"/>
          <w:szCs w:val="28"/>
          <w:lang w:val="es-ES_tradnl"/>
        </w:rPr>
        <w:t>X CONFERENCIA INTERNACIONAL DE INGENIERÍA MECÁNICA “COMEC 2019”</w:t>
      </w:r>
    </w:p>
    <w:p w:rsidR="002C0031" w:rsidRPr="008F587D" w:rsidRDefault="002C0031" w:rsidP="002C0031">
      <w:pPr>
        <w:spacing w:after="0"/>
        <w:jc w:val="center"/>
        <w:rPr>
          <w:rFonts w:ascii="Times New Roman" w:hAnsi="Times New Roman" w:cs="Times New Roman"/>
          <w:b/>
          <w:sz w:val="24"/>
          <w:szCs w:val="24"/>
          <w:lang w:val="es-ES_tradnl"/>
        </w:rPr>
      </w:pPr>
    </w:p>
    <w:p w:rsidR="002C0031" w:rsidRPr="00A25A61" w:rsidRDefault="002C0031" w:rsidP="002C003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Avaliação </w:t>
      </w:r>
      <w:r w:rsidR="00CE47FC">
        <w:rPr>
          <w:rFonts w:ascii="Times New Roman" w:hAnsi="Times New Roman" w:cs="Times New Roman"/>
          <w:b/>
          <w:sz w:val="28"/>
          <w:szCs w:val="28"/>
        </w:rPr>
        <w:t xml:space="preserve">do enriquecimento superficial de cálcio e fósforo </w:t>
      </w:r>
      <w:r w:rsidR="0069221A">
        <w:rPr>
          <w:rFonts w:ascii="Times New Roman" w:hAnsi="Times New Roman" w:cs="Times New Roman"/>
          <w:b/>
          <w:sz w:val="28"/>
          <w:szCs w:val="28"/>
        </w:rPr>
        <w:t>em uma</w:t>
      </w:r>
      <w:r w:rsidR="00CE47FC">
        <w:rPr>
          <w:rFonts w:ascii="Times New Roman" w:hAnsi="Times New Roman" w:cs="Times New Roman"/>
          <w:b/>
          <w:sz w:val="28"/>
          <w:szCs w:val="28"/>
        </w:rPr>
        <w:t xml:space="preserve"> liga </w:t>
      </w:r>
      <w:r w:rsidR="00CE47FC" w:rsidRPr="00CE47FC">
        <w:rPr>
          <w:rFonts w:ascii="Times New Roman" w:hAnsi="Times New Roman" w:cs="Times New Roman"/>
          <w:b/>
          <w:sz w:val="28"/>
          <w:szCs w:val="28"/>
        </w:rPr>
        <w:t>Ti6Al4V</w:t>
      </w:r>
      <w:r w:rsidR="00CE47FC">
        <w:rPr>
          <w:rFonts w:ascii="Times New Roman" w:hAnsi="Times New Roman" w:cs="Times New Roman"/>
          <w:b/>
          <w:sz w:val="28"/>
          <w:szCs w:val="28"/>
        </w:rPr>
        <w:t xml:space="preserve"> </w:t>
      </w:r>
      <w:r w:rsidR="0069221A">
        <w:rPr>
          <w:rFonts w:ascii="Times New Roman" w:hAnsi="Times New Roman" w:cs="Times New Roman"/>
          <w:b/>
          <w:sz w:val="28"/>
          <w:szCs w:val="28"/>
        </w:rPr>
        <w:t>via processo de</w:t>
      </w:r>
      <w:r w:rsidR="00CE47FC">
        <w:rPr>
          <w:rFonts w:ascii="Times New Roman" w:hAnsi="Times New Roman" w:cs="Times New Roman"/>
          <w:b/>
          <w:sz w:val="28"/>
          <w:szCs w:val="28"/>
        </w:rPr>
        <w:t xml:space="preserve"> EDM</w:t>
      </w:r>
    </w:p>
    <w:p w:rsidR="002C0031" w:rsidRPr="004257F3" w:rsidRDefault="002C0031" w:rsidP="002C0031">
      <w:pPr>
        <w:spacing w:after="0"/>
        <w:jc w:val="center"/>
        <w:rPr>
          <w:rFonts w:ascii="Times New Roman" w:hAnsi="Times New Roman" w:cs="Times New Roman"/>
          <w:b/>
          <w:i/>
          <w:sz w:val="28"/>
          <w:szCs w:val="24"/>
        </w:rPr>
      </w:pPr>
    </w:p>
    <w:p w:rsidR="002C0031" w:rsidRPr="0069221A" w:rsidRDefault="00CF5BF0" w:rsidP="00CF5BF0">
      <w:pPr>
        <w:spacing w:after="0" w:line="360" w:lineRule="auto"/>
        <w:jc w:val="center"/>
        <w:rPr>
          <w:rFonts w:ascii="Times New Roman" w:hAnsi="Times New Roman" w:cs="Times New Roman"/>
          <w:b/>
          <w:i/>
          <w:sz w:val="28"/>
          <w:szCs w:val="28"/>
          <w:lang w:val="en-US"/>
        </w:rPr>
      </w:pPr>
      <w:r w:rsidRPr="00CF5BF0">
        <w:rPr>
          <w:rFonts w:ascii="Times New Roman" w:hAnsi="Times New Roman" w:cs="Times New Roman"/>
          <w:b/>
          <w:i/>
          <w:sz w:val="28"/>
          <w:szCs w:val="28"/>
          <w:lang w:val="en-US"/>
        </w:rPr>
        <w:t xml:space="preserve">Evaluation of the </w:t>
      </w:r>
      <w:r w:rsidR="0069221A">
        <w:rPr>
          <w:rFonts w:ascii="Times New Roman" w:hAnsi="Times New Roman" w:cs="Times New Roman"/>
          <w:b/>
          <w:i/>
          <w:sz w:val="28"/>
          <w:szCs w:val="28"/>
          <w:lang w:val="en-US"/>
        </w:rPr>
        <w:t xml:space="preserve">calcium and phosphorus surface enrichment in a </w:t>
      </w:r>
      <w:r w:rsidR="0069221A" w:rsidRPr="0069221A">
        <w:rPr>
          <w:rFonts w:ascii="Times New Roman" w:hAnsi="Times New Roman" w:cs="Times New Roman"/>
          <w:b/>
          <w:i/>
          <w:sz w:val="28"/>
          <w:szCs w:val="28"/>
          <w:lang w:val="en-US"/>
        </w:rPr>
        <w:t>Ti6Al4V</w:t>
      </w:r>
      <w:r w:rsidR="0069221A">
        <w:rPr>
          <w:rFonts w:ascii="Times New Roman" w:hAnsi="Times New Roman" w:cs="Times New Roman"/>
          <w:b/>
          <w:i/>
          <w:sz w:val="28"/>
          <w:szCs w:val="28"/>
          <w:lang w:val="en-US"/>
        </w:rPr>
        <w:t xml:space="preserve"> alloy via the EDM process</w:t>
      </w:r>
    </w:p>
    <w:p w:rsidR="00CF5BF0" w:rsidRPr="0069221A" w:rsidRDefault="00CF5BF0" w:rsidP="00CF5BF0">
      <w:pPr>
        <w:spacing w:after="0" w:line="360" w:lineRule="auto"/>
        <w:jc w:val="center"/>
        <w:rPr>
          <w:rFonts w:ascii="Times New Roman" w:hAnsi="Times New Roman" w:cs="Times New Roman"/>
          <w:sz w:val="28"/>
          <w:szCs w:val="24"/>
          <w:lang w:val="en-US"/>
        </w:rPr>
      </w:pPr>
    </w:p>
    <w:p w:rsidR="00C73946" w:rsidRPr="0027637E" w:rsidRDefault="00DC1DB0" w:rsidP="00C73946">
      <w:pPr>
        <w:spacing w:after="0" w:line="360" w:lineRule="auto"/>
        <w:jc w:val="center"/>
        <w:rPr>
          <w:rFonts w:ascii="Times New Roman" w:hAnsi="Times New Roman" w:cs="Times New Roman"/>
          <w:b/>
          <w:sz w:val="24"/>
          <w:szCs w:val="24"/>
          <w:vertAlign w:val="superscript"/>
        </w:rPr>
      </w:pPr>
      <w:r w:rsidRPr="00DC1DB0">
        <w:rPr>
          <w:rFonts w:ascii="Times New Roman" w:hAnsi="Times New Roman" w:cs="Times New Roman"/>
          <w:b/>
          <w:sz w:val="24"/>
          <w:szCs w:val="24"/>
        </w:rPr>
        <w:t xml:space="preserve">Douglas </w:t>
      </w:r>
      <w:r>
        <w:rPr>
          <w:rFonts w:ascii="Times New Roman" w:hAnsi="Times New Roman" w:cs="Times New Roman"/>
          <w:b/>
          <w:sz w:val="24"/>
          <w:szCs w:val="24"/>
        </w:rPr>
        <w:t>Scharf</w:t>
      </w:r>
      <w:r w:rsidR="002C0031">
        <w:rPr>
          <w:rFonts w:ascii="Times New Roman" w:hAnsi="Times New Roman" w:cs="Times New Roman"/>
          <w:b/>
          <w:sz w:val="24"/>
          <w:szCs w:val="24"/>
          <w:vertAlign w:val="superscript"/>
        </w:rPr>
        <w:t>1</w:t>
      </w:r>
      <w:r w:rsidR="002C0031">
        <w:rPr>
          <w:rFonts w:ascii="Times New Roman" w:hAnsi="Times New Roman" w:cs="Times New Roman"/>
          <w:b/>
          <w:sz w:val="24"/>
          <w:szCs w:val="24"/>
        </w:rPr>
        <w:t xml:space="preserve">, </w:t>
      </w:r>
      <w:r w:rsidR="00FE5161">
        <w:rPr>
          <w:rFonts w:ascii="Times New Roman" w:hAnsi="Times New Roman" w:cs="Times New Roman"/>
          <w:b/>
          <w:sz w:val="24"/>
          <w:szCs w:val="24"/>
        </w:rPr>
        <w:t>Luc</w:t>
      </w:r>
      <w:r w:rsidR="00774C47">
        <w:rPr>
          <w:rFonts w:ascii="Times New Roman" w:hAnsi="Times New Roman" w:cs="Times New Roman"/>
          <w:b/>
          <w:sz w:val="24"/>
          <w:szCs w:val="24"/>
        </w:rPr>
        <w:t>iano José Arantes</w:t>
      </w:r>
      <w:r w:rsidR="00FE5161">
        <w:rPr>
          <w:rFonts w:ascii="Times New Roman" w:hAnsi="Times New Roman" w:cs="Times New Roman"/>
          <w:b/>
          <w:sz w:val="24"/>
          <w:szCs w:val="24"/>
        </w:rPr>
        <w:t xml:space="preserve">², </w:t>
      </w:r>
      <w:r w:rsidR="002C0031">
        <w:rPr>
          <w:rFonts w:ascii="Times New Roman" w:hAnsi="Times New Roman" w:cs="Times New Roman"/>
          <w:b/>
          <w:sz w:val="24"/>
          <w:szCs w:val="24"/>
        </w:rPr>
        <w:t>Guilherme Bernardes Rodrigues</w:t>
      </w:r>
      <w:r w:rsidR="00FE5161">
        <w:rPr>
          <w:rFonts w:ascii="Times New Roman" w:hAnsi="Times New Roman" w:cs="Times New Roman"/>
          <w:b/>
          <w:sz w:val="24"/>
          <w:szCs w:val="24"/>
          <w:vertAlign w:val="superscript"/>
        </w:rPr>
        <w:t>3</w:t>
      </w:r>
      <w:r w:rsidR="00707DA4">
        <w:rPr>
          <w:rFonts w:ascii="Times New Roman" w:hAnsi="Times New Roman" w:cs="Times New Roman"/>
          <w:b/>
          <w:sz w:val="24"/>
          <w:szCs w:val="24"/>
        </w:rPr>
        <w:t xml:space="preserve">, </w:t>
      </w:r>
      <w:proofErr w:type="spellStart"/>
      <w:r w:rsidR="00774C47">
        <w:rPr>
          <w:rFonts w:ascii="Times New Roman" w:hAnsi="Times New Roman" w:cs="Times New Roman"/>
          <w:b/>
          <w:sz w:val="24"/>
          <w:szCs w:val="24"/>
        </w:rPr>
        <w:t>Rosenda</w:t>
      </w:r>
      <w:proofErr w:type="spellEnd"/>
      <w:r w:rsidR="00774C47">
        <w:rPr>
          <w:rFonts w:ascii="Times New Roman" w:hAnsi="Times New Roman" w:cs="Times New Roman"/>
          <w:b/>
          <w:sz w:val="24"/>
          <w:szCs w:val="24"/>
        </w:rPr>
        <w:t xml:space="preserve"> </w:t>
      </w:r>
      <w:proofErr w:type="spellStart"/>
      <w:r w:rsidR="00774C47">
        <w:rPr>
          <w:rFonts w:ascii="Times New Roman" w:hAnsi="Times New Roman" w:cs="Times New Roman"/>
          <w:b/>
          <w:sz w:val="24"/>
          <w:szCs w:val="24"/>
        </w:rPr>
        <w:t>Valdés</w:t>
      </w:r>
      <w:proofErr w:type="spellEnd"/>
      <w:r w:rsidR="00774C47">
        <w:rPr>
          <w:rFonts w:ascii="Times New Roman" w:hAnsi="Times New Roman" w:cs="Times New Roman"/>
          <w:b/>
          <w:sz w:val="24"/>
          <w:szCs w:val="24"/>
        </w:rPr>
        <w:t xml:space="preserve"> Arencibia</w:t>
      </w:r>
      <w:r w:rsidR="00FE5161">
        <w:rPr>
          <w:rFonts w:ascii="Times New Roman" w:hAnsi="Times New Roman" w:cs="Times New Roman"/>
          <w:b/>
          <w:sz w:val="24"/>
          <w:szCs w:val="24"/>
          <w:vertAlign w:val="superscript"/>
        </w:rPr>
        <w:t>4</w:t>
      </w:r>
      <w:r w:rsidR="00C73946">
        <w:rPr>
          <w:rFonts w:ascii="Times New Roman" w:hAnsi="Times New Roman" w:cs="Times New Roman"/>
          <w:b/>
          <w:sz w:val="24"/>
          <w:szCs w:val="24"/>
        </w:rPr>
        <w:t>, Amado Cruz-Crespo</w:t>
      </w:r>
      <w:r w:rsidR="00C73946">
        <w:rPr>
          <w:rFonts w:ascii="Times New Roman" w:hAnsi="Times New Roman" w:cs="Times New Roman"/>
          <w:b/>
          <w:sz w:val="24"/>
          <w:szCs w:val="24"/>
          <w:vertAlign w:val="superscript"/>
        </w:rPr>
        <w:t>5</w:t>
      </w:r>
    </w:p>
    <w:p w:rsidR="002C0031" w:rsidRPr="00C73946" w:rsidRDefault="002C0031" w:rsidP="002C0031">
      <w:pPr>
        <w:spacing w:after="0" w:line="360" w:lineRule="auto"/>
        <w:jc w:val="center"/>
        <w:rPr>
          <w:rFonts w:ascii="Times New Roman" w:hAnsi="Times New Roman" w:cs="Times New Roman"/>
          <w:b/>
          <w:sz w:val="24"/>
          <w:szCs w:val="24"/>
        </w:rPr>
      </w:pPr>
    </w:p>
    <w:p w:rsidR="002C0031" w:rsidRDefault="002C0031" w:rsidP="002C0031">
      <w:pPr>
        <w:spacing w:after="0" w:line="360" w:lineRule="auto"/>
        <w:rPr>
          <w:rFonts w:ascii="Times New Roman" w:hAnsi="Times New Roman" w:cs="Times New Roman"/>
          <w:sz w:val="24"/>
          <w:szCs w:val="24"/>
        </w:rPr>
      </w:pPr>
    </w:p>
    <w:p w:rsidR="002C0031" w:rsidRDefault="002C0031" w:rsidP="002C0031">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Pr>
          <w:rFonts w:ascii="Times New Roman" w:hAnsi="Times New Roman" w:cs="Times New Roman"/>
          <w:sz w:val="24"/>
          <w:szCs w:val="24"/>
        </w:rPr>
        <w:t xml:space="preserve"> </w:t>
      </w:r>
      <w:r w:rsidR="00774C47">
        <w:rPr>
          <w:rFonts w:ascii="Times New Roman" w:hAnsi="Times New Roman" w:cs="Times New Roman"/>
          <w:sz w:val="24"/>
          <w:szCs w:val="24"/>
        </w:rPr>
        <w:t xml:space="preserve">Douglas Scharf. Universidade Federal de Uberlândia, Brasil. </w:t>
      </w:r>
      <w:r w:rsidR="00901C15" w:rsidRPr="00901C15">
        <w:rPr>
          <w:rFonts w:ascii="Times New Roman" w:hAnsi="Times New Roman" w:cs="Times New Roman"/>
          <w:color w:val="000000" w:themeColor="text1"/>
          <w:sz w:val="24"/>
          <w:szCs w:val="24"/>
          <w:bdr w:val="none" w:sz="0" w:space="0" w:color="auto" w:frame="1"/>
          <w:shd w:val="clear" w:color="auto" w:fill="FFFFFF"/>
        </w:rPr>
        <w:t>scharf28@hotmail.com</w:t>
      </w:r>
    </w:p>
    <w:p w:rsidR="00687B6E" w:rsidRDefault="002C0031" w:rsidP="002C0031">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774C47" w:rsidRPr="00774C47">
        <w:rPr>
          <w:rFonts w:ascii="Times New Roman" w:hAnsi="Times New Roman" w:cs="Times New Roman"/>
          <w:sz w:val="24"/>
          <w:szCs w:val="24"/>
        </w:rPr>
        <w:t xml:space="preserve"> </w:t>
      </w:r>
      <w:r w:rsidR="00774C47">
        <w:rPr>
          <w:rFonts w:ascii="Times New Roman" w:hAnsi="Times New Roman" w:cs="Times New Roman"/>
          <w:sz w:val="24"/>
          <w:szCs w:val="24"/>
        </w:rPr>
        <w:t>Luciano José Arantes</w:t>
      </w:r>
      <w:r w:rsidR="00774C47" w:rsidRPr="00E912D0">
        <w:rPr>
          <w:rFonts w:ascii="Times New Roman" w:hAnsi="Times New Roman" w:cs="Times New Roman"/>
          <w:sz w:val="24"/>
          <w:szCs w:val="24"/>
        </w:rPr>
        <w:t xml:space="preserve">. </w:t>
      </w:r>
      <w:r w:rsidR="00774C47">
        <w:rPr>
          <w:rFonts w:ascii="Times New Roman" w:hAnsi="Times New Roman" w:cs="Times New Roman"/>
          <w:sz w:val="24"/>
          <w:szCs w:val="24"/>
        </w:rPr>
        <w:t>Universidade Federal de Uberlândia</w:t>
      </w:r>
      <w:r w:rsidR="00774C47" w:rsidRPr="00E912D0">
        <w:rPr>
          <w:rFonts w:ascii="Times New Roman" w:hAnsi="Times New Roman" w:cs="Times New Roman"/>
          <w:sz w:val="24"/>
          <w:szCs w:val="24"/>
        </w:rPr>
        <w:t xml:space="preserve">, </w:t>
      </w:r>
      <w:r w:rsidR="00774C47">
        <w:rPr>
          <w:rFonts w:ascii="Times New Roman" w:hAnsi="Times New Roman" w:cs="Times New Roman"/>
          <w:sz w:val="24"/>
          <w:szCs w:val="24"/>
        </w:rPr>
        <w:t xml:space="preserve">Brasil. </w:t>
      </w:r>
      <w:r w:rsidR="00774C47" w:rsidRPr="00707DA4">
        <w:rPr>
          <w:rFonts w:ascii="Times New Roman" w:hAnsi="Times New Roman" w:cs="Times New Roman"/>
          <w:sz w:val="24"/>
          <w:szCs w:val="24"/>
          <w:shd w:val="clear" w:color="auto" w:fill="FFFFFF"/>
        </w:rPr>
        <w:t>ljarantes@ufu.br</w:t>
      </w:r>
      <w:r w:rsidR="00774C47" w:rsidRPr="00707DA4">
        <w:rPr>
          <w:rFonts w:ascii="Times New Roman" w:hAnsi="Times New Roman" w:cs="Times New Roman"/>
          <w:sz w:val="24"/>
          <w:szCs w:val="24"/>
        </w:rPr>
        <w:t>.</w:t>
      </w:r>
    </w:p>
    <w:p w:rsidR="002C0031" w:rsidRDefault="00687B6E" w:rsidP="002C003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w:t>
      </w:r>
      <w:r w:rsidR="002C0031">
        <w:rPr>
          <w:rFonts w:ascii="Times New Roman" w:hAnsi="Times New Roman" w:cs="Times New Roman"/>
          <w:sz w:val="24"/>
          <w:szCs w:val="24"/>
        </w:rPr>
        <w:t>Guilherme Bernardes Rodrigues</w:t>
      </w:r>
      <w:r w:rsidR="002C0031" w:rsidRPr="00E912D0">
        <w:rPr>
          <w:rFonts w:ascii="Times New Roman" w:hAnsi="Times New Roman" w:cs="Times New Roman"/>
          <w:sz w:val="24"/>
          <w:szCs w:val="24"/>
        </w:rPr>
        <w:t xml:space="preserve">. </w:t>
      </w:r>
      <w:r w:rsidR="002C0031">
        <w:rPr>
          <w:rFonts w:ascii="Times New Roman" w:hAnsi="Times New Roman" w:cs="Times New Roman"/>
          <w:sz w:val="24"/>
          <w:szCs w:val="24"/>
        </w:rPr>
        <w:t>Universidade Federal de Uberlândia</w:t>
      </w:r>
      <w:r w:rsidR="002C0031" w:rsidRPr="00E912D0">
        <w:rPr>
          <w:rFonts w:ascii="Times New Roman" w:hAnsi="Times New Roman" w:cs="Times New Roman"/>
          <w:sz w:val="24"/>
          <w:szCs w:val="24"/>
        </w:rPr>
        <w:t xml:space="preserve">, </w:t>
      </w:r>
      <w:r w:rsidR="002C0031">
        <w:rPr>
          <w:rFonts w:ascii="Times New Roman" w:hAnsi="Times New Roman" w:cs="Times New Roman"/>
          <w:sz w:val="24"/>
          <w:szCs w:val="24"/>
        </w:rPr>
        <w:t>Brasil.</w:t>
      </w:r>
      <w:r w:rsidR="00774C47">
        <w:rPr>
          <w:rFonts w:ascii="Times New Roman" w:hAnsi="Times New Roman" w:cs="Times New Roman"/>
          <w:sz w:val="24"/>
          <w:szCs w:val="24"/>
        </w:rPr>
        <w:t xml:space="preserve"> </w:t>
      </w:r>
      <w:r w:rsidR="002C0031">
        <w:rPr>
          <w:rFonts w:ascii="Times New Roman" w:hAnsi="Times New Roman" w:cs="Times New Roman"/>
          <w:sz w:val="24"/>
          <w:szCs w:val="24"/>
        </w:rPr>
        <w:t>guilhermebernardes@ufu.br.</w:t>
      </w:r>
    </w:p>
    <w:p w:rsidR="002C0031" w:rsidRDefault="00687B6E" w:rsidP="002C0031">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2C0031">
        <w:rPr>
          <w:rFonts w:ascii="Times New Roman" w:hAnsi="Times New Roman" w:cs="Times New Roman"/>
          <w:sz w:val="24"/>
          <w:szCs w:val="24"/>
        </w:rPr>
        <w:t xml:space="preserve">- Rosenda Valdés Arencibia. Universidade </w:t>
      </w:r>
      <w:r w:rsidR="008A4BFC">
        <w:rPr>
          <w:rFonts w:ascii="Times New Roman" w:hAnsi="Times New Roman" w:cs="Times New Roman"/>
          <w:sz w:val="24"/>
          <w:szCs w:val="24"/>
        </w:rPr>
        <w:t xml:space="preserve">Federal de Uberlândia. Brasil. </w:t>
      </w:r>
      <w:r w:rsidR="00B9415C" w:rsidRPr="00B9415C">
        <w:rPr>
          <w:rFonts w:ascii="Times New Roman" w:hAnsi="Times New Roman" w:cs="Times New Roman"/>
          <w:sz w:val="24"/>
          <w:szCs w:val="24"/>
        </w:rPr>
        <w:t>rosenda.arencibia@ufu.br</w:t>
      </w:r>
      <w:r w:rsidR="002C0031">
        <w:rPr>
          <w:rFonts w:ascii="Times New Roman" w:hAnsi="Times New Roman" w:cs="Times New Roman"/>
          <w:sz w:val="24"/>
          <w:szCs w:val="24"/>
        </w:rPr>
        <w:t>.</w:t>
      </w:r>
    </w:p>
    <w:p w:rsidR="00B9415C" w:rsidRPr="00B9415C" w:rsidRDefault="00B9415C" w:rsidP="002C0031">
      <w:pPr>
        <w:spacing w:after="0" w:line="360" w:lineRule="auto"/>
        <w:rPr>
          <w:rFonts w:ascii="Times New Roman" w:hAnsi="Times New Roman" w:cs="Times New Roman"/>
          <w:sz w:val="24"/>
          <w:szCs w:val="24"/>
        </w:rPr>
      </w:pPr>
      <w:r w:rsidRPr="00B9415C">
        <w:rPr>
          <w:rFonts w:ascii="Times New Roman" w:hAnsi="Times New Roman" w:cs="Times New Roman"/>
          <w:sz w:val="24"/>
          <w:szCs w:val="24"/>
        </w:rPr>
        <w:t>5- Amado Cruz-Crespo</w:t>
      </w:r>
      <w:r>
        <w:rPr>
          <w:rFonts w:ascii="Times New Roman" w:hAnsi="Times New Roman" w:cs="Times New Roman"/>
          <w:sz w:val="24"/>
          <w:szCs w:val="24"/>
        </w:rPr>
        <w:t xml:space="preserve">. </w:t>
      </w:r>
      <w:proofErr w:type="spellStart"/>
      <w:r>
        <w:rPr>
          <w:rFonts w:ascii="Times New Roman" w:hAnsi="Times New Roman" w:cs="Times New Roman"/>
          <w:sz w:val="24"/>
          <w:szCs w:val="24"/>
        </w:rPr>
        <w:t>Universidad</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Las</w:t>
      </w:r>
      <w:proofErr w:type="spellEnd"/>
      <w:r>
        <w:rPr>
          <w:rFonts w:ascii="Times New Roman" w:hAnsi="Times New Roman" w:cs="Times New Roman"/>
          <w:sz w:val="24"/>
          <w:szCs w:val="24"/>
        </w:rPr>
        <w:t xml:space="preserve"> Villas. Cuba: </w:t>
      </w:r>
      <w:r w:rsidRPr="00602E25">
        <w:rPr>
          <w:rFonts w:ascii="Times New Roman" w:hAnsi="Times New Roman" w:cs="Times New Roman"/>
          <w:sz w:val="24"/>
          <w:szCs w:val="24"/>
        </w:rPr>
        <w:t>acruz@uclv.edu.cu</w:t>
      </w:r>
      <w:r>
        <w:rPr>
          <w:rFonts w:ascii="Times New Roman" w:hAnsi="Times New Roman" w:cs="Times New Roman"/>
          <w:sz w:val="24"/>
          <w:szCs w:val="24"/>
        </w:rPr>
        <w:t>.</w:t>
      </w:r>
    </w:p>
    <w:p w:rsidR="002C0031" w:rsidRDefault="002C0031" w:rsidP="002C0031">
      <w:pPr>
        <w:spacing w:after="0" w:line="360" w:lineRule="auto"/>
        <w:rPr>
          <w:rFonts w:ascii="Times New Roman" w:hAnsi="Times New Roman" w:cs="Times New Roman"/>
          <w:b/>
          <w:sz w:val="24"/>
          <w:szCs w:val="24"/>
        </w:rPr>
      </w:pPr>
    </w:p>
    <w:p w:rsidR="0025341E" w:rsidRDefault="002C0031" w:rsidP="0025341E">
      <w:pPr>
        <w:pStyle w:val="texto"/>
        <w:ind w:firstLine="0"/>
        <w:rPr>
          <w:bCs/>
          <w:szCs w:val="24"/>
        </w:rPr>
      </w:pPr>
      <w:r w:rsidRPr="005B6986">
        <w:rPr>
          <w:b/>
          <w:szCs w:val="24"/>
        </w:rPr>
        <w:t xml:space="preserve">Resumo: </w:t>
      </w:r>
    </w:p>
    <w:p w:rsidR="0020370D" w:rsidRPr="00B24D3E" w:rsidRDefault="0025341E" w:rsidP="0020370D">
      <w:pPr>
        <w:pStyle w:val="texto"/>
      </w:pPr>
      <w:r>
        <w:rPr>
          <w:bCs/>
          <w:szCs w:val="24"/>
        </w:rPr>
        <w:t>A eletroerosão é um processo de usinagem não-convencional</w:t>
      </w:r>
      <w:r w:rsidR="00533842">
        <w:rPr>
          <w:bCs/>
          <w:szCs w:val="24"/>
        </w:rPr>
        <w:t xml:space="preserve"> capaz de retirar material de uma peça por meio de descargas elétricas (</w:t>
      </w:r>
      <w:r w:rsidR="00533842" w:rsidRPr="00533842">
        <w:rPr>
          <w:bCs/>
          <w:i/>
          <w:szCs w:val="24"/>
        </w:rPr>
        <w:t>Electrical Discharge Machining</w:t>
      </w:r>
      <w:r w:rsidR="00533842">
        <w:rPr>
          <w:bCs/>
          <w:szCs w:val="24"/>
        </w:rPr>
        <w:t xml:space="preserve"> - EDM)</w:t>
      </w:r>
      <w:r w:rsidRPr="002C0031">
        <w:t>.</w:t>
      </w:r>
      <w:r>
        <w:t xml:space="preserve"> </w:t>
      </w:r>
      <w:r w:rsidR="00C56795">
        <w:t xml:space="preserve">Atualmente na área biomédica, há uma demanda relevante de se desenvolver implantes dentários que sejam mais biocompatíveis e que ainda ofereceram um bom aporte com o tecido ósseo (osteointegração). </w:t>
      </w:r>
      <w:r>
        <w:t>A literatura estudada destaca a</w:t>
      </w:r>
      <w:r w:rsidR="00533842">
        <w:t xml:space="preserve"> possibilidade de utilizar </w:t>
      </w:r>
      <w:r w:rsidR="00C56795">
        <w:t>o</w:t>
      </w:r>
      <w:r w:rsidR="00533842">
        <w:t xml:space="preserve"> processo de EDM para realizar o enriqu</w:t>
      </w:r>
      <w:r w:rsidR="00C56795">
        <w:t>ecimento superficial de um implante fabricado em liga de titânio</w:t>
      </w:r>
      <w:r>
        <w:t>.</w:t>
      </w:r>
      <w:r w:rsidR="00533842">
        <w:t xml:space="preserve"> </w:t>
      </w:r>
      <w:r w:rsidR="0020370D">
        <w:t xml:space="preserve">Quando se trata de implantes odontológicos dois elementos </w:t>
      </w:r>
      <w:r w:rsidR="0020370D">
        <w:lastRenderedPageBreak/>
        <w:t>químicos importantes para a osteointegração são o cálcio e o fósforo</w:t>
      </w:r>
      <w:r w:rsidR="0083130F">
        <w:t>. Desta forma,</w:t>
      </w:r>
      <w:r>
        <w:rPr>
          <w:szCs w:val="22"/>
        </w:rPr>
        <w:t xml:space="preserve"> o presente tra</w:t>
      </w:r>
      <w:r w:rsidR="00176442">
        <w:rPr>
          <w:szCs w:val="22"/>
        </w:rPr>
        <w:t>balho tem como objetivo estudar o procedimento de enriquecimento da superfície do implante dentário com cálcio e fósf</w:t>
      </w:r>
      <w:r w:rsidR="00576921">
        <w:rPr>
          <w:szCs w:val="22"/>
        </w:rPr>
        <w:t>oro</w:t>
      </w:r>
      <w:r w:rsidR="0021750D">
        <w:rPr>
          <w:szCs w:val="22"/>
        </w:rPr>
        <w:t>,</w:t>
      </w:r>
      <w:r w:rsidR="00576921">
        <w:rPr>
          <w:szCs w:val="22"/>
        </w:rPr>
        <w:t xml:space="preserve"> por meio do processo de EDM.</w:t>
      </w:r>
      <w:r w:rsidR="00176442">
        <w:rPr>
          <w:szCs w:val="22"/>
        </w:rPr>
        <w:t xml:space="preserve"> </w:t>
      </w:r>
      <w:r>
        <w:rPr>
          <w:szCs w:val="22"/>
        </w:rPr>
        <w:t xml:space="preserve">Para tanto, </w:t>
      </w:r>
      <w:r w:rsidR="0020370D">
        <w:rPr>
          <w:szCs w:val="22"/>
        </w:rPr>
        <w:t xml:space="preserve">se submeteu um implante dentário da liga </w:t>
      </w:r>
      <w:r w:rsidR="0020370D" w:rsidRPr="0020370D">
        <w:rPr>
          <w:szCs w:val="22"/>
        </w:rPr>
        <w:t>Ti6Al4V</w:t>
      </w:r>
      <w:r w:rsidR="0021750D">
        <w:rPr>
          <w:szCs w:val="22"/>
        </w:rPr>
        <w:t xml:space="preserve"> ao processo de eletroerosão, </w:t>
      </w:r>
      <w:r w:rsidR="0020370D">
        <w:rPr>
          <w:szCs w:val="22"/>
        </w:rPr>
        <w:t xml:space="preserve">utilizando como fluido dielétrico uma solução rica em </w:t>
      </w:r>
      <w:r w:rsidR="0020370D" w:rsidRPr="0020370D">
        <w:t>ácido fosfórico (H</w:t>
      </w:r>
      <w:r w:rsidR="0020370D" w:rsidRPr="0020370D">
        <w:rPr>
          <w:vertAlign w:val="subscript"/>
        </w:rPr>
        <w:t>3</w:t>
      </w:r>
      <w:r w:rsidR="0020370D" w:rsidRPr="0020370D">
        <w:t>PO</w:t>
      </w:r>
      <w:r w:rsidR="0020370D" w:rsidRPr="0020370D">
        <w:rPr>
          <w:vertAlign w:val="subscript"/>
        </w:rPr>
        <w:t>4</w:t>
      </w:r>
      <w:r w:rsidR="0020370D">
        <w:t>)</w:t>
      </w:r>
      <w:r w:rsidR="00C56795">
        <w:t xml:space="preserve"> e</w:t>
      </w:r>
      <w:r w:rsidR="0020370D">
        <w:t xml:space="preserve"> </w:t>
      </w:r>
      <w:r w:rsidR="0020370D" w:rsidRPr="0020370D">
        <w:t>cloreto de cálcio (CaCl</w:t>
      </w:r>
      <w:r w:rsidR="0020370D" w:rsidRPr="0020370D">
        <w:rPr>
          <w:vertAlign w:val="subscript"/>
        </w:rPr>
        <w:t>2</w:t>
      </w:r>
      <w:r w:rsidR="008D7F41">
        <w:t xml:space="preserve">). Os resultados obtidos mostraram que houve um </w:t>
      </w:r>
      <w:r w:rsidR="0021750D">
        <w:t>aumento</w:t>
      </w:r>
      <w:r w:rsidR="008D7F41">
        <w:t xml:space="preserve"> considerável </w:t>
      </w:r>
      <w:r w:rsidR="0021750D">
        <w:t xml:space="preserve">da quantidade em % </w:t>
      </w:r>
      <w:r w:rsidR="00B81415">
        <w:t xml:space="preserve">de </w:t>
      </w:r>
      <w:r w:rsidR="0021750D">
        <w:t xml:space="preserve">peso </w:t>
      </w:r>
      <w:r w:rsidR="008D7F41">
        <w:t xml:space="preserve">de cálcio e fósforo na camada superficial do </w:t>
      </w:r>
      <w:r w:rsidR="00576921">
        <w:t>implante dentário,</w:t>
      </w:r>
      <w:r w:rsidR="0021750D">
        <w:t xml:space="preserve"> sendo</w:t>
      </w:r>
      <w:r w:rsidR="00576921">
        <w:t xml:space="preserve"> </w:t>
      </w:r>
      <w:r w:rsidR="00576921">
        <w:rPr>
          <w:szCs w:val="24"/>
        </w:rPr>
        <w:t>de 3,8 % e 14,8 %</w:t>
      </w:r>
      <w:r w:rsidR="0021750D">
        <w:rPr>
          <w:szCs w:val="24"/>
        </w:rPr>
        <w:t>, respectivamente</w:t>
      </w:r>
      <w:r w:rsidR="00576921">
        <w:rPr>
          <w:szCs w:val="24"/>
        </w:rPr>
        <w:t xml:space="preserve">. </w:t>
      </w:r>
      <w:r w:rsidR="000F676C" w:rsidRPr="00B24D3E">
        <w:rPr>
          <w:szCs w:val="24"/>
        </w:rPr>
        <w:t xml:space="preserve">Entretanto, as análises de composição química apresentaram baixa repetibilidade. </w:t>
      </w:r>
    </w:p>
    <w:p w:rsidR="00D46864" w:rsidRPr="008A4BFC" w:rsidRDefault="002C0031" w:rsidP="00D46864">
      <w:pPr>
        <w:pStyle w:val="texto"/>
        <w:ind w:firstLine="0"/>
        <w:rPr>
          <w:i/>
          <w:szCs w:val="24"/>
        </w:rPr>
      </w:pPr>
      <w:r w:rsidRPr="008A4BFC">
        <w:rPr>
          <w:b/>
          <w:i/>
          <w:szCs w:val="24"/>
        </w:rPr>
        <w:t>Abstract:</w:t>
      </w:r>
      <w:r w:rsidRPr="008A4BFC">
        <w:rPr>
          <w:szCs w:val="24"/>
        </w:rPr>
        <w:t xml:space="preserve"> </w:t>
      </w:r>
      <w:proofErr w:type="spellStart"/>
      <w:r w:rsidR="00D46864" w:rsidRPr="008A4BFC">
        <w:rPr>
          <w:i/>
          <w:color w:val="000000" w:themeColor="text1"/>
          <w:szCs w:val="24"/>
        </w:rPr>
        <w:t>Electro</w:t>
      </w:r>
      <w:r w:rsidR="00941F1D" w:rsidRPr="008A4BFC">
        <w:rPr>
          <w:i/>
          <w:color w:val="000000" w:themeColor="text1"/>
          <w:szCs w:val="24"/>
        </w:rPr>
        <w:t>-</w:t>
      </w:r>
      <w:r w:rsidR="00D46864" w:rsidRPr="008A4BFC">
        <w:rPr>
          <w:i/>
          <w:color w:val="000000" w:themeColor="text1"/>
          <w:szCs w:val="24"/>
        </w:rPr>
        <w:t>erosion</w:t>
      </w:r>
      <w:proofErr w:type="spellEnd"/>
      <w:r w:rsidR="00D46864" w:rsidRPr="008A4BFC">
        <w:rPr>
          <w:i/>
          <w:szCs w:val="24"/>
        </w:rPr>
        <w:t xml:space="preserve"> </w:t>
      </w:r>
      <w:proofErr w:type="spellStart"/>
      <w:r w:rsidR="00D46864" w:rsidRPr="008A4BFC">
        <w:rPr>
          <w:i/>
          <w:szCs w:val="24"/>
        </w:rPr>
        <w:t>is</w:t>
      </w:r>
      <w:proofErr w:type="spellEnd"/>
      <w:r w:rsidR="00D46864" w:rsidRPr="008A4BFC">
        <w:rPr>
          <w:i/>
          <w:szCs w:val="24"/>
        </w:rPr>
        <w:t xml:space="preserve"> </w:t>
      </w:r>
      <w:r w:rsidR="00B24D3E" w:rsidRPr="008A4BFC">
        <w:rPr>
          <w:i/>
          <w:szCs w:val="24"/>
        </w:rPr>
        <w:t>a</w:t>
      </w:r>
      <w:r w:rsidR="00941F1D" w:rsidRPr="008A4BFC">
        <w:rPr>
          <w:i/>
          <w:szCs w:val="24"/>
        </w:rPr>
        <w:t xml:space="preserve"> </w:t>
      </w:r>
      <w:r w:rsidR="00B24D3E" w:rsidRPr="008A4BFC">
        <w:rPr>
          <w:i/>
          <w:color w:val="000000" w:themeColor="text1"/>
          <w:szCs w:val="24"/>
        </w:rPr>
        <w:t>non-</w:t>
      </w:r>
      <w:proofErr w:type="spellStart"/>
      <w:r w:rsidR="00B24D3E" w:rsidRPr="008A4BFC">
        <w:rPr>
          <w:i/>
          <w:color w:val="000000" w:themeColor="text1"/>
          <w:szCs w:val="24"/>
        </w:rPr>
        <w:t>conventional</w:t>
      </w:r>
      <w:proofErr w:type="spellEnd"/>
      <w:r w:rsidR="00D46864" w:rsidRPr="008A4BFC">
        <w:rPr>
          <w:i/>
          <w:szCs w:val="24"/>
        </w:rPr>
        <w:t xml:space="preserve"> </w:t>
      </w:r>
      <w:proofErr w:type="spellStart"/>
      <w:r w:rsidR="00D46864" w:rsidRPr="008A4BFC">
        <w:rPr>
          <w:i/>
          <w:szCs w:val="24"/>
        </w:rPr>
        <w:t>machining</w:t>
      </w:r>
      <w:proofErr w:type="spellEnd"/>
      <w:r w:rsidR="00D46864" w:rsidRPr="008A4BFC">
        <w:rPr>
          <w:i/>
          <w:szCs w:val="24"/>
        </w:rPr>
        <w:t xml:space="preserve"> </w:t>
      </w:r>
      <w:proofErr w:type="spellStart"/>
      <w:r w:rsidR="00D46864" w:rsidRPr="008A4BFC">
        <w:rPr>
          <w:i/>
          <w:szCs w:val="24"/>
        </w:rPr>
        <w:t>process</w:t>
      </w:r>
      <w:proofErr w:type="spellEnd"/>
      <w:r w:rsidR="00D46864" w:rsidRPr="008A4BFC">
        <w:rPr>
          <w:i/>
          <w:szCs w:val="24"/>
        </w:rPr>
        <w:t xml:space="preserve"> </w:t>
      </w:r>
      <w:proofErr w:type="spellStart"/>
      <w:r w:rsidR="00D46864" w:rsidRPr="008A4BFC">
        <w:rPr>
          <w:i/>
          <w:szCs w:val="24"/>
        </w:rPr>
        <w:t>capable</w:t>
      </w:r>
      <w:proofErr w:type="spellEnd"/>
      <w:r w:rsidR="00D46864" w:rsidRPr="008A4BFC">
        <w:rPr>
          <w:i/>
          <w:szCs w:val="24"/>
        </w:rPr>
        <w:t xml:space="preserve"> </w:t>
      </w:r>
      <w:proofErr w:type="spellStart"/>
      <w:r w:rsidR="00D46864" w:rsidRPr="008A4BFC">
        <w:rPr>
          <w:i/>
          <w:szCs w:val="24"/>
        </w:rPr>
        <w:t>of</w:t>
      </w:r>
      <w:proofErr w:type="spellEnd"/>
      <w:r w:rsidR="00D46864" w:rsidRPr="008A4BFC">
        <w:rPr>
          <w:i/>
          <w:szCs w:val="24"/>
        </w:rPr>
        <w:t xml:space="preserve"> </w:t>
      </w:r>
      <w:proofErr w:type="spellStart"/>
      <w:r w:rsidR="00D46864" w:rsidRPr="008A4BFC">
        <w:rPr>
          <w:i/>
          <w:szCs w:val="24"/>
        </w:rPr>
        <w:t>removing</w:t>
      </w:r>
      <w:proofErr w:type="spellEnd"/>
      <w:r w:rsidR="00D46864" w:rsidRPr="008A4BFC">
        <w:rPr>
          <w:i/>
          <w:szCs w:val="24"/>
        </w:rPr>
        <w:t xml:space="preserve"> material </w:t>
      </w:r>
      <w:proofErr w:type="spellStart"/>
      <w:r w:rsidR="00D46864" w:rsidRPr="008A4BFC">
        <w:rPr>
          <w:i/>
          <w:szCs w:val="24"/>
        </w:rPr>
        <w:t>from</w:t>
      </w:r>
      <w:proofErr w:type="spellEnd"/>
      <w:r w:rsidR="00D46864" w:rsidRPr="008A4BFC">
        <w:rPr>
          <w:i/>
          <w:szCs w:val="24"/>
        </w:rPr>
        <w:t xml:space="preserve"> a </w:t>
      </w:r>
      <w:proofErr w:type="spellStart"/>
      <w:r w:rsidR="00D46864" w:rsidRPr="008A4BFC">
        <w:rPr>
          <w:i/>
          <w:szCs w:val="24"/>
        </w:rPr>
        <w:t>part</w:t>
      </w:r>
      <w:proofErr w:type="spellEnd"/>
      <w:r w:rsidR="00D46864" w:rsidRPr="008A4BFC">
        <w:rPr>
          <w:i/>
          <w:szCs w:val="24"/>
        </w:rPr>
        <w:t xml:space="preserve"> </w:t>
      </w:r>
      <w:proofErr w:type="spellStart"/>
      <w:r w:rsidR="00D46864" w:rsidRPr="008A4BFC">
        <w:rPr>
          <w:i/>
          <w:szCs w:val="24"/>
        </w:rPr>
        <w:t>by</w:t>
      </w:r>
      <w:proofErr w:type="spellEnd"/>
      <w:r w:rsidR="00D46864" w:rsidRPr="008A4BFC">
        <w:rPr>
          <w:i/>
          <w:szCs w:val="24"/>
        </w:rPr>
        <w:t xml:space="preserve"> </w:t>
      </w:r>
      <w:proofErr w:type="spellStart"/>
      <w:r w:rsidR="00D46864" w:rsidRPr="008A4BFC">
        <w:rPr>
          <w:i/>
          <w:szCs w:val="24"/>
        </w:rPr>
        <w:t>means</w:t>
      </w:r>
      <w:proofErr w:type="spellEnd"/>
      <w:r w:rsidR="00D46864" w:rsidRPr="008A4BFC">
        <w:rPr>
          <w:i/>
          <w:szCs w:val="24"/>
        </w:rPr>
        <w:t xml:space="preserve"> </w:t>
      </w:r>
      <w:proofErr w:type="spellStart"/>
      <w:r w:rsidR="00D46864" w:rsidRPr="008A4BFC">
        <w:rPr>
          <w:i/>
          <w:szCs w:val="24"/>
        </w:rPr>
        <w:t>of</w:t>
      </w:r>
      <w:proofErr w:type="spellEnd"/>
      <w:r w:rsidR="00D46864" w:rsidRPr="008A4BFC">
        <w:rPr>
          <w:i/>
          <w:szCs w:val="24"/>
        </w:rPr>
        <w:t xml:space="preserve"> </w:t>
      </w:r>
      <w:proofErr w:type="spellStart"/>
      <w:r w:rsidR="00D46864" w:rsidRPr="008A4BFC">
        <w:rPr>
          <w:i/>
          <w:szCs w:val="24"/>
        </w:rPr>
        <w:t>electrical</w:t>
      </w:r>
      <w:proofErr w:type="spellEnd"/>
      <w:r w:rsidR="00D46864" w:rsidRPr="008A4BFC">
        <w:rPr>
          <w:i/>
          <w:szCs w:val="24"/>
        </w:rPr>
        <w:t xml:space="preserve"> </w:t>
      </w:r>
      <w:proofErr w:type="spellStart"/>
      <w:r w:rsidR="00D46864" w:rsidRPr="008A4BFC">
        <w:rPr>
          <w:i/>
          <w:szCs w:val="24"/>
        </w:rPr>
        <w:t>discharges</w:t>
      </w:r>
      <w:proofErr w:type="spellEnd"/>
      <w:r w:rsidR="00D46864" w:rsidRPr="008A4BFC">
        <w:rPr>
          <w:i/>
          <w:szCs w:val="24"/>
        </w:rPr>
        <w:t xml:space="preserve"> </w:t>
      </w:r>
      <w:r w:rsidR="00385304" w:rsidRPr="008A4BFC">
        <w:rPr>
          <w:i/>
          <w:szCs w:val="24"/>
        </w:rPr>
        <w:t>(</w:t>
      </w:r>
      <w:proofErr w:type="spellStart"/>
      <w:r w:rsidR="00385304" w:rsidRPr="008A4BFC">
        <w:rPr>
          <w:i/>
          <w:szCs w:val="24"/>
        </w:rPr>
        <w:t>Electrical</w:t>
      </w:r>
      <w:proofErr w:type="spellEnd"/>
      <w:r w:rsidR="00385304" w:rsidRPr="008A4BFC">
        <w:rPr>
          <w:i/>
          <w:szCs w:val="24"/>
        </w:rPr>
        <w:t xml:space="preserve"> </w:t>
      </w:r>
      <w:proofErr w:type="spellStart"/>
      <w:r w:rsidR="00385304" w:rsidRPr="008A4BFC">
        <w:rPr>
          <w:i/>
          <w:szCs w:val="24"/>
        </w:rPr>
        <w:t>Discharge</w:t>
      </w:r>
      <w:proofErr w:type="spellEnd"/>
      <w:r w:rsidR="00385304" w:rsidRPr="008A4BFC">
        <w:rPr>
          <w:i/>
          <w:szCs w:val="24"/>
        </w:rPr>
        <w:t xml:space="preserve"> Machining </w:t>
      </w:r>
      <w:r w:rsidR="00D46864" w:rsidRPr="008A4BFC">
        <w:rPr>
          <w:i/>
          <w:szCs w:val="24"/>
        </w:rPr>
        <w:t xml:space="preserve">- EDM). </w:t>
      </w:r>
      <w:r w:rsidR="00D46864" w:rsidRPr="00B24D3E">
        <w:rPr>
          <w:i/>
          <w:szCs w:val="24"/>
          <w:lang w:val="en-US"/>
        </w:rPr>
        <w:t>Currently in the biomedical area, there is a relevant demand to develop dental implants that are more biocompatible and still offer a good contribution with the bone tissue (osseointegration). The studied literature highlights the possibility of using the EDM process to perform a superficial enrichment of an implant made from titanium alloy. When it comes to dental implants two important chemical elements for osseointegration are calcium and phosphorus. In this way, the present work aims to study the procedure of enrichment of the surface of the dental implant with calcium and phosphorus, through the process of EDM. For this, a dental implant of the Ti6Al4V alloy was submitted to the electro</w:t>
      </w:r>
      <w:r w:rsidR="00941F1D" w:rsidRPr="00B24D3E">
        <w:rPr>
          <w:i/>
          <w:szCs w:val="24"/>
          <w:lang w:val="en-US"/>
        </w:rPr>
        <w:t>-</w:t>
      </w:r>
      <w:r w:rsidR="00D46864" w:rsidRPr="00B24D3E">
        <w:rPr>
          <w:i/>
          <w:szCs w:val="24"/>
          <w:lang w:val="en-US"/>
        </w:rPr>
        <w:t xml:space="preserve">erosion process, using a solution that is rich in phosphoric acid (H3PO4) and calcium chloride (CaCl2) as the dielectric fluid. The results showed that there was a considerable increase in the weight % of calcium and phosphorus in the superficial layer of the dental implant, being of 3.8% and 14.8%, respectively. </w:t>
      </w:r>
      <w:proofErr w:type="spellStart"/>
      <w:r w:rsidR="00D46864" w:rsidRPr="008A4BFC">
        <w:rPr>
          <w:i/>
          <w:szCs w:val="24"/>
        </w:rPr>
        <w:t>However</w:t>
      </w:r>
      <w:proofErr w:type="spellEnd"/>
      <w:r w:rsidR="00D46864" w:rsidRPr="008A4BFC">
        <w:rPr>
          <w:i/>
          <w:szCs w:val="24"/>
        </w:rPr>
        <w:t xml:space="preserve">, </w:t>
      </w:r>
      <w:proofErr w:type="spellStart"/>
      <w:r w:rsidR="00D46864" w:rsidRPr="008A4BFC">
        <w:rPr>
          <w:i/>
          <w:szCs w:val="24"/>
        </w:rPr>
        <w:t>the</w:t>
      </w:r>
      <w:proofErr w:type="spellEnd"/>
      <w:r w:rsidR="00D46864" w:rsidRPr="008A4BFC">
        <w:rPr>
          <w:i/>
          <w:szCs w:val="24"/>
        </w:rPr>
        <w:t xml:space="preserve"> </w:t>
      </w:r>
      <w:proofErr w:type="spellStart"/>
      <w:r w:rsidR="00D46864" w:rsidRPr="008A4BFC">
        <w:rPr>
          <w:i/>
          <w:szCs w:val="24"/>
        </w:rPr>
        <w:t>chemical</w:t>
      </w:r>
      <w:proofErr w:type="spellEnd"/>
      <w:r w:rsidR="00D46864" w:rsidRPr="008A4BFC">
        <w:rPr>
          <w:i/>
          <w:szCs w:val="24"/>
        </w:rPr>
        <w:t xml:space="preserve"> </w:t>
      </w:r>
      <w:proofErr w:type="spellStart"/>
      <w:r w:rsidR="00D46864" w:rsidRPr="008A4BFC">
        <w:rPr>
          <w:i/>
          <w:szCs w:val="24"/>
        </w:rPr>
        <w:t>composition</w:t>
      </w:r>
      <w:proofErr w:type="spellEnd"/>
      <w:r w:rsidR="00D46864" w:rsidRPr="008A4BFC">
        <w:rPr>
          <w:i/>
          <w:szCs w:val="24"/>
        </w:rPr>
        <w:t xml:space="preserve"> </w:t>
      </w:r>
      <w:proofErr w:type="spellStart"/>
      <w:r w:rsidR="00D46864" w:rsidRPr="008A4BFC">
        <w:rPr>
          <w:i/>
          <w:szCs w:val="24"/>
        </w:rPr>
        <w:t>analyzes</w:t>
      </w:r>
      <w:proofErr w:type="spellEnd"/>
      <w:r w:rsidR="00D46864" w:rsidRPr="008A4BFC">
        <w:rPr>
          <w:i/>
          <w:szCs w:val="24"/>
        </w:rPr>
        <w:t xml:space="preserve"> </w:t>
      </w:r>
      <w:proofErr w:type="spellStart"/>
      <w:r w:rsidR="00D46864" w:rsidRPr="008A4BFC">
        <w:rPr>
          <w:i/>
          <w:szCs w:val="24"/>
        </w:rPr>
        <w:t>presented</w:t>
      </w:r>
      <w:proofErr w:type="spellEnd"/>
      <w:r w:rsidR="00D46864" w:rsidRPr="008A4BFC">
        <w:rPr>
          <w:i/>
          <w:szCs w:val="24"/>
        </w:rPr>
        <w:t xml:space="preserve"> </w:t>
      </w:r>
      <w:proofErr w:type="spellStart"/>
      <w:r w:rsidR="00D46864" w:rsidRPr="008A4BFC">
        <w:rPr>
          <w:i/>
          <w:szCs w:val="24"/>
        </w:rPr>
        <w:t>low</w:t>
      </w:r>
      <w:proofErr w:type="spellEnd"/>
      <w:r w:rsidR="00D46864" w:rsidRPr="008A4BFC">
        <w:rPr>
          <w:i/>
          <w:szCs w:val="24"/>
        </w:rPr>
        <w:t xml:space="preserve"> </w:t>
      </w:r>
      <w:proofErr w:type="spellStart"/>
      <w:r w:rsidR="00D46864" w:rsidRPr="008A4BFC">
        <w:rPr>
          <w:i/>
          <w:szCs w:val="24"/>
        </w:rPr>
        <w:t>repeatability</w:t>
      </w:r>
      <w:proofErr w:type="spellEnd"/>
      <w:r w:rsidR="00D46864" w:rsidRPr="008A4BFC">
        <w:rPr>
          <w:i/>
          <w:szCs w:val="24"/>
        </w:rPr>
        <w:t>.</w:t>
      </w:r>
    </w:p>
    <w:p w:rsidR="000929E5" w:rsidRPr="008A4BFC" w:rsidRDefault="000929E5" w:rsidP="002C0031">
      <w:pPr>
        <w:spacing w:after="0" w:line="360" w:lineRule="auto"/>
        <w:jc w:val="both"/>
        <w:rPr>
          <w:rFonts w:ascii="Times New Roman" w:hAnsi="Times New Roman" w:cs="Times New Roman"/>
          <w:sz w:val="24"/>
          <w:szCs w:val="24"/>
        </w:rPr>
      </w:pPr>
    </w:p>
    <w:p w:rsidR="002C0031" w:rsidRPr="00AC7A57" w:rsidRDefault="002C0031" w:rsidP="002C0031">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w:t>
      </w:r>
      <w:r>
        <w:rPr>
          <w:rFonts w:ascii="Times New Roman" w:hAnsi="Times New Roman" w:cs="Times New Roman"/>
          <w:b/>
          <w:sz w:val="24"/>
          <w:szCs w:val="24"/>
        </w:rPr>
        <w:t>v</w:t>
      </w:r>
      <w:r w:rsidRPr="009061A5">
        <w:rPr>
          <w:rFonts w:ascii="Times New Roman" w:hAnsi="Times New Roman" w:cs="Times New Roman"/>
          <w:b/>
          <w:sz w:val="24"/>
          <w:szCs w:val="24"/>
        </w:rPr>
        <w:t>ras C</w:t>
      </w:r>
      <w:r>
        <w:rPr>
          <w:rFonts w:ascii="Times New Roman" w:hAnsi="Times New Roman" w:cs="Times New Roman"/>
          <w:b/>
          <w:sz w:val="24"/>
          <w:szCs w:val="24"/>
        </w:rPr>
        <w:t>h</w:t>
      </w:r>
      <w:r w:rsidRPr="009061A5">
        <w:rPr>
          <w:rFonts w:ascii="Times New Roman" w:hAnsi="Times New Roman" w:cs="Times New Roman"/>
          <w:b/>
          <w:sz w:val="24"/>
          <w:szCs w:val="24"/>
        </w:rPr>
        <w:t>ave:</w:t>
      </w:r>
      <w:r>
        <w:rPr>
          <w:rFonts w:ascii="Times New Roman" w:hAnsi="Times New Roman" w:cs="Times New Roman"/>
          <w:b/>
          <w:sz w:val="24"/>
          <w:szCs w:val="24"/>
        </w:rPr>
        <w:t xml:space="preserve"> </w:t>
      </w:r>
      <w:r w:rsidR="0069221A">
        <w:rPr>
          <w:rFonts w:ascii="Times New Roman" w:hAnsi="Times New Roman" w:cs="Times New Roman"/>
          <w:b/>
          <w:sz w:val="24"/>
          <w:szCs w:val="24"/>
        </w:rPr>
        <w:t>Implantes odontológicos</w:t>
      </w:r>
      <w:r w:rsidR="00CF5BF0">
        <w:rPr>
          <w:rFonts w:ascii="Times New Roman" w:hAnsi="Times New Roman" w:cs="Times New Roman"/>
          <w:b/>
          <w:sz w:val="24"/>
          <w:szCs w:val="24"/>
        </w:rPr>
        <w:t xml:space="preserve">; </w:t>
      </w:r>
      <w:r w:rsidR="0069221A">
        <w:rPr>
          <w:rFonts w:ascii="Times New Roman" w:hAnsi="Times New Roman" w:cs="Times New Roman"/>
          <w:b/>
          <w:sz w:val="24"/>
          <w:szCs w:val="24"/>
        </w:rPr>
        <w:t>Liga de titânio</w:t>
      </w:r>
      <w:r w:rsidR="00CF5BF0">
        <w:rPr>
          <w:rFonts w:ascii="Times New Roman" w:hAnsi="Times New Roman" w:cs="Times New Roman"/>
          <w:b/>
          <w:sz w:val="24"/>
          <w:szCs w:val="24"/>
        </w:rPr>
        <w:t>;</w:t>
      </w:r>
      <w:r w:rsidR="003F383F">
        <w:rPr>
          <w:rFonts w:ascii="Times New Roman" w:hAnsi="Times New Roman" w:cs="Times New Roman"/>
          <w:b/>
          <w:sz w:val="24"/>
          <w:szCs w:val="24"/>
        </w:rPr>
        <w:t xml:space="preserve"> </w:t>
      </w:r>
      <w:r w:rsidR="0069221A">
        <w:rPr>
          <w:rFonts w:ascii="Times New Roman" w:hAnsi="Times New Roman" w:cs="Times New Roman"/>
          <w:b/>
          <w:sz w:val="24"/>
          <w:szCs w:val="24"/>
        </w:rPr>
        <w:t>EDM; Osteointegração</w:t>
      </w:r>
    </w:p>
    <w:p w:rsidR="002C0031" w:rsidRDefault="002C0031" w:rsidP="002C0031">
      <w:pPr>
        <w:spacing w:after="0" w:line="360" w:lineRule="auto"/>
        <w:jc w:val="both"/>
        <w:rPr>
          <w:rFonts w:ascii="Times New Roman" w:hAnsi="Times New Roman" w:cs="Times New Roman"/>
          <w:sz w:val="24"/>
          <w:szCs w:val="24"/>
        </w:rPr>
      </w:pPr>
    </w:p>
    <w:p w:rsidR="002C0031" w:rsidRPr="00CF5BF0" w:rsidRDefault="002C0031" w:rsidP="002C0031">
      <w:pPr>
        <w:spacing w:after="0" w:line="360" w:lineRule="auto"/>
        <w:jc w:val="both"/>
        <w:rPr>
          <w:rFonts w:ascii="Times New Roman" w:hAnsi="Times New Roman" w:cs="Times New Roman"/>
          <w:i/>
          <w:sz w:val="24"/>
          <w:szCs w:val="24"/>
          <w:lang w:val="en-US"/>
        </w:rPr>
      </w:pPr>
      <w:r w:rsidRPr="00CF5BF0">
        <w:rPr>
          <w:rFonts w:ascii="Times New Roman" w:hAnsi="Times New Roman" w:cs="Times New Roman"/>
          <w:b/>
          <w:i/>
          <w:sz w:val="24"/>
          <w:szCs w:val="24"/>
          <w:lang w:val="en-US"/>
        </w:rPr>
        <w:t>Keywords:</w:t>
      </w:r>
      <w:r w:rsidR="00CF5BF0" w:rsidRPr="00CF5BF0">
        <w:rPr>
          <w:rFonts w:ascii="Times New Roman" w:hAnsi="Times New Roman" w:cs="Times New Roman"/>
          <w:b/>
          <w:i/>
          <w:sz w:val="24"/>
          <w:szCs w:val="24"/>
          <w:lang w:val="en-US"/>
        </w:rPr>
        <w:t xml:space="preserve"> </w:t>
      </w:r>
      <w:r w:rsidR="0069221A">
        <w:rPr>
          <w:rFonts w:ascii="Times New Roman" w:hAnsi="Times New Roman" w:cs="Times New Roman"/>
          <w:b/>
          <w:i/>
          <w:sz w:val="24"/>
          <w:szCs w:val="24"/>
          <w:lang w:val="en-US"/>
        </w:rPr>
        <w:t>Dental implants</w:t>
      </w:r>
      <w:r w:rsidR="00CF5BF0" w:rsidRPr="00CF5BF0">
        <w:rPr>
          <w:rFonts w:ascii="Times New Roman" w:hAnsi="Times New Roman" w:cs="Times New Roman"/>
          <w:b/>
          <w:i/>
          <w:sz w:val="24"/>
          <w:szCs w:val="24"/>
          <w:lang w:val="en-US"/>
        </w:rPr>
        <w:t xml:space="preserve">; </w:t>
      </w:r>
      <w:r w:rsidR="0069221A">
        <w:rPr>
          <w:rFonts w:ascii="Times New Roman" w:hAnsi="Times New Roman" w:cs="Times New Roman"/>
          <w:b/>
          <w:i/>
          <w:sz w:val="24"/>
          <w:szCs w:val="24"/>
          <w:lang w:val="en-US"/>
        </w:rPr>
        <w:t>Titanium alloy</w:t>
      </w:r>
      <w:r w:rsidR="00CF5BF0" w:rsidRPr="00CF5BF0">
        <w:rPr>
          <w:rFonts w:ascii="Times New Roman" w:hAnsi="Times New Roman" w:cs="Times New Roman"/>
          <w:b/>
          <w:i/>
          <w:sz w:val="24"/>
          <w:szCs w:val="24"/>
          <w:lang w:val="en-US"/>
        </w:rPr>
        <w:t xml:space="preserve">; </w:t>
      </w:r>
      <w:r w:rsidR="0069221A">
        <w:rPr>
          <w:rFonts w:ascii="Times New Roman" w:hAnsi="Times New Roman" w:cs="Times New Roman"/>
          <w:b/>
          <w:i/>
          <w:sz w:val="24"/>
          <w:szCs w:val="24"/>
          <w:lang w:val="en-US"/>
        </w:rPr>
        <w:t>EDM; Osseointegration</w:t>
      </w:r>
    </w:p>
    <w:p w:rsidR="002C0031" w:rsidRDefault="002C0031" w:rsidP="002C003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w:t>
      </w:r>
      <w:r>
        <w:rPr>
          <w:rFonts w:ascii="Times New Roman" w:hAnsi="Times New Roman" w:cs="Times New Roman"/>
          <w:b/>
          <w:sz w:val="24"/>
          <w:szCs w:val="24"/>
        </w:rPr>
        <w:t>ção</w:t>
      </w:r>
    </w:p>
    <w:p w:rsidR="00962453" w:rsidRDefault="00B85363" w:rsidP="00962453">
      <w:pPr>
        <w:pStyle w:val="1Texto"/>
        <w:ind w:firstLine="0"/>
        <w:rPr>
          <w:color w:val="auto"/>
          <w:szCs w:val="22"/>
          <w:lang w:val="pt-BR"/>
        </w:rPr>
      </w:pPr>
      <w:r>
        <w:rPr>
          <w:color w:val="auto"/>
          <w:szCs w:val="22"/>
          <w:lang w:val="pt-BR"/>
        </w:rPr>
        <w:t>A</w:t>
      </w:r>
      <w:r w:rsidR="007022B1">
        <w:rPr>
          <w:color w:val="auto"/>
          <w:szCs w:val="22"/>
          <w:lang w:val="pt-BR"/>
        </w:rPr>
        <w:t xml:space="preserve"> </w:t>
      </w:r>
      <w:r w:rsidR="009D08AC">
        <w:rPr>
          <w:color w:val="auto"/>
          <w:szCs w:val="22"/>
          <w:lang w:val="pt-BR"/>
        </w:rPr>
        <w:t>evolução tecnológica</w:t>
      </w:r>
      <w:r>
        <w:rPr>
          <w:color w:val="auto"/>
          <w:szCs w:val="22"/>
          <w:lang w:val="pt-BR"/>
        </w:rPr>
        <w:t xml:space="preserve"> trou</w:t>
      </w:r>
      <w:r w:rsidR="009F74FB">
        <w:rPr>
          <w:color w:val="auto"/>
          <w:szCs w:val="22"/>
          <w:lang w:val="pt-BR"/>
        </w:rPr>
        <w:t>x</w:t>
      </w:r>
      <w:r>
        <w:rPr>
          <w:color w:val="auto"/>
          <w:szCs w:val="22"/>
          <w:lang w:val="pt-BR"/>
        </w:rPr>
        <w:t xml:space="preserve">e consigo </w:t>
      </w:r>
      <w:r w:rsidR="009D08AC">
        <w:rPr>
          <w:color w:val="auto"/>
          <w:szCs w:val="22"/>
          <w:lang w:val="pt-BR"/>
        </w:rPr>
        <w:t xml:space="preserve">a </w:t>
      </w:r>
      <w:r>
        <w:rPr>
          <w:color w:val="auto"/>
          <w:szCs w:val="22"/>
          <w:lang w:val="pt-BR"/>
        </w:rPr>
        <w:t>necessidade d</w:t>
      </w:r>
      <w:r w:rsidR="000A1CD9">
        <w:rPr>
          <w:color w:val="auto"/>
          <w:szCs w:val="22"/>
          <w:lang w:val="pt-BR"/>
        </w:rPr>
        <w:t>e</w:t>
      </w:r>
      <w:r>
        <w:rPr>
          <w:color w:val="auto"/>
          <w:szCs w:val="22"/>
          <w:lang w:val="pt-BR"/>
        </w:rPr>
        <w:t xml:space="preserve"> </w:t>
      </w:r>
      <w:r w:rsidR="00C012A4">
        <w:rPr>
          <w:color w:val="auto"/>
          <w:szCs w:val="22"/>
          <w:lang w:val="pt-BR"/>
        </w:rPr>
        <w:t>cria</w:t>
      </w:r>
      <w:r w:rsidR="000A1CD9">
        <w:rPr>
          <w:color w:val="auto"/>
          <w:szCs w:val="22"/>
          <w:lang w:val="pt-BR"/>
        </w:rPr>
        <w:t>r</w:t>
      </w:r>
      <w:r w:rsidR="00C012A4">
        <w:rPr>
          <w:color w:val="auto"/>
          <w:szCs w:val="22"/>
          <w:lang w:val="pt-BR"/>
        </w:rPr>
        <w:t xml:space="preserve"> novos materiais. Esses materiais </w:t>
      </w:r>
      <w:r>
        <w:rPr>
          <w:color w:val="auto"/>
          <w:szCs w:val="22"/>
          <w:lang w:val="pt-BR"/>
        </w:rPr>
        <w:t>dev</w:t>
      </w:r>
      <w:r w:rsidR="000A1CD9">
        <w:rPr>
          <w:color w:val="auto"/>
          <w:szCs w:val="22"/>
          <w:lang w:val="pt-BR"/>
        </w:rPr>
        <w:t>er</w:t>
      </w:r>
      <w:r>
        <w:rPr>
          <w:color w:val="auto"/>
          <w:szCs w:val="22"/>
          <w:lang w:val="pt-BR"/>
        </w:rPr>
        <w:t>iam</w:t>
      </w:r>
      <w:r w:rsidR="007022B1">
        <w:rPr>
          <w:color w:val="auto"/>
          <w:szCs w:val="22"/>
          <w:lang w:val="pt-BR"/>
        </w:rPr>
        <w:t xml:space="preserve"> possu</w:t>
      </w:r>
      <w:r>
        <w:rPr>
          <w:color w:val="auto"/>
          <w:szCs w:val="22"/>
          <w:lang w:val="pt-BR"/>
        </w:rPr>
        <w:t>i</w:t>
      </w:r>
      <w:r w:rsidR="009F74FB">
        <w:rPr>
          <w:color w:val="auto"/>
          <w:szCs w:val="22"/>
          <w:lang w:val="pt-BR"/>
        </w:rPr>
        <w:t>r</w:t>
      </w:r>
      <w:r w:rsidR="009D08AC">
        <w:rPr>
          <w:color w:val="auto"/>
          <w:szCs w:val="22"/>
          <w:lang w:val="pt-BR"/>
        </w:rPr>
        <w:t xml:space="preserve"> propriedades especiais como: alta resistência mecânica, elevada dureza, pobres propriedade</w:t>
      </w:r>
      <w:r w:rsidR="00573FCC">
        <w:rPr>
          <w:color w:val="auto"/>
          <w:szCs w:val="22"/>
          <w:lang w:val="pt-BR"/>
        </w:rPr>
        <w:t>s térmicas e alta refratariedade.</w:t>
      </w:r>
      <w:r w:rsidR="009D08AC">
        <w:rPr>
          <w:color w:val="auto"/>
          <w:szCs w:val="22"/>
          <w:lang w:val="pt-BR"/>
        </w:rPr>
        <w:t xml:space="preserve"> Em decorrência disso, </w:t>
      </w:r>
      <w:r w:rsidR="000A1CD9">
        <w:rPr>
          <w:color w:val="auto"/>
          <w:szCs w:val="22"/>
          <w:lang w:val="pt-BR"/>
        </w:rPr>
        <w:t>a usinagem d</w:t>
      </w:r>
      <w:r w:rsidR="009D08AC">
        <w:rPr>
          <w:color w:val="auto"/>
          <w:szCs w:val="22"/>
          <w:lang w:val="pt-BR"/>
        </w:rPr>
        <w:t>es</w:t>
      </w:r>
      <w:r w:rsidR="009F74FB">
        <w:rPr>
          <w:color w:val="auto"/>
          <w:szCs w:val="22"/>
          <w:lang w:val="pt-BR"/>
        </w:rPr>
        <w:t xml:space="preserve">ses materiais novos </w:t>
      </w:r>
      <w:r w:rsidR="000A1CD9">
        <w:rPr>
          <w:color w:val="auto"/>
          <w:szCs w:val="22"/>
          <w:lang w:val="pt-BR"/>
        </w:rPr>
        <w:t>se tornou um desafio</w:t>
      </w:r>
      <w:r w:rsidR="009D08AC">
        <w:rPr>
          <w:color w:val="auto"/>
          <w:szCs w:val="22"/>
          <w:lang w:val="pt-BR"/>
        </w:rPr>
        <w:t xml:space="preserve">. </w:t>
      </w:r>
      <w:r w:rsidR="000A1CD9">
        <w:rPr>
          <w:color w:val="auto"/>
          <w:szCs w:val="22"/>
          <w:lang w:val="pt-BR"/>
        </w:rPr>
        <w:t>Por outro lado,</w:t>
      </w:r>
      <w:r w:rsidR="007022B1">
        <w:rPr>
          <w:color w:val="auto"/>
          <w:szCs w:val="22"/>
          <w:lang w:val="pt-BR"/>
        </w:rPr>
        <w:t xml:space="preserve"> </w:t>
      </w:r>
      <w:r w:rsidR="009D08AC">
        <w:rPr>
          <w:color w:val="auto"/>
          <w:szCs w:val="22"/>
          <w:lang w:val="pt-BR"/>
        </w:rPr>
        <w:t xml:space="preserve">as peças a serem usinadas possuíam geometrias mais complexas, </w:t>
      </w:r>
      <w:r w:rsidR="00573FCC">
        <w:rPr>
          <w:color w:val="auto"/>
          <w:szCs w:val="22"/>
          <w:lang w:val="pt-BR"/>
        </w:rPr>
        <w:t xml:space="preserve">fazendo </w:t>
      </w:r>
      <w:r w:rsidR="009D08AC">
        <w:rPr>
          <w:color w:val="auto"/>
          <w:szCs w:val="22"/>
          <w:lang w:val="pt-BR"/>
        </w:rPr>
        <w:t>com que novos processos de usinagem fossem desenvolvidos para atender à essa demanda</w:t>
      </w:r>
      <w:r w:rsidR="00567901">
        <w:rPr>
          <w:color w:val="auto"/>
          <w:szCs w:val="22"/>
          <w:lang w:val="pt-BR"/>
        </w:rPr>
        <w:t xml:space="preserve"> (Guitral, 1997)</w:t>
      </w:r>
      <w:r w:rsidR="009D08AC">
        <w:rPr>
          <w:color w:val="auto"/>
          <w:szCs w:val="22"/>
          <w:lang w:val="pt-BR"/>
        </w:rPr>
        <w:t xml:space="preserve">. Entre esses novos processos, destaca-se </w:t>
      </w:r>
      <w:r w:rsidR="000A1CD9">
        <w:rPr>
          <w:color w:val="auto"/>
          <w:szCs w:val="22"/>
          <w:lang w:val="pt-BR"/>
        </w:rPr>
        <w:t xml:space="preserve">a </w:t>
      </w:r>
      <w:r w:rsidR="009D08AC">
        <w:rPr>
          <w:color w:val="auto"/>
          <w:szCs w:val="22"/>
          <w:lang w:val="pt-BR"/>
        </w:rPr>
        <w:t>usinagem por descargas elétricas, EDM (</w:t>
      </w:r>
      <w:r w:rsidR="009D08AC" w:rsidRPr="00B24D3E">
        <w:rPr>
          <w:i/>
          <w:color w:val="auto"/>
          <w:szCs w:val="22"/>
          <w:lang w:val="pt-BR"/>
        </w:rPr>
        <w:t>Electrical Discharge Machining</w:t>
      </w:r>
      <w:r w:rsidR="009D08AC">
        <w:rPr>
          <w:color w:val="auto"/>
          <w:szCs w:val="22"/>
          <w:lang w:val="pt-BR"/>
        </w:rPr>
        <w:t>) também denominad</w:t>
      </w:r>
      <w:r w:rsidR="000A1CD9">
        <w:rPr>
          <w:color w:val="auto"/>
          <w:szCs w:val="22"/>
          <w:lang w:val="pt-BR"/>
        </w:rPr>
        <w:t>a</w:t>
      </w:r>
      <w:r w:rsidR="009D08AC">
        <w:rPr>
          <w:color w:val="auto"/>
          <w:szCs w:val="22"/>
          <w:lang w:val="pt-BR"/>
        </w:rPr>
        <w:t xml:space="preserve"> eletroerosão (Arantes, 2007). </w:t>
      </w:r>
    </w:p>
    <w:p w:rsidR="00CB2289" w:rsidRDefault="009D08AC" w:rsidP="00962453">
      <w:pPr>
        <w:pStyle w:val="1Texto"/>
        <w:ind w:firstLine="0"/>
        <w:rPr>
          <w:color w:val="auto"/>
          <w:szCs w:val="22"/>
          <w:lang w:val="pt-BR"/>
        </w:rPr>
      </w:pPr>
      <w:r>
        <w:rPr>
          <w:color w:val="auto"/>
          <w:szCs w:val="22"/>
          <w:lang w:val="pt-BR"/>
        </w:rPr>
        <w:t>A usinagem por eletroerosão é definida por Mcgeough (1988)</w:t>
      </w:r>
      <w:r w:rsidR="00567901">
        <w:rPr>
          <w:color w:val="auto"/>
          <w:szCs w:val="22"/>
          <w:lang w:val="pt-BR"/>
        </w:rPr>
        <w:t xml:space="preserve"> como um processo baseado na erosão das partículas metálicas da peça usinada, por meio da ocorrência de descargas elétricas. É um processo de usinagem de relativa complexidade. Ele ocorre quando a peça e um eletrodo, obrigatoriamente bons c</w:t>
      </w:r>
      <w:r w:rsidR="00182B7A">
        <w:rPr>
          <w:color w:val="auto"/>
          <w:szCs w:val="22"/>
          <w:lang w:val="pt-BR"/>
        </w:rPr>
        <w:t>ondutores de eletricidade, são imersos</w:t>
      </w:r>
      <w:r w:rsidR="00567901">
        <w:rPr>
          <w:color w:val="auto"/>
          <w:szCs w:val="22"/>
          <w:lang w:val="pt-BR"/>
        </w:rPr>
        <w:t xml:space="preserve"> em um fluido dielétrico. Para que a eletroerosão ocorra, deve-se então conectar tanto a peça quanto o eletrodo a uma fonte de corrente contínua. De acordo com </w:t>
      </w:r>
      <w:r w:rsidR="00DE1BB1">
        <w:rPr>
          <w:color w:val="auto"/>
          <w:szCs w:val="22"/>
          <w:lang w:val="pt-BR"/>
        </w:rPr>
        <w:t xml:space="preserve">Ho e </w:t>
      </w:r>
      <w:r w:rsidR="00567901">
        <w:rPr>
          <w:color w:val="auto"/>
          <w:szCs w:val="22"/>
          <w:lang w:val="pt-BR"/>
        </w:rPr>
        <w:t>Newman (2003), normalmente o eletrodo possui polaridade positiva e a peça negativa</w:t>
      </w:r>
      <w:r w:rsidR="009F6511">
        <w:rPr>
          <w:color w:val="auto"/>
          <w:szCs w:val="22"/>
          <w:lang w:val="pt-BR"/>
        </w:rPr>
        <w:t>,</w:t>
      </w:r>
      <w:r w:rsidR="009F6511" w:rsidRPr="009F6511">
        <w:rPr>
          <w:color w:val="auto"/>
          <w:szCs w:val="22"/>
          <w:lang w:val="pt-BR"/>
        </w:rPr>
        <w:t xml:space="preserve"> </w:t>
      </w:r>
      <w:r w:rsidR="009F6511">
        <w:rPr>
          <w:color w:val="auto"/>
          <w:szCs w:val="22"/>
          <w:lang w:val="pt-BR"/>
        </w:rPr>
        <w:t>como mostra a Fig. (1)</w:t>
      </w:r>
      <w:r w:rsidR="00567901">
        <w:rPr>
          <w:color w:val="auto"/>
          <w:szCs w:val="22"/>
          <w:lang w:val="pt-BR"/>
        </w:rPr>
        <w:t xml:space="preserve">. </w:t>
      </w:r>
    </w:p>
    <w:p w:rsidR="00CB2289" w:rsidRDefault="00CB2289" w:rsidP="00962453">
      <w:pPr>
        <w:pStyle w:val="1Texto"/>
        <w:ind w:firstLine="0"/>
        <w:rPr>
          <w:color w:val="auto"/>
          <w:szCs w:val="22"/>
          <w:lang w:val="pt-BR"/>
        </w:rPr>
      </w:pPr>
      <w:r>
        <w:rPr>
          <w:color w:val="auto"/>
          <w:szCs w:val="22"/>
          <w:lang w:val="pt-BR"/>
        </w:rPr>
        <w:t>Quando submetidos à tensão elétrica, devido ao fluido dielétrico</w:t>
      </w:r>
      <w:r w:rsidR="00182B7A">
        <w:rPr>
          <w:color w:val="auto"/>
          <w:szCs w:val="22"/>
          <w:lang w:val="pt-BR"/>
        </w:rPr>
        <w:t>,</w:t>
      </w:r>
      <w:r>
        <w:rPr>
          <w:color w:val="auto"/>
          <w:szCs w:val="22"/>
          <w:lang w:val="pt-BR"/>
        </w:rPr>
        <w:t xml:space="preserve"> no qual a peça e o eletrodo estão imersos, não há a passagem de corrente elétrica. À medida que a distância entre os mesmos (GAP) diminui até um valor determinado, o fluido dielétrico passa a se comportar como um </w:t>
      </w:r>
      <w:r w:rsidR="00182B7A">
        <w:rPr>
          <w:color w:val="auto"/>
          <w:szCs w:val="22"/>
          <w:lang w:val="pt-BR"/>
        </w:rPr>
        <w:t xml:space="preserve">bom </w:t>
      </w:r>
      <w:r>
        <w:rPr>
          <w:color w:val="auto"/>
          <w:szCs w:val="22"/>
          <w:lang w:val="pt-BR"/>
        </w:rPr>
        <w:t xml:space="preserve">condutor de eletricidade, gerando uma “ponte” de íons entre o eletrodo e a peça. Dessa forma, segundo Mcgeough (1988), uma centelha é produzida, superaquecendo a superfície do material, fundindo-a e gerando a erosão da </w:t>
      </w:r>
      <w:r w:rsidR="009F6511">
        <w:rPr>
          <w:color w:val="auto"/>
          <w:szCs w:val="22"/>
          <w:lang w:val="pt-BR"/>
        </w:rPr>
        <w:t>mesma.</w:t>
      </w:r>
    </w:p>
    <w:p w:rsidR="004114D5" w:rsidRDefault="004114D5" w:rsidP="004114D5">
      <w:pPr>
        <w:pStyle w:val="1Texto"/>
        <w:ind w:firstLine="0"/>
        <w:rPr>
          <w:color w:val="auto"/>
          <w:szCs w:val="22"/>
          <w:lang w:val="pt-BR"/>
        </w:rPr>
      </w:pPr>
      <w:r>
        <w:rPr>
          <w:color w:val="auto"/>
          <w:szCs w:val="22"/>
          <w:lang w:val="pt-BR"/>
        </w:rPr>
        <w:t>É interessante ressaltar que o processo de erosão ocorre mutuamente na peça e no eletrodo, mas que é possível se fazer ajustes na máquina, capazes de definir que a erosão na peça seja da ordem de 99,5 % e de 0,5 % no eletrodo (Mcgeough. 1988).</w:t>
      </w:r>
    </w:p>
    <w:p w:rsidR="004114D5" w:rsidRDefault="004114D5" w:rsidP="00962453">
      <w:pPr>
        <w:pStyle w:val="1Texto"/>
        <w:ind w:firstLine="0"/>
        <w:rPr>
          <w:color w:val="auto"/>
          <w:szCs w:val="22"/>
          <w:lang w:val="pt-BR"/>
        </w:rPr>
      </w:pPr>
    </w:p>
    <w:p w:rsidR="00CB2289" w:rsidRDefault="00CB2289" w:rsidP="000D32E8">
      <w:pPr>
        <w:pStyle w:val="1Texto"/>
        <w:ind w:firstLine="0"/>
        <w:jc w:val="center"/>
        <w:rPr>
          <w:color w:val="auto"/>
          <w:szCs w:val="22"/>
          <w:lang w:val="pt-BR"/>
        </w:rPr>
      </w:pPr>
      <w:r>
        <w:rPr>
          <w:noProof/>
          <w:lang w:val="en-US" w:eastAsia="en-US"/>
        </w:rPr>
        <w:lastRenderedPageBreak/>
        <w:drawing>
          <wp:inline distT="0" distB="0" distL="0" distR="0">
            <wp:extent cx="4991100" cy="1973198"/>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11806" cy="1981384"/>
                    </a:xfrm>
                    <a:prstGeom prst="rect">
                      <a:avLst/>
                    </a:prstGeom>
                  </pic:spPr>
                </pic:pic>
              </a:graphicData>
            </a:graphic>
          </wp:inline>
        </w:drawing>
      </w:r>
    </w:p>
    <w:p w:rsidR="00573FCC" w:rsidRDefault="00573FCC" w:rsidP="00573FCC">
      <w:pPr>
        <w:pStyle w:val="1Texto"/>
        <w:ind w:firstLine="0"/>
        <w:jc w:val="center"/>
        <w:rPr>
          <w:color w:val="auto"/>
          <w:sz w:val="20"/>
          <w:szCs w:val="22"/>
          <w:lang w:val="pt-BR"/>
        </w:rPr>
      </w:pPr>
      <w:r w:rsidRPr="00573FCC">
        <w:rPr>
          <w:color w:val="auto"/>
          <w:sz w:val="20"/>
          <w:szCs w:val="22"/>
          <w:lang w:val="pt-BR"/>
        </w:rPr>
        <w:t>Figura 1 - Esquema representativo do processo de usinagem por EDM (Elaboração própria)</w:t>
      </w:r>
    </w:p>
    <w:p w:rsidR="00A76FB1" w:rsidRPr="00573FCC" w:rsidRDefault="00A76FB1" w:rsidP="00573FCC">
      <w:pPr>
        <w:pStyle w:val="1Texto"/>
        <w:ind w:firstLine="0"/>
        <w:jc w:val="center"/>
        <w:rPr>
          <w:color w:val="auto"/>
          <w:sz w:val="20"/>
          <w:szCs w:val="22"/>
          <w:lang w:val="pt-BR"/>
        </w:rPr>
      </w:pPr>
    </w:p>
    <w:p w:rsidR="009C5EE6" w:rsidRDefault="009C5EE6" w:rsidP="00962453">
      <w:pPr>
        <w:pStyle w:val="1Texto"/>
        <w:ind w:firstLine="0"/>
        <w:rPr>
          <w:color w:val="auto"/>
          <w:szCs w:val="22"/>
          <w:lang w:val="pt-BR"/>
        </w:rPr>
      </w:pPr>
      <w:r>
        <w:rPr>
          <w:color w:val="auto"/>
          <w:szCs w:val="22"/>
          <w:lang w:val="pt-BR"/>
        </w:rPr>
        <w:t xml:space="preserve">A principal função do processo </w:t>
      </w:r>
      <w:r w:rsidR="008521EF">
        <w:rPr>
          <w:color w:val="auto"/>
          <w:szCs w:val="22"/>
          <w:lang w:val="pt-BR"/>
        </w:rPr>
        <w:t xml:space="preserve">de </w:t>
      </w:r>
      <w:r>
        <w:rPr>
          <w:color w:val="auto"/>
          <w:szCs w:val="22"/>
          <w:lang w:val="pt-BR"/>
        </w:rPr>
        <w:t>EDM é usinar a</w:t>
      </w:r>
      <w:r w:rsidR="00182B7A">
        <w:rPr>
          <w:color w:val="auto"/>
          <w:szCs w:val="22"/>
          <w:lang w:val="pt-BR"/>
        </w:rPr>
        <w:t xml:space="preserve"> peça. </w:t>
      </w:r>
      <w:r w:rsidRPr="00B85363">
        <w:rPr>
          <w:color w:val="auto"/>
          <w:szCs w:val="22"/>
          <w:lang w:val="es-ES_tradnl"/>
        </w:rPr>
        <w:t xml:space="preserve">Entretanto, </w:t>
      </w:r>
      <w:proofErr w:type="spellStart"/>
      <w:r w:rsidRPr="00B85363">
        <w:rPr>
          <w:color w:val="auto"/>
          <w:szCs w:val="22"/>
          <w:lang w:val="es-ES_tradnl"/>
        </w:rPr>
        <w:t>Yan</w:t>
      </w:r>
      <w:proofErr w:type="spellEnd"/>
      <w:r w:rsidRPr="00B85363">
        <w:rPr>
          <w:color w:val="auto"/>
          <w:szCs w:val="22"/>
          <w:lang w:val="es-ES_tradnl"/>
        </w:rPr>
        <w:t xml:space="preserve"> et al. (2005) e Camargo et al. </w:t>
      </w:r>
      <w:r>
        <w:rPr>
          <w:color w:val="auto"/>
          <w:szCs w:val="22"/>
          <w:lang w:val="pt-BR"/>
        </w:rPr>
        <w:t>(2009)</w:t>
      </w:r>
      <w:r w:rsidR="008521EF">
        <w:rPr>
          <w:color w:val="auto"/>
          <w:szCs w:val="22"/>
          <w:lang w:val="pt-BR"/>
        </w:rPr>
        <w:t xml:space="preserve"> apresentaram uma aplicação diferente </w:t>
      </w:r>
      <w:r w:rsidR="009F6511">
        <w:rPr>
          <w:color w:val="auto"/>
          <w:szCs w:val="22"/>
          <w:lang w:val="pt-BR"/>
        </w:rPr>
        <w:t>d</w:t>
      </w:r>
      <w:r w:rsidR="008521EF">
        <w:rPr>
          <w:color w:val="auto"/>
          <w:szCs w:val="22"/>
          <w:lang w:val="pt-BR"/>
        </w:rPr>
        <w:t xml:space="preserve">esse processo de usinagem. De acordo com esses autores, é possível enriquecer ligas de titânio utilizadas na indústria aeronáutica por meio da deposição de partículas metálicas. Para tanto eles utilizaram o processo de Nitretação por Descargas Elétricas (NDE). </w:t>
      </w:r>
    </w:p>
    <w:p w:rsidR="009E2032" w:rsidRDefault="008521EF" w:rsidP="00962453">
      <w:pPr>
        <w:pStyle w:val="1Texto"/>
        <w:ind w:firstLine="0"/>
        <w:rPr>
          <w:color w:val="auto"/>
          <w:szCs w:val="22"/>
          <w:lang w:val="pt-BR"/>
        </w:rPr>
      </w:pPr>
      <w:r>
        <w:rPr>
          <w:color w:val="auto"/>
          <w:szCs w:val="22"/>
          <w:lang w:val="pt-BR"/>
        </w:rPr>
        <w:t>A nitretação pode ser conceituada como o processo de enriquecimento de uma superfície de uma peça por n</w:t>
      </w:r>
      <w:r w:rsidR="00182B7A">
        <w:rPr>
          <w:color w:val="auto"/>
          <w:szCs w:val="22"/>
          <w:lang w:val="pt-BR"/>
        </w:rPr>
        <w:t>itretos</w:t>
      </w:r>
      <w:r>
        <w:rPr>
          <w:color w:val="auto"/>
          <w:szCs w:val="22"/>
          <w:lang w:val="pt-BR"/>
        </w:rPr>
        <w:t xml:space="preserve">. O objetivo principal de realizar tal procedimento é obter como resultado um material mais resistente ao atrito e à fadiga por contato. </w:t>
      </w:r>
      <w:r w:rsidR="009E2032">
        <w:rPr>
          <w:color w:val="auto"/>
          <w:szCs w:val="22"/>
          <w:lang w:val="pt-BR"/>
        </w:rPr>
        <w:t xml:space="preserve">A nitretação produz uma camada constituída comumente por duas zonas: a zona refundida e a zona afetada pelo calor (ZAC), a qual se localiza na região logo abaixo à camada de nitrogênio dissolvido. A zona refundida é a responsável por possibilitar à peça uma maior resistência ao desgaste e </w:t>
      </w:r>
      <w:r w:rsidR="009F6511">
        <w:rPr>
          <w:color w:val="auto"/>
          <w:szCs w:val="22"/>
          <w:lang w:val="pt-BR"/>
        </w:rPr>
        <w:t xml:space="preserve">à </w:t>
      </w:r>
      <w:r w:rsidR="009E2032">
        <w:rPr>
          <w:color w:val="auto"/>
          <w:szCs w:val="22"/>
          <w:lang w:val="pt-BR"/>
        </w:rPr>
        <w:t>corrosão, enquanto que a ZAC é a responsável pelo ganho na resistência à fadiga.</w:t>
      </w:r>
    </w:p>
    <w:p w:rsidR="008521EF" w:rsidRDefault="008C3185" w:rsidP="00962453">
      <w:pPr>
        <w:pStyle w:val="1Texto"/>
        <w:ind w:firstLine="0"/>
        <w:rPr>
          <w:color w:val="auto"/>
          <w:szCs w:val="22"/>
          <w:lang w:val="pt-BR"/>
        </w:rPr>
      </w:pPr>
      <w:r>
        <w:rPr>
          <w:color w:val="auto"/>
          <w:szCs w:val="22"/>
          <w:lang w:val="pt-BR"/>
        </w:rPr>
        <w:t>O</w:t>
      </w:r>
      <w:r w:rsidR="008521EF">
        <w:rPr>
          <w:color w:val="auto"/>
          <w:szCs w:val="22"/>
          <w:lang w:val="pt-BR"/>
        </w:rPr>
        <w:t xml:space="preserve"> processo de NDE é um processo de EDM, que de acordo com o modelo </w:t>
      </w:r>
      <w:r w:rsidR="00D334DC">
        <w:rPr>
          <w:color w:val="auto"/>
          <w:szCs w:val="22"/>
          <w:lang w:val="pt-BR"/>
        </w:rPr>
        <w:t xml:space="preserve">Raslan, </w:t>
      </w:r>
      <w:r w:rsidR="008521EF">
        <w:rPr>
          <w:color w:val="auto"/>
          <w:szCs w:val="22"/>
          <w:lang w:val="pt-BR"/>
        </w:rPr>
        <w:t>proposto por</w:t>
      </w:r>
      <w:r w:rsidR="00B74A1C">
        <w:rPr>
          <w:color w:val="auto"/>
          <w:szCs w:val="22"/>
          <w:lang w:val="pt-BR"/>
        </w:rPr>
        <w:t xml:space="preserve"> Santos e Silva</w:t>
      </w:r>
      <w:r w:rsidR="00B74A1C">
        <w:rPr>
          <w:lang w:val="pt-BR"/>
        </w:rPr>
        <w:t xml:space="preserve"> (2012)</w:t>
      </w:r>
      <w:r w:rsidR="008521EF">
        <w:rPr>
          <w:color w:val="auto"/>
          <w:szCs w:val="22"/>
          <w:lang w:val="pt-BR"/>
        </w:rPr>
        <w:t xml:space="preserve">, o fluido dielétrico é a ureia diluída em água. Na fase de ignição da centelha elétrica, ocorre um fenômeno denominado ionização por impacto. Esse fenômeno é caracterizado pela aceleração dos elétrons em direção ao ânodo, </w:t>
      </w:r>
      <w:r w:rsidR="00182B7A">
        <w:rPr>
          <w:color w:val="auto"/>
          <w:szCs w:val="22"/>
          <w:lang w:val="pt-BR"/>
        </w:rPr>
        <w:t>os quais colidem</w:t>
      </w:r>
      <w:r w:rsidR="008521EF">
        <w:rPr>
          <w:color w:val="auto"/>
          <w:szCs w:val="22"/>
          <w:lang w:val="pt-BR"/>
        </w:rPr>
        <w:t xml:space="preserve"> com </w:t>
      </w:r>
      <w:r w:rsidR="00182B7A">
        <w:rPr>
          <w:color w:val="auto"/>
          <w:szCs w:val="22"/>
          <w:lang w:val="pt-BR"/>
        </w:rPr>
        <w:t xml:space="preserve">as </w:t>
      </w:r>
      <w:r w:rsidR="008521EF">
        <w:rPr>
          <w:color w:val="auto"/>
          <w:szCs w:val="22"/>
          <w:lang w:val="pt-BR"/>
        </w:rPr>
        <w:t xml:space="preserve">moléculas do fluido dielétrico, enquanto que os íons positivos são direcionados ao cátodo. Durante esse mecanismo de colisões, há a ruptura </w:t>
      </w:r>
      <w:r w:rsidR="008521EF">
        <w:rPr>
          <w:color w:val="auto"/>
          <w:szCs w:val="22"/>
          <w:lang w:val="pt-BR"/>
        </w:rPr>
        <w:lastRenderedPageBreak/>
        <w:t xml:space="preserve">do fluido dielétrico e </w:t>
      </w:r>
      <w:r w:rsidR="009F6511">
        <w:rPr>
          <w:color w:val="auto"/>
          <w:szCs w:val="22"/>
          <w:lang w:val="pt-BR"/>
        </w:rPr>
        <w:t xml:space="preserve">a </w:t>
      </w:r>
      <w:r w:rsidR="008521EF">
        <w:rPr>
          <w:color w:val="auto"/>
          <w:szCs w:val="22"/>
          <w:lang w:val="pt-BR"/>
        </w:rPr>
        <w:t>geração de NH</w:t>
      </w:r>
      <w:r w:rsidR="008521EF">
        <w:rPr>
          <w:color w:val="auto"/>
          <w:szCs w:val="22"/>
          <w:vertAlign w:val="subscript"/>
          <w:lang w:val="pt-BR"/>
        </w:rPr>
        <w:t>3</w:t>
      </w:r>
      <w:r w:rsidR="008521EF">
        <w:rPr>
          <w:color w:val="auto"/>
          <w:szCs w:val="22"/>
          <w:lang w:val="pt-BR"/>
        </w:rPr>
        <w:t xml:space="preserve"> e CO</w:t>
      </w:r>
      <w:r w:rsidR="008521EF">
        <w:rPr>
          <w:color w:val="auto"/>
          <w:szCs w:val="22"/>
          <w:vertAlign w:val="subscript"/>
          <w:lang w:val="pt-BR"/>
        </w:rPr>
        <w:t>2</w:t>
      </w:r>
      <w:r w:rsidR="008521EF">
        <w:rPr>
          <w:color w:val="auto"/>
          <w:szCs w:val="22"/>
          <w:lang w:val="pt-BR"/>
        </w:rPr>
        <w:t xml:space="preserve"> no estado gasoso. </w:t>
      </w:r>
      <w:r w:rsidR="00B107F7">
        <w:rPr>
          <w:color w:val="auto"/>
          <w:szCs w:val="22"/>
          <w:lang w:val="pt-BR"/>
        </w:rPr>
        <w:t>O processo de conversão do fluido dielétrico em bom condutor de eletricidade, faz possível a decomposição dos constituintes da mistura, dentre eles o NH</w:t>
      </w:r>
      <w:r w:rsidR="00B107F7">
        <w:rPr>
          <w:color w:val="auto"/>
          <w:szCs w:val="22"/>
          <w:vertAlign w:val="subscript"/>
          <w:lang w:val="pt-BR"/>
        </w:rPr>
        <w:t>3</w:t>
      </w:r>
      <w:r w:rsidR="00B107F7">
        <w:rPr>
          <w:color w:val="auto"/>
          <w:szCs w:val="22"/>
          <w:lang w:val="pt-BR"/>
        </w:rPr>
        <w:t>, o qual por sua vez se decompõe em N</w:t>
      </w:r>
      <w:r w:rsidR="00B107F7">
        <w:rPr>
          <w:color w:val="auto"/>
          <w:szCs w:val="22"/>
          <w:vertAlign w:val="subscript"/>
          <w:lang w:val="pt-BR"/>
        </w:rPr>
        <w:t>2</w:t>
      </w:r>
      <w:r w:rsidR="00B107F7">
        <w:rPr>
          <w:color w:val="auto"/>
          <w:szCs w:val="22"/>
          <w:lang w:val="pt-BR"/>
        </w:rPr>
        <w:t xml:space="preserve"> e H</w:t>
      </w:r>
      <w:r w:rsidR="00B107F7">
        <w:rPr>
          <w:color w:val="auto"/>
          <w:szCs w:val="22"/>
          <w:vertAlign w:val="subscript"/>
          <w:lang w:val="pt-BR"/>
        </w:rPr>
        <w:t>2</w:t>
      </w:r>
      <w:r w:rsidR="00B107F7">
        <w:rPr>
          <w:color w:val="auto"/>
          <w:szCs w:val="22"/>
          <w:lang w:val="pt-BR"/>
        </w:rPr>
        <w:t>, como mostram as Eqs. (1) e (2).</w:t>
      </w:r>
    </w:p>
    <w:p w:rsidR="00B107F7" w:rsidRDefault="00B107F7" w:rsidP="00962453">
      <w:pPr>
        <w:pStyle w:val="1Texto"/>
        <w:ind w:firstLine="0"/>
        <w:rPr>
          <w:color w:val="auto"/>
          <w:szCs w:val="22"/>
          <w:lang w:val="pt-BR"/>
        </w:rPr>
      </w:pPr>
    </w:p>
    <w:p w:rsidR="00B107F7" w:rsidRPr="00B107F7" w:rsidRDefault="00B107F7" w:rsidP="00962453">
      <w:pPr>
        <w:pStyle w:val="1Texto"/>
        <w:ind w:firstLine="0"/>
        <w:rPr>
          <w:color w:val="auto"/>
          <w:szCs w:val="22"/>
          <w:lang w:val="pt-BR"/>
        </w:rPr>
      </w:pPr>
      <w:r w:rsidRPr="00B107F7">
        <w:rPr>
          <w:color w:val="auto"/>
          <w:position w:val="-14"/>
          <w:szCs w:val="22"/>
          <w:lang w:val="pt-BR"/>
        </w:rPr>
        <w:object w:dxaOrig="46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20.25pt" o:ole="">
            <v:imagedata r:id="rId9" o:title=""/>
          </v:shape>
          <o:OLEObject Type="Embed" ProgID="Equation.DSMT4" ShapeID="_x0000_i1025" DrawAspect="Content" ObjectID="_1613992542" r:id="rId10"/>
        </w:object>
      </w:r>
      <w:r w:rsidR="00C0015D">
        <w:rPr>
          <w:color w:val="auto"/>
          <w:szCs w:val="22"/>
          <w:lang w:val="pt-BR"/>
        </w:rPr>
        <w:tab/>
      </w:r>
      <w:r w:rsidR="00C0015D">
        <w:rPr>
          <w:color w:val="auto"/>
          <w:szCs w:val="22"/>
          <w:lang w:val="pt-BR"/>
        </w:rPr>
        <w:tab/>
      </w:r>
      <w:r w:rsidR="00C0015D">
        <w:rPr>
          <w:color w:val="auto"/>
          <w:szCs w:val="22"/>
          <w:lang w:val="pt-BR"/>
        </w:rPr>
        <w:tab/>
      </w:r>
      <w:r w:rsidR="00C0015D">
        <w:rPr>
          <w:color w:val="auto"/>
          <w:szCs w:val="22"/>
          <w:lang w:val="pt-BR"/>
        </w:rPr>
        <w:tab/>
      </w:r>
      <w:r w:rsidR="00C0015D">
        <w:rPr>
          <w:color w:val="auto"/>
          <w:szCs w:val="22"/>
          <w:lang w:val="pt-BR"/>
        </w:rPr>
        <w:tab/>
        <w:t xml:space="preserve">       (1)</w:t>
      </w:r>
    </w:p>
    <w:p w:rsidR="009C5EE6" w:rsidRDefault="009C5EE6" w:rsidP="00962453">
      <w:pPr>
        <w:pStyle w:val="1Texto"/>
        <w:ind w:firstLine="0"/>
        <w:rPr>
          <w:color w:val="auto"/>
          <w:szCs w:val="22"/>
          <w:lang w:val="pt-BR"/>
        </w:rPr>
      </w:pPr>
    </w:p>
    <w:p w:rsidR="00C0015D" w:rsidRDefault="00C0015D" w:rsidP="00962453">
      <w:pPr>
        <w:pStyle w:val="1Texto"/>
        <w:ind w:firstLine="0"/>
        <w:rPr>
          <w:color w:val="auto"/>
          <w:szCs w:val="22"/>
          <w:lang w:val="pt-BR"/>
        </w:rPr>
      </w:pPr>
      <w:r w:rsidRPr="00C0015D">
        <w:rPr>
          <w:color w:val="auto"/>
          <w:position w:val="-12"/>
          <w:szCs w:val="22"/>
          <w:lang w:val="pt-BR"/>
        </w:rPr>
        <w:object w:dxaOrig="2040" w:dyaOrig="360">
          <v:shape id="_x0000_i1026" type="#_x0000_t75" style="width:102pt;height:18pt" o:ole="">
            <v:imagedata r:id="rId11" o:title=""/>
          </v:shape>
          <o:OLEObject Type="Embed" ProgID="Equation.DSMT4" ShapeID="_x0000_i1026" DrawAspect="Content" ObjectID="_1613992543" r:id="rId12"/>
        </w:object>
      </w:r>
      <w:r>
        <w:rPr>
          <w:color w:val="auto"/>
          <w:szCs w:val="22"/>
          <w:lang w:val="pt-BR"/>
        </w:rPr>
        <w:tab/>
      </w:r>
      <w:r>
        <w:rPr>
          <w:color w:val="auto"/>
          <w:szCs w:val="22"/>
          <w:lang w:val="pt-BR"/>
        </w:rPr>
        <w:tab/>
      </w:r>
      <w:r>
        <w:rPr>
          <w:color w:val="auto"/>
          <w:szCs w:val="22"/>
          <w:lang w:val="pt-BR"/>
        </w:rPr>
        <w:tab/>
      </w:r>
      <w:r>
        <w:rPr>
          <w:color w:val="auto"/>
          <w:szCs w:val="22"/>
          <w:lang w:val="pt-BR"/>
        </w:rPr>
        <w:tab/>
      </w:r>
      <w:r>
        <w:rPr>
          <w:color w:val="auto"/>
          <w:szCs w:val="22"/>
          <w:lang w:val="pt-BR"/>
        </w:rPr>
        <w:tab/>
      </w:r>
      <w:r>
        <w:rPr>
          <w:color w:val="auto"/>
          <w:szCs w:val="22"/>
          <w:lang w:val="pt-BR"/>
        </w:rPr>
        <w:tab/>
      </w:r>
      <w:r>
        <w:rPr>
          <w:color w:val="auto"/>
          <w:szCs w:val="22"/>
          <w:lang w:val="pt-BR"/>
        </w:rPr>
        <w:tab/>
      </w:r>
      <w:r>
        <w:rPr>
          <w:color w:val="auto"/>
          <w:szCs w:val="22"/>
          <w:lang w:val="pt-BR"/>
        </w:rPr>
        <w:tab/>
      </w:r>
      <w:r>
        <w:rPr>
          <w:color w:val="auto"/>
          <w:szCs w:val="22"/>
          <w:lang w:val="pt-BR"/>
        </w:rPr>
        <w:tab/>
        <w:t xml:space="preserve">       (2)</w:t>
      </w:r>
    </w:p>
    <w:p w:rsidR="009E2032" w:rsidRDefault="009E2032" w:rsidP="00962453">
      <w:pPr>
        <w:pStyle w:val="1Texto"/>
        <w:ind w:firstLine="0"/>
        <w:rPr>
          <w:color w:val="auto"/>
          <w:szCs w:val="22"/>
          <w:lang w:val="pt-BR"/>
        </w:rPr>
      </w:pPr>
    </w:p>
    <w:p w:rsidR="009D08AC" w:rsidRDefault="006454B0" w:rsidP="00962453">
      <w:pPr>
        <w:pStyle w:val="1Texto"/>
        <w:ind w:firstLine="0"/>
        <w:rPr>
          <w:color w:val="auto"/>
          <w:szCs w:val="22"/>
          <w:lang w:val="pt-BR"/>
        </w:rPr>
      </w:pPr>
      <w:r>
        <w:rPr>
          <w:color w:val="auto"/>
          <w:szCs w:val="22"/>
          <w:lang w:val="pt-BR"/>
        </w:rPr>
        <w:t xml:space="preserve">As moléculas </w:t>
      </w:r>
      <w:r w:rsidR="00C0015D">
        <w:rPr>
          <w:color w:val="auto"/>
          <w:szCs w:val="22"/>
          <w:lang w:val="pt-BR"/>
        </w:rPr>
        <w:t>de N</w:t>
      </w:r>
      <w:r w:rsidR="00C0015D">
        <w:rPr>
          <w:color w:val="auto"/>
          <w:szCs w:val="22"/>
          <w:vertAlign w:val="subscript"/>
          <w:lang w:val="pt-BR"/>
        </w:rPr>
        <w:t>2</w:t>
      </w:r>
      <w:r w:rsidR="00C0015D">
        <w:rPr>
          <w:color w:val="auto"/>
          <w:szCs w:val="22"/>
          <w:lang w:val="pt-BR"/>
        </w:rPr>
        <w:t xml:space="preserve"> e H</w:t>
      </w:r>
      <w:r w:rsidR="00C0015D">
        <w:rPr>
          <w:color w:val="auto"/>
          <w:szCs w:val="22"/>
          <w:vertAlign w:val="subscript"/>
          <w:lang w:val="pt-BR"/>
        </w:rPr>
        <w:t xml:space="preserve">2 </w:t>
      </w:r>
      <w:r w:rsidR="00C0015D">
        <w:rPr>
          <w:color w:val="auto"/>
          <w:szCs w:val="22"/>
          <w:lang w:val="pt-BR"/>
        </w:rPr>
        <w:t xml:space="preserve">se difundem </w:t>
      </w:r>
      <w:r>
        <w:rPr>
          <w:color w:val="auto"/>
          <w:szCs w:val="22"/>
          <w:lang w:val="pt-BR"/>
        </w:rPr>
        <w:t>no canal de plasma na forma de íons N</w:t>
      </w:r>
      <w:r>
        <w:rPr>
          <w:color w:val="auto"/>
          <w:szCs w:val="22"/>
          <w:vertAlign w:val="subscript"/>
          <w:lang w:val="pt-BR"/>
        </w:rPr>
        <w:t>2+</w:t>
      </w:r>
      <w:r>
        <w:rPr>
          <w:color w:val="auto"/>
          <w:szCs w:val="22"/>
          <w:lang w:val="pt-BR"/>
        </w:rPr>
        <w:t>, N</w:t>
      </w:r>
      <w:r>
        <w:rPr>
          <w:color w:val="auto"/>
          <w:szCs w:val="22"/>
          <w:vertAlign w:val="subscript"/>
          <w:lang w:val="pt-BR"/>
        </w:rPr>
        <w:t>+</w:t>
      </w:r>
      <w:r>
        <w:rPr>
          <w:color w:val="auto"/>
          <w:szCs w:val="22"/>
          <w:lang w:val="pt-BR"/>
        </w:rPr>
        <w:t xml:space="preserve"> e H</w:t>
      </w:r>
      <w:r>
        <w:rPr>
          <w:color w:val="auto"/>
          <w:szCs w:val="22"/>
          <w:vertAlign w:val="subscript"/>
          <w:lang w:val="pt-BR"/>
        </w:rPr>
        <w:t>2+</w:t>
      </w:r>
      <w:r>
        <w:rPr>
          <w:color w:val="auto"/>
          <w:szCs w:val="22"/>
          <w:lang w:val="pt-BR"/>
        </w:rPr>
        <w:t>. Por serem positivos, os mesmos são impulsionados para a superfície da peça e pela alta energia cinética que possuem, implantam-se no interior da mesma (Santos, 2012).</w:t>
      </w:r>
    </w:p>
    <w:p w:rsidR="006454B0" w:rsidRDefault="009E2032" w:rsidP="00962453">
      <w:pPr>
        <w:pStyle w:val="1Texto"/>
        <w:ind w:firstLine="0"/>
        <w:rPr>
          <w:sz w:val="23"/>
          <w:szCs w:val="23"/>
          <w:lang w:val="pt-BR"/>
        </w:rPr>
      </w:pPr>
      <w:proofErr w:type="spellStart"/>
      <w:r w:rsidRPr="00B81415">
        <w:rPr>
          <w:sz w:val="23"/>
          <w:szCs w:val="23"/>
          <w:lang w:val="es-ES_tradnl"/>
        </w:rPr>
        <w:t>Nas</w:t>
      </w:r>
      <w:proofErr w:type="spellEnd"/>
      <w:r w:rsidRPr="00B81415">
        <w:rPr>
          <w:sz w:val="23"/>
          <w:szCs w:val="23"/>
          <w:lang w:val="es-ES_tradnl"/>
        </w:rPr>
        <w:t xml:space="preserve"> pesquisas de </w:t>
      </w:r>
      <w:proofErr w:type="spellStart"/>
      <w:r w:rsidRPr="00B81415">
        <w:rPr>
          <w:sz w:val="23"/>
          <w:szCs w:val="23"/>
          <w:lang w:val="es-ES_tradnl"/>
        </w:rPr>
        <w:t>Yan</w:t>
      </w:r>
      <w:proofErr w:type="spellEnd"/>
      <w:r w:rsidRPr="00B81415">
        <w:rPr>
          <w:sz w:val="23"/>
          <w:szCs w:val="23"/>
          <w:lang w:val="es-ES_tradnl"/>
        </w:rPr>
        <w:t xml:space="preserve"> et al.</w:t>
      </w:r>
      <w:r w:rsidR="00DE1BB1" w:rsidRPr="00B81415">
        <w:rPr>
          <w:sz w:val="23"/>
          <w:szCs w:val="23"/>
          <w:lang w:val="es-ES_tradnl"/>
        </w:rPr>
        <w:t xml:space="preserve"> (2005), Camargo et al. </w:t>
      </w:r>
      <w:r w:rsidR="00DE1BB1" w:rsidRPr="00B85363">
        <w:rPr>
          <w:sz w:val="23"/>
          <w:szCs w:val="23"/>
          <w:lang w:val="pt-BR"/>
        </w:rPr>
        <w:t>(2009</w:t>
      </w:r>
      <w:r w:rsidRPr="00B85363">
        <w:rPr>
          <w:sz w:val="23"/>
          <w:szCs w:val="23"/>
          <w:lang w:val="pt-BR"/>
        </w:rPr>
        <w:t xml:space="preserve">) e Santos (2012), apesar </w:t>
      </w:r>
      <w:r w:rsidRPr="009E2032">
        <w:rPr>
          <w:sz w:val="23"/>
          <w:szCs w:val="23"/>
          <w:lang w:val="pt-BR"/>
        </w:rPr>
        <w:t>de se tratarem de materiais diferentes,</w:t>
      </w:r>
      <w:r>
        <w:rPr>
          <w:sz w:val="23"/>
          <w:szCs w:val="23"/>
          <w:lang w:val="pt-BR"/>
        </w:rPr>
        <w:t xml:space="preserve"> Ti6Al4V e aço AISI 4140, respectivamente,</w:t>
      </w:r>
      <w:r w:rsidRPr="009E2032">
        <w:rPr>
          <w:sz w:val="23"/>
          <w:szCs w:val="23"/>
          <w:lang w:val="pt-BR"/>
        </w:rPr>
        <w:t xml:space="preserve"> se contastou a formação de camadas endurecidas na superfície da peça</w:t>
      </w:r>
      <w:r w:rsidR="00182B7A">
        <w:rPr>
          <w:sz w:val="23"/>
          <w:szCs w:val="23"/>
          <w:lang w:val="pt-BR"/>
        </w:rPr>
        <w:t xml:space="preserve"> </w:t>
      </w:r>
      <w:r w:rsidR="006F5501">
        <w:rPr>
          <w:sz w:val="23"/>
          <w:szCs w:val="23"/>
          <w:lang w:val="pt-BR"/>
        </w:rPr>
        <w:t>e, consequentemente</w:t>
      </w:r>
      <w:r w:rsidRPr="009E2032">
        <w:rPr>
          <w:sz w:val="23"/>
          <w:szCs w:val="23"/>
          <w:lang w:val="pt-BR"/>
        </w:rPr>
        <w:t>, o aumento da resistência ao desgaste e uma redução no coeficiente de atrito.</w:t>
      </w:r>
      <w:r w:rsidR="00A04851">
        <w:rPr>
          <w:sz w:val="23"/>
          <w:szCs w:val="23"/>
          <w:lang w:val="pt-BR"/>
        </w:rPr>
        <w:t xml:space="preserve"> A Figura (2) mostra o enriquecimento de nitretos na zona refundida e na ZAC obtido por Santos (2012), sendo possível observar uma profundidade de enriquecimento de aproximadamente 10 µm </w:t>
      </w:r>
      <w:r w:rsidR="00182B7A">
        <w:rPr>
          <w:sz w:val="23"/>
          <w:szCs w:val="23"/>
          <w:lang w:val="pt-BR"/>
        </w:rPr>
        <w:t xml:space="preserve">para </w:t>
      </w:r>
      <w:r w:rsidR="00A04851">
        <w:rPr>
          <w:sz w:val="23"/>
          <w:szCs w:val="23"/>
          <w:lang w:val="pt-BR"/>
        </w:rPr>
        <w:t xml:space="preserve">cada uma. </w:t>
      </w:r>
    </w:p>
    <w:p w:rsidR="00CF7AF3" w:rsidRDefault="00CF7AF3" w:rsidP="00CF7AF3">
      <w:pPr>
        <w:pStyle w:val="1Texto"/>
        <w:ind w:firstLine="0"/>
        <w:rPr>
          <w:color w:val="auto"/>
          <w:szCs w:val="22"/>
          <w:lang w:val="pt-BR"/>
        </w:rPr>
      </w:pPr>
      <w:r>
        <w:rPr>
          <w:color w:val="auto"/>
          <w:szCs w:val="22"/>
          <w:lang w:val="pt-BR"/>
        </w:rPr>
        <w:t xml:space="preserve">O titânio, além da sua alta aplicabilidade na indústria aeronáutica, é muito utilizado como material para implantes dentários, em decorrência de suas propriedades mecânicas e alta biocompatibilidade. O implante dentário é o mecanismo intermediário entre o osso alveolar e a prótese dentária, e para que esse implante ocorra com sucesso, a principal característica é a denominada osteointegração. Esse fenômeno pode ser definido como a conexão estrutural direta e funcional entre o osso vivo do paciente e a superfície do implante que suporta a carga (Mandia Jr et al., 2007). </w:t>
      </w:r>
    </w:p>
    <w:p w:rsidR="00A04851" w:rsidRDefault="00A04851" w:rsidP="00A04851">
      <w:pPr>
        <w:pStyle w:val="1Texto"/>
        <w:ind w:firstLine="0"/>
        <w:jc w:val="center"/>
        <w:rPr>
          <w:sz w:val="23"/>
          <w:szCs w:val="23"/>
          <w:lang w:val="pt-BR"/>
        </w:rPr>
      </w:pPr>
      <w:r>
        <w:rPr>
          <w:noProof/>
          <w:lang w:val="en-US" w:eastAsia="en-US"/>
        </w:rPr>
        <w:lastRenderedPageBreak/>
        <w:drawing>
          <wp:inline distT="0" distB="0" distL="0" distR="0">
            <wp:extent cx="2638425" cy="189202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729001" cy="1956980"/>
                    </a:xfrm>
                    <a:prstGeom prst="rect">
                      <a:avLst/>
                    </a:prstGeom>
                  </pic:spPr>
                </pic:pic>
              </a:graphicData>
            </a:graphic>
          </wp:inline>
        </w:drawing>
      </w:r>
    </w:p>
    <w:p w:rsidR="00A04851" w:rsidRPr="00573FCC" w:rsidRDefault="00573FCC" w:rsidP="00A04851">
      <w:pPr>
        <w:pStyle w:val="1Texto"/>
        <w:ind w:firstLine="0"/>
        <w:jc w:val="center"/>
        <w:rPr>
          <w:sz w:val="20"/>
          <w:szCs w:val="23"/>
          <w:lang w:val="pt-BR"/>
        </w:rPr>
      </w:pPr>
      <w:r w:rsidRPr="00573FCC">
        <w:rPr>
          <w:sz w:val="20"/>
          <w:szCs w:val="23"/>
          <w:lang w:val="pt-BR"/>
        </w:rPr>
        <w:t>Figura 2 - Imagem obtida via microscopia óptica da seção transversal de uma amostra de aço AISI 4140, usinada por EDM, com solução deionizada e ureia na concentração de 10 g/l, como fluido dielétrico (Santos, 2012).</w:t>
      </w:r>
    </w:p>
    <w:p w:rsidR="00573FCC" w:rsidRDefault="00573FCC" w:rsidP="00962453">
      <w:pPr>
        <w:pStyle w:val="1Texto"/>
        <w:ind w:firstLine="0"/>
        <w:rPr>
          <w:color w:val="auto"/>
          <w:szCs w:val="22"/>
          <w:lang w:val="pt-BR"/>
        </w:rPr>
      </w:pPr>
    </w:p>
    <w:p w:rsidR="00581D47" w:rsidRDefault="00581D47" w:rsidP="00962453">
      <w:pPr>
        <w:pStyle w:val="1Texto"/>
        <w:ind w:firstLine="0"/>
        <w:rPr>
          <w:color w:val="auto"/>
          <w:szCs w:val="22"/>
          <w:lang w:val="pt-BR"/>
        </w:rPr>
      </w:pPr>
      <w:r>
        <w:rPr>
          <w:color w:val="auto"/>
          <w:szCs w:val="22"/>
          <w:lang w:val="pt-BR"/>
        </w:rPr>
        <w:t>O dente natural possui uma relação com o tecido ósseo que se difere bastante dos implantes. Entre o dente e o tecido ósseo existe uma articulação, com fibras colágenas, líquido intersticial e vasos sanguíneos, possibilitando movimentos fisiológicos do dente, em sentidos vertical e horizontal. Isso ocorre por meio de um sistema sensit</w:t>
      </w:r>
      <w:r w:rsidR="00182B7A">
        <w:rPr>
          <w:color w:val="auto"/>
          <w:szCs w:val="22"/>
          <w:lang w:val="pt-BR"/>
        </w:rPr>
        <w:t>ivo</w:t>
      </w:r>
      <w:r>
        <w:rPr>
          <w:color w:val="auto"/>
          <w:szCs w:val="22"/>
          <w:lang w:val="pt-BR"/>
        </w:rPr>
        <w:t xml:space="preserve"> capaz de absorver todas as forças mastigatórias, denominado ligamento periodontal (Mandia Jr et al., 2007).</w:t>
      </w:r>
    </w:p>
    <w:p w:rsidR="00A04851" w:rsidRDefault="00581D47" w:rsidP="00962453">
      <w:pPr>
        <w:pStyle w:val="1Texto"/>
        <w:ind w:firstLine="0"/>
        <w:rPr>
          <w:color w:val="auto"/>
          <w:szCs w:val="22"/>
          <w:lang w:val="pt-BR"/>
        </w:rPr>
      </w:pPr>
      <w:r>
        <w:rPr>
          <w:color w:val="auto"/>
          <w:szCs w:val="22"/>
          <w:lang w:val="pt-BR"/>
        </w:rPr>
        <w:t xml:space="preserve">Quando se trata dos implantes dentários, de acordo com Mandia Jr et al. (2007), existe o contato direto </w:t>
      </w:r>
      <w:r w:rsidR="00182B7A">
        <w:rPr>
          <w:color w:val="auto"/>
          <w:szCs w:val="22"/>
          <w:lang w:val="pt-BR"/>
        </w:rPr>
        <w:t>do osso</w:t>
      </w:r>
      <w:r>
        <w:rPr>
          <w:color w:val="auto"/>
          <w:szCs w:val="22"/>
          <w:lang w:val="pt-BR"/>
        </w:rPr>
        <w:t xml:space="preserve"> com a superfície de titânio, sem a evidência de tecido conjuntivo entre os mesmos, dando origem à osteointegração. Dessa forma, a força transmitida para uma prótese irá atuar quase que </w:t>
      </w:r>
      <w:r w:rsidR="00D96448">
        <w:rPr>
          <w:color w:val="auto"/>
          <w:szCs w:val="22"/>
          <w:lang w:val="pt-BR"/>
        </w:rPr>
        <w:t>rigorosamente</w:t>
      </w:r>
      <w:r>
        <w:rPr>
          <w:color w:val="auto"/>
          <w:szCs w:val="22"/>
          <w:lang w:val="pt-BR"/>
        </w:rPr>
        <w:t xml:space="preserve"> sobre o tecido ósseo. Em consequência </w:t>
      </w:r>
      <w:r w:rsidR="00D96448">
        <w:rPr>
          <w:color w:val="auto"/>
          <w:szCs w:val="22"/>
          <w:lang w:val="pt-BR"/>
        </w:rPr>
        <w:t>disso</w:t>
      </w:r>
      <w:r>
        <w:rPr>
          <w:color w:val="auto"/>
          <w:szCs w:val="22"/>
          <w:lang w:val="pt-BR"/>
        </w:rPr>
        <w:t>, atualmente, os implantes dentários baseiam-se em travamentos mecânicos no processo de</w:t>
      </w:r>
      <w:r w:rsidR="00D96448">
        <w:rPr>
          <w:color w:val="auto"/>
          <w:szCs w:val="22"/>
          <w:lang w:val="pt-BR"/>
        </w:rPr>
        <w:t xml:space="preserve"> osteointegração.</w:t>
      </w:r>
    </w:p>
    <w:p w:rsidR="00D96448" w:rsidRDefault="00D96448" w:rsidP="00962453">
      <w:pPr>
        <w:pStyle w:val="1Texto"/>
        <w:ind w:firstLine="0"/>
        <w:rPr>
          <w:color w:val="auto"/>
          <w:szCs w:val="22"/>
          <w:lang w:val="pt-BR"/>
        </w:rPr>
      </w:pPr>
      <w:r>
        <w:rPr>
          <w:color w:val="auto"/>
          <w:szCs w:val="22"/>
          <w:lang w:val="pt-BR"/>
        </w:rPr>
        <w:t xml:space="preserve">O osso humano é composto em grande parte por hidroxiapatita, que tem </w:t>
      </w:r>
      <w:r w:rsidR="00182B7A">
        <w:rPr>
          <w:color w:val="auto"/>
          <w:szCs w:val="22"/>
          <w:lang w:val="pt-BR"/>
        </w:rPr>
        <w:t>como</w:t>
      </w:r>
      <w:r>
        <w:rPr>
          <w:color w:val="auto"/>
          <w:szCs w:val="22"/>
          <w:lang w:val="pt-BR"/>
        </w:rPr>
        <w:t xml:space="preserve"> fórmula química</w:t>
      </w:r>
      <w:r w:rsidR="00182B7A">
        <w:rPr>
          <w:color w:val="auto"/>
          <w:szCs w:val="22"/>
          <w:lang w:val="pt-BR"/>
        </w:rPr>
        <w:t>,</w:t>
      </w:r>
      <w:r>
        <w:rPr>
          <w:color w:val="auto"/>
          <w:szCs w:val="22"/>
          <w:lang w:val="pt-BR"/>
        </w:rPr>
        <w:t xml:space="preserve"> Ca</w:t>
      </w:r>
      <w:r>
        <w:rPr>
          <w:color w:val="auto"/>
          <w:szCs w:val="22"/>
          <w:vertAlign w:val="subscript"/>
          <w:lang w:val="pt-BR"/>
        </w:rPr>
        <w:t>10</w:t>
      </w:r>
      <w:r>
        <w:rPr>
          <w:color w:val="auto"/>
          <w:szCs w:val="22"/>
          <w:lang w:val="pt-BR"/>
        </w:rPr>
        <w:t>(PO</w:t>
      </w:r>
      <w:r>
        <w:rPr>
          <w:color w:val="auto"/>
          <w:szCs w:val="22"/>
          <w:vertAlign w:val="subscript"/>
          <w:lang w:val="pt-BR"/>
        </w:rPr>
        <w:t>4</w:t>
      </w:r>
      <w:r>
        <w:rPr>
          <w:color w:val="auto"/>
          <w:szCs w:val="22"/>
          <w:lang w:val="pt-BR"/>
        </w:rPr>
        <w:t>)</w:t>
      </w:r>
      <w:r>
        <w:rPr>
          <w:color w:val="auto"/>
          <w:szCs w:val="22"/>
          <w:vertAlign w:val="subscript"/>
          <w:lang w:val="pt-BR"/>
        </w:rPr>
        <w:t>6</w:t>
      </w:r>
      <w:r>
        <w:rPr>
          <w:color w:val="auto"/>
          <w:szCs w:val="22"/>
          <w:lang w:val="pt-BR"/>
        </w:rPr>
        <w:t>(OH)</w:t>
      </w:r>
      <w:r>
        <w:rPr>
          <w:color w:val="auto"/>
          <w:szCs w:val="22"/>
          <w:vertAlign w:val="subscript"/>
          <w:lang w:val="pt-BR"/>
        </w:rPr>
        <w:t>2</w:t>
      </w:r>
      <w:r>
        <w:rPr>
          <w:color w:val="auto"/>
          <w:szCs w:val="22"/>
          <w:lang w:val="pt-BR"/>
        </w:rPr>
        <w:t>. Portanto, ao longo dos últimos anos, estudos que busca</w:t>
      </w:r>
      <w:r w:rsidR="000F48D9">
        <w:rPr>
          <w:color w:val="auto"/>
          <w:szCs w:val="22"/>
          <w:lang w:val="pt-BR"/>
        </w:rPr>
        <w:t>m</w:t>
      </w:r>
      <w:r>
        <w:rPr>
          <w:color w:val="auto"/>
          <w:szCs w:val="22"/>
          <w:lang w:val="pt-BR"/>
        </w:rPr>
        <w:t xml:space="preserve"> viabilizar a integração de Ca e P na superfície dos implantes dentários</w:t>
      </w:r>
      <w:r w:rsidR="00302FC4">
        <w:rPr>
          <w:color w:val="auto"/>
          <w:szCs w:val="22"/>
          <w:lang w:val="pt-BR"/>
        </w:rPr>
        <w:t xml:space="preserve"> </w:t>
      </w:r>
      <w:r w:rsidR="000F48D9">
        <w:rPr>
          <w:color w:val="auto"/>
          <w:szCs w:val="22"/>
          <w:lang w:val="pt-BR"/>
        </w:rPr>
        <w:t>t</w:t>
      </w:r>
      <w:r w:rsidR="002A65D3">
        <w:rPr>
          <w:color w:val="auto"/>
          <w:szCs w:val="22"/>
          <w:lang w:val="pt-BR"/>
        </w:rPr>
        <w:t>ê</w:t>
      </w:r>
      <w:r w:rsidR="000F48D9">
        <w:rPr>
          <w:color w:val="auto"/>
          <w:szCs w:val="22"/>
          <w:lang w:val="pt-BR"/>
        </w:rPr>
        <w:t xml:space="preserve">m sido desenvolvidos. Esses estudos visam obter menores taxas de rejeição de implantes e a facilidade da fixação do implante no osso, que agora ocorreria por uma fixação </w:t>
      </w:r>
      <w:r w:rsidR="000F48D9">
        <w:rPr>
          <w:color w:val="auto"/>
          <w:szCs w:val="22"/>
          <w:lang w:val="pt-BR"/>
        </w:rPr>
        <w:lastRenderedPageBreak/>
        <w:t xml:space="preserve">biológica e química, em função da afinidade do Ca </w:t>
      </w:r>
      <w:r w:rsidR="00182B7A">
        <w:rPr>
          <w:color w:val="auto"/>
          <w:szCs w:val="22"/>
          <w:lang w:val="pt-BR"/>
        </w:rPr>
        <w:t xml:space="preserve">e P com o tecido ósseo, bem como em decorrência </w:t>
      </w:r>
      <w:r w:rsidR="000F48D9">
        <w:rPr>
          <w:color w:val="auto"/>
          <w:szCs w:val="22"/>
          <w:lang w:val="pt-BR"/>
        </w:rPr>
        <w:t xml:space="preserve">do crescimento de tecido mineralizado (Mandia Jr et al., 2007).  </w:t>
      </w:r>
    </w:p>
    <w:p w:rsidR="000F48D9" w:rsidRDefault="000F48D9" w:rsidP="00962453">
      <w:pPr>
        <w:pStyle w:val="1Texto"/>
        <w:ind w:firstLine="0"/>
        <w:rPr>
          <w:color w:val="auto"/>
          <w:szCs w:val="22"/>
          <w:lang w:val="pt-BR"/>
        </w:rPr>
      </w:pPr>
      <w:r>
        <w:rPr>
          <w:color w:val="auto"/>
          <w:szCs w:val="22"/>
          <w:lang w:val="pt-BR"/>
        </w:rPr>
        <w:t xml:space="preserve">O processo utilizado por Guimarães et al. (2015) para realizar a deposição de Ca e P na superfície do implante dentário foi a EDM, de forma semelhante ao que se aplica na NDE, entretanto, nesse caso, o fluido dielétrico é enriquecido por Ca e P, ao invés de ureia. </w:t>
      </w:r>
    </w:p>
    <w:p w:rsidR="000F48D9" w:rsidRDefault="000F48D9" w:rsidP="00962453">
      <w:pPr>
        <w:pStyle w:val="1Texto"/>
        <w:ind w:firstLine="0"/>
        <w:rPr>
          <w:color w:val="auto"/>
          <w:szCs w:val="22"/>
          <w:lang w:val="pt-BR"/>
        </w:rPr>
      </w:pPr>
      <w:r>
        <w:rPr>
          <w:color w:val="auto"/>
          <w:szCs w:val="22"/>
          <w:lang w:val="pt-BR"/>
        </w:rPr>
        <w:t xml:space="preserve">Portanto, o objetivo desse trabalho é estudar o procedimento de enriquecimento da superfície do implante dentário com cálcio e fósforo por meio do processo de EDM, visando a osteointegração e </w:t>
      </w:r>
      <w:r w:rsidR="002D41E6">
        <w:rPr>
          <w:color w:val="auto"/>
          <w:szCs w:val="22"/>
          <w:lang w:val="pt-BR"/>
        </w:rPr>
        <w:t>a redução</w:t>
      </w:r>
      <w:r>
        <w:rPr>
          <w:color w:val="auto"/>
          <w:szCs w:val="22"/>
          <w:lang w:val="pt-BR"/>
        </w:rPr>
        <w:t xml:space="preserve"> </w:t>
      </w:r>
      <w:r w:rsidR="002D41E6">
        <w:rPr>
          <w:color w:val="auto"/>
          <w:szCs w:val="22"/>
          <w:lang w:val="pt-BR"/>
        </w:rPr>
        <w:t>d</w:t>
      </w:r>
      <w:r>
        <w:rPr>
          <w:color w:val="auto"/>
          <w:szCs w:val="22"/>
          <w:lang w:val="pt-BR"/>
        </w:rPr>
        <w:t>o tempo em que a mesma ocorre.</w:t>
      </w:r>
    </w:p>
    <w:p w:rsidR="00182B7A" w:rsidRDefault="00182B7A" w:rsidP="00962453">
      <w:pPr>
        <w:pStyle w:val="1Texto"/>
        <w:ind w:firstLine="0"/>
        <w:rPr>
          <w:color w:val="auto"/>
          <w:szCs w:val="22"/>
          <w:lang w:val="pt-BR"/>
        </w:rPr>
      </w:pPr>
    </w:p>
    <w:p w:rsidR="004866EB" w:rsidRDefault="004866EB" w:rsidP="004866E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9D5E02">
        <w:rPr>
          <w:rFonts w:ascii="Times New Roman" w:hAnsi="Times New Roman" w:cs="Times New Roman"/>
          <w:b/>
          <w:sz w:val="24"/>
          <w:szCs w:val="24"/>
        </w:rPr>
        <w:t xml:space="preserve">. </w:t>
      </w:r>
      <w:r>
        <w:rPr>
          <w:rFonts w:ascii="Times New Roman" w:hAnsi="Times New Roman" w:cs="Times New Roman"/>
          <w:b/>
          <w:sz w:val="24"/>
          <w:szCs w:val="24"/>
        </w:rPr>
        <w:t xml:space="preserve">Metodologia </w:t>
      </w:r>
    </w:p>
    <w:p w:rsidR="0017405C" w:rsidRDefault="008951BB"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corpo de prova ensaiado é um implante dentário fabricado em </w:t>
      </w:r>
      <w:r w:rsidRPr="008951BB">
        <w:rPr>
          <w:rFonts w:ascii="Times New Roman" w:hAnsi="Times New Roman" w:cs="Times New Roman"/>
          <w:sz w:val="24"/>
          <w:szCs w:val="24"/>
        </w:rPr>
        <w:t>Ti6Al4V</w:t>
      </w:r>
      <w:r>
        <w:rPr>
          <w:rFonts w:ascii="Times New Roman" w:hAnsi="Times New Roman" w:cs="Times New Roman"/>
          <w:sz w:val="24"/>
          <w:szCs w:val="24"/>
        </w:rPr>
        <w:t xml:space="preserve">. </w:t>
      </w:r>
      <w:r w:rsidR="00626199">
        <w:rPr>
          <w:rFonts w:ascii="Times New Roman" w:hAnsi="Times New Roman" w:cs="Times New Roman"/>
          <w:sz w:val="24"/>
          <w:szCs w:val="24"/>
        </w:rPr>
        <w:t xml:space="preserve">Para a realização do estudo, definiu-se que o eletrodo seria fabricado em grafite, em função da necessidade de </w:t>
      </w:r>
      <w:r w:rsidR="00EA0294">
        <w:rPr>
          <w:rFonts w:ascii="Times New Roman" w:hAnsi="Times New Roman" w:cs="Times New Roman"/>
          <w:sz w:val="24"/>
          <w:szCs w:val="24"/>
        </w:rPr>
        <w:t xml:space="preserve">evitar contaminação do processo. </w:t>
      </w:r>
      <w:r w:rsidR="00626199">
        <w:rPr>
          <w:rFonts w:ascii="Times New Roman" w:hAnsi="Times New Roman" w:cs="Times New Roman"/>
          <w:sz w:val="24"/>
          <w:szCs w:val="24"/>
        </w:rPr>
        <w:t>O eletrodo ferramenta possui formato cilíndrico com o intuito de se ter uma fixação no equipamento de EDM mais fácil</w:t>
      </w:r>
      <w:r w:rsidR="00062694">
        <w:rPr>
          <w:rFonts w:ascii="Times New Roman" w:hAnsi="Times New Roman" w:cs="Times New Roman"/>
          <w:sz w:val="24"/>
          <w:szCs w:val="24"/>
        </w:rPr>
        <w:t xml:space="preserve"> e também, pensando na usinagem do</w:t>
      </w:r>
      <w:r w:rsidR="00626199">
        <w:rPr>
          <w:rFonts w:ascii="Times New Roman" w:hAnsi="Times New Roman" w:cs="Times New Roman"/>
          <w:sz w:val="24"/>
          <w:szCs w:val="24"/>
        </w:rPr>
        <w:t xml:space="preserve"> grafite</w:t>
      </w:r>
      <w:r w:rsidR="00062694">
        <w:rPr>
          <w:rFonts w:ascii="Times New Roman" w:hAnsi="Times New Roman" w:cs="Times New Roman"/>
          <w:sz w:val="24"/>
          <w:szCs w:val="24"/>
        </w:rPr>
        <w:t>, a qual</w:t>
      </w:r>
      <w:r w:rsidR="00626199">
        <w:rPr>
          <w:rFonts w:ascii="Times New Roman" w:hAnsi="Times New Roman" w:cs="Times New Roman"/>
          <w:sz w:val="24"/>
          <w:szCs w:val="24"/>
        </w:rPr>
        <w:t xml:space="preserve"> é um processo difícil e complexo, tendo em vista sua alta fragilidade</w:t>
      </w:r>
      <w:r w:rsidR="00062694">
        <w:rPr>
          <w:rFonts w:ascii="Times New Roman" w:hAnsi="Times New Roman" w:cs="Times New Roman"/>
          <w:sz w:val="24"/>
          <w:szCs w:val="24"/>
        </w:rPr>
        <w:t>. A Figura (3)</w:t>
      </w:r>
      <w:r w:rsidR="00626199">
        <w:rPr>
          <w:rFonts w:ascii="Times New Roman" w:hAnsi="Times New Roman" w:cs="Times New Roman"/>
          <w:sz w:val="24"/>
          <w:szCs w:val="24"/>
        </w:rPr>
        <w:t xml:space="preserve"> </w:t>
      </w:r>
      <w:r w:rsidR="00062694">
        <w:rPr>
          <w:rFonts w:ascii="Times New Roman" w:hAnsi="Times New Roman" w:cs="Times New Roman"/>
          <w:sz w:val="24"/>
          <w:szCs w:val="24"/>
        </w:rPr>
        <w:t xml:space="preserve">mostra o eletrodo de grafite. </w:t>
      </w:r>
    </w:p>
    <w:p w:rsidR="00062694" w:rsidRDefault="00062694" w:rsidP="00062694">
      <w:pPr>
        <w:spacing w:after="0" w:line="360" w:lineRule="auto"/>
        <w:jc w:val="center"/>
        <w:rPr>
          <w:rFonts w:ascii="Times New Roman" w:hAnsi="Times New Roman" w:cs="Times New Roman"/>
          <w:sz w:val="24"/>
          <w:szCs w:val="24"/>
        </w:rPr>
      </w:pPr>
      <w:r>
        <w:rPr>
          <w:noProof/>
          <w:lang w:val="en-US" w:eastAsia="en-US"/>
        </w:rPr>
        <w:drawing>
          <wp:inline distT="0" distB="0" distL="0" distR="0">
            <wp:extent cx="1801346" cy="223482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11000" b="11667"/>
                    <a:stretch/>
                  </pic:blipFill>
                  <pic:spPr bwMode="auto">
                    <a:xfrm>
                      <a:off x="0" y="0"/>
                      <a:ext cx="1844379" cy="2288215"/>
                    </a:xfrm>
                    <a:prstGeom prst="rect">
                      <a:avLst/>
                    </a:prstGeom>
                    <a:ln>
                      <a:noFill/>
                    </a:ln>
                    <a:extLst>
                      <a:ext uri="{53640926-AAD7-44D8-BBD7-CCE9431645EC}">
                        <a14:shadowObscured xmlns:a14="http://schemas.microsoft.com/office/drawing/2010/main"/>
                      </a:ext>
                    </a:extLst>
                  </pic:spPr>
                </pic:pic>
              </a:graphicData>
            </a:graphic>
          </wp:inline>
        </w:drawing>
      </w:r>
    </w:p>
    <w:p w:rsidR="00062694" w:rsidRPr="00062694" w:rsidRDefault="00062694" w:rsidP="00062694">
      <w:pPr>
        <w:spacing w:after="0" w:line="360" w:lineRule="auto"/>
        <w:jc w:val="center"/>
        <w:rPr>
          <w:rFonts w:ascii="Times New Roman" w:hAnsi="Times New Roman" w:cs="Times New Roman"/>
          <w:sz w:val="20"/>
          <w:szCs w:val="24"/>
        </w:rPr>
      </w:pPr>
      <w:r w:rsidRPr="00062694">
        <w:rPr>
          <w:rFonts w:ascii="Times New Roman" w:hAnsi="Times New Roman" w:cs="Times New Roman"/>
          <w:sz w:val="20"/>
          <w:szCs w:val="24"/>
        </w:rPr>
        <w:t>Figura 3 - Eletrodo ferramenta de grafite</w:t>
      </w:r>
      <w:r w:rsidR="00A43B51">
        <w:rPr>
          <w:rFonts w:ascii="Times New Roman" w:hAnsi="Times New Roman" w:cs="Times New Roman"/>
          <w:sz w:val="20"/>
          <w:szCs w:val="24"/>
        </w:rPr>
        <w:t xml:space="preserve"> (Elaboração própria)</w:t>
      </w:r>
      <w:r w:rsidRPr="00062694">
        <w:rPr>
          <w:rFonts w:ascii="Times New Roman" w:hAnsi="Times New Roman" w:cs="Times New Roman"/>
          <w:sz w:val="20"/>
          <w:szCs w:val="24"/>
        </w:rPr>
        <w:t>.</w:t>
      </w:r>
    </w:p>
    <w:p w:rsidR="00062694" w:rsidRDefault="00062694" w:rsidP="00FF3346">
      <w:pPr>
        <w:spacing w:after="0" w:line="360" w:lineRule="auto"/>
        <w:jc w:val="both"/>
        <w:rPr>
          <w:rFonts w:ascii="Times New Roman" w:hAnsi="Times New Roman" w:cs="Times New Roman"/>
          <w:sz w:val="24"/>
          <w:szCs w:val="24"/>
        </w:rPr>
      </w:pPr>
    </w:p>
    <w:p w:rsidR="00062694" w:rsidRDefault="0006269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Como o objetivo deste trabalho é verificar o enriquecimento de</w:t>
      </w:r>
      <w:r w:rsidR="008951BB">
        <w:rPr>
          <w:rFonts w:ascii="Times New Roman" w:hAnsi="Times New Roman" w:cs="Times New Roman"/>
          <w:sz w:val="24"/>
          <w:szCs w:val="24"/>
        </w:rPr>
        <w:t xml:space="preserve"> um</w:t>
      </w:r>
      <w:r>
        <w:rPr>
          <w:rFonts w:ascii="Times New Roman" w:hAnsi="Times New Roman" w:cs="Times New Roman"/>
          <w:sz w:val="24"/>
          <w:szCs w:val="24"/>
        </w:rPr>
        <w:t xml:space="preserve"> corpo de prova de titânio por Ca e P, utilizou-se a solução que obteve os melhores resultados em trabalhos científicos</w:t>
      </w:r>
      <w:r w:rsidR="002A65D3">
        <w:rPr>
          <w:rFonts w:ascii="Times New Roman" w:hAnsi="Times New Roman" w:cs="Times New Roman"/>
          <w:sz w:val="24"/>
          <w:szCs w:val="24"/>
        </w:rPr>
        <w:t xml:space="preserve"> anteriores</w:t>
      </w:r>
      <w:r>
        <w:rPr>
          <w:rFonts w:ascii="Times New Roman" w:hAnsi="Times New Roman" w:cs="Times New Roman"/>
          <w:sz w:val="24"/>
          <w:szCs w:val="24"/>
        </w:rPr>
        <w:t>. Segundo Guimarães et al. (2015), a solução a ser utilizada é aquela com a proporção em volume de 70 % de ácido fosfórico (H</w:t>
      </w:r>
      <w:r>
        <w:rPr>
          <w:rFonts w:ascii="Times New Roman" w:hAnsi="Times New Roman" w:cs="Times New Roman"/>
          <w:sz w:val="24"/>
          <w:szCs w:val="24"/>
          <w:vertAlign w:val="subscript"/>
        </w:rPr>
        <w:t>3</w:t>
      </w: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 e 30 % de cloreto de cálcio (CaCl</w:t>
      </w:r>
      <w:r>
        <w:rPr>
          <w:rFonts w:ascii="Times New Roman" w:hAnsi="Times New Roman" w:cs="Times New Roman"/>
          <w:sz w:val="24"/>
          <w:szCs w:val="24"/>
          <w:vertAlign w:val="subscript"/>
        </w:rPr>
        <w:t>2</w:t>
      </w:r>
      <w:r>
        <w:rPr>
          <w:rFonts w:ascii="Times New Roman" w:hAnsi="Times New Roman" w:cs="Times New Roman"/>
          <w:sz w:val="24"/>
          <w:szCs w:val="24"/>
        </w:rPr>
        <w:t>), ambos com concentração de 0,1 molar. Entretanto, sabe-se que o íon de Ca</w:t>
      </w:r>
      <w:r>
        <w:rPr>
          <w:rFonts w:ascii="Times New Roman" w:hAnsi="Times New Roman" w:cs="Times New Roman"/>
          <w:sz w:val="24"/>
          <w:szCs w:val="24"/>
          <w:vertAlign w:val="superscript"/>
        </w:rPr>
        <w:t>3+</w:t>
      </w:r>
      <w:r>
        <w:rPr>
          <w:rFonts w:ascii="Times New Roman" w:hAnsi="Times New Roman" w:cs="Times New Roman"/>
          <w:sz w:val="24"/>
          <w:szCs w:val="24"/>
        </w:rPr>
        <w:t xml:space="preserve"> possui um tamanho de 0,099 nm, representando cerca de 160 % do tamanho do íon do P</w:t>
      </w:r>
      <w:r>
        <w:rPr>
          <w:rFonts w:ascii="Times New Roman" w:hAnsi="Times New Roman" w:cs="Times New Roman"/>
          <w:sz w:val="24"/>
          <w:szCs w:val="24"/>
          <w:vertAlign w:val="superscript"/>
        </w:rPr>
        <w:t>5+</w:t>
      </w:r>
      <w:r w:rsidR="00771A31">
        <w:rPr>
          <w:rFonts w:ascii="Times New Roman" w:hAnsi="Times New Roman" w:cs="Times New Roman"/>
          <w:sz w:val="24"/>
          <w:szCs w:val="24"/>
        </w:rPr>
        <w:t xml:space="preserve">, </w:t>
      </w:r>
      <w:r>
        <w:rPr>
          <w:rFonts w:ascii="Times New Roman" w:hAnsi="Times New Roman" w:cs="Times New Roman"/>
          <w:sz w:val="24"/>
          <w:szCs w:val="24"/>
        </w:rPr>
        <w:t>0,038 nm. Portanto, a dificuldade para o íon de cálcio penetrar será maior. Sendo assim, experimentos c</w:t>
      </w:r>
      <w:r w:rsidR="00771A31">
        <w:rPr>
          <w:rFonts w:ascii="Times New Roman" w:hAnsi="Times New Roman" w:cs="Times New Roman"/>
          <w:sz w:val="24"/>
          <w:szCs w:val="24"/>
        </w:rPr>
        <w:t>om uma concentração de Ca mais elevada que a de P foram testados.</w:t>
      </w:r>
      <w:r w:rsidR="007E1911">
        <w:rPr>
          <w:rFonts w:ascii="Times New Roman" w:hAnsi="Times New Roman" w:cs="Times New Roman"/>
          <w:sz w:val="24"/>
          <w:szCs w:val="24"/>
        </w:rPr>
        <w:t xml:space="preserve"> </w:t>
      </w:r>
    </w:p>
    <w:p w:rsidR="007E1911" w:rsidRDefault="007E1911"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 processo de usinagem por EDM, foi utilizada a máquina ENGEMAQ 440NC, fabricada p</w:t>
      </w:r>
      <w:r w:rsidR="00FA1E9D">
        <w:rPr>
          <w:rFonts w:ascii="Times New Roman" w:hAnsi="Times New Roman" w:cs="Times New Roman"/>
          <w:sz w:val="24"/>
          <w:szCs w:val="24"/>
        </w:rPr>
        <w:t xml:space="preserve">ela empresa Engemaq EDM S/A. É uma máquina semiautomática, na qual se realiza uma configuração </w:t>
      </w:r>
      <w:r w:rsidR="00F91B5E">
        <w:rPr>
          <w:rFonts w:ascii="Times New Roman" w:hAnsi="Times New Roman" w:cs="Times New Roman"/>
          <w:sz w:val="24"/>
          <w:szCs w:val="24"/>
        </w:rPr>
        <w:t xml:space="preserve">prévia dos parâmetros de usinagem e, após o posicionamento da peça, a máquina segue atuando automaticamente. A Figura 4 mostra a máquina ENGEMAQ 440NC e seus principais componentes. </w:t>
      </w:r>
    </w:p>
    <w:p w:rsidR="00F91B5E" w:rsidRDefault="00423E44" w:rsidP="00F91B5E">
      <w:pPr>
        <w:spacing w:after="0" w:line="360" w:lineRule="auto"/>
        <w:jc w:val="center"/>
        <w:rPr>
          <w:rFonts w:ascii="Times New Roman" w:hAnsi="Times New Roman" w:cs="Times New Roman"/>
          <w:sz w:val="24"/>
          <w:szCs w:val="24"/>
        </w:rPr>
      </w:pPr>
      <w:r>
        <w:rPr>
          <w:noProof/>
          <w:lang w:val="en-US" w:eastAsia="en-US"/>
        </w:rPr>
        <w:drawing>
          <wp:inline distT="0" distB="0" distL="0" distR="0">
            <wp:extent cx="3178266" cy="3238072"/>
            <wp:effectExtent l="0" t="0" r="3175"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227471" cy="3288203"/>
                    </a:xfrm>
                    <a:prstGeom prst="rect">
                      <a:avLst/>
                    </a:prstGeom>
                  </pic:spPr>
                </pic:pic>
              </a:graphicData>
            </a:graphic>
          </wp:inline>
        </w:drawing>
      </w:r>
    </w:p>
    <w:p w:rsidR="00F91B5E" w:rsidRPr="00F91B5E" w:rsidRDefault="00F91B5E" w:rsidP="00F91B5E">
      <w:pPr>
        <w:spacing w:after="0" w:line="360" w:lineRule="auto"/>
        <w:jc w:val="center"/>
        <w:rPr>
          <w:rFonts w:ascii="Times New Roman" w:hAnsi="Times New Roman" w:cs="Times New Roman"/>
          <w:sz w:val="20"/>
          <w:szCs w:val="24"/>
        </w:rPr>
      </w:pPr>
      <w:r w:rsidRPr="00F91B5E">
        <w:rPr>
          <w:rFonts w:ascii="Times New Roman" w:hAnsi="Times New Roman" w:cs="Times New Roman"/>
          <w:sz w:val="20"/>
          <w:szCs w:val="24"/>
        </w:rPr>
        <w:t>Figura 4 – Máquina de usinagem por EDM e seus principais componentes</w:t>
      </w:r>
      <w:r w:rsidR="00A43B51">
        <w:rPr>
          <w:rFonts w:ascii="Times New Roman" w:hAnsi="Times New Roman" w:cs="Times New Roman"/>
          <w:sz w:val="20"/>
          <w:szCs w:val="24"/>
        </w:rPr>
        <w:t xml:space="preserve"> (Elaboração própria)</w:t>
      </w:r>
      <w:r w:rsidRPr="00F91B5E">
        <w:rPr>
          <w:rFonts w:ascii="Times New Roman" w:hAnsi="Times New Roman" w:cs="Times New Roman"/>
          <w:sz w:val="20"/>
          <w:szCs w:val="24"/>
        </w:rPr>
        <w:t>.</w:t>
      </w:r>
    </w:p>
    <w:p w:rsidR="009032A1" w:rsidRDefault="009032A1" w:rsidP="00FF3346">
      <w:pPr>
        <w:spacing w:after="0" w:line="360" w:lineRule="auto"/>
        <w:jc w:val="both"/>
        <w:rPr>
          <w:rFonts w:ascii="Times New Roman" w:hAnsi="Times New Roman" w:cs="Times New Roman"/>
          <w:sz w:val="24"/>
          <w:szCs w:val="24"/>
        </w:rPr>
      </w:pPr>
    </w:p>
    <w:p w:rsidR="00771A31" w:rsidRDefault="009032A1"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máquina ENGEMAQ 440NC usa em seu sistema um óleo mineral como fluido </w:t>
      </w:r>
      <w:r w:rsidRPr="009032A1">
        <w:rPr>
          <w:rFonts w:ascii="Times New Roman" w:hAnsi="Times New Roman" w:cs="Times New Roman"/>
          <w:szCs w:val="24"/>
        </w:rPr>
        <w:t>dielétrico</w:t>
      </w:r>
      <w:r>
        <w:rPr>
          <w:rFonts w:ascii="Times New Roman" w:hAnsi="Times New Roman" w:cs="Times New Roman"/>
          <w:sz w:val="24"/>
          <w:szCs w:val="24"/>
        </w:rPr>
        <w:t>. Entretanto, não se considerou viável economicamente, a realização da troca de todo o fluido do sistema da máquina pela solução escolhida para realização dos ensaios. Portanto, foi fabricada, em aço inoxidável AISI 304 (18 % C</w:t>
      </w:r>
      <w:r w:rsidR="00851DD0">
        <w:rPr>
          <w:rFonts w:ascii="Times New Roman" w:hAnsi="Times New Roman" w:cs="Times New Roman"/>
          <w:sz w:val="24"/>
          <w:szCs w:val="24"/>
        </w:rPr>
        <w:t xml:space="preserve">r – 8 % Ni), uma cuba na qual o </w:t>
      </w:r>
      <w:r w:rsidR="008951BB">
        <w:rPr>
          <w:rFonts w:ascii="Times New Roman" w:hAnsi="Times New Roman" w:cs="Times New Roman"/>
          <w:sz w:val="24"/>
          <w:szCs w:val="24"/>
        </w:rPr>
        <w:t>corpo de prova</w:t>
      </w:r>
      <w:r w:rsidR="00851DD0">
        <w:rPr>
          <w:rFonts w:ascii="Times New Roman" w:hAnsi="Times New Roman" w:cs="Times New Roman"/>
          <w:sz w:val="24"/>
          <w:szCs w:val="24"/>
        </w:rPr>
        <w:t xml:space="preserve"> era imerso</w:t>
      </w:r>
      <w:r>
        <w:rPr>
          <w:rFonts w:ascii="Times New Roman" w:hAnsi="Times New Roman" w:cs="Times New Roman"/>
          <w:sz w:val="24"/>
          <w:szCs w:val="24"/>
        </w:rPr>
        <w:t xml:space="preserve"> </w:t>
      </w:r>
      <w:r w:rsidR="002A65D3">
        <w:rPr>
          <w:rFonts w:ascii="Times New Roman" w:hAnsi="Times New Roman" w:cs="Times New Roman"/>
          <w:sz w:val="24"/>
          <w:szCs w:val="24"/>
        </w:rPr>
        <w:t>n</w:t>
      </w:r>
      <w:r>
        <w:rPr>
          <w:rFonts w:ascii="Times New Roman" w:hAnsi="Times New Roman" w:cs="Times New Roman"/>
          <w:sz w:val="24"/>
          <w:szCs w:val="24"/>
        </w:rPr>
        <w:t xml:space="preserve">o fluido dielétrico rico em Ca e P. </w:t>
      </w:r>
      <w:r w:rsidRPr="00B24D3E">
        <w:rPr>
          <w:rFonts w:ascii="Times New Roman" w:hAnsi="Times New Roman" w:cs="Times New Roman"/>
          <w:color w:val="000000" w:themeColor="text1"/>
          <w:sz w:val="24"/>
          <w:szCs w:val="24"/>
        </w:rPr>
        <w:t xml:space="preserve">Além </w:t>
      </w:r>
      <w:r w:rsidR="00D46C1B" w:rsidRPr="00B24D3E">
        <w:rPr>
          <w:rFonts w:ascii="Times New Roman" w:hAnsi="Times New Roman" w:cs="Times New Roman"/>
          <w:color w:val="000000" w:themeColor="text1"/>
          <w:sz w:val="24"/>
          <w:szCs w:val="24"/>
        </w:rPr>
        <w:t>disso</w:t>
      </w:r>
      <w:r w:rsidRPr="00B24D3E">
        <w:rPr>
          <w:rFonts w:ascii="Times New Roman" w:hAnsi="Times New Roman" w:cs="Times New Roman"/>
          <w:color w:val="000000" w:themeColor="text1"/>
          <w:sz w:val="24"/>
          <w:szCs w:val="24"/>
        </w:rPr>
        <w:t>, foi fabricado um suporte de alum</w:t>
      </w:r>
      <w:r w:rsidR="00A76FB1" w:rsidRPr="00B24D3E">
        <w:rPr>
          <w:rFonts w:ascii="Times New Roman" w:hAnsi="Times New Roman" w:cs="Times New Roman"/>
          <w:color w:val="000000" w:themeColor="text1"/>
          <w:sz w:val="24"/>
          <w:szCs w:val="24"/>
        </w:rPr>
        <w:t>ínio para realizar a fixação</w:t>
      </w:r>
      <w:r w:rsidR="009E2B8C">
        <w:rPr>
          <w:rFonts w:ascii="Times New Roman" w:hAnsi="Times New Roman" w:cs="Times New Roman"/>
          <w:sz w:val="24"/>
          <w:szCs w:val="24"/>
        </w:rPr>
        <w:t xml:space="preserve"> (Fig. 5).</w:t>
      </w:r>
    </w:p>
    <w:p w:rsidR="009E2B8C" w:rsidRDefault="00A76FB1" w:rsidP="009E2B8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3495675" cy="1669084"/>
            <wp:effectExtent l="19050" t="0" r="9525"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517" t="3098" r="2275" b="3098"/>
                    <a:stretch>
                      <a:fillRect/>
                    </a:stretch>
                  </pic:blipFill>
                  <pic:spPr bwMode="auto">
                    <a:xfrm>
                      <a:off x="0" y="0"/>
                      <a:ext cx="3494829" cy="1668680"/>
                    </a:xfrm>
                    <a:prstGeom prst="rect">
                      <a:avLst/>
                    </a:prstGeom>
                    <a:noFill/>
                  </pic:spPr>
                </pic:pic>
              </a:graphicData>
            </a:graphic>
          </wp:inline>
        </w:drawing>
      </w:r>
    </w:p>
    <w:p w:rsidR="009E2B8C" w:rsidRPr="00B24D3E" w:rsidRDefault="009E2B8C" w:rsidP="009E2B8C">
      <w:pPr>
        <w:spacing w:after="0" w:line="360" w:lineRule="auto"/>
        <w:jc w:val="center"/>
        <w:rPr>
          <w:rFonts w:ascii="Times New Roman" w:hAnsi="Times New Roman" w:cs="Times New Roman"/>
          <w:color w:val="000000" w:themeColor="text1"/>
          <w:sz w:val="20"/>
          <w:szCs w:val="24"/>
        </w:rPr>
      </w:pPr>
      <w:r w:rsidRPr="00B24D3E">
        <w:rPr>
          <w:rFonts w:ascii="Times New Roman" w:hAnsi="Times New Roman" w:cs="Times New Roman"/>
          <w:color w:val="000000" w:themeColor="text1"/>
          <w:sz w:val="20"/>
          <w:szCs w:val="24"/>
        </w:rPr>
        <w:t xml:space="preserve">Figura 5 – </w:t>
      </w:r>
      <w:r w:rsidR="00A76FB1" w:rsidRPr="00B24D3E">
        <w:rPr>
          <w:rFonts w:ascii="Times New Roman" w:hAnsi="Times New Roman" w:cs="Times New Roman"/>
          <w:color w:val="000000" w:themeColor="text1"/>
          <w:sz w:val="20"/>
          <w:szCs w:val="24"/>
        </w:rPr>
        <w:t>Suporte em alumínio para o eletrodo-peça.</w:t>
      </w:r>
    </w:p>
    <w:p w:rsidR="00A76FB1" w:rsidRPr="009E2B8C" w:rsidRDefault="00A76FB1" w:rsidP="009E2B8C">
      <w:pPr>
        <w:spacing w:after="0" w:line="360" w:lineRule="auto"/>
        <w:jc w:val="center"/>
        <w:rPr>
          <w:rFonts w:ascii="Times New Roman" w:hAnsi="Times New Roman" w:cs="Times New Roman"/>
          <w:sz w:val="20"/>
          <w:szCs w:val="24"/>
        </w:rPr>
      </w:pPr>
    </w:p>
    <w:p w:rsidR="009E2B8C" w:rsidRDefault="00BA39F0"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Após alguns testes preliminares, verificou-se que </w:t>
      </w:r>
      <w:r w:rsidR="002A65D3">
        <w:rPr>
          <w:rFonts w:ascii="Times New Roman" w:hAnsi="Times New Roman" w:cs="Times New Roman"/>
          <w:sz w:val="24"/>
          <w:szCs w:val="24"/>
        </w:rPr>
        <w:t>a condição</w:t>
      </w:r>
      <w:r w:rsidR="009F74FB">
        <w:rPr>
          <w:rFonts w:ascii="Times New Roman" w:hAnsi="Times New Roman" w:cs="Times New Roman"/>
          <w:sz w:val="24"/>
          <w:szCs w:val="24"/>
        </w:rPr>
        <w:t xml:space="preserve"> </w:t>
      </w:r>
      <w:r>
        <w:rPr>
          <w:rFonts w:ascii="Times New Roman" w:hAnsi="Times New Roman" w:cs="Times New Roman"/>
          <w:sz w:val="24"/>
          <w:szCs w:val="24"/>
        </w:rPr>
        <w:t>que melhor se adequa</w:t>
      </w:r>
      <w:r w:rsidR="008951BB">
        <w:rPr>
          <w:rFonts w:ascii="Times New Roman" w:hAnsi="Times New Roman" w:cs="Times New Roman"/>
          <w:sz w:val="24"/>
          <w:szCs w:val="24"/>
        </w:rPr>
        <w:t>va era</w:t>
      </w:r>
      <w:r>
        <w:rPr>
          <w:rFonts w:ascii="Times New Roman" w:hAnsi="Times New Roman" w:cs="Times New Roman"/>
          <w:sz w:val="24"/>
          <w:szCs w:val="24"/>
        </w:rPr>
        <w:t xml:space="preserve"> o desbaste severo, escolhido de acordo com os ajustes de corrente possibilitados pela máquina de EDM. A Tabela 1 mostra os parâmetros selecionados para realizar </w:t>
      </w:r>
      <w:r w:rsidR="00851DD0">
        <w:rPr>
          <w:rFonts w:ascii="Times New Roman" w:hAnsi="Times New Roman" w:cs="Times New Roman"/>
          <w:sz w:val="24"/>
          <w:szCs w:val="24"/>
        </w:rPr>
        <w:t>o ensaio</w:t>
      </w:r>
      <w:r>
        <w:rPr>
          <w:rFonts w:ascii="Times New Roman" w:hAnsi="Times New Roman" w:cs="Times New Roman"/>
          <w:sz w:val="24"/>
          <w:szCs w:val="24"/>
        </w:rPr>
        <w:t xml:space="preserve">. </w:t>
      </w:r>
    </w:p>
    <w:p w:rsidR="00337E12" w:rsidRDefault="00337E12" w:rsidP="00FF3346">
      <w:pPr>
        <w:spacing w:after="0" w:line="360" w:lineRule="auto"/>
        <w:jc w:val="both"/>
        <w:rPr>
          <w:rFonts w:ascii="Times New Roman" w:hAnsi="Times New Roman" w:cs="Times New Roman"/>
          <w:sz w:val="24"/>
          <w:szCs w:val="24"/>
        </w:rPr>
      </w:pPr>
    </w:p>
    <w:p w:rsidR="00BA39F0" w:rsidRPr="00BA39F0" w:rsidRDefault="00BA39F0" w:rsidP="00BA39F0">
      <w:pPr>
        <w:spacing w:after="0" w:line="360" w:lineRule="auto"/>
        <w:jc w:val="center"/>
        <w:rPr>
          <w:rFonts w:ascii="Times New Roman" w:hAnsi="Times New Roman" w:cs="Times New Roman"/>
          <w:sz w:val="20"/>
          <w:szCs w:val="24"/>
        </w:rPr>
      </w:pPr>
      <w:r w:rsidRPr="00BA39F0">
        <w:rPr>
          <w:rFonts w:ascii="Times New Roman" w:hAnsi="Times New Roman" w:cs="Times New Roman"/>
          <w:sz w:val="20"/>
          <w:szCs w:val="24"/>
        </w:rPr>
        <w:t>Tabela 1 – Parâmetros selecionados para usina</w:t>
      </w:r>
      <w:r w:rsidR="00337E12">
        <w:rPr>
          <w:rFonts w:ascii="Times New Roman" w:hAnsi="Times New Roman" w:cs="Times New Roman"/>
          <w:sz w:val="20"/>
          <w:szCs w:val="24"/>
        </w:rPr>
        <w:t>gem dos corpos de prova por EDM (Elaboração própria).</w:t>
      </w:r>
    </w:p>
    <w:tbl>
      <w:tblPr>
        <w:tblStyle w:val="Tablaconcuadrcula"/>
        <w:tblW w:w="0" w:type="auto"/>
        <w:tblLook w:val="04A0" w:firstRow="1" w:lastRow="0" w:firstColumn="1" w:lastColumn="0" w:noHBand="0" w:noVBand="1"/>
      </w:tblPr>
      <w:tblGrid>
        <w:gridCol w:w="3681"/>
        <w:gridCol w:w="2977"/>
        <w:gridCol w:w="1836"/>
      </w:tblGrid>
      <w:tr w:rsidR="00B24D3E" w:rsidRPr="00B24D3E" w:rsidTr="009B0599">
        <w:tc>
          <w:tcPr>
            <w:tcW w:w="3681" w:type="dxa"/>
            <w:tcBorders>
              <w:left w:val="nil"/>
              <w:right w:val="nil"/>
            </w:tcBorders>
          </w:tcPr>
          <w:p w:rsidR="00BA39F0" w:rsidRPr="00B24D3E" w:rsidRDefault="00BA39F0" w:rsidP="00EF7463">
            <w:pPr>
              <w:jc w:val="center"/>
              <w:rPr>
                <w:rFonts w:ascii="Times New Roman" w:hAnsi="Times New Roman" w:cs="Times New Roman"/>
                <w:b/>
                <w:color w:val="000000" w:themeColor="text1"/>
                <w:sz w:val="24"/>
                <w:szCs w:val="24"/>
              </w:rPr>
            </w:pPr>
            <w:r w:rsidRPr="00B24D3E">
              <w:rPr>
                <w:rFonts w:ascii="Times New Roman" w:hAnsi="Times New Roman" w:cs="Times New Roman"/>
                <w:b/>
                <w:color w:val="000000" w:themeColor="text1"/>
                <w:sz w:val="24"/>
                <w:szCs w:val="24"/>
              </w:rPr>
              <w:t>Parâmetros</w:t>
            </w:r>
          </w:p>
        </w:tc>
        <w:tc>
          <w:tcPr>
            <w:tcW w:w="2977" w:type="dxa"/>
            <w:tcBorders>
              <w:left w:val="nil"/>
              <w:bottom w:val="single" w:sz="4" w:space="0" w:color="auto"/>
              <w:right w:val="nil"/>
            </w:tcBorders>
          </w:tcPr>
          <w:p w:rsidR="00BA39F0" w:rsidRPr="00B24D3E" w:rsidRDefault="00BA39F0" w:rsidP="00EF7463">
            <w:pPr>
              <w:jc w:val="center"/>
              <w:rPr>
                <w:rFonts w:ascii="Times New Roman" w:hAnsi="Times New Roman" w:cs="Times New Roman"/>
                <w:b/>
                <w:color w:val="000000" w:themeColor="text1"/>
                <w:sz w:val="24"/>
                <w:szCs w:val="24"/>
              </w:rPr>
            </w:pPr>
          </w:p>
        </w:tc>
        <w:tc>
          <w:tcPr>
            <w:tcW w:w="1836" w:type="dxa"/>
            <w:tcBorders>
              <w:left w:val="nil"/>
              <w:bottom w:val="single" w:sz="4" w:space="0" w:color="auto"/>
              <w:right w:val="nil"/>
            </w:tcBorders>
          </w:tcPr>
          <w:p w:rsidR="00BA39F0" w:rsidRPr="00B24D3E" w:rsidRDefault="00BA39F0" w:rsidP="00EF7463">
            <w:pPr>
              <w:jc w:val="center"/>
              <w:rPr>
                <w:rFonts w:ascii="Times New Roman" w:hAnsi="Times New Roman" w:cs="Times New Roman"/>
                <w:b/>
                <w:color w:val="000000" w:themeColor="text1"/>
                <w:sz w:val="24"/>
                <w:szCs w:val="24"/>
              </w:rPr>
            </w:pPr>
            <w:r w:rsidRPr="00B24D3E">
              <w:rPr>
                <w:rFonts w:ascii="Times New Roman" w:hAnsi="Times New Roman" w:cs="Times New Roman"/>
                <w:b/>
                <w:color w:val="000000" w:themeColor="text1"/>
                <w:sz w:val="24"/>
                <w:szCs w:val="24"/>
              </w:rPr>
              <w:t>Unidade</w:t>
            </w:r>
          </w:p>
        </w:tc>
      </w:tr>
      <w:tr w:rsidR="00B24D3E" w:rsidRPr="00B24D3E" w:rsidTr="009B0599">
        <w:tc>
          <w:tcPr>
            <w:tcW w:w="3681" w:type="dxa"/>
            <w:tcBorders>
              <w:left w:val="nil"/>
              <w:right w:val="nil"/>
            </w:tcBorders>
          </w:tcPr>
          <w:p w:rsidR="00BA39F0" w:rsidRPr="00B24D3E" w:rsidRDefault="00BA39F0" w:rsidP="00EF7463">
            <w:pP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Polaridade do eletrodo ferramenta</w:t>
            </w:r>
          </w:p>
        </w:tc>
        <w:tc>
          <w:tcPr>
            <w:tcW w:w="2977"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Positiva</w:t>
            </w:r>
          </w:p>
        </w:tc>
        <w:tc>
          <w:tcPr>
            <w:tcW w:w="1836"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w:t>
            </w:r>
          </w:p>
        </w:tc>
      </w:tr>
      <w:tr w:rsidR="00B24D3E" w:rsidRPr="00B24D3E" w:rsidTr="009B0599">
        <w:tc>
          <w:tcPr>
            <w:tcW w:w="3681" w:type="dxa"/>
            <w:tcBorders>
              <w:left w:val="nil"/>
              <w:right w:val="nil"/>
            </w:tcBorders>
          </w:tcPr>
          <w:p w:rsidR="00BA39F0" w:rsidRPr="00B24D3E" w:rsidRDefault="00BA39F0" w:rsidP="00EF7463">
            <w:pP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Tensão</w:t>
            </w:r>
          </w:p>
        </w:tc>
        <w:tc>
          <w:tcPr>
            <w:tcW w:w="2977"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Variável</w:t>
            </w:r>
          </w:p>
        </w:tc>
        <w:tc>
          <w:tcPr>
            <w:tcW w:w="1836"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V</w:t>
            </w:r>
          </w:p>
        </w:tc>
      </w:tr>
      <w:tr w:rsidR="00B24D3E" w:rsidRPr="00B24D3E" w:rsidTr="009B0599">
        <w:tc>
          <w:tcPr>
            <w:tcW w:w="3681" w:type="dxa"/>
            <w:tcBorders>
              <w:left w:val="nil"/>
              <w:right w:val="nil"/>
            </w:tcBorders>
          </w:tcPr>
          <w:p w:rsidR="00BA39F0" w:rsidRPr="00B24D3E" w:rsidRDefault="00BA39F0" w:rsidP="00EF7463">
            <w:pP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Corrente</w:t>
            </w:r>
          </w:p>
        </w:tc>
        <w:tc>
          <w:tcPr>
            <w:tcW w:w="2977"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30</w:t>
            </w:r>
          </w:p>
        </w:tc>
        <w:tc>
          <w:tcPr>
            <w:tcW w:w="1836"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A</w:t>
            </w:r>
          </w:p>
        </w:tc>
      </w:tr>
      <w:tr w:rsidR="00B24D3E" w:rsidRPr="00B24D3E" w:rsidTr="009B0599">
        <w:tc>
          <w:tcPr>
            <w:tcW w:w="3681" w:type="dxa"/>
            <w:tcBorders>
              <w:left w:val="nil"/>
              <w:right w:val="nil"/>
            </w:tcBorders>
          </w:tcPr>
          <w:p w:rsidR="00BA39F0" w:rsidRPr="00B24D3E" w:rsidRDefault="00BA39F0" w:rsidP="00EF7463">
            <w:pP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TS</w:t>
            </w:r>
          </w:p>
        </w:tc>
        <w:tc>
          <w:tcPr>
            <w:tcW w:w="2977"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10</w:t>
            </w:r>
          </w:p>
        </w:tc>
        <w:tc>
          <w:tcPr>
            <w:tcW w:w="1836"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w:t>
            </w:r>
          </w:p>
        </w:tc>
      </w:tr>
      <w:tr w:rsidR="00B24D3E" w:rsidRPr="00B24D3E" w:rsidTr="009B0599">
        <w:tc>
          <w:tcPr>
            <w:tcW w:w="3681" w:type="dxa"/>
            <w:tcBorders>
              <w:left w:val="nil"/>
              <w:right w:val="nil"/>
            </w:tcBorders>
          </w:tcPr>
          <w:p w:rsidR="00BA39F0" w:rsidRPr="00B24D3E" w:rsidRDefault="00BA39F0" w:rsidP="00EF7463">
            <w:pP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Tempo</w:t>
            </w:r>
            <w:r w:rsidR="00851DD0" w:rsidRPr="00B24D3E">
              <w:rPr>
                <w:rFonts w:ascii="Times New Roman" w:hAnsi="Times New Roman" w:cs="Times New Roman"/>
                <w:color w:val="000000" w:themeColor="text1"/>
                <w:sz w:val="24"/>
                <w:szCs w:val="24"/>
              </w:rPr>
              <w:t xml:space="preserve"> de duração do pulso (T</w:t>
            </w:r>
            <w:r w:rsidR="00851DD0" w:rsidRPr="00B24D3E">
              <w:rPr>
                <w:rFonts w:ascii="Times New Roman" w:hAnsi="Times New Roman" w:cs="Times New Roman"/>
                <w:color w:val="000000" w:themeColor="text1"/>
                <w:sz w:val="24"/>
                <w:szCs w:val="24"/>
                <w:vertAlign w:val="subscript"/>
              </w:rPr>
              <w:t>on</w:t>
            </w:r>
            <w:r w:rsidR="00851DD0" w:rsidRPr="00B24D3E">
              <w:rPr>
                <w:rFonts w:ascii="Times New Roman" w:hAnsi="Times New Roman" w:cs="Times New Roman"/>
                <w:color w:val="000000" w:themeColor="text1"/>
                <w:sz w:val="24"/>
                <w:szCs w:val="24"/>
              </w:rPr>
              <w:t>)</w:t>
            </w:r>
          </w:p>
        </w:tc>
        <w:tc>
          <w:tcPr>
            <w:tcW w:w="2977"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450</w:t>
            </w:r>
          </w:p>
        </w:tc>
        <w:tc>
          <w:tcPr>
            <w:tcW w:w="1836"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µs</w:t>
            </w:r>
          </w:p>
        </w:tc>
      </w:tr>
      <w:tr w:rsidR="00B24D3E" w:rsidRPr="00B24D3E" w:rsidTr="009B0599">
        <w:tc>
          <w:tcPr>
            <w:tcW w:w="3681" w:type="dxa"/>
            <w:tcBorders>
              <w:left w:val="nil"/>
              <w:right w:val="nil"/>
            </w:tcBorders>
          </w:tcPr>
          <w:p w:rsidR="00BA39F0" w:rsidRPr="00B24D3E" w:rsidRDefault="00851DD0" w:rsidP="00EF7463">
            <w:pPr>
              <w:rPr>
                <w:rFonts w:ascii="Times New Roman" w:hAnsi="Times New Roman" w:cs="Times New Roman"/>
                <w:color w:val="000000" w:themeColor="text1"/>
                <w:sz w:val="24"/>
                <w:szCs w:val="24"/>
              </w:rPr>
            </w:pPr>
            <w:r w:rsidRPr="00B24D3E">
              <w:rPr>
                <w:rFonts w:ascii="Times New Roman" w:hAnsi="Times New Roman" w:cs="Times New Roman"/>
                <w:i/>
                <w:color w:val="000000" w:themeColor="text1"/>
                <w:sz w:val="24"/>
                <w:szCs w:val="24"/>
              </w:rPr>
              <w:t xml:space="preserve">Duty time </w:t>
            </w:r>
            <w:r w:rsidRPr="00B24D3E">
              <w:rPr>
                <w:rFonts w:ascii="Times New Roman" w:hAnsi="Times New Roman" w:cs="Times New Roman"/>
                <w:color w:val="000000" w:themeColor="text1"/>
                <w:sz w:val="24"/>
                <w:szCs w:val="24"/>
              </w:rPr>
              <w:t>(DT)</w:t>
            </w:r>
          </w:p>
        </w:tc>
        <w:tc>
          <w:tcPr>
            <w:tcW w:w="2977"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78</w:t>
            </w:r>
          </w:p>
        </w:tc>
        <w:tc>
          <w:tcPr>
            <w:tcW w:w="1836"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w:t>
            </w:r>
          </w:p>
        </w:tc>
      </w:tr>
      <w:tr w:rsidR="00B24D3E" w:rsidRPr="00B24D3E" w:rsidTr="009B0599">
        <w:tc>
          <w:tcPr>
            <w:tcW w:w="3681" w:type="dxa"/>
            <w:tcBorders>
              <w:left w:val="nil"/>
              <w:right w:val="nil"/>
            </w:tcBorders>
          </w:tcPr>
          <w:p w:rsidR="00BA39F0" w:rsidRPr="00B24D3E" w:rsidRDefault="00BA39F0" w:rsidP="00EF7463">
            <w:pP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Tempo de erosão</w:t>
            </w:r>
          </w:p>
        </w:tc>
        <w:tc>
          <w:tcPr>
            <w:tcW w:w="2977"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5</w:t>
            </w:r>
          </w:p>
        </w:tc>
        <w:tc>
          <w:tcPr>
            <w:tcW w:w="1836"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s</w:t>
            </w:r>
          </w:p>
        </w:tc>
      </w:tr>
      <w:tr w:rsidR="00B24D3E" w:rsidRPr="00B24D3E" w:rsidTr="009B0599">
        <w:tc>
          <w:tcPr>
            <w:tcW w:w="3681" w:type="dxa"/>
            <w:tcBorders>
              <w:left w:val="nil"/>
              <w:right w:val="nil"/>
            </w:tcBorders>
          </w:tcPr>
          <w:p w:rsidR="00BA39F0" w:rsidRPr="00B24D3E" w:rsidRDefault="00BA39F0" w:rsidP="00EF7463">
            <w:pP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GAP</w:t>
            </w:r>
          </w:p>
        </w:tc>
        <w:tc>
          <w:tcPr>
            <w:tcW w:w="2977"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6,5</w:t>
            </w:r>
          </w:p>
        </w:tc>
        <w:tc>
          <w:tcPr>
            <w:tcW w:w="1836"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mm</w:t>
            </w:r>
          </w:p>
        </w:tc>
      </w:tr>
      <w:tr w:rsidR="00B24D3E" w:rsidRPr="00B24D3E" w:rsidTr="009B0599">
        <w:tc>
          <w:tcPr>
            <w:tcW w:w="3681" w:type="dxa"/>
            <w:tcBorders>
              <w:left w:val="nil"/>
              <w:right w:val="nil"/>
            </w:tcBorders>
          </w:tcPr>
          <w:p w:rsidR="00BA39F0" w:rsidRPr="00B24D3E" w:rsidRDefault="00BA39F0" w:rsidP="00EF7463">
            <w:pP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Sensibilidade</w:t>
            </w:r>
          </w:p>
        </w:tc>
        <w:tc>
          <w:tcPr>
            <w:tcW w:w="2977"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3</w:t>
            </w:r>
          </w:p>
        </w:tc>
        <w:tc>
          <w:tcPr>
            <w:tcW w:w="1836" w:type="dxa"/>
            <w:tcBorders>
              <w:left w:val="nil"/>
              <w:right w:val="nil"/>
            </w:tcBorders>
          </w:tcPr>
          <w:p w:rsidR="00BA39F0" w:rsidRPr="00B24D3E" w:rsidRDefault="00BA39F0" w:rsidP="00EF7463">
            <w:pPr>
              <w:jc w:val="center"/>
              <w:rPr>
                <w:rFonts w:ascii="Times New Roman" w:hAnsi="Times New Roman" w:cs="Times New Roman"/>
                <w:color w:val="000000" w:themeColor="text1"/>
                <w:sz w:val="24"/>
                <w:szCs w:val="24"/>
              </w:rPr>
            </w:pPr>
            <w:r w:rsidRPr="00B24D3E">
              <w:rPr>
                <w:rFonts w:ascii="Times New Roman" w:hAnsi="Times New Roman" w:cs="Times New Roman"/>
                <w:color w:val="000000" w:themeColor="text1"/>
                <w:sz w:val="24"/>
                <w:szCs w:val="24"/>
              </w:rPr>
              <w:t>-</w:t>
            </w:r>
          </w:p>
        </w:tc>
      </w:tr>
    </w:tbl>
    <w:p w:rsidR="00BA39F0" w:rsidRPr="00BA39F0" w:rsidRDefault="00BA39F0" w:rsidP="00BA39F0">
      <w:pPr>
        <w:spacing w:after="0" w:line="360" w:lineRule="auto"/>
        <w:jc w:val="center"/>
        <w:rPr>
          <w:rFonts w:ascii="Times New Roman" w:hAnsi="Times New Roman" w:cs="Times New Roman"/>
          <w:sz w:val="24"/>
          <w:szCs w:val="24"/>
        </w:rPr>
      </w:pPr>
    </w:p>
    <w:p w:rsidR="009E2B8C" w:rsidRDefault="00BA39F0"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É importante ressaltar que o valor da corrente é definido em função do parâmetro </w:t>
      </w:r>
      <w:r>
        <w:rPr>
          <w:rFonts w:ascii="Times New Roman" w:hAnsi="Times New Roman" w:cs="Times New Roman"/>
          <w:i/>
          <w:sz w:val="24"/>
          <w:szCs w:val="24"/>
        </w:rPr>
        <w:t xml:space="preserve">Transistor Standard </w:t>
      </w:r>
      <w:r>
        <w:rPr>
          <w:rFonts w:ascii="Times New Roman" w:hAnsi="Times New Roman" w:cs="Times New Roman"/>
          <w:sz w:val="24"/>
          <w:szCs w:val="24"/>
        </w:rPr>
        <w:t>(TS), de modo que a corrente tem valor igual ao triplo do valor de TS.</w:t>
      </w:r>
      <w:r w:rsidR="002A65D3">
        <w:rPr>
          <w:rFonts w:ascii="Times New Roman" w:hAnsi="Times New Roman" w:cs="Times New Roman"/>
          <w:sz w:val="24"/>
          <w:szCs w:val="24"/>
        </w:rPr>
        <w:t xml:space="preserve"> </w:t>
      </w:r>
      <w:r w:rsidR="008951BB">
        <w:rPr>
          <w:rFonts w:ascii="Times New Roman" w:hAnsi="Times New Roman" w:cs="Times New Roman"/>
          <w:sz w:val="24"/>
          <w:szCs w:val="24"/>
        </w:rPr>
        <w:t>Definidos os parâmetros da usinagem, realizou</w:t>
      </w:r>
      <w:r w:rsidR="002A65D3">
        <w:rPr>
          <w:rFonts w:ascii="Times New Roman" w:hAnsi="Times New Roman" w:cs="Times New Roman"/>
          <w:sz w:val="24"/>
          <w:szCs w:val="24"/>
        </w:rPr>
        <w:t>-se</w:t>
      </w:r>
      <w:r w:rsidR="008951BB">
        <w:rPr>
          <w:rFonts w:ascii="Times New Roman" w:hAnsi="Times New Roman" w:cs="Times New Roman"/>
          <w:sz w:val="24"/>
          <w:szCs w:val="24"/>
        </w:rPr>
        <w:t xml:space="preserve"> o processo de EDM no corpo de prova e </w:t>
      </w:r>
      <w:r w:rsidR="002A65D3">
        <w:rPr>
          <w:rFonts w:ascii="Times New Roman" w:hAnsi="Times New Roman" w:cs="Times New Roman"/>
          <w:sz w:val="24"/>
          <w:szCs w:val="24"/>
        </w:rPr>
        <w:t xml:space="preserve">se </w:t>
      </w:r>
      <w:r w:rsidR="008951BB">
        <w:rPr>
          <w:rFonts w:ascii="Times New Roman" w:hAnsi="Times New Roman" w:cs="Times New Roman"/>
          <w:sz w:val="24"/>
          <w:szCs w:val="24"/>
        </w:rPr>
        <w:t xml:space="preserve">analisou, via Microscopia Eletrônica de Varredura (MEV) e Espectroscopia de Energia Dispersiva (EDS), o resultado obtido. Para isso, utilizou-se um </w:t>
      </w:r>
      <w:r w:rsidR="008951BB" w:rsidRPr="00345A40">
        <w:rPr>
          <w:rFonts w:ascii="Times New Roman" w:hAnsi="Times New Roman" w:cs="Times New Roman"/>
          <w:sz w:val="24"/>
          <w:szCs w:val="24"/>
        </w:rPr>
        <w:t>microscópio eletrônico de varredura do fabricante Zeiss, modelo SUPRA 40, número de série 3185 e resolução igual a 1,3 nm</w:t>
      </w:r>
      <w:r w:rsidR="008951BB">
        <w:rPr>
          <w:rFonts w:ascii="Times New Roman" w:hAnsi="Times New Roman" w:cs="Times New Roman"/>
          <w:sz w:val="24"/>
          <w:szCs w:val="24"/>
        </w:rPr>
        <w:t xml:space="preserve">. Foram captadas imagens </w:t>
      </w:r>
      <w:r w:rsidR="000C2ADB">
        <w:rPr>
          <w:rFonts w:ascii="Times New Roman" w:hAnsi="Times New Roman" w:cs="Times New Roman"/>
          <w:sz w:val="24"/>
          <w:szCs w:val="24"/>
        </w:rPr>
        <w:t xml:space="preserve">e realizada a análise EDS </w:t>
      </w:r>
      <w:r w:rsidR="008951BB">
        <w:rPr>
          <w:rFonts w:ascii="Times New Roman" w:hAnsi="Times New Roman" w:cs="Times New Roman"/>
          <w:sz w:val="24"/>
          <w:szCs w:val="24"/>
        </w:rPr>
        <w:t>em três partes do implante: cabeça (parte superior), meio (parte da rosca) e ponta (parte cônica)</w:t>
      </w:r>
      <w:r w:rsidR="000C2ADB">
        <w:rPr>
          <w:rFonts w:ascii="Times New Roman" w:hAnsi="Times New Roman" w:cs="Times New Roman"/>
          <w:sz w:val="24"/>
          <w:szCs w:val="24"/>
        </w:rPr>
        <w:t>.</w:t>
      </w:r>
    </w:p>
    <w:p w:rsidR="008951BB" w:rsidRPr="00062694" w:rsidRDefault="008951BB" w:rsidP="00FF3346">
      <w:pPr>
        <w:spacing w:after="0" w:line="360" w:lineRule="auto"/>
        <w:jc w:val="both"/>
        <w:rPr>
          <w:rFonts w:ascii="Times New Roman" w:hAnsi="Times New Roman" w:cs="Times New Roman"/>
          <w:sz w:val="24"/>
          <w:szCs w:val="24"/>
        </w:rPr>
      </w:pPr>
    </w:p>
    <w:p w:rsidR="00E437DF" w:rsidRPr="004E1ECE" w:rsidRDefault="00E437DF" w:rsidP="00E437DF">
      <w:pPr>
        <w:spacing w:after="0" w:line="360" w:lineRule="auto"/>
        <w:jc w:val="both"/>
        <w:rPr>
          <w:rFonts w:ascii="Times New Roman" w:hAnsi="Times New Roman" w:cs="Times New Roman"/>
          <w:b/>
          <w:sz w:val="24"/>
          <w:szCs w:val="24"/>
        </w:rPr>
      </w:pPr>
      <w:r w:rsidRPr="004E1ECE">
        <w:rPr>
          <w:rFonts w:ascii="Times New Roman" w:hAnsi="Times New Roman" w:cs="Times New Roman"/>
          <w:b/>
          <w:sz w:val="24"/>
          <w:szCs w:val="24"/>
        </w:rPr>
        <w:t>3. Resultados e discussões</w:t>
      </w:r>
    </w:p>
    <w:p w:rsidR="00340E44" w:rsidRDefault="001F0AB7" w:rsidP="001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Figura </w:t>
      </w:r>
      <w:r w:rsidR="00A43B51">
        <w:rPr>
          <w:rFonts w:ascii="Times New Roman" w:hAnsi="Times New Roman" w:cs="Times New Roman"/>
          <w:sz w:val="24"/>
          <w:szCs w:val="24"/>
        </w:rPr>
        <w:t>6 mostra</w:t>
      </w:r>
      <w:r w:rsidR="008363C9">
        <w:rPr>
          <w:rFonts w:ascii="Times New Roman" w:hAnsi="Times New Roman" w:cs="Times New Roman"/>
          <w:sz w:val="24"/>
          <w:szCs w:val="24"/>
        </w:rPr>
        <w:t xml:space="preserve"> </w:t>
      </w:r>
      <w:r w:rsidR="009B0599">
        <w:rPr>
          <w:rFonts w:ascii="Times New Roman" w:hAnsi="Times New Roman" w:cs="Times New Roman"/>
          <w:sz w:val="24"/>
          <w:szCs w:val="24"/>
        </w:rPr>
        <w:t xml:space="preserve">as </w:t>
      </w:r>
      <w:r w:rsidR="008363C9">
        <w:rPr>
          <w:rFonts w:ascii="Times New Roman" w:hAnsi="Times New Roman" w:cs="Times New Roman"/>
          <w:sz w:val="24"/>
          <w:szCs w:val="24"/>
        </w:rPr>
        <w:t>imagens obtidas via MEV</w:t>
      </w:r>
      <w:r w:rsidR="004948CD">
        <w:rPr>
          <w:rFonts w:ascii="Times New Roman" w:hAnsi="Times New Roman" w:cs="Times New Roman"/>
          <w:sz w:val="24"/>
          <w:szCs w:val="24"/>
        </w:rPr>
        <w:t xml:space="preserve"> </w:t>
      </w:r>
      <w:r w:rsidR="008363C9">
        <w:rPr>
          <w:rFonts w:ascii="Times New Roman" w:hAnsi="Times New Roman" w:cs="Times New Roman"/>
          <w:sz w:val="24"/>
          <w:szCs w:val="24"/>
        </w:rPr>
        <w:t>da parte superior, da rosca e da ponta do implante, respectivamente,</w:t>
      </w:r>
      <w:r w:rsidR="004948CD">
        <w:rPr>
          <w:rFonts w:ascii="Times New Roman" w:hAnsi="Times New Roman" w:cs="Times New Roman"/>
          <w:sz w:val="24"/>
          <w:szCs w:val="24"/>
        </w:rPr>
        <w:t xml:space="preserve"> ap</w:t>
      </w:r>
      <w:r w:rsidR="008363C9">
        <w:rPr>
          <w:rFonts w:ascii="Times New Roman" w:hAnsi="Times New Roman" w:cs="Times New Roman"/>
          <w:sz w:val="24"/>
          <w:szCs w:val="24"/>
        </w:rPr>
        <w:t>ós o processo de EDM. É possível notar que houve o enriquecimento de cálcio e fósforo na superfície do implante</w:t>
      </w:r>
      <w:r w:rsidR="00A43B51">
        <w:rPr>
          <w:rFonts w:ascii="Times New Roman" w:hAnsi="Times New Roman" w:cs="Times New Roman"/>
          <w:sz w:val="24"/>
          <w:szCs w:val="24"/>
        </w:rPr>
        <w:t xml:space="preserve"> na parte superior (Fig. 6a). Analogamente, a região central</w:t>
      </w:r>
      <w:r w:rsidR="008363C9">
        <w:rPr>
          <w:rFonts w:ascii="Times New Roman" w:hAnsi="Times New Roman" w:cs="Times New Roman"/>
          <w:sz w:val="24"/>
          <w:szCs w:val="24"/>
        </w:rPr>
        <w:t xml:space="preserve"> (Fig. 6b</w:t>
      </w:r>
      <w:r w:rsidR="00A43B51">
        <w:rPr>
          <w:rFonts w:ascii="Times New Roman" w:hAnsi="Times New Roman" w:cs="Times New Roman"/>
          <w:sz w:val="24"/>
          <w:szCs w:val="24"/>
        </w:rPr>
        <w:t xml:space="preserve">) e a região da ponta (Fig. 6c) do implante, também apresentaram enriquecimento dos elementos desejados. A </w:t>
      </w:r>
      <w:r w:rsidR="008363C9">
        <w:rPr>
          <w:rFonts w:ascii="Times New Roman" w:hAnsi="Times New Roman" w:cs="Times New Roman"/>
          <w:sz w:val="24"/>
          <w:szCs w:val="24"/>
        </w:rPr>
        <w:t xml:space="preserve">área </w:t>
      </w:r>
      <w:r w:rsidR="00BA7AD0">
        <w:rPr>
          <w:rFonts w:ascii="Times New Roman" w:hAnsi="Times New Roman" w:cs="Times New Roman"/>
          <w:sz w:val="24"/>
          <w:szCs w:val="24"/>
        </w:rPr>
        <w:t xml:space="preserve">da rosca é aquela </w:t>
      </w:r>
      <w:r w:rsidR="00A43B51">
        <w:rPr>
          <w:rFonts w:ascii="Times New Roman" w:hAnsi="Times New Roman" w:cs="Times New Roman"/>
          <w:sz w:val="24"/>
          <w:szCs w:val="24"/>
        </w:rPr>
        <w:t>que</w:t>
      </w:r>
      <w:r w:rsidR="008363C9">
        <w:rPr>
          <w:rFonts w:ascii="Times New Roman" w:hAnsi="Times New Roman" w:cs="Times New Roman"/>
          <w:sz w:val="24"/>
          <w:szCs w:val="24"/>
        </w:rPr>
        <w:t xml:space="preserve"> entra em maior contato com </w:t>
      </w:r>
      <w:r w:rsidR="002A65D3">
        <w:rPr>
          <w:rFonts w:ascii="Times New Roman" w:hAnsi="Times New Roman" w:cs="Times New Roman"/>
          <w:sz w:val="24"/>
          <w:szCs w:val="24"/>
        </w:rPr>
        <w:t xml:space="preserve">o </w:t>
      </w:r>
      <w:r w:rsidR="008363C9">
        <w:rPr>
          <w:rFonts w:ascii="Times New Roman" w:hAnsi="Times New Roman" w:cs="Times New Roman"/>
          <w:sz w:val="24"/>
          <w:szCs w:val="24"/>
        </w:rPr>
        <w:t>tecido ósseo e, portanto, a presença de cálcio e fósforo nessa região é mais importante. Além disso, observa</w:t>
      </w:r>
      <w:r w:rsidR="002A65D3">
        <w:rPr>
          <w:rFonts w:ascii="Times New Roman" w:hAnsi="Times New Roman" w:cs="Times New Roman"/>
          <w:sz w:val="24"/>
          <w:szCs w:val="24"/>
        </w:rPr>
        <w:t>m</w:t>
      </w:r>
      <w:r w:rsidR="008363C9">
        <w:rPr>
          <w:rFonts w:ascii="Times New Roman" w:hAnsi="Times New Roman" w:cs="Times New Roman"/>
          <w:sz w:val="24"/>
          <w:szCs w:val="24"/>
        </w:rPr>
        <w:t xml:space="preserve">-se alguns pontos de descarga elétrica na ponta do implante dentário (Fig. 6c), tendo em vista que </w:t>
      </w:r>
      <w:r w:rsidR="00A43B51">
        <w:rPr>
          <w:rFonts w:ascii="Times New Roman" w:hAnsi="Times New Roman" w:cs="Times New Roman"/>
          <w:sz w:val="24"/>
          <w:szCs w:val="24"/>
        </w:rPr>
        <w:t>se nota</w:t>
      </w:r>
      <w:r w:rsidR="008363C9">
        <w:rPr>
          <w:rFonts w:ascii="Times New Roman" w:hAnsi="Times New Roman" w:cs="Times New Roman"/>
          <w:sz w:val="24"/>
          <w:szCs w:val="24"/>
        </w:rPr>
        <w:t xml:space="preserve"> desgaste na rosca</w:t>
      </w:r>
      <w:r w:rsidR="00A43B51">
        <w:rPr>
          <w:rFonts w:ascii="Times New Roman" w:hAnsi="Times New Roman" w:cs="Times New Roman"/>
          <w:sz w:val="24"/>
          <w:szCs w:val="24"/>
        </w:rPr>
        <w:t xml:space="preserve"> do mesmo</w:t>
      </w:r>
      <w:r w:rsidR="008363C9">
        <w:rPr>
          <w:rFonts w:ascii="Times New Roman" w:hAnsi="Times New Roman" w:cs="Times New Roman"/>
          <w:sz w:val="24"/>
          <w:szCs w:val="24"/>
        </w:rPr>
        <w:t>. Isso é justificado pelo fato de que a rosca na ponta do implante é mais fina, proporcionando assim, um maior número de descargas elétricas nesse ponto, e consequentemente, uma maior concentração de elétrons livre nessa região.</w:t>
      </w:r>
    </w:p>
    <w:p w:rsidR="0005311F" w:rsidRDefault="0005311F" w:rsidP="0005311F">
      <w:pPr>
        <w:spacing w:after="0" w:line="360" w:lineRule="auto"/>
        <w:jc w:val="both"/>
        <w:rPr>
          <w:rFonts w:ascii="Times New Roman" w:hAnsi="Times New Roman" w:cs="Times New Roman"/>
          <w:sz w:val="24"/>
          <w:szCs w:val="24"/>
        </w:rPr>
      </w:pPr>
      <w:r w:rsidRPr="00A04274">
        <w:rPr>
          <w:rFonts w:ascii="Times New Roman" w:hAnsi="Times New Roman" w:cs="Times New Roman"/>
          <w:sz w:val="24"/>
          <w:szCs w:val="24"/>
        </w:rPr>
        <w:t xml:space="preserve">A Figura </w:t>
      </w:r>
      <w:r>
        <w:rPr>
          <w:rFonts w:ascii="Times New Roman" w:hAnsi="Times New Roman" w:cs="Times New Roman"/>
          <w:sz w:val="24"/>
          <w:szCs w:val="24"/>
        </w:rPr>
        <w:t>7</w:t>
      </w:r>
      <w:r w:rsidRPr="00A04274">
        <w:rPr>
          <w:rFonts w:ascii="Times New Roman" w:hAnsi="Times New Roman" w:cs="Times New Roman"/>
          <w:sz w:val="24"/>
          <w:szCs w:val="24"/>
        </w:rPr>
        <w:t xml:space="preserve"> mostra o enriquecimento superficial do implante na região da ponta da trinca</w:t>
      </w:r>
      <w:r>
        <w:rPr>
          <w:rFonts w:ascii="Times New Roman" w:hAnsi="Times New Roman" w:cs="Times New Roman"/>
          <w:sz w:val="24"/>
          <w:szCs w:val="24"/>
        </w:rPr>
        <w:t>, com uma ampliação maior. É possível notar com maior facilidade, os pontos de descargas elétricas e degradação da rosca, na parte inferior do implante (Fig. 7a). Além disso, na Fig. (7b) se observa uma grande deposição de material, semelhante a região refundida observada no trabalho de Santos (2012)</w:t>
      </w:r>
      <w:r w:rsidR="00855C78">
        <w:rPr>
          <w:rFonts w:ascii="Times New Roman" w:hAnsi="Times New Roman" w:cs="Times New Roman"/>
          <w:sz w:val="24"/>
          <w:szCs w:val="24"/>
        </w:rPr>
        <w:t xml:space="preserve"> e Oliveira et al. (2005)</w:t>
      </w:r>
      <w:r>
        <w:rPr>
          <w:rFonts w:ascii="Times New Roman" w:hAnsi="Times New Roman" w:cs="Times New Roman"/>
          <w:sz w:val="24"/>
          <w:szCs w:val="24"/>
        </w:rPr>
        <w:t>.</w:t>
      </w:r>
    </w:p>
    <w:p w:rsidR="008363C9" w:rsidRDefault="005F2B79" w:rsidP="008D7F41">
      <w:pPr>
        <w:spacing w:after="0" w:line="360" w:lineRule="auto"/>
        <w:jc w:val="center"/>
        <w:rPr>
          <w:rFonts w:ascii="Times New Roman" w:hAnsi="Times New Roman" w:cs="Times New Roman"/>
          <w:sz w:val="24"/>
          <w:szCs w:val="24"/>
        </w:rPr>
      </w:pPr>
      <w:r>
        <w:rPr>
          <w:noProof/>
          <w:lang w:val="en-US" w:eastAsia="en-US"/>
        </w:rPr>
        <w:lastRenderedPageBreak/>
        <w:drawing>
          <wp:inline distT="0" distB="0" distL="0" distR="0">
            <wp:extent cx="4352925" cy="353035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361695" cy="3537466"/>
                    </a:xfrm>
                    <a:prstGeom prst="rect">
                      <a:avLst/>
                    </a:prstGeom>
                  </pic:spPr>
                </pic:pic>
              </a:graphicData>
            </a:graphic>
          </wp:inline>
        </w:drawing>
      </w:r>
    </w:p>
    <w:p w:rsidR="001C2C6A" w:rsidRDefault="008363C9" w:rsidP="00A04274">
      <w:pPr>
        <w:spacing w:after="0" w:line="360" w:lineRule="auto"/>
        <w:jc w:val="center"/>
        <w:rPr>
          <w:rFonts w:ascii="Times New Roman" w:hAnsi="Times New Roman" w:cs="Times New Roman"/>
          <w:sz w:val="20"/>
          <w:szCs w:val="24"/>
        </w:rPr>
      </w:pPr>
      <w:r w:rsidRPr="008363C9">
        <w:rPr>
          <w:rFonts w:ascii="Times New Roman" w:hAnsi="Times New Roman" w:cs="Times New Roman"/>
          <w:sz w:val="20"/>
          <w:szCs w:val="24"/>
        </w:rPr>
        <w:t>Figura 6 – Imagens captadas do implante dentário, via MEV</w:t>
      </w:r>
      <w:r w:rsidR="00A43B51">
        <w:rPr>
          <w:rFonts w:ascii="Times New Roman" w:hAnsi="Times New Roman" w:cs="Times New Roman"/>
          <w:sz w:val="20"/>
          <w:szCs w:val="24"/>
        </w:rPr>
        <w:t xml:space="preserve"> (a) da parte superior do implante; (b) da parte central da rosca do implante; e (c) da ponta do implante (Elaboração própria). </w:t>
      </w:r>
      <w:r w:rsidRPr="008363C9">
        <w:rPr>
          <w:rFonts w:ascii="Times New Roman" w:hAnsi="Times New Roman" w:cs="Times New Roman"/>
          <w:sz w:val="20"/>
          <w:szCs w:val="24"/>
        </w:rPr>
        <w:t xml:space="preserve"> </w:t>
      </w:r>
    </w:p>
    <w:p w:rsidR="00EF7463" w:rsidRDefault="00EF7463" w:rsidP="00A04274">
      <w:pPr>
        <w:spacing w:after="0" w:line="360" w:lineRule="auto"/>
        <w:jc w:val="center"/>
        <w:rPr>
          <w:rFonts w:ascii="Times New Roman" w:hAnsi="Times New Roman" w:cs="Times New Roman"/>
          <w:sz w:val="20"/>
          <w:szCs w:val="24"/>
        </w:rPr>
      </w:pPr>
    </w:p>
    <w:p w:rsidR="00A04274" w:rsidRDefault="00A04274" w:rsidP="00A04274">
      <w:pPr>
        <w:spacing w:after="0" w:line="360" w:lineRule="auto"/>
        <w:jc w:val="center"/>
        <w:rPr>
          <w:rFonts w:ascii="Times New Roman" w:hAnsi="Times New Roman" w:cs="Times New Roman"/>
          <w:sz w:val="24"/>
          <w:szCs w:val="24"/>
        </w:rPr>
      </w:pPr>
      <w:r>
        <w:rPr>
          <w:noProof/>
          <w:lang w:val="en-US" w:eastAsia="en-US"/>
        </w:rPr>
        <w:drawing>
          <wp:inline distT="0" distB="0" distL="0" distR="0">
            <wp:extent cx="3943350" cy="1590973"/>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978104" cy="1604995"/>
                    </a:xfrm>
                    <a:prstGeom prst="rect">
                      <a:avLst/>
                    </a:prstGeom>
                  </pic:spPr>
                </pic:pic>
              </a:graphicData>
            </a:graphic>
          </wp:inline>
        </w:drawing>
      </w:r>
    </w:p>
    <w:p w:rsidR="00A04274" w:rsidRPr="008363C9" w:rsidRDefault="001C2C6A" w:rsidP="00A04274">
      <w:pPr>
        <w:spacing w:after="0" w:line="360" w:lineRule="auto"/>
        <w:jc w:val="center"/>
        <w:rPr>
          <w:rFonts w:ascii="Times New Roman" w:hAnsi="Times New Roman" w:cs="Times New Roman"/>
          <w:sz w:val="20"/>
          <w:szCs w:val="24"/>
        </w:rPr>
      </w:pPr>
      <w:r>
        <w:rPr>
          <w:rFonts w:ascii="Times New Roman" w:hAnsi="Times New Roman" w:cs="Times New Roman"/>
          <w:sz w:val="20"/>
          <w:szCs w:val="24"/>
        </w:rPr>
        <w:t>Figura 7</w:t>
      </w:r>
      <w:r w:rsidR="00A04274" w:rsidRPr="008363C9">
        <w:rPr>
          <w:rFonts w:ascii="Times New Roman" w:hAnsi="Times New Roman" w:cs="Times New Roman"/>
          <w:sz w:val="20"/>
          <w:szCs w:val="24"/>
        </w:rPr>
        <w:t xml:space="preserve"> – Imagens captadas </w:t>
      </w:r>
      <w:r w:rsidR="00A04274">
        <w:rPr>
          <w:rFonts w:ascii="Times New Roman" w:hAnsi="Times New Roman" w:cs="Times New Roman"/>
          <w:sz w:val="20"/>
          <w:szCs w:val="24"/>
        </w:rPr>
        <w:t xml:space="preserve">da região da ponta da rosca com maior </w:t>
      </w:r>
      <w:r>
        <w:rPr>
          <w:rFonts w:ascii="Times New Roman" w:hAnsi="Times New Roman" w:cs="Times New Roman"/>
          <w:sz w:val="20"/>
          <w:szCs w:val="24"/>
        </w:rPr>
        <w:t>ampliação</w:t>
      </w:r>
      <w:r w:rsidR="00A04274">
        <w:rPr>
          <w:rFonts w:ascii="Times New Roman" w:hAnsi="Times New Roman" w:cs="Times New Roman"/>
          <w:sz w:val="20"/>
          <w:szCs w:val="24"/>
        </w:rPr>
        <w:t xml:space="preserve"> (Elaboração própria). </w:t>
      </w:r>
      <w:r w:rsidR="00A04274" w:rsidRPr="008363C9">
        <w:rPr>
          <w:rFonts w:ascii="Times New Roman" w:hAnsi="Times New Roman" w:cs="Times New Roman"/>
          <w:sz w:val="20"/>
          <w:szCs w:val="24"/>
        </w:rPr>
        <w:t xml:space="preserve"> </w:t>
      </w:r>
    </w:p>
    <w:p w:rsidR="008D7F41" w:rsidRDefault="008D7F41" w:rsidP="00A43B51">
      <w:pPr>
        <w:spacing w:after="0" w:line="360" w:lineRule="auto"/>
        <w:jc w:val="both"/>
        <w:rPr>
          <w:rFonts w:ascii="Times New Roman" w:hAnsi="Times New Roman" w:cs="Times New Roman"/>
          <w:sz w:val="24"/>
          <w:szCs w:val="24"/>
        </w:rPr>
      </w:pPr>
    </w:p>
    <w:p w:rsidR="00A43B51" w:rsidRDefault="00A43B51" w:rsidP="00A43B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Figura </w:t>
      </w:r>
      <w:r w:rsidR="00A04274">
        <w:rPr>
          <w:rFonts w:ascii="Times New Roman" w:hAnsi="Times New Roman" w:cs="Times New Roman"/>
          <w:sz w:val="24"/>
          <w:szCs w:val="24"/>
        </w:rPr>
        <w:t>8</w:t>
      </w:r>
      <w:r>
        <w:rPr>
          <w:rFonts w:ascii="Times New Roman" w:hAnsi="Times New Roman" w:cs="Times New Roman"/>
          <w:sz w:val="24"/>
          <w:szCs w:val="24"/>
        </w:rPr>
        <w:t xml:space="preserve"> mostra os resultados </w:t>
      </w:r>
      <w:r w:rsidR="004E71A4">
        <w:rPr>
          <w:rFonts w:ascii="Times New Roman" w:hAnsi="Times New Roman" w:cs="Times New Roman"/>
          <w:sz w:val="24"/>
          <w:szCs w:val="24"/>
        </w:rPr>
        <w:t xml:space="preserve">obtidos para as análises de espectroscopia das três regiões do implante dentário. </w:t>
      </w:r>
      <w:r w:rsidR="008D14D1">
        <w:rPr>
          <w:rFonts w:ascii="Times New Roman" w:hAnsi="Times New Roman" w:cs="Times New Roman"/>
          <w:sz w:val="24"/>
          <w:szCs w:val="24"/>
        </w:rPr>
        <w:t xml:space="preserve">Como o material que constitui o implante é composto por uma liga de Ti com alta quantidade de V e Al, se esperava que esses elementos estivessem presentes em grande quantidade na análise de EDS do corpo de prova. Além </w:t>
      </w:r>
      <w:r w:rsidR="008D14D1">
        <w:rPr>
          <w:rFonts w:ascii="Times New Roman" w:hAnsi="Times New Roman" w:cs="Times New Roman"/>
          <w:sz w:val="24"/>
          <w:szCs w:val="24"/>
        </w:rPr>
        <w:lastRenderedPageBreak/>
        <w:t>deles, é possível observar, facilmente, os picos para os elementos Ca e P, principalmente, nas Figs (</w:t>
      </w:r>
      <w:r w:rsidR="00A04274">
        <w:rPr>
          <w:rFonts w:ascii="Times New Roman" w:hAnsi="Times New Roman" w:cs="Times New Roman"/>
          <w:sz w:val="24"/>
          <w:szCs w:val="24"/>
        </w:rPr>
        <w:t>8</w:t>
      </w:r>
      <w:r w:rsidR="008D14D1">
        <w:rPr>
          <w:rFonts w:ascii="Times New Roman" w:hAnsi="Times New Roman" w:cs="Times New Roman"/>
          <w:sz w:val="24"/>
          <w:szCs w:val="24"/>
        </w:rPr>
        <w:t>a) e (</w:t>
      </w:r>
      <w:r w:rsidR="00A04274">
        <w:rPr>
          <w:rFonts w:ascii="Times New Roman" w:hAnsi="Times New Roman" w:cs="Times New Roman"/>
          <w:sz w:val="24"/>
          <w:szCs w:val="24"/>
        </w:rPr>
        <w:t>8</w:t>
      </w:r>
      <w:r w:rsidR="008D14D1">
        <w:rPr>
          <w:rFonts w:ascii="Times New Roman" w:hAnsi="Times New Roman" w:cs="Times New Roman"/>
          <w:sz w:val="24"/>
          <w:szCs w:val="24"/>
        </w:rPr>
        <w:t>b)</w:t>
      </w:r>
      <w:r w:rsidR="00F60B24">
        <w:rPr>
          <w:rFonts w:ascii="Times New Roman" w:hAnsi="Times New Roman" w:cs="Times New Roman"/>
          <w:sz w:val="24"/>
          <w:szCs w:val="24"/>
        </w:rPr>
        <w:t>, das regiões da cabeça e da parte central, respectivamente. Na análise EDS da ponta do implante (</w:t>
      </w:r>
      <w:r w:rsidR="00A04274">
        <w:rPr>
          <w:rFonts w:ascii="Times New Roman" w:hAnsi="Times New Roman" w:cs="Times New Roman"/>
          <w:sz w:val="24"/>
          <w:szCs w:val="24"/>
        </w:rPr>
        <w:t>Fig. 8</w:t>
      </w:r>
      <w:r w:rsidR="00F60B24">
        <w:rPr>
          <w:rFonts w:ascii="Times New Roman" w:hAnsi="Times New Roman" w:cs="Times New Roman"/>
          <w:sz w:val="24"/>
          <w:szCs w:val="24"/>
        </w:rPr>
        <w:t xml:space="preserve">c), os picos observados possuíam menor amplitude, em função da distância da sonda EDS até o implante dentário. Essa distância é uma particularidade das análises via EDS, e ela deve ser mantida </w:t>
      </w:r>
      <w:r w:rsidR="00BA7AD0">
        <w:rPr>
          <w:rFonts w:ascii="Times New Roman" w:hAnsi="Times New Roman" w:cs="Times New Roman"/>
          <w:sz w:val="24"/>
          <w:szCs w:val="24"/>
        </w:rPr>
        <w:t xml:space="preserve">constante </w:t>
      </w:r>
      <w:r w:rsidR="00F60B24">
        <w:rPr>
          <w:rFonts w:ascii="Times New Roman" w:hAnsi="Times New Roman" w:cs="Times New Roman"/>
          <w:sz w:val="24"/>
          <w:szCs w:val="24"/>
        </w:rPr>
        <w:t xml:space="preserve">para se ter uma correta avaliação da composição química do objeto analisado. </w:t>
      </w:r>
    </w:p>
    <w:p w:rsidR="004E71A4" w:rsidRDefault="004E71A4" w:rsidP="001C2C6A">
      <w:pPr>
        <w:spacing w:after="0" w:line="360" w:lineRule="auto"/>
        <w:jc w:val="center"/>
        <w:rPr>
          <w:rFonts w:ascii="Times New Roman" w:hAnsi="Times New Roman" w:cs="Times New Roman"/>
          <w:sz w:val="24"/>
          <w:szCs w:val="24"/>
        </w:rPr>
      </w:pPr>
      <w:r>
        <w:rPr>
          <w:noProof/>
          <w:lang w:val="en-US" w:eastAsia="en-US"/>
        </w:rPr>
        <w:drawing>
          <wp:inline distT="0" distB="0" distL="0" distR="0">
            <wp:extent cx="4892201" cy="4838700"/>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911998" cy="4858280"/>
                    </a:xfrm>
                    <a:prstGeom prst="rect">
                      <a:avLst/>
                    </a:prstGeom>
                  </pic:spPr>
                </pic:pic>
              </a:graphicData>
            </a:graphic>
          </wp:inline>
        </w:drawing>
      </w:r>
    </w:p>
    <w:p w:rsidR="001C2C6A" w:rsidRDefault="00A04274" w:rsidP="00BA7AD0">
      <w:pPr>
        <w:spacing w:after="0" w:line="360" w:lineRule="auto"/>
        <w:jc w:val="center"/>
        <w:rPr>
          <w:rFonts w:ascii="Times New Roman" w:hAnsi="Times New Roman" w:cs="Times New Roman"/>
          <w:sz w:val="20"/>
          <w:szCs w:val="24"/>
        </w:rPr>
      </w:pPr>
      <w:r>
        <w:rPr>
          <w:rFonts w:ascii="Times New Roman" w:hAnsi="Times New Roman" w:cs="Times New Roman"/>
          <w:sz w:val="20"/>
          <w:szCs w:val="24"/>
        </w:rPr>
        <w:t>Figura 8</w:t>
      </w:r>
      <w:r w:rsidR="00991263">
        <w:rPr>
          <w:rFonts w:ascii="Times New Roman" w:hAnsi="Times New Roman" w:cs="Times New Roman"/>
          <w:sz w:val="20"/>
          <w:szCs w:val="24"/>
        </w:rPr>
        <w:t xml:space="preserve"> – Análises de EDS para (a) região superior do implante; (b) região central da rosca do implante; e (c) região da ponta do implante (Elaboração própria).</w:t>
      </w:r>
    </w:p>
    <w:p w:rsidR="0005311F" w:rsidRPr="00BA7AD0" w:rsidRDefault="0005311F" w:rsidP="00BA7AD0">
      <w:pPr>
        <w:spacing w:after="0" w:line="360" w:lineRule="auto"/>
        <w:jc w:val="center"/>
        <w:rPr>
          <w:rFonts w:ascii="Times New Roman" w:hAnsi="Times New Roman" w:cs="Times New Roman"/>
          <w:sz w:val="20"/>
          <w:szCs w:val="24"/>
        </w:rPr>
      </w:pPr>
    </w:p>
    <w:p w:rsidR="0005311F" w:rsidRDefault="0005311F" w:rsidP="000531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Tabela 2 mostra os valores médios e o desvio padrão (DP) em % peso dos elementos químicos das três regiões do implante dentário. As regiões I, II e III representam, respectivamente, as partes superior, central e da ponta do implante dentário.</w:t>
      </w:r>
    </w:p>
    <w:p w:rsidR="001C2C6A" w:rsidRPr="00BF0226" w:rsidRDefault="001C2C6A" w:rsidP="00250E5F">
      <w:pPr>
        <w:spacing w:after="0" w:line="360" w:lineRule="auto"/>
        <w:jc w:val="both"/>
        <w:rPr>
          <w:rFonts w:ascii="Times New Roman" w:hAnsi="Times New Roman" w:cs="Times New Roman"/>
          <w:sz w:val="24"/>
          <w:szCs w:val="24"/>
        </w:rPr>
      </w:pPr>
    </w:p>
    <w:p w:rsidR="002F2D89" w:rsidRPr="00337E12" w:rsidRDefault="00337E12" w:rsidP="00337E12">
      <w:pPr>
        <w:pStyle w:val="1Texto"/>
        <w:ind w:firstLine="0"/>
        <w:jc w:val="center"/>
        <w:rPr>
          <w:color w:val="auto"/>
          <w:sz w:val="20"/>
          <w:lang w:val="pt-BR"/>
        </w:rPr>
      </w:pPr>
      <w:r w:rsidRPr="00337E12">
        <w:rPr>
          <w:color w:val="auto"/>
          <w:sz w:val="20"/>
          <w:lang w:val="pt-BR"/>
        </w:rPr>
        <w:t xml:space="preserve">Tabela 2 – Valores médios e desvios padrão obtidos para análises de composição química das três regiões investigadas </w:t>
      </w:r>
      <w:r w:rsidR="00341023">
        <w:rPr>
          <w:color w:val="auto"/>
          <w:sz w:val="20"/>
          <w:lang w:val="pt-BR"/>
        </w:rPr>
        <w:t xml:space="preserve">em % de peso </w:t>
      </w:r>
      <w:r w:rsidRPr="00337E12">
        <w:rPr>
          <w:color w:val="auto"/>
          <w:sz w:val="20"/>
          <w:lang w:val="pt-BR"/>
        </w:rPr>
        <w:t>(Elaboração própria).</w:t>
      </w:r>
    </w:p>
    <w:tbl>
      <w:tblPr>
        <w:tblStyle w:val="Tablaconcuadrcula"/>
        <w:tblW w:w="0" w:type="auto"/>
        <w:tblLook w:val="04A0" w:firstRow="1" w:lastRow="0" w:firstColumn="1" w:lastColumn="0" w:noHBand="0" w:noVBand="1"/>
      </w:tblPr>
      <w:tblGrid>
        <w:gridCol w:w="1190"/>
        <w:gridCol w:w="1345"/>
        <w:gridCol w:w="1009"/>
        <w:gridCol w:w="1413"/>
        <w:gridCol w:w="997"/>
        <w:gridCol w:w="1417"/>
        <w:gridCol w:w="1123"/>
      </w:tblGrid>
      <w:tr w:rsidR="00243CAA" w:rsidTr="009B0599">
        <w:tc>
          <w:tcPr>
            <w:tcW w:w="1190" w:type="dxa"/>
            <w:vMerge w:val="restart"/>
            <w:tcBorders>
              <w:left w:val="nil"/>
              <w:right w:val="nil"/>
            </w:tcBorders>
            <w:vAlign w:val="center"/>
          </w:tcPr>
          <w:p w:rsidR="00243CAA" w:rsidRPr="009B0599" w:rsidRDefault="00243CAA" w:rsidP="00243CAA">
            <w:pPr>
              <w:pStyle w:val="1Texto"/>
              <w:ind w:firstLine="0"/>
              <w:jc w:val="center"/>
              <w:rPr>
                <w:b/>
                <w:color w:val="auto"/>
                <w:lang w:val="pt-BR"/>
              </w:rPr>
            </w:pPr>
            <w:r w:rsidRPr="009B0599">
              <w:rPr>
                <w:b/>
                <w:color w:val="auto"/>
                <w:lang w:val="pt-BR"/>
              </w:rPr>
              <w:t>Elemento químico</w:t>
            </w:r>
          </w:p>
        </w:tc>
        <w:tc>
          <w:tcPr>
            <w:tcW w:w="2354" w:type="dxa"/>
            <w:gridSpan w:val="2"/>
            <w:tcBorders>
              <w:left w:val="nil"/>
              <w:bottom w:val="single" w:sz="4" w:space="0" w:color="auto"/>
              <w:right w:val="nil"/>
            </w:tcBorders>
            <w:vAlign w:val="center"/>
          </w:tcPr>
          <w:p w:rsidR="00243CAA" w:rsidRPr="009B0599" w:rsidRDefault="00243CAA" w:rsidP="00243CAA">
            <w:pPr>
              <w:pStyle w:val="1Texto"/>
              <w:ind w:firstLine="0"/>
              <w:jc w:val="center"/>
              <w:rPr>
                <w:b/>
                <w:color w:val="auto"/>
                <w:lang w:val="pt-BR"/>
              </w:rPr>
            </w:pPr>
            <w:r w:rsidRPr="009B0599">
              <w:rPr>
                <w:b/>
                <w:color w:val="auto"/>
                <w:lang w:val="pt-BR"/>
              </w:rPr>
              <w:t>Região I</w:t>
            </w:r>
          </w:p>
        </w:tc>
        <w:tc>
          <w:tcPr>
            <w:tcW w:w="2410" w:type="dxa"/>
            <w:gridSpan w:val="2"/>
            <w:tcBorders>
              <w:left w:val="nil"/>
              <w:right w:val="nil"/>
            </w:tcBorders>
            <w:vAlign w:val="center"/>
          </w:tcPr>
          <w:p w:rsidR="00243CAA" w:rsidRPr="009B0599" w:rsidRDefault="00243CAA" w:rsidP="00243CAA">
            <w:pPr>
              <w:pStyle w:val="1Texto"/>
              <w:ind w:firstLine="0"/>
              <w:jc w:val="center"/>
              <w:rPr>
                <w:b/>
                <w:color w:val="auto"/>
                <w:lang w:val="pt-BR"/>
              </w:rPr>
            </w:pPr>
            <w:r w:rsidRPr="009B0599">
              <w:rPr>
                <w:b/>
                <w:color w:val="auto"/>
                <w:lang w:val="pt-BR"/>
              </w:rPr>
              <w:t>Região II</w:t>
            </w:r>
          </w:p>
        </w:tc>
        <w:tc>
          <w:tcPr>
            <w:tcW w:w="2540" w:type="dxa"/>
            <w:gridSpan w:val="2"/>
            <w:tcBorders>
              <w:left w:val="nil"/>
              <w:right w:val="nil"/>
            </w:tcBorders>
            <w:vAlign w:val="center"/>
          </w:tcPr>
          <w:p w:rsidR="00243CAA" w:rsidRPr="009B0599" w:rsidRDefault="00243CAA" w:rsidP="00243CAA">
            <w:pPr>
              <w:pStyle w:val="1Texto"/>
              <w:ind w:firstLine="0"/>
              <w:jc w:val="center"/>
              <w:rPr>
                <w:b/>
                <w:color w:val="auto"/>
                <w:lang w:val="pt-BR"/>
              </w:rPr>
            </w:pPr>
            <w:r w:rsidRPr="009B0599">
              <w:rPr>
                <w:b/>
                <w:color w:val="auto"/>
                <w:lang w:val="pt-BR"/>
              </w:rPr>
              <w:t>Região III</w:t>
            </w:r>
          </w:p>
        </w:tc>
      </w:tr>
      <w:tr w:rsidR="00243CAA" w:rsidTr="009B0599">
        <w:tc>
          <w:tcPr>
            <w:tcW w:w="1190" w:type="dxa"/>
            <w:vMerge/>
            <w:tcBorders>
              <w:left w:val="nil"/>
              <w:right w:val="nil"/>
            </w:tcBorders>
            <w:vAlign w:val="center"/>
          </w:tcPr>
          <w:p w:rsidR="00243CAA" w:rsidRDefault="00243CAA" w:rsidP="00243CAA">
            <w:pPr>
              <w:pStyle w:val="1Texto"/>
              <w:ind w:firstLine="0"/>
              <w:jc w:val="center"/>
              <w:rPr>
                <w:color w:val="auto"/>
                <w:lang w:val="pt-BR"/>
              </w:rPr>
            </w:pPr>
          </w:p>
        </w:tc>
        <w:tc>
          <w:tcPr>
            <w:tcW w:w="1345" w:type="dxa"/>
            <w:tcBorders>
              <w:left w:val="nil"/>
              <w:right w:val="nil"/>
            </w:tcBorders>
            <w:vAlign w:val="center"/>
          </w:tcPr>
          <w:p w:rsidR="00243CAA" w:rsidRPr="009B0599" w:rsidRDefault="00243CAA" w:rsidP="00341023">
            <w:pPr>
              <w:pStyle w:val="1Texto"/>
              <w:ind w:firstLine="0"/>
              <w:jc w:val="center"/>
              <w:rPr>
                <w:b/>
                <w:color w:val="auto"/>
                <w:lang w:val="pt-BR"/>
              </w:rPr>
            </w:pPr>
            <w:r w:rsidRPr="009B0599">
              <w:rPr>
                <w:b/>
                <w:color w:val="auto"/>
                <w:lang w:val="pt-BR"/>
              </w:rPr>
              <w:t xml:space="preserve">Média </w:t>
            </w:r>
          </w:p>
        </w:tc>
        <w:tc>
          <w:tcPr>
            <w:tcW w:w="1009" w:type="dxa"/>
            <w:tcBorders>
              <w:left w:val="nil"/>
              <w:right w:val="nil"/>
            </w:tcBorders>
            <w:vAlign w:val="center"/>
          </w:tcPr>
          <w:p w:rsidR="00243CAA" w:rsidRPr="009B0599" w:rsidRDefault="00243CAA" w:rsidP="00341023">
            <w:pPr>
              <w:pStyle w:val="1Texto"/>
              <w:ind w:firstLine="0"/>
              <w:jc w:val="center"/>
              <w:rPr>
                <w:b/>
                <w:color w:val="auto"/>
                <w:lang w:val="pt-BR"/>
              </w:rPr>
            </w:pPr>
            <w:r w:rsidRPr="009B0599">
              <w:rPr>
                <w:b/>
                <w:color w:val="auto"/>
                <w:lang w:val="pt-BR"/>
              </w:rPr>
              <w:t>DP</w:t>
            </w:r>
          </w:p>
        </w:tc>
        <w:tc>
          <w:tcPr>
            <w:tcW w:w="1413" w:type="dxa"/>
            <w:tcBorders>
              <w:left w:val="nil"/>
              <w:right w:val="nil"/>
            </w:tcBorders>
            <w:vAlign w:val="center"/>
          </w:tcPr>
          <w:p w:rsidR="00243CAA" w:rsidRPr="009B0599" w:rsidRDefault="00243CAA" w:rsidP="00341023">
            <w:pPr>
              <w:pStyle w:val="1Texto"/>
              <w:ind w:firstLine="0"/>
              <w:jc w:val="center"/>
              <w:rPr>
                <w:b/>
                <w:color w:val="auto"/>
                <w:lang w:val="pt-BR"/>
              </w:rPr>
            </w:pPr>
            <w:r w:rsidRPr="009B0599">
              <w:rPr>
                <w:b/>
                <w:color w:val="auto"/>
                <w:lang w:val="pt-BR"/>
              </w:rPr>
              <w:t>Média</w:t>
            </w:r>
          </w:p>
        </w:tc>
        <w:tc>
          <w:tcPr>
            <w:tcW w:w="997" w:type="dxa"/>
            <w:tcBorders>
              <w:left w:val="nil"/>
              <w:right w:val="nil"/>
            </w:tcBorders>
            <w:vAlign w:val="center"/>
          </w:tcPr>
          <w:p w:rsidR="00243CAA" w:rsidRPr="009B0599" w:rsidRDefault="00243CAA" w:rsidP="00341023">
            <w:pPr>
              <w:pStyle w:val="1Texto"/>
              <w:ind w:firstLine="0"/>
              <w:jc w:val="center"/>
              <w:rPr>
                <w:b/>
                <w:color w:val="auto"/>
                <w:lang w:val="pt-BR"/>
              </w:rPr>
            </w:pPr>
            <w:r w:rsidRPr="009B0599">
              <w:rPr>
                <w:b/>
                <w:color w:val="auto"/>
                <w:lang w:val="pt-BR"/>
              </w:rPr>
              <w:t>DP</w:t>
            </w:r>
          </w:p>
        </w:tc>
        <w:tc>
          <w:tcPr>
            <w:tcW w:w="1417" w:type="dxa"/>
            <w:tcBorders>
              <w:left w:val="nil"/>
              <w:right w:val="nil"/>
            </w:tcBorders>
            <w:vAlign w:val="center"/>
          </w:tcPr>
          <w:p w:rsidR="00243CAA" w:rsidRPr="009B0599" w:rsidRDefault="00243CAA" w:rsidP="00341023">
            <w:pPr>
              <w:pStyle w:val="1Texto"/>
              <w:ind w:firstLine="0"/>
              <w:jc w:val="center"/>
              <w:rPr>
                <w:b/>
                <w:color w:val="auto"/>
                <w:lang w:val="pt-BR"/>
              </w:rPr>
            </w:pPr>
            <w:r w:rsidRPr="009B0599">
              <w:rPr>
                <w:b/>
                <w:color w:val="auto"/>
                <w:lang w:val="pt-BR"/>
              </w:rPr>
              <w:t>Média</w:t>
            </w:r>
          </w:p>
        </w:tc>
        <w:tc>
          <w:tcPr>
            <w:tcW w:w="1123" w:type="dxa"/>
            <w:tcBorders>
              <w:left w:val="nil"/>
              <w:right w:val="nil"/>
            </w:tcBorders>
            <w:vAlign w:val="center"/>
          </w:tcPr>
          <w:p w:rsidR="00243CAA" w:rsidRPr="009B0599" w:rsidRDefault="00243CAA" w:rsidP="00341023">
            <w:pPr>
              <w:pStyle w:val="1Texto"/>
              <w:ind w:firstLine="0"/>
              <w:jc w:val="center"/>
              <w:rPr>
                <w:b/>
                <w:color w:val="auto"/>
                <w:lang w:val="pt-BR"/>
              </w:rPr>
            </w:pPr>
            <w:r w:rsidRPr="009B0599">
              <w:rPr>
                <w:b/>
                <w:color w:val="auto"/>
                <w:lang w:val="pt-BR"/>
              </w:rPr>
              <w:t>DP</w:t>
            </w:r>
          </w:p>
        </w:tc>
      </w:tr>
      <w:tr w:rsidR="009B0599" w:rsidTr="009B0599">
        <w:tc>
          <w:tcPr>
            <w:tcW w:w="1190"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Titânio</w:t>
            </w:r>
          </w:p>
        </w:tc>
        <w:tc>
          <w:tcPr>
            <w:tcW w:w="1345"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81,227</w:t>
            </w:r>
          </w:p>
        </w:tc>
        <w:tc>
          <w:tcPr>
            <w:tcW w:w="1009"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2,627</w:t>
            </w:r>
          </w:p>
        </w:tc>
        <w:tc>
          <w:tcPr>
            <w:tcW w:w="141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81,478</w:t>
            </w:r>
          </w:p>
        </w:tc>
        <w:tc>
          <w:tcPr>
            <w:tcW w:w="99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2,620</w:t>
            </w:r>
          </w:p>
        </w:tc>
        <w:tc>
          <w:tcPr>
            <w:tcW w:w="141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84,483</w:t>
            </w:r>
          </w:p>
        </w:tc>
        <w:tc>
          <w:tcPr>
            <w:tcW w:w="112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13,813</w:t>
            </w:r>
          </w:p>
        </w:tc>
      </w:tr>
      <w:tr w:rsidR="009B0599" w:rsidTr="009B0599">
        <w:tc>
          <w:tcPr>
            <w:tcW w:w="1190"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Fósforo</w:t>
            </w:r>
          </w:p>
        </w:tc>
        <w:tc>
          <w:tcPr>
            <w:tcW w:w="1345"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11,160</w:t>
            </w:r>
          </w:p>
        </w:tc>
        <w:tc>
          <w:tcPr>
            <w:tcW w:w="1009"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1,509</w:t>
            </w:r>
          </w:p>
        </w:tc>
        <w:tc>
          <w:tcPr>
            <w:tcW w:w="141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8,482</w:t>
            </w:r>
          </w:p>
        </w:tc>
        <w:tc>
          <w:tcPr>
            <w:tcW w:w="99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1,355</w:t>
            </w:r>
          </w:p>
        </w:tc>
        <w:tc>
          <w:tcPr>
            <w:tcW w:w="141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13,328</w:t>
            </w:r>
          </w:p>
        </w:tc>
        <w:tc>
          <w:tcPr>
            <w:tcW w:w="112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7,202</w:t>
            </w:r>
          </w:p>
        </w:tc>
      </w:tr>
      <w:tr w:rsidR="009B0599" w:rsidTr="009B0599">
        <w:tc>
          <w:tcPr>
            <w:tcW w:w="1190"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Cálcio</w:t>
            </w:r>
          </w:p>
        </w:tc>
        <w:tc>
          <w:tcPr>
            <w:tcW w:w="1345"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3,709</w:t>
            </w:r>
          </w:p>
        </w:tc>
        <w:tc>
          <w:tcPr>
            <w:tcW w:w="1009"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1,073</w:t>
            </w:r>
          </w:p>
        </w:tc>
        <w:tc>
          <w:tcPr>
            <w:tcW w:w="141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3,958</w:t>
            </w:r>
          </w:p>
        </w:tc>
        <w:tc>
          <w:tcPr>
            <w:tcW w:w="99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1,019</w:t>
            </w:r>
          </w:p>
        </w:tc>
        <w:tc>
          <w:tcPr>
            <w:tcW w:w="141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0,830</w:t>
            </w:r>
          </w:p>
        </w:tc>
        <w:tc>
          <w:tcPr>
            <w:tcW w:w="112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6,061</w:t>
            </w:r>
          </w:p>
        </w:tc>
      </w:tr>
      <w:tr w:rsidR="009B0599" w:rsidTr="009B0599">
        <w:tc>
          <w:tcPr>
            <w:tcW w:w="1190"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Alumínio</w:t>
            </w:r>
          </w:p>
        </w:tc>
        <w:tc>
          <w:tcPr>
            <w:tcW w:w="1345"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3,620</w:t>
            </w:r>
          </w:p>
        </w:tc>
        <w:tc>
          <w:tcPr>
            <w:tcW w:w="1009"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1,098</w:t>
            </w:r>
          </w:p>
        </w:tc>
        <w:tc>
          <w:tcPr>
            <w:tcW w:w="141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2,357</w:t>
            </w:r>
          </w:p>
        </w:tc>
        <w:tc>
          <w:tcPr>
            <w:tcW w:w="99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0,949</w:t>
            </w:r>
          </w:p>
        </w:tc>
        <w:tc>
          <w:tcPr>
            <w:tcW w:w="141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0,000</w:t>
            </w:r>
          </w:p>
        </w:tc>
        <w:tc>
          <w:tcPr>
            <w:tcW w:w="112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0,000</w:t>
            </w:r>
          </w:p>
        </w:tc>
      </w:tr>
      <w:tr w:rsidR="009B0599" w:rsidTr="009B0599">
        <w:tc>
          <w:tcPr>
            <w:tcW w:w="1190"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Vanádio</w:t>
            </w:r>
          </w:p>
        </w:tc>
        <w:tc>
          <w:tcPr>
            <w:tcW w:w="1345"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0,284</w:t>
            </w:r>
          </w:p>
        </w:tc>
        <w:tc>
          <w:tcPr>
            <w:tcW w:w="1009"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2,136</w:t>
            </w:r>
          </w:p>
        </w:tc>
        <w:tc>
          <w:tcPr>
            <w:tcW w:w="141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3,725</w:t>
            </w:r>
          </w:p>
        </w:tc>
        <w:tc>
          <w:tcPr>
            <w:tcW w:w="99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2,240</w:t>
            </w:r>
          </w:p>
        </w:tc>
        <w:tc>
          <w:tcPr>
            <w:tcW w:w="1417"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1,359</w:t>
            </w:r>
          </w:p>
        </w:tc>
        <w:tc>
          <w:tcPr>
            <w:tcW w:w="1123" w:type="dxa"/>
            <w:tcBorders>
              <w:left w:val="nil"/>
              <w:right w:val="nil"/>
            </w:tcBorders>
            <w:vAlign w:val="center"/>
          </w:tcPr>
          <w:p w:rsidR="00243CAA" w:rsidRDefault="00243CAA" w:rsidP="00243CAA">
            <w:pPr>
              <w:pStyle w:val="1Texto"/>
              <w:ind w:firstLine="0"/>
              <w:jc w:val="center"/>
              <w:rPr>
                <w:color w:val="auto"/>
                <w:lang w:val="pt-BR"/>
              </w:rPr>
            </w:pPr>
            <w:r>
              <w:rPr>
                <w:color w:val="auto"/>
                <w:lang w:val="pt-BR"/>
              </w:rPr>
              <w:t>12,488</w:t>
            </w:r>
          </w:p>
        </w:tc>
      </w:tr>
    </w:tbl>
    <w:p w:rsidR="0005311F" w:rsidRDefault="0005311F" w:rsidP="00661A2F">
      <w:pPr>
        <w:pStyle w:val="1Texto"/>
        <w:ind w:firstLine="0"/>
        <w:rPr>
          <w:color w:val="auto"/>
          <w:lang w:val="pt-BR"/>
        </w:rPr>
      </w:pPr>
    </w:p>
    <w:p w:rsidR="00F427B3" w:rsidRDefault="00AD5577" w:rsidP="00661A2F">
      <w:pPr>
        <w:pStyle w:val="1Texto"/>
        <w:ind w:firstLine="0"/>
        <w:rPr>
          <w:color w:val="auto"/>
          <w:lang w:val="pt-BR"/>
        </w:rPr>
      </w:pPr>
      <w:r>
        <w:rPr>
          <w:color w:val="auto"/>
          <w:lang w:val="pt-BR"/>
        </w:rPr>
        <w:t>A análise na ponta da trinca (Região III) apresent</w:t>
      </w:r>
      <w:r w:rsidR="00C65D23">
        <w:rPr>
          <w:color w:val="auto"/>
          <w:lang w:val="pt-BR"/>
        </w:rPr>
        <w:t>ou</w:t>
      </w:r>
      <w:r>
        <w:rPr>
          <w:color w:val="auto"/>
          <w:lang w:val="pt-BR"/>
        </w:rPr>
        <w:t xml:space="preserve"> resultados nos quais o desvio padrão </w:t>
      </w:r>
      <w:r w:rsidR="00C65D23">
        <w:rPr>
          <w:color w:val="auto"/>
          <w:lang w:val="pt-BR"/>
        </w:rPr>
        <w:t>foi</w:t>
      </w:r>
      <w:r>
        <w:rPr>
          <w:color w:val="auto"/>
          <w:lang w:val="pt-BR"/>
        </w:rPr>
        <w:t xml:space="preserve"> maior que o valor médio </w:t>
      </w:r>
      <w:r w:rsidR="00341023">
        <w:rPr>
          <w:color w:val="auto"/>
          <w:lang w:val="pt-BR"/>
        </w:rPr>
        <w:t>observado em % de</w:t>
      </w:r>
      <w:r>
        <w:rPr>
          <w:color w:val="auto"/>
          <w:lang w:val="pt-BR"/>
        </w:rPr>
        <w:t xml:space="preserve"> peso do elemento (caso</w:t>
      </w:r>
      <w:r w:rsidR="00805917">
        <w:rPr>
          <w:color w:val="auto"/>
          <w:lang w:val="pt-BR"/>
        </w:rPr>
        <w:t>s</w:t>
      </w:r>
      <w:r>
        <w:rPr>
          <w:color w:val="auto"/>
          <w:lang w:val="pt-BR"/>
        </w:rPr>
        <w:t xml:space="preserve"> do cálcio e vanádio), sendo assim, tais resultados não devem ser considerados para análise da composição química do material. Além disso, nessa região não se observou a presença de alumínio, elemento esse que constitui a liga de titânio do implante dentário. </w:t>
      </w:r>
    </w:p>
    <w:p w:rsidR="00AD5577" w:rsidRDefault="00AD5577" w:rsidP="00661A2F">
      <w:pPr>
        <w:pStyle w:val="1Texto"/>
        <w:ind w:firstLine="0"/>
        <w:rPr>
          <w:color w:val="auto"/>
          <w:lang w:val="pt-BR"/>
        </w:rPr>
      </w:pPr>
      <w:r>
        <w:rPr>
          <w:color w:val="auto"/>
          <w:lang w:val="pt-BR"/>
        </w:rPr>
        <w:t xml:space="preserve">Considerando as análises na região I e II, observou-se uma maior consistência nos resultados, com exceção da quantidade de vanádio na região superior do implante. </w:t>
      </w:r>
      <w:r w:rsidR="00C65D23">
        <w:rPr>
          <w:color w:val="auto"/>
          <w:lang w:val="pt-BR"/>
        </w:rPr>
        <w:t xml:space="preserve">Apesar dos valores percentuais em </w:t>
      </w:r>
      <w:r w:rsidR="00341023">
        <w:rPr>
          <w:color w:val="auto"/>
          <w:lang w:val="pt-BR"/>
        </w:rPr>
        <w:t xml:space="preserve">% de </w:t>
      </w:r>
      <w:r w:rsidR="00C65D23">
        <w:rPr>
          <w:color w:val="auto"/>
          <w:lang w:val="pt-BR"/>
        </w:rPr>
        <w:t>peso de fósforo não terem sido muito próximos, tendo uma diferença relativa de cerca de 24,0 %, foi possível concluir que houve sim enriquecimento do implante por Ca e P, como desejado.</w:t>
      </w:r>
    </w:p>
    <w:p w:rsidR="00337E12" w:rsidRDefault="00337E12" w:rsidP="00661A2F">
      <w:pPr>
        <w:pStyle w:val="1Texto"/>
        <w:ind w:firstLine="0"/>
        <w:rPr>
          <w:color w:val="auto"/>
          <w:lang w:val="pt-BR"/>
        </w:rPr>
      </w:pPr>
      <w:r>
        <w:rPr>
          <w:color w:val="auto"/>
          <w:lang w:val="pt-BR"/>
        </w:rPr>
        <w:t xml:space="preserve">A Figura </w:t>
      </w:r>
      <w:r w:rsidR="00A04274">
        <w:rPr>
          <w:color w:val="auto"/>
          <w:lang w:val="pt-BR"/>
        </w:rPr>
        <w:t>9</w:t>
      </w:r>
      <w:r>
        <w:rPr>
          <w:color w:val="auto"/>
          <w:lang w:val="pt-BR"/>
        </w:rPr>
        <w:t xml:space="preserve"> mostra a relação entre os valores médios e os desvios padrão obtidos para os elementos cál</w:t>
      </w:r>
      <w:r w:rsidR="001B03DA">
        <w:rPr>
          <w:color w:val="auto"/>
          <w:lang w:val="pt-BR"/>
        </w:rPr>
        <w:t xml:space="preserve">cio e fósforo nas regiões I e II. </w:t>
      </w:r>
    </w:p>
    <w:p w:rsidR="00337E12" w:rsidRDefault="00805917" w:rsidP="006D70CA">
      <w:pPr>
        <w:pStyle w:val="1Texto"/>
        <w:ind w:firstLine="0"/>
        <w:jc w:val="center"/>
        <w:rPr>
          <w:color w:val="auto"/>
          <w:lang w:val="pt-BR"/>
        </w:rPr>
      </w:pPr>
      <w:r>
        <w:rPr>
          <w:noProof/>
          <w:lang w:val="en-US" w:eastAsia="en-US"/>
        </w:rPr>
        <w:lastRenderedPageBreak/>
        <w:drawing>
          <wp:inline distT="0" distB="0" distL="0" distR="0">
            <wp:extent cx="4857750" cy="2626521"/>
            <wp:effectExtent l="19050" t="19050" r="19050" b="2159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81558" cy="2639394"/>
                    </a:xfrm>
                    <a:prstGeom prst="rect">
                      <a:avLst/>
                    </a:prstGeom>
                    <a:ln>
                      <a:solidFill>
                        <a:schemeClr val="bg1">
                          <a:lumMod val="85000"/>
                        </a:schemeClr>
                      </a:solidFill>
                    </a:ln>
                  </pic:spPr>
                </pic:pic>
              </a:graphicData>
            </a:graphic>
          </wp:inline>
        </w:drawing>
      </w:r>
    </w:p>
    <w:p w:rsidR="00243CAA" w:rsidRPr="00A71E87" w:rsidRDefault="00A71E87" w:rsidP="00A71E87">
      <w:pPr>
        <w:pStyle w:val="1Texto"/>
        <w:ind w:firstLine="0"/>
        <w:jc w:val="center"/>
        <w:rPr>
          <w:color w:val="auto"/>
          <w:sz w:val="20"/>
          <w:lang w:val="pt-BR"/>
        </w:rPr>
      </w:pPr>
      <w:r w:rsidRPr="00A71E87">
        <w:rPr>
          <w:color w:val="auto"/>
          <w:sz w:val="20"/>
          <w:lang w:val="pt-BR"/>
        </w:rPr>
        <w:t xml:space="preserve">Figura </w:t>
      </w:r>
      <w:r w:rsidR="00A04274">
        <w:rPr>
          <w:color w:val="auto"/>
          <w:sz w:val="20"/>
          <w:lang w:val="pt-BR"/>
        </w:rPr>
        <w:t>9</w:t>
      </w:r>
      <w:r w:rsidRPr="00A71E87">
        <w:rPr>
          <w:color w:val="auto"/>
          <w:sz w:val="20"/>
          <w:lang w:val="pt-BR"/>
        </w:rPr>
        <w:t xml:space="preserve"> – Relação do desvio padrão e valor médio dos resultados obtidos da análise de EDS para as regiões I e II dos elementos Ca e P (Elaboração própria).</w:t>
      </w:r>
    </w:p>
    <w:p w:rsidR="00243CAA" w:rsidRDefault="00243CAA" w:rsidP="00661A2F">
      <w:pPr>
        <w:pStyle w:val="1Texto"/>
        <w:ind w:firstLine="0"/>
        <w:rPr>
          <w:color w:val="auto"/>
          <w:lang w:val="pt-BR"/>
        </w:rPr>
      </w:pPr>
    </w:p>
    <w:p w:rsidR="00A04274" w:rsidRDefault="00A04274" w:rsidP="00A04274">
      <w:pPr>
        <w:pStyle w:val="1Texto"/>
        <w:ind w:firstLine="0"/>
        <w:rPr>
          <w:color w:val="auto"/>
          <w:lang w:val="pt-BR"/>
        </w:rPr>
      </w:pPr>
      <w:r>
        <w:rPr>
          <w:color w:val="auto"/>
          <w:lang w:val="pt-BR"/>
        </w:rPr>
        <w:t>É possível observar que os valores obtidos para o fósforo apresentam uma melhor repetibilidade, em função do desvio padrão representar, no pior caso, cerca de</w:t>
      </w:r>
      <w:r w:rsidR="00805917">
        <w:rPr>
          <w:color w:val="auto"/>
          <w:lang w:val="pt-BR"/>
        </w:rPr>
        <w:t xml:space="preserve"> 16,0 % do valor médio. Já </w:t>
      </w:r>
      <w:r>
        <w:rPr>
          <w:color w:val="auto"/>
          <w:lang w:val="pt-BR"/>
        </w:rPr>
        <w:t>os resultados da análise EDS para o Cálcio, implica</w:t>
      </w:r>
      <w:r w:rsidR="00805917">
        <w:rPr>
          <w:color w:val="auto"/>
          <w:lang w:val="pt-BR"/>
        </w:rPr>
        <w:t>m</w:t>
      </w:r>
      <w:r>
        <w:rPr>
          <w:color w:val="auto"/>
          <w:lang w:val="pt-BR"/>
        </w:rPr>
        <w:t xml:space="preserve"> em relações desvio padrão/média mais elevadas, sendo o maior valor, cerca de 28,9 %. </w:t>
      </w:r>
    </w:p>
    <w:p w:rsidR="00017A59" w:rsidRPr="00415B51" w:rsidRDefault="00017A59" w:rsidP="00661A2F">
      <w:pPr>
        <w:pStyle w:val="1Texto"/>
        <w:ind w:firstLine="0"/>
        <w:rPr>
          <w:color w:val="auto"/>
          <w:lang w:val="pt-BR"/>
        </w:rPr>
      </w:pPr>
      <w:r>
        <w:rPr>
          <w:color w:val="auto"/>
          <w:lang w:val="pt-BR"/>
        </w:rPr>
        <w:t xml:space="preserve"> </w:t>
      </w:r>
    </w:p>
    <w:p w:rsidR="00D82CDE" w:rsidRPr="004E1ECE" w:rsidRDefault="00D82CDE" w:rsidP="00D82CDE">
      <w:pPr>
        <w:spacing w:after="0" w:line="360" w:lineRule="auto"/>
        <w:jc w:val="both"/>
        <w:rPr>
          <w:rFonts w:ascii="Times New Roman" w:hAnsi="Times New Roman" w:cs="Times New Roman"/>
          <w:b/>
          <w:sz w:val="24"/>
          <w:szCs w:val="24"/>
        </w:rPr>
      </w:pPr>
      <w:r w:rsidRPr="004E1ECE">
        <w:rPr>
          <w:rFonts w:ascii="Times New Roman" w:hAnsi="Times New Roman" w:cs="Times New Roman"/>
          <w:b/>
          <w:sz w:val="24"/>
          <w:szCs w:val="24"/>
        </w:rPr>
        <w:t>4. Conclusões</w:t>
      </w:r>
    </w:p>
    <w:p w:rsidR="00D82CDE" w:rsidRDefault="00B801C2" w:rsidP="002F65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Pode-se concluir que </w:t>
      </w:r>
      <w:r w:rsidR="001C2C6A">
        <w:rPr>
          <w:rFonts w:ascii="Times New Roman" w:hAnsi="Times New Roman" w:cs="Times New Roman"/>
          <w:sz w:val="24"/>
          <w:szCs w:val="24"/>
        </w:rPr>
        <w:t>é possív</w:t>
      </w:r>
      <w:r w:rsidR="004D1897">
        <w:rPr>
          <w:rFonts w:ascii="Times New Roman" w:hAnsi="Times New Roman" w:cs="Times New Roman"/>
          <w:sz w:val="24"/>
          <w:szCs w:val="24"/>
        </w:rPr>
        <w:t xml:space="preserve">el realizar o enriquecimento </w:t>
      </w:r>
      <w:r w:rsidR="00341023">
        <w:rPr>
          <w:rFonts w:ascii="Times New Roman" w:hAnsi="Times New Roman" w:cs="Times New Roman"/>
          <w:sz w:val="24"/>
          <w:szCs w:val="24"/>
        </w:rPr>
        <w:t xml:space="preserve">da liga </w:t>
      </w:r>
      <w:r w:rsidR="00341023" w:rsidRPr="008951BB">
        <w:rPr>
          <w:rFonts w:ascii="Times New Roman" w:hAnsi="Times New Roman" w:cs="Times New Roman"/>
          <w:sz w:val="24"/>
          <w:szCs w:val="24"/>
        </w:rPr>
        <w:t>Ti6Al4V</w:t>
      </w:r>
      <w:r w:rsidR="00341023">
        <w:rPr>
          <w:rFonts w:ascii="Times New Roman" w:hAnsi="Times New Roman" w:cs="Times New Roman"/>
          <w:sz w:val="24"/>
          <w:szCs w:val="24"/>
        </w:rPr>
        <w:t xml:space="preserve"> com </w:t>
      </w:r>
      <w:r w:rsidR="004D1897">
        <w:rPr>
          <w:rFonts w:ascii="Times New Roman" w:hAnsi="Times New Roman" w:cs="Times New Roman"/>
          <w:sz w:val="24"/>
          <w:szCs w:val="24"/>
        </w:rPr>
        <w:t xml:space="preserve">os elementos cálcio e fósforo </w:t>
      </w:r>
      <w:r w:rsidR="00341023">
        <w:rPr>
          <w:rFonts w:ascii="Times New Roman" w:hAnsi="Times New Roman" w:cs="Times New Roman"/>
          <w:sz w:val="24"/>
          <w:szCs w:val="24"/>
        </w:rPr>
        <w:t>por meio</w:t>
      </w:r>
      <w:r w:rsidR="004D1897">
        <w:rPr>
          <w:rFonts w:ascii="Times New Roman" w:hAnsi="Times New Roman" w:cs="Times New Roman"/>
          <w:sz w:val="24"/>
          <w:szCs w:val="24"/>
        </w:rPr>
        <w:t xml:space="preserve"> do processo de EDM com um fluido dielétrico composto por </w:t>
      </w:r>
      <w:r w:rsidR="004D1897" w:rsidRPr="004D1897">
        <w:rPr>
          <w:rFonts w:ascii="Times New Roman" w:hAnsi="Times New Roman" w:cs="Times New Roman"/>
          <w:sz w:val="24"/>
          <w:szCs w:val="24"/>
        </w:rPr>
        <w:t>ácido fosfórico</w:t>
      </w:r>
      <w:r w:rsidR="004D1897">
        <w:rPr>
          <w:rFonts w:ascii="Times New Roman" w:hAnsi="Times New Roman" w:cs="Times New Roman"/>
          <w:sz w:val="24"/>
          <w:szCs w:val="24"/>
        </w:rPr>
        <w:t xml:space="preserve"> e </w:t>
      </w:r>
      <w:r w:rsidR="004D1897" w:rsidRPr="004D1897">
        <w:rPr>
          <w:rFonts w:ascii="Times New Roman" w:hAnsi="Times New Roman" w:cs="Times New Roman"/>
          <w:sz w:val="24"/>
          <w:szCs w:val="24"/>
        </w:rPr>
        <w:t>cloreto de cálc</w:t>
      </w:r>
      <w:r w:rsidR="004D1897">
        <w:rPr>
          <w:rFonts w:ascii="Times New Roman" w:hAnsi="Times New Roman" w:cs="Times New Roman"/>
          <w:sz w:val="24"/>
          <w:szCs w:val="24"/>
        </w:rPr>
        <w:t xml:space="preserve">io. Observou uma quantidade em </w:t>
      </w:r>
      <w:r w:rsidR="00341023">
        <w:rPr>
          <w:rFonts w:ascii="Times New Roman" w:hAnsi="Times New Roman" w:cs="Times New Roman"/>
          <w:sz w:val="24"/>
          <w:szCs w:val="24"/>
        </w:rPr>
        <w:t>% de</w:t>
      </w:r>
      <w:r w:rsidR="004D1897">
        <w:rPr>
          <w:rFonts w:ascii="Times New Roman" w:hAnsi="Times New Roman" w:cs="Times New Roman"/>
          <w:sz w:val="24"/>
          <w:szCs w:val="24"/>
        </w:rPr>
        <w:t xml:space="preserve"> peso relevante desses elementos, cerca de 3,8 % para o cálcio e 14,8 % para o fósforo. Entretanto, os resultados apresenta</w:t>
      </w:r>
      <w:r w:rsidR="00341023">
        <w:rPr>
          <w:rFonts w:ascii="Times New Roman" w:hAnsi="Times New Roman" w:cs="Times New Roman"/>
          <w:sz w:val="24"/>
          <w:szCs w:val="24"/>
        </w:rPr>
        <w:t>ra</w:t>
      </w:r>
      <w:r w:rsidR="004D1897">
        <w:rPr>
          <w:rFonts w:ascii="Times New Roman" w:hAnsi="Times New Roman" w:cs="Times New Roman"/>
          <w:sz w:val="24"/>
          <w:szCs w:val="24"/>
        </w:rPr>
        <w:t xml:space="preserve">m baixa repetibilidade, tendo em vista que as análises de EDS indicam relações entre o desvio padrão e a média elevadas, principalmente no caso do cálcio, sendo que para o pior caso se verificou cerca de 28,9 %. </w:t>
      </w:r>
    </w:p>
    <w:p w:rsidR="002F65F3" w:rsidRDefault="002F65F3" w:rsidP="002F65F3">
      <w:pPr>
        <w:spacing w:after="0" w:line="360" w:lineRule="auto"/>
        <w:jc w:val="both"/>
        <w:rPr>
          <w:sz w:val="20"/>
        </w:rPr>
      </w:pPr>
    </w:p>
    <w:p w:rsidR="00CF5BF0" w:rsidRPr="00DE1BB1" w:rsidRDefault="00FF3346" w:rsidP="00DE1BB1">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 xml:space="preserve">5. </w:t>
      </w:r>
      <w:r w:rsidR="00B3323E" w:rsidRPr="00FF3346">
        <w:rPr>
          <w:rFonts w:ascii="Times New Roman" w:hAnsi="Times New Roman" w:cs="Times New Roman"/>
          <w:b/>
          <w:sz w:val="24"/>
          <w:szCs w:val="24"/>
        </w:rPr>
        <w:t>Referências</w:t>
      </w:r>
      <w:r w:rsidRPr="00FF3346">
        <w:rPr>
          <w:rFonts w:ascii="Times New Roman" w:hAnsi="Times New Roman" w:cs="Times New Roman"/>
          <w:b/>
          <w:sz w:val="24"/>
          <w:szCs w:val="24"/>
        </w:rPr>
        <w:t xml:space="preserve"> bibliográficas</w:t>
      </w:r>
    </w:p>
    <w:p w:rsidR="00CF5BF0" w:rsidRDefault="00CF5BF0" w:rsidP="002F65F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CF5BF0">
        <w:rPr>
          <w:rFonts w:ascii="Times New Roman" w:eastAsiaTheme="minorHAnsi" w:hAnsi="Times New Roman" w:cs="Times New Roman"/>
          <w:sz w:val="24"/>
          <w:szCs w:val="24"/>
          <w:lang w:eastAsia="en-US"/>
        </w:rPr>
        <w:t xml:space="preserve">Arantes, L. J. </w:t>
      </w:r>
      <w:r w:rsidRPr="00CF5BF0">
        <w:rPr>
          <w:rFonts w:ascii="Times New Roman" w:eastAsiaTheme="minorHAnsi" w:hAnsi="Times New Roman" w:cs="Times New Roman"/>
          <w:i/>
          <w:sz w:val="24"/>
          <w:szCs w:val="24"/>
          <w:lang w:eastAsia="en-US"/>
        </w:rPr>
        <w:t>“</w:t>
      </w:r>
      <w:r w:rsidRPr="00CF5BF0">
        <w:rPr>
          <w:rFonts w:ascii="Times New Roman" w:eastAsiaTheme="minorHAnsi" w:hAnsi="Times New Roman" w:cs="Times New Roman"/>
          <w:bCs/>
          <w:i/>
          <w:sz w:val="24"/>
          <w:szCs w:val="24"/>
          <w:lang w:eastAsia="en-US"/>
        </w:rPr>
        <w:t>Desenvolvimento e avaliação do processo híbrido de usinagem por descargas elétricas e jato de água abrasivo (AJEDM)”</w:t>
      </w:r>
      <w:r w:rsidRPr="00CF5BF0">
        <w:rPr>
          <w:rFonts w:ascii="Times New Roman" w:eastAsiaTheme="minorHAnsi" w:hAnsi="Times New Roman" w:cs="Times New Roman"/>
          <w:sz w:val="24"/>
          <w:szCs w:val="24"/>
          <w:lang w:eastAsia="en-US"/>
        </w:rPr>
        <w:t>. 2007. 117 f. Tese de Doutorado, Universidade Federal de Uberlândia, Uberlândia.</w:t>
      </w:r>
    </w:p>
    <w:p w:rsidR="002F65F3" w:rsidRDefault="002F65F3" w:rsidP="002F65F3">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2F65F3" w:rsidRPr="00282BB2" w:rsidRDefault="002F65F3" w:rsidP="002F65F3">
      <w:pPr>
        <w:spacing w:after="0" w:line="240" w:lineRule="auto"/>
        <w:jc w:val="both"/>
        <w:rPr>
          <w:rFonts w:ascii="Times New Roman" w:hAnsi="Times New Roman" w:cs="Times New Roman"/>
          <w:sz w:val="24"/>
          <w:szCs w:val="23"/>
        </w:rPr>
      </w:pPr>
      <w:r w:rsidRPr="00282BB2">
        <w:rPr>
          <w:rFonts w:ascii="Times New Roman" w:hAnsi="Times New Roman" w:cs="Times New Roman"/>
          <w:sz w:val="24"/>
          <w:szCs w:val="23"/>
        </w:rPr>
        <w:t xml:space="preserve">Camargo, B. C.; </w:t>
      </w:r>
      <w:r>
        <w:rPr>
          <w:rFonts w:ascii="Times New Roman" w:hAnsi="Times New Roman" w:cs="Times New Roman"/>
          <w:sz w:val="24"/>
          <w:szCs w:val="23"/>
        </w:rPr>
        <w:t>C</w:t>
      </w:r>
      <w:r w:rsidRPr="00282BB2">
        <w:rPr>
          <w:rFonts w:ascii="Times New Roman" w:hAnsi="Times New Roman" w:cs="Times New Roman"/>
          <w:sz w:val="24"/>
          <w:szCs w:val="23"/>
        </w:rPr>
        <w:t xml:space="preserve">osta, H. L.; </w:t>
      </w:r>
      <w:r>
        <w:rPr>
          <w:rFonts w:ascii="Times New Roman" w:hAnsi="Times New Roman" w:cs="Times New Roman"/>
          <w:sz w:val="24"/>
          <w:szCs w:val="23"/>
        </w:rPr>
        <w:t>R</w:t>
      </w:r>
      <w:r w:rsidRPr="00282BB2">
        <w:rPr>
          <w:rFonts w:ascii="Times New Roman" w:hAnsi="Times New Roman" w:cs="Times New Roman"/>
          <w:sz w:val="24"/>
          <w:szCs w:val="23"/>
        </w:rPr>
        <w:t xml:space="preserve">aslan, A. A. </w:t>
      </w:r>
      <w:r>
        <w:rPr>
          <w:rFonts w:ascii="Times New Roman" w:hAnsi="Times New Roman" w:cs="Times New Roman"/>
          <w:sz w:val="24"/>
          <w:szCs w:val="23"/>
        </w:rPr>
        <w:t>“</w:t>
      </w:r>
      <w:r w:rsidRPr="00282BB2">
        <w:rPr>
          <w:rFonts w:ascii="Times New Roman" w:hAnsi="Times New Roman" w:cs="Times New Roman"/>
          <w:bCs/>
          <w:i/>
          <w:sz w:val="24"/>
          <w:szCs w:val="23"/>
        </w:rPr>
        <w:t>Endurecimento Superficial de Uma Liga Ti6Al4V por meio de Usinagem por Descargas Elétricas</w:t>
      </w:r>
      <w:r>
        <w:rPr>
          <w:rFonts w:ascii="Times New Roman" w:hAnsi="Times New Roman" w:cs="Times New Roman"/>
          <w:bCs/>
          <w:sz w:val="24"/>
          <w:szCs w:val="23"/>
        </w:rPr>
        <w:t>”</w:t>
      </w:r>
      <w:r w:rsidRPr="00282BB2">
        <w:rPr>
          <w:rFonts w:ascii="Times New Roman" w:hAnsi="Times New Roman" w:cs="Times New Roman"/>
          <w:sz w:val="24"/>
          <w:szCs w:val="23"/>
        </w:rPr>
        <w:t>. In: COBEF Congresso Brasileiro de Engenharia de Fabricação, 5, Belo Horizonte, MG. 2009.</w:t>
      </w:r>
    </w:p>
    <w:p w:rsidR="002F65F3" w:rsidRPr="00CF5BF0" w:rsidRDefault="002F65F3" w:rsidP="002F65F3">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CF5BF0" w:rsidRPr="00CF5BF0" w:rsidRDefault="00CF5BF0" w:rsidP="002F65F3">
      <w:pPr>
        <w:spacing w:after="0" w:line="240" w:lineRule="auto"/>
        <w:jc w:val="both"/>
        <w:rPr>
          <w:rFonts w:ascii="Times New Roman" w:eastAsiaTheme="minorHAnsi" w:hAnsi="Times New Roman" w:cs="Times New Roman"/>
          <w:color w:val="000000"/>
          <w:sz w:val="24"/>
          <w:szCs w:val="24"/>
          <w:lang w:val="en-US" w:eastAsia="en-US"/>
        </w:rPr>
      </w:pPr>
      <w:r w:rsidRPr="00CF5BF0">
        <w:rPr>
          <w:rFonts w:ascii="Times New Roman" w:eastAsiaTheme="minorHAnsi" w:hAnsi="Times New Roman" w:cs="Times New Roman"/>
          <w:color w:val="000000"/>
          <w:sz w:val="24"/>
          <w:szCs w:val="24"/>
          <w:lang w:val="en-US" w:eastAsia="en-US"/>
        </w:rPr>
        <w:t xml:space="preserve">Guitral, E. B. </w:t>
      </w:r>
      <w:r w:rsidRPr="00CF5BF0">
        <w:rPr>
          <w:rFonts w:ascii="Times New Roman" w:eastAsiaTheme="minorHAnsi" w:hAnsi="Times New Roman" w:cs="Times New Roman"/>
          <w:i/>
          <w:color w:val="000000"/>
          <w:sz w:val="24"/>
          <w:szCs w:val="24"/>
          <w:lang w:val="en-US" w:eastAsia="en-US"/>
        </w:rPr>
        <w:t>“The EDM handbook”.</w:t>
      </w:r>
      <w:r w:rsidRPr="00CF5BF0">
        <w:rPr>
          <w:rFonts w:ascii="Times New Roman" w:eastAsiaTheme="minorHAnsi" w:hAnsi="Times New Roman" w:cs="Times New Roman"/>
          <w:color w:val="000000"/>
          <w:sz w:val="24"/>
          <w:szCs w:val="24"/>
          <w:lang w:val="en-US" w:eastAsia="en-US"/>
        </w:rPr>
        <w:t xml:space="preserve"> Hanser Gardner Publication, Cincinnati. 306 p, 1997.</w:t>
      </w:r>
    </w:p>
    <w:p w:rsidR="00CF5BF0" w:rsidRPr="00CF5BF0" w:rsidRDefault="00CF5BF0" w:rsidP="002F65F3">
      <w:pPr>
        <w:spacing w:after="0" w:line="240" w:lineRule="auto"/>
        <w:jc w:val="both"/>
        <w:rPr>
          <w:rFonts w:ascii="Times New Roman" w:eastAsiaTheme="minorHAnsi" w:hAnsi="Times New Roman" w:cs="Times New Roman"/>
          <w:color w:val="000000"/>
          <w:sz w:val="24"/>
          <w:szCs w:val="24"/>
          <w:lang w:val="en-US" w:eastAsia="en-US"/>
        </w:rPr>
      </w:pPr>
    </w:p>
    <w:p w:rsidR="00CF5BF0" w:rsidRPr="00CF5BF0" w:rsidRDefault="00CF5BF0" w:rsidP="002F65F3">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CF5BF0">
        <w:rPr>
          <w:rFonts w:ascii="Times New Roman" w:eastAsiaTheme="minorHAnsi" w:hAnsi="Times New Roman" w:cs="Times New Roman"/>
          <w:sz w:val="24"/>
          <w:szCs w:val="24"/>
          <w:lang w:val="en-US" w:eastAsia="en-US"/>
        </w:rPr>
        <w:t xml:space="preserve">Ho, K. H.; Newman, S. T. “State of the art electrical discharge machining (EDM)”. </w:t>
      </w:r>
      <w:r w:rsidRPr="00CF5BF0">
        <w:rPr>
          <w:rFonts w:ascii="Times New Roman" w:eastAsiaTheme="minorHAnsi" w:hAnsi="Times New Roman" w:cs="Times New Roman"/>
          <w:i/>
          <w:sz w:val="24"/>
          <w:szCs w:val="24"/>
          <w:lang w:val="en-US" w:eastAsia="en-US"/>
        </w:rPr>
        <w:t>International Journal of Machine Tools and Manufacture, Design, Research and Application</w:t>
      </w:r>
      <w:r w:rsidRPr="00CF5BF0">
        <w:rPr>
          <w:rFonts w:ascii="Times New Roman" w:eastAsiaTheme="minorHAnsi" w:hAnsi="Times New Roman" w:cs="Times New Roman"/>
          <w:sz w:val="24"/>
          <w:szCs w:val="24"/>
          <w:lang w:val="en-US" w:eastAsia="en-US"/>
        </w:rPr>
        <w:t>, p. 1287-1300, 2003</w:t>
      </w:r>
    </w:p>
    <w:p w:rsidR="002F65F3" w:rsidRDefault="002F65F3" w:rsidP="002F65F3">
      <w:pPr>
        <w:spacing w:after="0" w:line="240" w:lineRule="auto"/>
        <w:jc w:val="both"/>
        <w:rPr>
          <w:rFonts w:ascii="Times New Roman" w:hAnsi="Times New Roman" w:cs="Times New Roman"/>
          <w:b/>
          <w:sz w:val="24"/>
          <w:szCs w:val="24"/>
          <w:lang w:val="en-US"/>
        </w:rPr>
      </w:pPr>
    </w:p>
    <w:p w:rsidR="002F65F3" w:rsidRPr="00282BB2" w:rsidRDefault="002F65F3" w:rsidP="002F65F3">
      <w:pPr>
        <w:spacing w:after="0" w:line="240" w:lineRule="auto"/>
        <w:jc w:val="both"/>
        <w:rPr>
          <w:rFonts w:ascii="Times New Roman" w:hAnsi="Times New Roman" w:cs="Times New Roman"/>
          <w:sz w:val="24"/>
          <w:szCs w:val="23"/>
        </w:rPr>
      </w:pPr>
      <w:r w:rsidRPr="00282BB2">
        <w:rPr>
          <w:rFonts w:ascii="Times New Roman" w:hAnsi="Times New Roman" w:cs="Times New Roman"/>
          <w:sz w:val="24"/>
          <w:szCs w:val="23"/>
        </w:rPr>
        <w:t xml:space="preserve">Mandia Jr, J.; Kesselring, A. L. F. </w:t>
      </w:r>
      <w:r>
        <w:rPr>
          <w:rFonts w:ascii="Times New Roman" w:hAnsi="Times New Roman" w:cs="Times New Roman"/>
          <w:sz w:val="24"/>
          <w:szCs w:val="23"/>
        </w:rPr>
        <w:t>“</w:t>
      </w:r>
      <w:r w:rsidRPr="00282BB2">
        <w:rPr>
          <w:rFonts w:ascii="Times New Roman" w:hAnsi="Times New Roman" w:cs="Times New Roman"/>
          <w:bCs/>
          <w:i/>
          <w:sz w:val="24"/>
          <w:szCs w:val="23"/>
        </w:rPr>
        <w:t>Biomecânica em osteointegração</w:t>
      </w:r>
      <w:r>
        <w:rPr>
          <w:rFonts w:ascii="Times New Roman" w:hAnsi="Times New Roman" w:cs="Times New Roman"/>
          <w:bCs/>
          <w:sz w:val="24"/>
          <w:szCs w:val="23"/>
        </w:rPr>
        <w:t>”</w:t>
      </w:r>
      <w:r w:rsidRPr="00282BB2">
        <w:rPr>
          <w:rFonts w:ascii="Times New Roman" w:hAnsi="Times New Roman" w:cs="Times New Roman"/>
          <w:bCs/>
          <w:sz w:val="24"/>
          <w:szCs w:val="23"/>
        </w:rPr>
        <w:t xml:space="preserve">. </w:t>
      </w:r>
      <w:r w:rsidRPr="00282BB2">
        <w:rPr>
          <w:rFonts w:ascii="Times New Roman" w:hAnsi="Times New Roman" w:cs="Times New Roman"/>
          <w:sz w:val="24"/>
          <w:szCs w:val="23"/>
        </w:rPr>
        <w:t>25º Congresso Internacional de Odontologia de São Paulo – 25º CIOSP; Janeiro de 2007</w:t>
      </w:r>
    </w:p>
    <w:p w:rsidR="00CF5BF0" w:rsidRPr="002F65F3" w:rsidRDefault="00CF5BF0" w:rsidP="002F65F3">
      <w:pPr>
        <w:spacing w:after="0" w:line="240" w:lineRule="auto"/>
        <w:jc w:val="both"/>
        <w:rPr>
          <w:rFonts w:ascii="Times New Roman" w:hAnsi="Times New Roman" w:cs="Times New Roman"/>
          <w:sz w:val="24"/>
          <w:szCs w:val="24"/>
        </w:rPr>
      </w:pPr>
    </w:p>
    <w:p w:rsidR="00CF5BF0" w:rsidRPr="00176442" w:rsidRDefault="00CF5BF0" w:rsidP="002F65F3">
      <w:pPr>
        <w:spacing w:after="0" w:line="240" w:lineRule="auto"/>
        <w:jc w:val="both"/>
        <w:rPr>
          <w:rFonts w:ascii="Times New Roman" w:eastAsiaTheme="minorHAnsi" w:hAnsi="Times New Roman" w:cs="Times New Roman"/>
          <w:sz w:val="24"/>
          <w:szCs w:val="24"/>
          <w:lang w:eastAsia="en-US"/>
        </w:rPr>
      </w:pPr>
      <w:r w:rsidRPr="00CF5BF0">
        <w:rPr>
          <w:rFonts w:ascii="Times New Roman" w:eastAsiaTheme="minorHAnsi" w:hAnsi="Times New Roman" w:cs="Times New Roman"/>
          <w:sz w:val="24"/>
          <w:szCs w:val="24"/>
          <w:lang w:val="en-US" w:eastAsia="en-US"/>
        </w:rPr>
        <w:t xml:space="preserve">Mcgeough, J. A. </w:t>
      </w:r>
      <w:r w:rsidRPr="00CF5BF0">
        <w:rPr>
          <w:rFonts w:ascii="Times New Roman" w:eastAsiaTheme="minorHAnsi" w:hAnsi="Times New Roman" w:cs="Times New Roman"/>
          <w:i/>
          <w:sz w:val="24"/>
          <w:szCs w:val="24"/>
          <w:lang w:val="en-US" w:eastAsia="en-US"/>
        </w:rPr>
        <w:t>“Advanced methods of machining”</w:t>
      </w:r>
      <w:r w:rsidRPr="00CF5BF0">
        <w:rPr>
          <w:rFonts w:ascii="Times New Roman" w:eastAsiaTheme="minorHAnsi" w:hAnsi="Times New Roman" w:cs="Times New Roman"/>
          <w:sz w:val="24"/>
          <w:szCs w:val="24"/>
          <w:lang w:val="en-US" w:eastAsia="en-US"/>
        </w:rPr>
        <w:t xml:space="preserve">. </w:t>
      </w:r>
      <w:r w:rsidRPr="00176442">
        <w:rPr>
          <w:rFonts w:ascii="Times New Roman" w:eastAsiaTheme="minorHAnsi" w:hAnsi="Times New Roman" w:cs="Times New Roman"/>
          <w:sz w:val="24"/>
          <w:szCs w:val="24"/>
          <w:lang w:eastAsia="en-US"/>
        </w:rPr>
        <w:t>London: Champman and Hall, 1988.</w:t>
      </w:r>
    </w:p>
    <w:p w:rsidR="00282BB2" w:rsidRDefault="00282BB2" w:rsidP="002F65F3">
      <w:pPr>
        <w:spacing w:after="0" w:line="240" w:lineRule="auto"/>
        <w:jc w:val="both"/>
        <w:rPr>
          <w:rFonts w:ascii="Times New Roman" w:hAnsi="Times New Roman" w:cs="Times New Roman"/>
          <w:sz w:val="24"/>
          <w:szCs w:val="23"/>
        </w:rPr>
      </w:pPr>
    </w:p>
    <w:p w:rsidR="00B74A1C" w:rsidRDefault="00B74A1C" w:rsidP="002F65F3">
      <w:pPr>
        <w:spacing w:after="0" w:line="240" w:lineRule="auto"/>
        <w:jc w:val="both"/>
        <w:rPr>
          <w:rFonts w:ascii="Times New Roman" w:hAnsi="Times New Roman" w:cs="Times New Roman"/>
          <w:sz w:val="24"/>
          <w:szCs w:val="23"/>
        </w:rPr>
      </w:pPr>
      <w:r w:rsidRPr="00B74A1C">
        <w:rPr>
          <w:rFonts w:ascii="Times New Roman" w:hAnsi="Times New Roman" w:cs="Times New Roman"/>
          <w:sz w:val="24"/>
          <w:szCs w:val="23"/>
        </w:rPr>
        <w:t>Santos, R. F.; Silva, E. R.</w:t>
      </w:r>
      <w:r>
        <w:rPr>
          <w:rFonts w:ascii="Times New Roman" w:hAnsi="Times New Roman" w:cs="Times New Roman"/>
          <w:sz w:val="24"/>
          <w:szCs w:val="23"/>
        </w:rPr>
        <w:t xml:space="preserve"> “</w:t>
      </w:r>
      <w:r w:rsidRPr="00B74A1C">
        <w:rPr>
          <w:rFonts w:ascii="Times New Roman" w:hAnsi="Times New Roman" w:cs="Times New Roman"/>
          <w:i/>
          <w:sz w:val="24"/>
          <w:szCs w:val="23"/>
        </w:rPr>
        <w:t>Método de Nitretação Através da Usinagem por Descargas Elétricas – NDE</w:t>
      </w:r>
      <w:r>
        <w:rPr>
          <w:rFonts w:ascii="Times New Roman" w:hAnsi="Times New Roman" w:cs="Times New Roman"/>
          <w:sz w:val="24"/>
          <w:szCs w:val="23"/>
        </w:rPr>
        <w:t>”</w:t>
      </w:r>
      <w:r w:rsidRPr="00B74A1C">
        <w:rPr>
          <w:rFonts w:ascii="Times New Roman" w:hAnsi="Times New Roman" w:cs="Times New Roman"/>
          <w:sz w:val="24"/>
          <w:szCs w:val="23"/>
        </w:rPr>
        <w:t>. 2012, Brasil. Patente: Privilégio de Inovação. Número do registro: BR1020120305232</w:t>
      </w:r>
      <w:r>
        <w:rPr>
          <w:rFonts w:ascii="Times New Roman" w:hAnsi="Times New Roman" w:cs="Times New Roman"/>
          <w:sz w:val="24"/>
          <w:szCs w:val="23"/>
        </w:rPr>
        <w:t>.</w:t>
      </w:r>
      <w:r w:rsidRPr="00B74A1C">
        <w:rPr>
          <w:rFonts w:ascii="Times New Roman" w:hAnsi="Times New Roman" w:cs="Times New Roman"/>
          <w:sz w:val="24"/>
          <w:szCs w:val="23"/>
        </w:rPr>
        <w:t xml:space="preserve"> Instituição de registro: INPI - Instituto Nacional da Propriedade Industrial. Depósito: 12/12/2012</w:t>
      </w:r>
      <w:r>
        <w:rPr>
          <w:rFonts w:ascii="Times New Roman" w:hAnsi="Times New Roman" w:cs="Times New Roman"/>
          <w:sz w:val="24"/>
          <w:szCs w:val="23"/>
        </w:rPr>
        <w:t>.</w:t>
      </w:r>
      <w:r w:rsidRPr="00B74A1C">
        <w:rPr>
          <w:rFonts w:ascii="Times New Roman" w:hAnsi="Times New Roman" w:cs="Times New Roman"/>
          <w:sz w:val="24"/>
          <w:szCs w:val="23"/>
        </w:rPr>
        <w:t xml:space="preserve"> Fundação de Amparo à Pesquisa do Estado de Minas Gerais (FAPEMIG), Universidade Federal de Uberlândia (UFU).</w:t>
      </w:r>
    </w:p>
    <w:p w:rsidR="0071730A" w:rsidRDefault="0071730A" w:rsidP="002F65F3">
      <w:pPr>
        <w:spacing w:after="0" w:line="240" w:lineRule="auto"/>
        <w:jc w:val="both"/>
        <w:rPr>
          <w:rFonts w:ascii="Times New Roman" w:hAnsi="Times New Roman" w:cs="Times New Roman"/>
          <w:sz w:val="24"/>
          <w:szCs w:val="23"/>
        </w:rPr>
      </w:pPr>
    </w:p>
    <w:p w:rsidR="0071730A" w:rsidRDefault="00502A09" w:rsidP="002F65F3">
      <w:pPr>
        <w:spacing w:after="0" w:line="240" w:lineRule="auto"/>
        <w:jc w:val="both"/>
        <w:rPr>
          <w:rFonts w:ascii="Times New Roman" w:hAnsi="Times New Roman" w:cs="Times New Roman"/>
          <w:sz w:val="24"/>
          <w:szCs w:val="23"/>
        </w:rPr>
      </w:pPr>
      <w:r w:rsidRPr="0071730A">
        <w:rPr>
          <w:rFonts w:ascii="Times New Roman" w:hAnsi="Times New Roman" w:cs="Times New Roman"/>
          <w:sz w:val="24"/>
          <w:szCs w:val="23"/>
        </w:rPr>
        <w:t>Oliveira, A. R.; Scharz, D.; Silva, L. B.; Raslan, A. A.; Santos, R. F.; Silva, E. R., 2005. “</w:t>
      </w:r>
      <w:r w:rsidRPr="0071730A">
        <w:rPr>
          <w:rFonts w:ascii="Times New Roman" w:hAnsi="Times New Roman" w:cs="Times New Roman"/>
          <w:i/>
          <w:sz w:val="24"/>
          <w:szCs w:val="23"/>
        </w:rPr>
        <w:t>Enriquecimento Superficial de Ligas de Titânio para Implantes Odontológicos com Cálcio e Fósforo pelo Processo de Descargas Elétricas</w:t>
      </w:r>
      <w:r w:rsidRPr="0071730A">
        <w:rPr>
          <w:rFonts w:ascii="Times New Roman" w:hAnsi="Times New Roman" w:cs="Times New Roman"/>
          <w:sz w:val="24"/>
          <w:szCs w:val="23"/>
        </w:rPr>
        <w:t>”. 8º COBEF – Congresso Brasileiro de Engenharia de Fabricação. Salvador, Brasil.</w:t>
      </w:r>
    </w:p>
    <w:p w:rsidR="00B74A1C" w:rsidRPr="00176442" w:rsidRDefault="00B74A1C" w:rsidP="002F65F3">
      <w:pPr>
        <w:spacing w:after="0" w:line="240" w:lineRule="auto"/>
        <w:jc w:val="both"/>
        <w:rPr>
          <w:rFonts w:ascii="Times New Roman" w:hAnsi="Times New Roman" w:cs="Times New Roman"/>
          <w:sz w:val="24"/>
          <w:szCs w:val="23"/>
        </w:rPr>
      </w:pPr>
    </w:p>
    <w:p w:rsidR="00282BB2" w:rsidRPr="00B85363" w:rsidRDefault="00282BB2" w:rsidP="002F65F3">
      <w:pPr>
        <w:spacing w:after="0" w:line="240" w:lineRule="auto"/>
        <w:jc w:val="both"/>
        <w:rPr>
          <w:rFonts w:ascii="Times New Roman" w:hAnsi="Times New Roman" w:cs="Times New Roman"/>
          <w:sz w:val="24"/>
          <w:szCs w:val="23"/>
          <w:lang w:val="en-US"/>
        </w:rPr>
      </w:pPr>
      <w:r w:rsidRPr="00282BB2">
        <w:rPr>
          <w:rFonts w:ascii="Times New Roman" w:hAnsi="Times New Roman" w:cs="Times New Roman"/>
          <w:sz w:val="24"/>
          <w:szCs w:val="23"/>
        </w:rPr>
        <w:t xml:space="preserve">Santos, R. F. </w:t>
      </w:r>
      <w:r>
        <w:rPr>
          <w:rFonts w:ascii="Times New Roman" w:hAnsi="Times New Roman" w:cs="Times New Roman"/>
          <w:sz w:val="24"/>
          <w:szCs w:val="23"/>
        </w:rPr>
        <w:t>“</w:t>
      </w:r>
      <w:r w:rsidRPr="00282BB2">
        <w:rPr>
          <w:rFonts w:ascii="Times New Roman" w:hAnsi="Times New Roman" w:cs="Times New Roman"/>
          <w:bCs/>
          <w:i/>
          <w:sz w:val="24"/>
          <w:szCs w:val="23"/>
        </w:rPr>
        <w:t>Nitretação por EDM do aço AISI 4140</w:t>
      </w:r>
      <w:r>
        <w:rPr>
          <w:rFonts w:ascii="Times New Roman" w:hAnsi="Times New Roman" w:cs="Times New Roman"/>
          <w:bCs/>
          <w:sz w:val="24"/>
          <w:szCs w:val="23"/>
        </w:rPr>
        <w:t>”</w:t>
      </w:r>
      <w:r w:rsidRPr="00282BB2">
        <w:rPr>
          <w:rFonts w:ascii="Times New Roman" w:hAnsi="Times New Roman" w:cs="Times New Roman"/>
          <w:sz w:val="24"/>
          <w:szCs w:val="23"/>
        </w:rPr>
        <w:t xml:space="preserve">. 139 f. Tese de Doutorado. Universidade Federal de Uberlândia. </w:t>
      </w:r>
      <w:r w:rsidRPr="00941F1D">
        <w:rPr>
          <w:rFonts w:ascii="Times New Roman" w:hAnsi="Times New Roman" w:cs="Times New Roman"/>
          <w:sz w:val="24"/>
          <w:szCs w:val="23"/>
          <w:lang w:val="en-US"/>
        </w:rPr>
        <w:t>Uberlândia</w:t>
      </w:r>
      <w:r w:rsidRPr="00B85363">
        <w:rPr>
          <w:rFonts w:ascii="Times New Roman" w:hAnsi="Times New Roman" w:cs="Times New Roman"/>
          <w:sz w:val="24"/>
          <w:szCs w:val="23"/>
          <w:lang w:val="en-US"/>
        </w:rPr>
        <w:t>. 2012.</w:t>
      </w:r>
    </w:p>
    <w:p w:rsidR="00282BB2" w:rsidRPr="00B85363" w:rsidRDefault="00282BB2" w:rsidP="002F65F3">
      <w:pPr>
        <w:spacing w:after="0" w:line="240" w:lineRule="auto"/>
        <w:jc w:val="both"/>
        <w:rPr>
          <w:rFonts w:ascii="Times New Roman" w:hAnsi="Times New Roman" w:cs="Times New Roman"/>
          <w:sz w:val="24"/>
          <w:szCs w:val="23"/>
          <w:lang w:val="en-US"/>
        </w:rPr>
      </w:pPr>
    </w:p>
    <w:p w:rsidR="00282BB2" w:rsidRPr="00282BB2" w:rsidRDefault="00282BB2" w:rsidP="002F65F3">
      <w:pPr>
        <w:spacing w:after="0" w:line="240" w:lineRule="auto"/>
        <w:jc w:val="both"/>
        <w:rPr>
          <w:rFonts w:ascii="Times New Roman" w:hAnsi="Times New Roman" w:cs="Times New Roman"/>
          <w:sz w:val="28"/>
          <w:szCs w:val="24"/>
          <w:lang w:val="en-US"/>
        </w:rPr>
      </w:pPr>
      <w:r w:rsidRPr="00282BB2">
        <w:rPr>
          <w:rFonts w:ascii="Times New Roman" w:hAnsi="Times New Roman" w:cs="Times New Roman"/>
          <w:sz w:val="24"/>
          <w:szCs w:val="23"/>
          <w:lang w:val="en-US"/>
        </w:rPr>
        <w:t xml:space="preserve">Yan, B.H., Tsai, H.C. </w:t>
      </w:r>
      <w:r>
        <w:rPr>
          <w:rFonts w:ascii="Times New Roman" w:hAnsi="Times New Roman" w:cs="Times New Roman"/>
          <w:sz w:val="24"/>
          <w:szCs w:val="23"/>
          <w:lang w:val="en-US"/>
        </w:rPr>
        <w:t>e</w:t>
      </w:r>
      <w:r w:rsidRPr="00282BB2">
        <w:rPr>
          <w:rFonts w:ascii="Times New Roman" w:hAnsi="Times New Roman" w:cs="Times New Roman"/>
          <w:sz w:val="24"/>
          <w:szCs w:val="23"/>
          <w:lang w:val="en-US"/>
        </w:rPr>
        <w:t xml:space="preserve"> Huang, F.Y. </w:t>
      </w:r>
      <w:r>
        <w:rPr>
          <w:rFonts w:ascii="Times New Roman" w:hAnsi="Times New Roman" w:cs="Times New Roman"/>
          <w:sz w:val="24"/>
          <w:szCs w:val="23"/>
          <w:lang w:val="en-US"/>
        </w:rPr>
        <w:t>“</w:t>
      </w:r>
      <w:r w:rsidRPr="00282BB2">
        <w:rPr>
          <w:rFonts w:ascii="Times New Roman" w:hAnsi="Times New Roman" w:cs="Times New Roman"/>
          <w:bCs/>
          <w:sz w:val="24"/>
          <w:szCs w:val="23"/>
          <w:lang w:val="en-US"/>
        </w:rPr>
        <w:t>The Effect in EDM of a Dielectric of a Urea Solutions in Water on Modifying the surface of Titanium</w:t>
      </w:r>
      <w:r>
        <w:rPr>
          <w:rFonts w:ascii="Times New Roman" w:hAnsi="Times New Roman" w:cs="Times New Roman"/>
          <w:bCs/>
          <w:sz w:val="24"/>
          <w:szCs w:val="23"/>
          <w:lang w:val="en-US"/>
        </w:rPr>
        <w:t>”</w:t>
      </w:r>
      <w:r w:rsidRPr="00282BB2">
        <w:rPr>
          <w:rFonts w:ascii="Times New Roman" w:hAnsi="Times New Roman" w:cs="Times New Roman"/>
          <w:bCs/>
          <w:sz w:val="24"/>
          <w:szCs w:val="23"/>
          <w:lang w:val="en-US"/>
        </w:rPr>
        <w:t xml:space="preserve">. </w:t>
      </w:r>
      <w:r w:rsidRPr="00282BB2">
        <w:rPr>
          <w:rFonts w:ascii="Times New Roman" w:hAnsi="Times New Roman" w:cs="Times New Roman"/>
          <w:i/>
          <w:sz w:val="24"/>
          <w:szCs w:val="23"/>
          <w:lang w:val="en-US"/>
        </w:rPr>
        <w:t>International Journal of Machining Tools and Manufacture</w:t>
      </w:r>
      <w:r w:rsidRPr="00282BB2">
        <w:rPr>
          <w:rFonts w:ascii="Times New Roman" w:hAnsi="Times New Roman" w:cs="Times New Roman"/>
          <w:sz w:val="24"/>
          <w:szCs w:val="23"/>
          <w:lang w:val="en-US"/>
        </w:rPr>
        <w:t>, 45 (2005) 194-200. 2005.</w:t>
      </w:r>
    </w:p>
    <w:sectPr w:rsidR="00282BB2" w:rsidRPr="00282BB2" w:rsidSect="00C8585B">
      <w:headerReference w:type="default" r:id="rId21"/>
      <w:footerReference w:type="default" r:id="rId2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4E0" w:rsidRDefault="008F34E0" w:rsidP="00C8585B">
      <w:pPr>
        <w:spacing w:after="0" w:line="240" w:lineRule="auto"/>
      </w:pPr>
      <w:r>
        <w:separator/>
      </w:r>
    </w:p>
  </w:endnote>
  <w:endnote w:type="continuationSeparator" w:id="0">
    <w:p w:rsidR="008F34E0" w:rsidRDefault="008F34E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charset w:val="00"/>
    <w:family w:val="modern"/>
    <w:pitch w:val="fixed"/>
    <w:sig w:usb0="E10002FF" w:usb1="4000FCFF" w:usb2="00000009" w:usb3="00000000" w:csb0="000001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497" w:rsidRDefault="005E2497" w:rsidP="005E2497">
    <w:pPr>
      <w:pStyle w:val="Piedepgina"/>
      <w:jc w:val="center"/>
      <w:rPr>
        <w:rFonts w:ascii="Times New Roman" w:hAnsi="Times New Roman" w:cs="Times New Roman"/>
        <w:sz w:val="24"/>
      </w:rPr>
    </w:pPr>
  </w:p>
  <w:p w:rsidR="00707DA4" w:rsidRDefault="00A55B9A" w:rsidP="005E2497">
    <w:pPr>
      <w:pStyle w:val="Piedepgina"/>
      <w:jc w:val="center"/>
      <w:rPr>
        <w:rStyle w:val="Hipervnculo"/>
        <w:rFonts w:ascii="Times New Roman" w:hAnsi="Times New Roman" w:cs="Times New Roman"/>
        <w:sz w:val="28"/>
        <w:szCs w:val="24"/>
      </w:rPr>
    </w:pPr>
    <w:r>
      <w:rPr>
        <w:rStyle w:val="Hipervnculo"/>
        <w:rFonts w:ascii="Times New Roman" w:hAnsi="Times New Roman" w:cs="Times New Roman"/>
        <w:sz w:val="28"/>
        <w:szCs w:val="24"/>
      </w:rPr>
      <w:t>scharf28@hotmail.com</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00707DA4" w:rsidRPr="00A71857">
        <w:rPr>
          <w:rStyle w:val="Hipervnculo"/>
          <w:rFonts w:ascii="Times New Roman" w:hAnsi="Times New Roman" w:cs="Times New Roman"/>
          <w:sz w:val="28"/>
        </w:rPr>
        <w:t>convencionuclv@uclv.cu</w:t>
      </w:r>
    </w:hyperlink>
  </w:p>
  <w:p w:rsidR="005E2497" w:rsidRPr="007559FA" w:rsidRDefault="008F34E0"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4E0" w:rsidRDefault="008F34E0" w:rsidP="00C8585B">
      <w:pPr>
        <w:spacing w:after="0" w:line="240" w:lineRule="auto"/>
      </w:pPr>
      <w:r>
        <w:separator/>
      </w:r>
    </w:p>
  </w:footnote>
  <w:footnote w:type="continuationSeparator" w:id="0">
    <w:p w:rsidR="008F34E0" w:rsidRDefault="008F34E0"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58" w:rsidRPr="005B6986" w:rsidRDefault="00640758" w:rsidP="00E83573">
    <w:pPr>
      <w:pStyle w:val="Encabezado"/>
      <w:jc w:val="center"/>
      <w:rPr>
        <w:rFonts w:ascii="Times New Roman" w:hAnsi="Times New Roman" w:cs="Times New Roman"/>
        <w:b/>
        <w:sz w:val="24"/>
        <w:lang w:val="es-ES_tradnl"/>
      </w:rPr>
    </w:pPr>
    <w:r>
      <w:rPr>
        <w:rFonts w:ascii="Times New Roman" w:hAnsi="Times New Roman" w:cs="Times New Roman"/>
        <w:noProof/>
        <w:sz w:val="24"/>
        <w:szCs w:val="24"/>
        <w:lang w:val="en-US" w:eastAsia="en-U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5B6986">
      <w:rPr>
        <w:rFonts w:ascii="Times New Roman" w:hAnsi="Times New Roman" w:cs="Times New Roman"/>
        <w:b/>
        <w:sz w:val="24"/>
        <w:lang w:val="es-ES_tradnl"/>
      </w:rPr>
      <w:t xml:space="preserve">PLANTILLA OFICIAL PARA LA </w:t>
    </w:r>
    <w:r w:rsidRPr="005B6986">
      <w:rPr>
        <w:rFonts w:ascii="Times New Roman" w:hAnsi="Times New Roman" w:cs="Times New Roman"/>
        <w:b/>
        <w:sz w:val="24"/>
        <w:lang w:val="es-ES_tradnl"/>
      </w:rPr>
      <w:t>PRESENTACIÓ</w:t>
    </w:r>
    <w:r w:rsidR="00E83573" w:rsidRPr="005B6986">
      <w:rPr>
        <w:rFonts w:ascii="Times New Roman" w:hAnsi="Times New Roman" w:cs="Times New Roman"/>
        <w:b/>
        <w:sz w:val="24"/>
        <w:lang w:val="es-ES_tradnl"/>
      </w:rPr>
      <w:t>N DE TRA</w:t>
    </w:r>
    <w:r w:rsidRPr="005B6986">
      <w:rPr>
        <w:rFonts w:ascii="Times New Roman" w:hAnsi="Times New Roman" w:cs="Times New Roman"/>
        <w:b/>
        <w:sz w:val="24"/>
        <w:lang w:val="es-ES_tradnl"/>
      </w:rPr>
      <w:t xml:space="preserve">BAJOS </w:t>
    </w:r>
  </w:p>
  <w:p w:rsidR="005E2497" w:rsidRPr="005B6986" w:rsidRDefault="00640758" w:rsidP="00E83573">
    <w:pPr>
      <w:pStyle w:val="Encabezado"/>
      <w:jc w:val="center"/>
      <w:rPr>
        <w:rFonts w:ascii="Times New Roman" w:hAnsi="Times New Roman" w:cs="Times New Roman"/>
        <w:b/>
        <w:sz w:val="24"/>
        <w:lang w:val="es-ES_tradnl"/>
      </w:rPr>
    </w:pPr>
    <w:r w:rsidRPr="005B6986">
      <w:rPr>
        <w:rFonts w:ascii="Times New Roman" w:hAnsi="Times New Roman" w:cs="Times New Roman"/>
        <w:b/>
        <w:sz w:val="24"/>
        <w:lang w:val="es-ES_tradnl"/>
      </w:rPr>
      <w:t>II CONVENCIÓN CIENTÍ</w:t>
    </w:r>
    <w:r w:rsidR="00E83573" w:rsidRPr="005B6986">
      <w:rPr>
        <w:rFonts w:ascii="Times New Roman" w:hAnsi="Times New Roman" w:cs="Times New Roman"/>
        <w:b/>
        <w:sz w:val="24"/>
        <w:lang w:val="es-ES_tradnl"/>
      </w:rPr>
      <w:t xml:space="preserve">FICA INTERNACIONAL </w:t>
    </w:r>
  </w:p>
  <w:p w:rsidR="009D5E02" w:rsidRPr="005B6986" w:rsidRDefault="00E83573" w:rsidP="00E83573">
    <w:pPr>
      <w:pStyle w:val="Encabezado"/>
      <w:jc w:val="center"/>
      <w:rPr>
        <w:rFonts w:ascii="Times New Roman" w:hAnsi="Times New Roman" w:cs="Times New Roman"/>
        <w:sz w:val="24"/>
        <w:szCs w:val="24"/>
        <w:lang w:val="es-ES_tradnl"/>
      </w:rPr>
    </w:pPr>
    <w:r w:rsidRPr="005B6986">
      <w:rPr>
        <w:rFonts w:ascii="Times New Roman" w:hAnsi="Times New Roman" w:cs="Times New Roman"/>
        <w:b/>
        <w:sz w:val="24"/>
        <w:lang w:val="es-ES_tradnl"/>
      </w:rPr>
      <w:t>“</w:t>
    </w:r>
    <w:r w:rsidR="008A2E7E" w:rsidRPr="005B6986">
      <w:rPr>
        <w:rFonts w:ascii="Times New Roman" w:hAnsi="Times New Roman" w:cs="Times New Roman"/>
        <w:b/>
        <w:sz w:val="24"/>
        <w:lang w:val="es-ES_tradnl"/>
      </w:rPr>
      <w:t xml:space="preserve">II </w:t>
    </w:r>
    <w:r w:rsidR="00640758" w:rsidRPr="005B6986">
      <w:rPr>
        <w:rFonts w:ascii="Times New Roman" w:hAnsi="Times New Roman" w:cs="Times New Roman"/>
        <w:b/>
        <w:sz w:val="24"/>
        <w:lang w:val="es-ES_tradnl"/>
      </w:rPr>
      <w:t xml:space="preserve">CCI </w:t>
    </w:r>
    <w:r w:rsidRPr="005B6986">
      <w:rPr>
        <w:rFonts w:ascii="Times New Roman" w:hAnsi="Times New Roman" w:cs="Times New Roman"/>
        <w:b/>
        <w:sz w:val="24"/>
        <w:lang w:val="es-ES_tradnl"/>
      </w:rPr>
      <w:t>UCLV 2019”</w:t>
    </w:r>
    <w:r w:rsidR="00640758" w:rsidRPr="005B6986">
      <w:rPr>
        <w:rFonts w:ascii="Times New Roman" w:hAnsi="Times New Roman" w:cs="Times New Roman"/>
        <w:sz w:val="24"/>
        <w:szCs w:val="24"/>
        <w:lang w:val="es-ES_tradnl"/>
      </w:rPr>
      <w:t xml:space="preserve"> </w:t>
    </w:r>
  </w:p>
  <w:p w:rsidR="005E2497" w:rsidRPr="005B6986" w:rsidRDefault="00EA1598" w:rsidP="00E83573">
    <w:pPr>
      <w:pStyle w:val="Encabezado"/>
      <w:jc w:val="center"/>
      <w:rPr>
        <w:rFonts w:ascii="Times New Roman" w:hAnsi="Times New Roman" w:cs="Times New Roman"/>
        <w:b/>
        <w:sz w:val="24"/>
        <w:lang w:val="es-ES_tradnl"/>
      </w:rPr>
    </w:pPr>
    <w:r>
      <w:rPr>
        <w:rFonts w:ascii="Times New Roman" w:hAnsi="Times New Roman" w:cs="Times New Roman"/>
        <w:noProof/>
        <w:sz w:val="20"/>
        <w:szCs w:val="20"/>
        <w:lang w:val="en-US" w:eastAsia="en-U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640758" w:rsidRPr="005B6986" w:rsidRDefault="00640758" w:rsidP="00E83573">
    <w:pPr>
      <w:pStyle w:val="Encabezado"/>
      <w:jc w:val="center"/>
      <w:rPr>
        <w:rFonts w:ascii="Times New Roman" w:hAnsi="Times New Roman" w:cs="Times New Roman"/>
        <w:b/>
        <w:sz w:val="24"/>
        <w:lang w:val="es-ES_tradnl"/>
      </w:rPr>
    </w:pPr>
    <w:r w:rsidRPr="005B6986">
      <w:rPr>
        <w:rFonts w:ascii="Times New Roman" w:hAnsi="Times New Roman" w:cs="Times New Roman"/>
        <w:b/>
        <w:sz w:val="24"/>
        <w:lang w:val="es-ES_tradnl"/>
      </w:rPr>
      <w:t xml:space="preserve">DEL 23 AL 30 DE JUNIO </w:t>
    </w:r>
    <w:r w:rsidR="008A2E7E" w:rsidRPr="005B6986">
      <w:rPr>
        <w:rFonts w:ascii="Times New Roman" w:hAnsi="Times New Roman" w:cs="Times New Roman"/>
        <w:b/>
        <w:sz w:val="24"/>
        <w:lang w:val="es-ES_tradnl"/>
      </w:rPr>
      <w:t xml:space="preserve">DEL </w:t>
    </w:r>
    <w:r w:rsidRPr="005B6986">
      <w:rPr>
        <w:rFonts w:ascii="Times New Roman" w:hAnsi="Times New Roman" w:cs="Times New Roman"/>
        <w:b/>
        <w:sz w:val="24"/>
        <w:lang w:val="es-ES_tradnl"/>
      </w:rPr>
      <w:t xml:space="preserve">2019. </w:t>
    </w:r>
  </w:p>
  <w:p w:rsidR="00640758" w:rsidRPr="005B6986" w:rsidRDefault="00640758" w:rsidP="00E83573">
    <w:pPr>
      <w:pStyle w:val="Encabezado"/>
      <w:jc w:val="center"/>
      <w:rPr>
        <w:rFonts w:ascii="Times New Roman" w:hAnsi="Times New Roman" w:cs="Times New Roman"/>
        <w:b/>
        <w:sz w:val="24"/>
        <w:lang w:val="es-ES_tradnl"/>
      </w:rPr>
    </w:pPr>
    <w:r w:rsidRPr="005B6986">
      <w:rPr>
        <w:rFonts w:ascii="Times New Roman" w:hAnsi="Times New Roman" w:cs="Times New Roman"/>
        <w:b/>
        <w:sz w:val="24"/>
        <w:lang w:val="es-ES_tradnl"/>
      </w:rPr>
      <w:t>CAYOS DE VILLA CLARA. CUBA</w:t>
    </w:r>
    <w:r w:rsidR="00EA1598" w:rsidRPr="005B6986">
      <w:rPr>
        <w:rFonts w:ascii="Times New Roman" w:hAnsi="Times New Roman" w:cs="Times New Roman"/>
        <w:b/>
        <w:sz w:val="24"/>
        <w:lang w:val="es-ES_tradnl"/>
      </w:rPr>
      <w:t>.</w:t>
    </w:r>
  </w:p>
  <w:p w:rsidR="00EA1598" w:rsidRPr="005B6986" w:rsidRDefault="00EA1598" w:rsidP="00E83573">
    <w:pPr>
      <w:pStyle w:val="Encabezado"/>
      <w:jc w:val="center"/>
      <w:rPr>
        <w:rFonts w:ascii="Times New Roman" w:hAnsi="Times New Roman" w:cs="Times New Roman"/>
        <w:b/>
        <w:sz w:val="24"/>
        <w:lang w:val="es-ES_tradnl"/>
      </w:rPr>
    </w:pPr>
  </w:p>
  <w:p w:rsidR="00EA1598" w:rsidRPr="005B6986" w:rsidRDefault="00EA1598" w:rsidP="00E83573">
    <w:pPr>
      <w:pStyle w:val="Encabezado"/>
      <w:jc w:val="center"/>
      <w:rPr>
        <w:rFonts w:ascii="Times New Roman" w:hAnsi="Times New Roman" w:cs="Times New Roman"/>
        <w:b/>
        <w:sz w:val="24"/>
        <w:lang w:val="es-ES_tradnl"/>
      </w:rPr>
    </w:pPr>
  </w:p>
  <w:p w:rsidR="00640758" w:rsidRPr="005B6986" w:rsidRDefault="00640758" w:rsidP="00E83573">
    <w:pPr>
      <w:pStyle w:val="Encabezado"/>
      <w:jc w:val="center"/>
      <w:rPr>
        <w:rFonts w:ascii="Times New Roman" w:hAnsi="Times New Roman" w:cs="Times New Roman"/>
        <w:b/>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3401E"/>
    <w:multiLevelType w:val="hybridMultilevel"/>
    <w:tmpl w:val="EB441BF6"/>
    <w:lvl w:ilvl="0" w:tplc="04160001">
      <w:start w:val="1"/>
      <w:numFmt w:val="bullet"/>
      <w:lvlText w:val=""/>
      <w:lvlJc w:val="left"/>
      <w:pPr>
        <w:ind w:left="1644" w:hanging="360"/>
      </w:pPr>
      <w:rPr>
        <w:rFonts w:ascii="Symbol" w:hAnsi="Symbol"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1" w15:restartNumberingAfterBreak="0">
    <w:nsid w:val="2128456E"/>
    <w:multiLevelType w:val="hybridMultilevel"/>
    <w:tmpl w:val="A39880BA"/>
    <w:lvl w:ilvl="0" w:tplc="EF96E206">
      <w:start w:val="1"/>
      <w:numFmt w:val="bullet"/>
      <w:lvlText w:val=""/>
      <w:lvlJc w:val="left"/>
      <w:pPr>
        <w:tabs>
          <w:tab w:val="num" w:pos="720"/>
        </w:tabs>
        <w:ind w:left="720" w:hanging="360"/>
      </w:pPr>
      <w:rPr>
        <w:rFonts w:ascii="Wingdings 3" w:hAnsi="Wingdings 3" w:hint="default"/>
      </w:rPr>
    </w:lvl>
    <w:lvl w:ilvl="1" w:tplc="83A4CB86" w:tentative="1">
      <w:start w:val="1"/>
      <w:numFmt w:val="bullet"/>
      <w:lvlText w:val=""/>
      <w:lvlJc w:val="left"/>
      <w:pPr>
        <w:tabs>
          <w:tab w:val="num" w:pos="1440"/>
        </w:tabs>
        <w:ind w:left="1440" w:hanging="360"/>
      </w:pPr>
      <w:rPr>
        <w:rFonts w:ascii="Wingdings 3" w:hAnsi="Wingdings 3" w:hint="default"/>
      </w:rPr>
    </w:lvl>
    <w:lvl w:ilvl="2" w:tplc="4F221B98" w:tentative="1">
      <w:start w:val="1"/>
      <w:numFmt w:val="bullet"/>
      <w:lvlText w:val=""/>
      <w:lvlJc w:val="left"/>
      <w:pPr>
        <w:tabs>
          <w:tab w:val="num" w:pos="2160"/>
        </w:tabs>
        <w:ind w:left="2160" w:hanging="360"/>
      </w:pPr>
      <w:rPr>
        <w:rFonts w:ascii="Wingdings 3" w:hAnsi="Wingdings 3" w:hint="default"/>
      </w:rPr>
    </w:lvl>
    <w:lvl w:ilvl="3" w:tplc="183876E4" w:tentative="1">
      <w:start w:val="1"/>
      <w:numFmt w:val="bullet"/>
      <w:lvlText w:val=""/>
      <w:lvlJc w:val="left"/>
      <w:pPr>
        <w:tabs>
          <w:tab w:val="num" w:pos="2880"/>
        </w:tabs>
        <w:ind w:left="2880" w:hanging="360"/>
      </w:pPr>
      <w:rPr>
        <w:rFonts w:ascii="Wingdings 3" w:hAnsi="Wingdings 3" w:hint="default"/>
      </w:rPr>
    </w:lvl>
    <w:lvl w:ilvl="4" w:tplc="951CF520" w:tentative="1">
      <w:start w:val="1"/>
      <w:numFmt w:val="bullet"/>
      <w:lvlText w:val=""/>
      <w:lvlJc w:val="left"/>
      <w:pPr>
        <w:tabs>
          <w:tab w:val="num" w:pos="3600"/>
        </w:tabs>
        <w:ind w:left="3600" w:hanging="360"/>
      </w:pPr>
      <w:rPr>
        <w:rFonts w:ascii="Wingdings 3" w:hAnsi="Wingdings 3" w:hint="default"/>
      </w:rPr>
    </w:lvl>
    <w:lvl w:ilvl="5" w:tplc="91341124" w:tentative="1">
      <w:start w:val="1"/>
      <w:numFmt w:val="bullet"/>
      <w:lvlText w:val=""/>
      <w:lvlJc w:val="left"/>
      <w:pPr>
        <w:tabs>
          <w:tab w:val="num" w:pos="4320"/>
        </w:tabs>
        <w:ind w:left="4320" w:hanging="360"/>
      </w:pPr>
      <w:rPr>
        <w:rFonts w:ascii="Wingdings 3" w:hAnsi="Wingdings 3" w:hint="default"/>
      </w:rPr>
    </w:lvl>
    <w:lvl w:ilvl="6" w:tplc="DDB886AE" w:tentative="1">
      <w:start w:val="1"/>
      <w:numFmt w:val="bullet"/>
      <w:lvlText w:val=""/>
      <w:lvlJc w:val="left"/>
      <w:pPr>
        <w:tabs>
          <w:tab w:val="num" w:pos="5040"/>
        </w:tabs>
        <w:ind w:left="5040" w:hanging="360"/>
      </w:pPr>
      <w:rPr>
        <w:rFonts w:ascii="Wingdings 3" w:hAnsi="Wingdings 3" w:hint="default"/>
      </w:rPr>
    </w:lvl>
    <w:lvl w:ilvl="7" w:tplc="474EEA54" w:tentative="1">
      <w:start w:val="1"/>
      <w:numFmt w:val="bullet"/>
      <w:lvlText w:val=""/>
      <w:lvlJc w:val="left"/>
      <w:pPr>
        <w:tabs>
          <w:tab w:val="num" w:pos="5760"/>
        </w:tabs>
        <w:ind w:left="5760" w:hanging="360"/>
      </w:pPr>
      <w:rPr>
        <w:rFonts w:ascii="Wingdings 3" w:hAnsi="Wingdings 3" w:hint="default"/>
      </w:rPr>
    </w:lvl>
    <w:lvl w:ilvl="8" w:tplc="244E3C9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527B0FE9"/>
    <w:multiLevelType w:val="hybridMultilevel"/>
    <w:tmpl w:val="2556B93E"/>
    <w:lvl w:ilvl="0" w:tplc="04160001">
      <w:start w:val="1"/>
      <w:numFmt w:val="bullet"/>
      <w:lvlText w:val=""/>
      <w:lvlJc w:val="left"/>
      <w:pPr>
        <w:ind w:left="1770" w:hanging="360"/>
      </w:pPr>
      <w:rPr>
        <w:rFonts w:ascii="Symbol" w:hAnsi="Symbol" w:hint="default"/>
      </w:rPr>
    </w:lvl>
    <w:lvl w:ilvl="1" w:tplc="04160003" w:tentative="1">
      <w:start w:val="1"/>
      <w:numFmt w:val="bullet"/>
      <w:lvlText w:val="o"/>
      <w:lvlJc w:val="left"/>
      <w:pPr>
        <w:ind w:left="2490" w:hanging="360"/>
      </w:pPr>
      <w:rPr>
        <w:rFonts w:ascii="Courier New" w:hAnsi="Courier New" w:cs="Courier New" w:hint="default"/>
      </w:rPr>
    </w:lvl>
    <w:lvl w:ilvl="2" w:tplc="04160005" w:tentative="1">
      <w:start w:val="1"/>
      <w:numFmt w:val="bullet"/>
      <w:lvlText w:val=""/>
      <w:lvlJc w:val="left"/>
      <w:pPr>
        <w:ind w:left="3210" w:hanging="360"/>
      </w:pPr>
      <w:rPr>
        <w:rFonts w:ascii="Wingdings" w:hAnsi="Wingdings" w:hint="default"/>
      </w:rPr>
    </w:lvl>
    <w:lvl w:ilvl="3" w:tplc="04160001" w:tentative="1">
      <w:start w:val="1"/>
      <w:numFmt w:val="bullet"/>
      <w:lvlText w:val=""/>
      <w:lvlJc w:val="left"/>
      <w:pPr>
        <w:ind w:left="3930" w:hanging="360"/>
      </w:pPr>
      <w:rPr>
        <w:rFonts w:ascii="Symbol" w:hAnsi="Symbol" w:hint="default"/>
      </w:rPr>
    </w:lvl>
    <w:lvl w:ilvl="4" w:tplc="04160003" w:tentative="1">
      <w:start w:val="1"/>
      <w:numFmt w:val="bullet"/>
      <w:lvlText w:val="o"/>
      <w:lvlJc w:val="left"/>
      <w:pPr>
        <w:ind w:left="4650" w:hanging="360"/>
      </w:pPr>
      <w:rPr>
        <w:rFonts w:ascii="Courier New" w:hAnsi="Courier New" w:cs="Courier New" w:hint="default"/>
      </w:rPr>
    </w:lvl>
    <w:lvl w:ilvl="5" w:tplc="04160005" w:tentative="1">
      <w:start w:val="1"/>
      <w:numFmt w:val="bullet"/>
      <w:lvlText w:val=""/>
      <w:lvlJc w:val="left"/>
      <w:pPr>
        <w:ind w:left="5370" w:hanging="360"/>
      </w:pPr>
      <w:rPr>
        <w:rFonts w:ascii="Wingdings" w:hAnsi="Wingdings" w:hint="default"/>
      </w:rPr>
    </w:lvl>
    <w:lvl w:ilvl="6" w:tplc="04160001" w:tentative="1">
      <w:start w:val="1"/>
      <w:numFmt w:val="bullet"/>
      <w:lvlText w:val=""/>
      <w:lvlJc w:val="left"/>
      <w:pPr>
        <w:ind w:left="6090" w:hanging="360"/>
      </w:pPr>
      <w:rPr>
        <w:rFonts w:ascii="Symbol" w:hAnsi="Symbol" w:hint="default"/>
      </w:rPr>
    </w:lvl>
    <w:lvl w:ilvl="7" w:tplc="04160003" w:tentative="1">
      <w:start w:val="1"/>
      <w:numFmt w:val="bullet"/>
      <w:lvlText w:val="o"/>
      <w:lvlJc w:val="left"/>
      <w:pPr>
        <w:ind w:left="6810" w:hanging="360"/>
      </w:pPr>
      <w:rPr>
        <w:rFonts w:ascii="Courier New" w:hAnsi="Courier New" w:cs="Courier New" w:hint="default"/>
      </w:rPr>
    </w:lvl>
    <w:lvl w:ilvl="8" w:tplc="04160005" w:tentative="1">
      <w:start w:val="1"/>
      <w:numFmt w:val="bullet"/>
      <w:lvlText w:val=""/>
      <w:lvlJc w:val="left"/>
      <w:pPr>
        <w:ind w:left="7530" w:hanging="360"/>
      </w:pPr>
      <w:rPr>
        <w:rFonts w:ascii="Wingdings" w:hAnsi="Wingdings" w:hint="default"/>
      </w:rPr>
    </w:lvl>
  </w:abstractNum>
  <w:abstractNum w:abstractNumId="3" w15:restartNumberingAfterBreak="0">
    <w:nsid w:val="570F2968"/>
    <w:multiLevelType w:val="hybridMultilevel"/>
    <w:tmpl w:val="69208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BBB623E"/>
    <w:multiLevelType w:val="hybridMultilevel"/>
    <w:tmpl w:val="3858FFAA"/>
    <w:lvl w:ilvl="0" w:tplc="48E61A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2BD331B"/>
    <w:multiLevelType w:val="hybridMultilevel"/>
    <w:tmpl w:val="95DCACD6"/>
    <w:lvl w:ilvl="0" w:tplc="48E61A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9497259"/>
    <w:multiLevelType w:val="hybridMultilevel"/>
    <w:tmpl w:val="3DB6F5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95A7EA5"/>
    <w:multiLevelType w:val="hybridMultilevel"/>
    <w:tmpl w:val="9C52A418"/>
    <w:lvl w:ilvl="0" w:tplc="87EE2D2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8"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2"/>
  </w:num>
  <w:num w:numId="5">
    <w:abstractNumId w:val="4"/>
  </w:num>
  <w:num w:numId="6">
    <w:abstractNumId w:val="3"/>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03A68"/>
    <w:rsid w:val="00005A70"/>
    <w:rsid w:val="00014C29"/>
    <w:rsid w:val="00014E5C"/>
    <w:rsid w:val="00015833"/>
    <w:rsid w:val="00017A59"/>
    <w:rsid w:val="000213C6"/>
    <w:rsid w:val="00046F14"/>
    <w:rsid w:val="0005311F"/>
    <w:rsid w:val="00053B24"/>
    <w:rsid w:val="00062694"/>
    <w:rsid w:val="0006534C"/>
    <w:rsid w:val="00072357"/>
    <w:rsid w:val="000929E5"/>
    <w:rsid w:val="000A044A"/>
    <w:rsid w:val="000A1CD9"/>
    <w:rsid w:val="000C14DC"/>
    <w:rsid w:val="000C2ADB"/>
    <w:rsid w:val="000C5961"/>
    <w:rsid w:val="000D32E8"/>
    <w:rsid w:val="000E0267"/>
    <w:rsid w:val="000F48D9"/>
    <w:rsid w:val="000F676C"/>
    <w:rsid w:val="0010198C"/>
    <w:rsid w:val="00106DFB"/>
    <w:rsid w:val="00107E2D"/>
    <w:rsid w:val="00114C82"/>
    <w:rsid w:val="001174B6"/>
    <w:rsid w:val="0012608A"/>
    <w:rsid w:val="00126FEA"/>
    <w:rsid w:val="00142C71"/>
    <w:rsid w:val="00153852"/>
    <w:rsid w:val="0017117C"/>
    <w:rsid w:val="0017405C"/>
    <w:rsid w:val="00176442"/>
    <w:rsid w:val="00182B7A"/>
    <w:rsid w:val="00187350"/>
    <w:rsid w:val="00191A25"/>
    <w:rsid w:val="001B03DA"/>
    <w:rsid w:val="001B638C"/>
    <w:rsid w:val="001C2C6A"/>
    <w:rsid w:val="001D6609"/>
    <w:rsid w:val="001E339E"/>
    <w:rsid w:val="001F0AB7"/>
    <w:rsid w:val="001F426B"/>
    <w:rsid w:val="001F5C53"/>
    <w:rsid w:val="002025BF"/>
    <w:rsid w:val="002032BB"/>
    <w:rsid w:val="0020370D"/>
    <w:rsid w:val="002132FB"/>
    <w:rsid w:val="002137FC"/>
    <w:rsid w:val="0021750D"/>
    <w:rsid w:val="002246E6"/>
    <w:rsid w:val="002327C1"/>
    <w:rsid w:val="00241245"/>
    <w:rsid w:val="00243CAA"/>
    <w:rsid w:val="00244C9A"/>
    <w:rsid w:val="002500C2"/>
    <w:rsid w:val="00250E5F"/>
    <w:rsid w:val="0025341E"/>
    <w:rsid w:val="00254A14"/>
    <w:rsid w:val="00254AB1"/>
    <w:rsid w:val="00266D6E"/>
    <w:rsid w:val="00272955"/>
    <w:rsid w:val="00272967"/>
    <w:rsid w:val="002819CA"/>
    <w:rsid w:val="00282BB2"/>
    <w:rsid w:val="00293114"/>
    <w:rsid w:val="002A65D3"/>
    <w:rsid w:val="002B646E"/>
    <w:rsid w:val="002B6B3A"/>
    <w:rsid w:val="002C0031"/>
    <w:rsid w:val="002C4923"/>
    <w:rsid w:val="002C67F2"/>
    <w:rsid w:val="002C6E9A"/>
    <w:rsid w:val="002D0C79"/>
    <w:rsid w:val="002D41E6"/>
    <w:rsid w:val="002D5BE5"/>
    <w:rsid w:val="002D7E55"/>
    <w:rsid w:val="002E0882"/>
    <w:rsid w:val="002E272A"/>
    <w:rsid w:val="002E3031"/>
    <w:rsid w:val="002E7A7B"/>
    <w:rsid w:val="002F2D89"/>
    <w:rsid w:val="002F65F3"/>
    <w:rsid w:val="002F6B48"/>
    <w:rsid w:val="002F736C"/>
    <w:rsid w:val="00302FC4"/>
    <w:rsid w:val="003068F5"/>
    <w:rsid w:val="00326FFF"/>
    <w:rsid w:val="00337E12"/>
    <w:rsid w:val="00340E44"/>
    <w:rsid w:val="00341023"/>
    <w:rsid w:val="003420BD"/>
    <w:rsid w:val="00345A40"/>
    <w:rsid w:val="00357BA9"/>
    <w:rsid w:val="00362E5F"/>
    <w:rsid w:val="003663D3"/>
    <w:rsid w:val="0037729B"/>
    <w:rsid w:val="00385304"/>
    <w:rsid w:val="003A2ECC"/>
    <w:rsid w:val="003A4517"/>
    <w:rsid w:val="003A48EC"/>
    <w:rsid w:val="003F3265"/>
    <w:rsid w:val="003F383F"/>
    <w:rsid w:val="00401028"/>
    <w:rsid w:val="00403285"/>
    <w:rsid w:val="0040352A"/>
    <w:rsid w:val="0040646F"/>
    <w:rsid w:val="004114D5"/>
    <w:rsid w:val="00415B51"/>
    <w:rsid w:val="00423E44"/>
    <w:rsid w:val="004257F3"/>
    <w:rsid w:val="0044132B"/>
    <w:rsid w:val="004515AC"/>
    <w:rsid w:val="00453137"/>
    <w:rsid w:val="00460439"/>
    <w:rsid w:val="00465A96"/>
    <w:rsid w:val="00466939"/>
    <w:rsid w:val="004866EB"/>
    <w:rsid w:val="00487E2D"/>
    <w:rsid w:val="004948CD"/>
    <w:rsid w:val="004A28A7"/>
    <w:rsid w:val="004A3F87"/>
    <w:rsid w:val="004B59AE"/>
    <w:rsid w:val="004D1897"/>
    <w:rsid w:val="004E0CE0"/>
    <w:rsid w:val="004E71A4"/>
    <w:rsid w:val="004F17B3"/>
    <w:rsid w:val="004F3AA9"/>
    <w:rsid w:val="004F4DF1"/>
    <w:rsid w:val="004F67EE"/>
    <w:rsid w:val="00500D6B"/>
    <w:rsid w:val="00502A09"/>
    <w:rsid w:val="005039B7"/>
    <w:rsid w:val="00504099"/>
    <w:rsid w:val="00505A9F"/>
    <w:rsid w:val="00533842"/>
    <w:rsid w:val="00567901"/>
    <w:rsid w:val="00573FCC"/>
    <w:rsid w:val="005754D8"/>
    <w:rsid w:val="00576921"/>
    <w:rsid w:val="00577858"/>
    <w:rsid w:val="00580553"/>
    <w:rsid w:val="00581D47"/>
    <w:rsid w:val="005A230D"/>
    <w:rsid w:val="005B6986"/>
    <w:rsid w:val="005C70EB"/>
    <w:rsid w:val="005E0ED4"/>
    <w:rsid w:val="005E2497"/>
    <w:rsid w:val="005F2B79"/>
    <w:rsid w:val="00612552"/>
    <w:rsid w:val="00616A9F"/>
    <w:rsid w:val="00624D99"/>
    <w:rsid w:val="00626199"/>
    <w:rsid w:val="006271E4"/>
    <w:rsid w:val="00640758"/>
    <w:rsid w:val="00640921"/>
    <w:rsid w:val="00643B4F"/>
    <w:rsid w:val="006454B0"/>
    <w:rsid w:val="00646F8B"/>
    <w:rsid w:val="00661A2F"/>
    <w:rsid w:val="00662751"/>
    <w:rsid w:val="00663D28"/>
    <w:rsid w:val="00665BFB"/>
    <w:rsid w:val="00667F10"/>
    <w:rsid w:val="00687B6E"/>
    <w:rsid w:val="0069221A"/>
    <w:rsid w:val="00693FBD"/>
    <w:rsid w:val="00695BCA"/>
    <w:rsid w:val="00695E76"/>
    <w:rsid w:val="006D4B30"/>
    <w:rsid w:val="006D70CA"/>
    <w:rsid w:val="006E0E91"/>
    <w:rsid w:val="006E1DC0"/>
    <w:rsid w:val="006F5501"/>
    <w:rsid w:val="00701B5B"/>
    <w:rsid w:val="007022B1"/>
    <w:rsid w:val="007024AE"/>
    <w:rsid w:val="00707DA4"/>
    <w:rsid w:val="00712A31"/>
    <w:rsid w:val="00713FE9"/>
    <w:rsid w:val="0071730A"/>
    <w:rsid w:val="00723D61"/>
    <w:rsid w:val="007313AE"/>
    <w:rsid w:val="00732577"/>
    <w:rsid w:val="007550DC"/>
    <w:rsid w:val="007559FA"/>
    <w:rsid w:val="00757A83"/>
    <w:rsid w:val="00771A31"/>
    <w:rsid w:val="00774C47"/>
    <w:rsid w:val="00780769"/>
    <w:rsid w:val="007A7043"/>
    <w:rsid w:val="007B6318"/>
    <w:rsid w:val="007C4AA2"/>
    <w:rsid w:val="007D08C4"/>
    <w:rsid w:val="007D7020"/>
    <w:rsid w:val="007E1911"/>
    <w:rsid w:val="00805917"/>
    <w:rsid w:val="0081694C"/>
    <w:rsid w:val="00816FE7"/>
    <w:rsid w:val="00822529"/>
    <w:rsid w:val="0083130F"/>
    <w:rsid w:val="0083598B"/>
    <w:rsid w:val="008363C9"/>
    <w:rsid w:val="008369CE"/>
    <w:rsid w:val="00837E98"/>
    <w:rsid w:val="0084418E"/>
    <w:rsid w:val="00851DD0"/>
    <w:rsid w:val="008521EF"/>
    <w:rsid w:val="00855328"/>
    <w:rsid w:val="00855C78"/>
    <w:rsid w:val="00864B10"/>
    <w:rsid w:val="00866D36"/>
    <w:rsid w:val="008710D0"/>
    <w:rsid w:val="008726FC"/>
    <w:rsid w:val="0088159E"/>
    <w:rsid w:val="008856EA"/>
    <w:rsid w:val="0089125E"/>
    <w:rsid w:val="008951BB"/>
    <w:rsid w:val="008A1C16"/>
    <w:rsid w:val="008A269E"/>
    <w:rsid w:val="008A2E7E"/>
    <w:rsid w:val="008A4BFC"/>
    <w:rsid w:val="008B06F8"/>
    <w:rsid w:val="008B2ED0"/>
    <w:rsid w:val="008B640D"/>
    <w:rsid w:val="008C3185"/>
    <w:rsid w:val="008D14D1"/>
    <w:rsid w:val="008D1F54"/>
    <w:rsid w:val="008D4225"/>
    <w:rsid w:val="008D77E9"/>
    <w:rsid w:val="008D7F41"/>
    <w:rsid w:val="008F34E0"/>
    <w:rsid w:val="00901C15"/>
    <w:rsid w:val="009032A1"/>
    <w:rsid w:val="009061A5"/>
    <w:rsid w:val="0091621C"/>
    <w:rsid w:val="0092147D"/>
    <w:rsid w:val="009319C9"/>
    <w:rsid w:val="009412F9"/>
    <w:rsid w:val="00941F1D"/>
    <w:rsid w:val="00944194"/>
    <w:rsid w:val="00962453"/>
    <w:rsid w:val="00972467"/>
    <w:rsid w:val="00977D31"/>
    <w:rsid w:val="00991263"/>
    <w:rsid w:val="00993211"/>
    <w:rsid w:val="00995612"/>
    <w:rsid w:val="009A6F8E"/>
    <w:rsid w:val="009B0599"/>
    <w:rsid w:val="009B1EF2"/>
    <w:rsid w:val="009B1F9F"/>
    <w:rsid w:val="009C5EE6"/>
    <w:rsid w:val="009D08AC"/>
    <w:rsid w:val="009D3511"/>
    <w:rsid w:val="009D41FB"/>
    <w:rsid w:val="009D5E02"/>
    <w:rsid w:val="009D67CD"/>
    <w:rsid w:val="009E1EA7"/>
    <w:rsid w:val="009E2032"/>
    <w:rsid w:val="009E2B8C"/>
    <w:rsid w:val="009E645D"/>
    <w:rsid w:val="009F2CF9"/>
    <w:rsid w:val="009F6511"/>
    <w:rsid w:val="009F72A1"/>
    <w:rsid w:val="009F74FB"/>
    <w:rsid w:val="00A04274"/>
    <w:rsid w:val="00A04851"/>
    <w:rsid w:val="00A060E9"/>
    <w:rsid w:val="00A156A5"/>
    <w:rsid w:val="00A205A6"/>
    <w:rsid w:val="00A21A1F"/>
    <w:rsid w:val="00A25A61"/>
    <w:rsid w:val="00A36DAC"/>
    <w:rsid w:val="00A429AD"/>
    <w:rsid w:val="00A43B51"/>
    <w:rsid w:val="00A46093"/>
    <w:rsid w:val="00A507E4"/>
    <w:rsid w:val="00A55B9A"/>
    <w:rsid w:val="00A60A23"/>
    <w:rsid w:val="00A62A14"/>
    <w:rsid w:val="00A7009B"/>
    <w:rsid w:val="00A71E87"/>
    <w:rsid w:val="00A72BE2"/>
    <w:rsid w:val="00A76FB1"/>
    <w:rsid w:val="00A95ED5"/>
    <w:rsid w:val="00AA189F"/>
    <w:rsid w:val="00AA33E0"/>
    <w:rsid w:val="00AA464C"/>
    <w:rsid w:val="00AA4C78"/>
    <w:rsid w:val="00AB376F"/>
    <w:rsid w:val="00AB470F"/>
    <w:rsid w:val="00AB4CD8"/>
    <w:rsid w:val="00AC74CE"/>
    <w:rsid w:val="00AC7A57"/>
    <w:rsid w:val="00AD5577"/>
    <w:rsid w:val="00AE421E"/>
    <w:rsid w:val="00B107F7"/>
    <w:rsid w:val="00B15281"/>
    <w:rsid w:val="00B1615B"/>
    <w:rsid w:val="00B2024E"/>
    <w:rsid w:val="00B21E3E"/>
    <w:rsid w:val="00B24D3E"/>
    <w:rsid w:val="00B3323E"/>
    <w:rsid w:val="00B46A8A"/>
    <w:rsid w:val="00B52EEB"/>
    <w:rsid w:val="00B60F36"/>
    <w:rsid w:val="00B719C2"/>
    <w:rsid w:val="00B74A1C"/>
    <w:rsid w:val="00B8009A"/>
    <w:rsid w:val="00B801C2"/>
    <w:rsid w:val="00B80E97"/>
    <w:rsid w:val="00B81415"/>
    <w:rsid w:val="00B85363"/>
    <w:rsid w:val="00B930FF"/>
    <w:rsid w:val="00B9415C"/>
    <w:rsid w:val="00BA2B57"/>
    <w:rsid w:val="00BA39F0"/>
    <w:rsid w:val="00BA6FF5"/>
    <w:rsid w:val="00BA7AD0"/>
    <w:rsid w:val="00BE43C9"/>
    <w:rsid w:val="00BF0226"/>
    <w:rsid w:val="00BF107B"/>
    <w:rsid w:val="00BF1798"/>
    <w:rsid w:val="00BF649B"/>
    <w:rsid w:val="00C0015D"/>
    <w:rsid w:val="00C00C78"/>
    <w:rsid w:val="00C012A4"/>
    <w:rsid w:val="00C04D00"/>
    <w:rsid w:val="00C0586C"/>
    <w:rsid w:val="00C40326"/>
    <w:rsid w:val="00C41227"/>
    <w:rsid w:val="00C428A9"/>
    <w:rsid w:val="00C45C66"/>
    <w:rsid w:val="00C51BF6"/>
    <w:rsid w:val="00C56288"/>
    <w:rsid w:val="00C56795"/>
    <w:rsid w:val="00C61FED"/>
    <w:rsid w:val="00C6208A"/>
    <w:rsid w:val="00C65D23"/>
    <w:rsid w:val="00C71D3F"/>
    <w:rsid w:val="00C73946"/>
    <w:rsid w:val="00C83520"/>
    <w:rsid w:val="00C84165"/>
    <w:rsid w:val="00C8585B"/>
    <w:rsid w:val="00CB153E"/>
    <w:rsid w:val="00CB2289"/>
    <w:rsid w:val="00CD2BC3"/>
    <w:rsid w:val="00CD300B"/>
    <w:rsid w:val="00CD5838"/>
    <w:rsid w:val="00CD6256"/>
    <w:rsid w:val="00CE47FC"/>
    <w:rsid w:val="00CF1BCE"/>
    <w:rsid w:val="00CF5BF0"/>
    <w:rsid w:val="00CF7AF3"/>
    <w:rsid w:val="00D02994"/>
    <w:rsid w:val="00D03562"/>
    <w:rsid w:val="00D03EB0"/>
    <w:rsid w:val="00D05242"/>
    <w:rsid w:val="00D334DC"/>
    <w:rsid w:val="00D36D1C"/>
    <w:rsid w:val="00D43AFD"/>
    <w:rsid w:val="00D45224"/>
    <w:rsid w:val="00D46864"/>
    <w:rsid w:val="00D46C1B"/>
    <w:rsid w:val="00D5694C"/>
    <w:rsid w:val="00D56C2F"/>
    <w:rsid w:val="00D64664"/>
    <w:rsid w:val="00D725CB"/>
    <w:rsid w:val="00D73DE9"/>
    <w:rsid w:val="00D74339"/>
    <w:rsid w:val="00D75EB4"/>
    <w:rsid w:val="00D815A2"/>
    <w:rsid w:val="00D82C8E"/>
    <w:rsid w:val="00D82CDE"/>
    <w:rsid w:val="00D96448"/>
    <w:rsid w:val="00D9757F"/>
    <w:rsid w:val="00DA0A42"/>
    <w:rsid w:val="00DA6617"/>
    <w:rsid w:val="00DC1CA3"/>
    <w:rsid w:val="00DC1DB0"/>
    <w:rsid w:val="00DC1FC2"/>
    <w:rsid w:val="00DD10A2"/>
    <w:rsid w:val="00DD24E0"/>
    <w:rsid w:val="00DE021F"/>
    <w:rsid w:val="00DE1BB1"/>
    <w:rsid w:val="00DE7092"/>
    <w:rsid w:val="00DF03A7"/>
    <w:rsid w:val="00E25E27"/>
    <w:rsid w:val="00E33020"/>
    <w:rsid w:val="00E37C7A"/>
    <w:rsid w:val="00E42950"/>
    <w:rsid w:val="00E437DF"/>
    <w:rsid w:val="00E71924"/>
    <w:rsid w:val="00E823A7"/>
    <w:rsid w:val="00E83573"/>
    <w:rsid w:val="00E843F0"/>
    <w:rsid w:val="00E912D0"/>
    <w:rsid w:val="00E96C60"/>
    <w:rsid w:val="00E97460"/>
    <w:rsid w:val="00EA0294"/>
    <w:rsid w:val="00EA1598"/>
    <w:rsid w:val="00EA7584"/>
    <w:rsid w:val="00EC1E1B"/>
    <w:rsid w:val="00EC3BC4"/>
    <w:rsid w:val="00EC5DFA"/>
    <w:rsid w:val="00EF7463"/>
    <w:rsid w:val="00F04B0C"/>
    <w:rsid w:val="00F14F9C"/>
    <w:rsid w:val="00F16971"/>
    <w:rsid w:val="00F17811"/>
    <w:rsid w:val="00F3008C"/>
    <w:rsid w:val="00F427B3"/>
    <w:rsid w:val="00F53C0E"/>
    <w:rsid w:val="00F57042"/>
    <w:rsid w:val="00F60B24"/>
    <w:rsid w:val="00F646A6"/>
    <w:rsid w:val="00F65F2F"/>
    <w:rsid w:val="00F739DF"/>
    <w:rsid w:val="00F80A50"/>
    <w:rsid w:val="00F8125B"/>
    <w:rsid w:val="00F91B5E"/>
    <w:rsid w:val="00F95748"/>
    <w:rsid w:val="00F96A64"/>
    <w:rsid w:val="00F97829"/>
    <w:rsid w:val="00FA1E9D"/>
    <w:rsid w:val="00FB3C1E"/>
    <w:rsid w:val="00FE5161"/>
    <w:rsid w:val="00FE6E0A"/>
    <w:rsid w:val="00FF3346"/>
    <w:rsid w:val="00FF7D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A1EEC2-0155-495D-B4C8-8A2F1E3A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C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MenoPendente1">
    <w:name w:val="Menção Pendente1"/>
    <w:basedOn w:val="Fuentedeprrafopredeter"/>
    <w:uiPriority w:val="99"/>
    <w:semiHidden/>
    <w:unhideWhenUsed/>
    <w:rsid w:val="00F16971"/>
    <w:rPr>
      <w:color w:val="605E5C"/>
      <w:shd w:val="clear" w:color="auto" w:fill="E1DFDD"/>
    </w:rPr>
  </w:style>
  <w:style w:type="paragraph" w:styleId="Sangra2detindependiente">
    <w:name w:val="Body Text Indent 2"/>
    <w:basedOn w:val="Normal"/>
    <w:link w:val="Sangra2detindependienteCar"/>
    <w:uiPriority w:val="99"/>
    <w:unhideWhenUsed/>
    <w:rsid w:val="009F72A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9F72A1"/>
    <w:rPr>
      <w:rFonts w:eastAsiaTheme="minorEastAsia"/>
      <w:lang w:val="pt-BR" w:eastAsia="pt-BR"/>
    </w:rPr>
  </w:style>
  <w:style w:type="paragraph" w:customStyle="1" w:styleId="SectionBody">
    <w:name w:val="Section Body"/>
    <w:link w:val="SectionBodyChar"/>
    <w:rsid w:val="00505A9F"/>
    <w:pPr>
      <w:suppressAutoHyphens/>
      <w:spacing w:after="0" w:line="240" w:lineRule="auto"/>
      <w:ind w:firstLine="340"/>
      <w:jc w:val="both"/>
    </w:pPr>
    <w:rPr>
      <w:rFonts w:ascii="Times New Roman" w:eastAsia="Arial" w:hAnsi="Times New Roman" w:cs="Times New Roman"/>
      <w:sz w:val="20"/>
      <w:szCs w:val="20"/>
      <w:lang w:val="en-US" w:eastAsia="ar-SA"/>
    </w:rPr>
  </w:style>
  <w:style w:type="paragraph" w:customStyle="1" w:styleId="texto">
    <w:name w:val="texto"/>
    <w:basedOn w:val="ndice1"/>
    <w:rsid w:val="00505A9F"/>
    <w:pPr>
      <w:spacing w:line="360" w:lineRule="auto"/>
      <w:ind w:left="0" w:firstLine="720"/>
      <w:jc w:val="both"/>
    </w:pPr>
    <w:rPr>
      <w:rFonts w:ascii="Times New Roman" w:eastAsia="Times New Roman" w:hAnsi="Times New Roman" w:cs="Times New Roman"/>
      <w:sz w:val="24"/>
      <w:szCs w:val="20"/>
    </w:rPr>
  </w:style>
  <w:style w:type="paragraph" w:styleId="Descripcin">
    <w:name w:val="caption"/>
    <w:basedOn w:val="Normal"/>
    <w:next w:val="Normal"/>
    <w:unhideWhenUsed/>
    <w:qFormat/>
    <w:rsid w:val="00505A9F"/>
    <w:pPr>
      <w:spacing w:afterLines="100" w:line="240" w:lineRule="auto"/>
    </w:pPr>
    <w:rPr>
      <w:rFonts w:ascii="Times New Roman" w:eastAsia="Times New Roman" w:hAnsi="Times New Roman" w:cs="Times New Roman"/>
      <w:bCs/>
      <w:sz w:val="24"/>
      <w:szCs w:val="20"/>
    </w:rPr>
  </w:style>
  <w:style w:type="character" w:customStyle="1" w:styleId="SectionBodyChar">
    <w:name w:val="Section Body Char"/>
    <w:link w:val="SectionBody"/>
    <w:locked/>
    <w:rsid w:val="00505A9F"/>
    <w:rPr>
      <w:rFonts w:ascii="Times New Roman" w:eastAsia="Arial" w:hAnsi="Times New Roman" w:cs="Times New Roman"/>
      <w:sz w:val="20"/>
      <w:szCs w:val="20"/>
      <w:lang w:val="en-US" w:eastAsia="ar-SA"/>
    </w:rPr>
  </w:style>
  <w:style w:type="paragraph" w:styleId="ndice1">
    <w:name w:val="index 1"/>
    <w:basedOn w:val="Normal"/>
    <w:next w:val="Normal"/>
    <w:autoRedefine/>
    <w:uiPriority w:val="99"/>
    <w:semiHidden/>
    <w:unhideWhenUsed/>
    <w:rsid w:val="00505A9F"/>
    <w:pPr>
      <w:spacing w:after="0" w:line="240" w:lineRule="auto"/>
      <w:ind w:left="220" w:hanging="220"/>
    </w:pPr>
  </w:style>
  <w:style w:type="paragraph" w:customStyle="1" w:styleId="Default">
    <w:name w:val="Default"/>
    <w:rsid w:val="00723D6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TextoChar">
    <w:name w:val="1) Texto Char"/>
    <w:basedOn w:val="Fuentedeprrafopredeter"/>
    <w:link w:val="1Texto"/>
    <w:locked/>
    <w:rsid w:val="00465A96"/>
    <w:rPr>
      <w:rFonts w:ascii="Times New Roman" w:hAnsi="Times New Roman" w:cs="Times New Roman"/>
      <w:color w:val="000000"/>
      <w:sz w:val="24"/>
      <w:szCs w:val="24"/>
    </w:rPr>
  </w:style>
  <w:style w:type="paragraph" w:customStyle="1" w:styleId="1Texto">
    <w:name w:val="1) Texto"/>
    <w:basedOn w:val="Normal"/>
    <w:link w:val="1TextoChar"/>
    <w:qFormat/>
    <w:rsid w:val="00465A96"/>
    <w:pPr>
      <w:spacing w:after="0" w:line="360" w:lineRule="auto"/>
      <w:ind w:firstLine="709"/>
      <w:jc w:val="both"/>
    </w:pPr>
    <w:rPr>
      <w:rFonts w:ascii="Times New Roman" w:hAnsi="Times New Roman" w:cs="Times New Roman"/>
      <w:color w:val="000000"/>
      <w:sz w:val="24"/>
      <w:szCs w:val="24"/>
      <w:lang w:val="es-ES"/>
    </w:rPr>
  </w:style>
  <w:style w:type="table" w:styleId="Tablaconcuadrcula">
    <w:name w:val="Table Grid"/>
    <w:basedOn w:val="Tablanormal"/>
    <w:uiPriority w:val="59"/>
    <w:rsid w:val="00577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2Char">
    <w:name w:val="Normal 2 Char"/>
    <w:basedOn w:val="Fuentedeprrafopredeter"/>
    <w:link w:val="Normal2"/>
    <w:locked/>
    <w:rsid w:val="002C0031"/>
    <w:rPr>
      <w:rFonts w:ascii="Calibri" w:hAnsi="Calibri"/>
    </w:rPr>
  </w:style>
  <w:style w:type="paragraph" w:customStyle="1" w:styleId="Normal2">
    <w:name w:val="Normal 2"/>
    <w:basedOn w:val="Normal"/>
    <w:link w:val="Normal2Char"/>
    <w:autoRedefine/>
    <w:qFormat/>
    <w:rsid w:val="002C0031"/>
    <w:pPr>
      <w:tabs>
        <w:tab w:val="left" w:pos="8080"/>
      </w:tabs>
      <w:spacing w:after="0" w:line="240" w:lineRule="auto"/>
      <w:ind w:firstLine="340"/>
      <w:jc w:val="both"/>
    </w:pPr>
    <w:rPr>
      <w:rFonts w:ascii="Calibri" w:hAnsi="Calibri"/>
      <w:lang w:val="es-ES"/>
    </w:rPr>
  </w:style>
  <w:style w:type="paragraph" w:styleId="HTMLconformatoprevio">
    <w:name w:val="HTML Preformatted"/>
    <w:basedOn w:val="Normal"/>
    <w:link w:val="HTMLconformatoprevioCar"/>
    <w:uiPriority w:val="99"/>
    <w:semiHidden/>
    <w:unhideWhenUsed/>
    <w:rsid w:val="00D46864"/>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D4686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5366">
      <w:bodyDiv w:val="1"/>
      <w:marLeft w:val="0"/>
      <w:marRight w:val="0"/>
      <w:marTop w:val="0"/>
      <w:marBottom w:val="0"/>
      <w:divBdr>
        <w:top w:val="none" w:sz="0" w:space="0" w:color="auto"/>
        <w:left w:val="none" w:sz="0" w:space="0" w:color="auto"/>
        <w:bottom w:val="none" w:sz="0" w:space="0" w:color="auto"/>
        <w:right w:val="none" w:sz="0" w:space="0" w:color="auto"/>
      </w:divBdr>
      <w:divsChild>
        <w:div w:id="1773865419">
          <w:marLeft w:val="-45"/>
          <w:marRight w:val="0"/>
          <w:marTop w:val="0"/>
          <w:marBottom w:val="0"/>
          <w:divBdr>
            <w:top w:val="single" w:sz="6" w:space="0" w:color="FFFFFF"/>
            <w:left w:val="single" w:sz="6" w:space="0" w:color="FFFFFF"/>
            <w:bottom w:val="single" w:sz="6" w:space="0" w:color="FFFFFF"/>
            <w:right w:val="single" w:sz="6" w:space="0" w:color="FFFFFF"/>
          </w:divBdr>
        </w:div>
        <w:div w:id="1129275008">
          <w:marLeft w:val="0"/>
          <w:marRight w:val="0"/>
          <w:marTop w:val="0"/>
          <w:marBottom w:val="0"/>
          <w:divBdr>
            <w:top w:val="none" w:sz="0" w:space="0" w:color="auto"/>
            <w:left w:val="none" w:sz="0" w:space="0" w:color="auto"/>
            <w:bottom w:val="none" w:sz="0" w:space="0" w:color="auto"/>
            <w:right w:val="none" w:sz="0" w:space="0" w:color="auto"/>
          </w:divBdr>
        </w:div>
      </w:divsChild>
    </w:div>
    <w:div w:id="243418819">
      <w:bodyDiv w:val="1"/>
      <w:marLeft w:val="0"/>
      <w:marRight w:val="0"/>
      <w:marTop w:val="0"/>
      <w:marBottom w:val="0"/>
      <w:divBdr>
        <w:top w:val="none" w:sz="0" w:space="0" w:color="auto"/>
        <w:left w:val="none" w:sz="0" w:space="0" w:color="auto"/>
        <w:bottom w:val="none" w:sz="0" w:space="0" w:color="auto"/>
        <w:right w:val="none" w:sz="0" w:space="0" w:color="auto"/>
      </w:divBdr>
      <w:divsChild>
        <w:div w:id="1362126108">
          <w:marLeft w:val="0"/>
          <w:marRight w:val="0"/>
          <w:marTop w:val="0"/>
          <w:marBottom w:val="0"/>
          <w:divBdr>
            <w:top w:val="none" w:sz="0" w:space="0" w:color="auto"/>
            <w:left w:val="none" w:sz="0" w:space="0" w:color="auto"/>
            <w:bottom w:val="none" w:sz="0" w:space="0" w:color="auto"/>
            <w:right w:val="none" w:sz="0" w:space="0" w:color="auto"/>
          </w:divBdr>
          <w:divsChild>
            <w:div w:id="329524415">
              <w:marLeft w:val="0"/>
              <w:marRight w:val="0"/>
              <w:marTop w:val="0"/>
              <w:marBottom w:val="0"/>
              <w:divBdr>
                <w:top w:val="none" w:sz="0" w:space="0" w:color="auto"/>
                <w:left w:val="none" w:sz="0" w:space="0" w:color="auto"/>
                <w:bottom w:val="none" w:sz="0" w:space="0" w:color="auto"/>
                <w:right w:val="none" w:sz="0" w:space="0" w:color="auto"/>
              </w:divBdr>
              <w:divsChild>
                <w:div w:id="11792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8481">
      <w:bodyDiv w:val="1"/>
      <w:marLeft w:val="0"/>
      <w:marRight w:val="0"/>
      <w:marTop w:val="0"/>
      <w:marBottom w:val="0"/>
      <w:divBdr>
        <w:top w:val="none" w:sz="0" w:space="0" w:color="auto"/>
        <w:left w:val="none" w:sz="0" w:space="0" w:color="auto"/>
        <w:bottom w:val="none" w:sz="0" w:space="0" w:color="auto"/>
        <w:right w:val="none" w:sz="0" w:space="0" w:color="auto"/>
      </w:divBdr>
    </w:div>
    <w:div w:id="376320240">
      <w:bodyDiv w:val="1"/>
      <w:marLeft w:val="0"/>
      <w:marRight w:val="0"/>
      <w:marTop w:val="0"/>
      <w:marBottom w:val="0"/>
      <w:divBdr>
        <w:top w:val="none" w:sz="0" w:space="0" w:color="auto"/>
        <w:left w:val="none" w:sz="0" w:space="0" w:color="auto"/>
        <w:bottom w:val="none" w:sz="0" w:space="0" w:color="auto"/>
        <w:right w:val="none" w:sz="0" w:space="0" w:color="auto"/>
      </w:divBdr>
      <w:divsChild>
        <w:div w:id="562639664">
          <w:marLeft w:val="-45"/>
          <w:marRight w:val="0"/>
          <w:marTop w:val="0"/>
          <w:marBottom w:val="0"/>
          <w:divBdr>
            <w:top w:val="single" w:sz="6" w:space="0" w:color="FFFFFF"/>
            <w:left w:val="single" w:sz="6" w:space="0" w:color="FFFFFF"/>
            <w:bottom w:val="single" w:sz="6" w:space="0" w:color="FFFFFF"/>
            <w:right w:val="single" w:sz="6" w:space="0" w:color="FFFFFF"/>
          </w:divBdr>
        </w:div>
        <w:div w:id="1195921147">
          <w:marLeft w:val="0"/>
          <w:marRight w:val="0"/>
          <w:marTop w:val="0"/>
          <w:marBottom w:val="0"/>
          <w:divBdr>
            <w:top w:val="none" w:sz="0" w:space="0" w:color="auto"/>
            <w:left w:val="none" w:sz="0" w:space="0" w:color="auto"/>
            <w:bottom w:val="none" w:sz="0" w:space="0" w:color="auto"/>
            <w:right w:val="none" w:sz="0" w:space="0" w:color="auto"/>
          </w:divBdr>
        </w:div>
      </w:divsChild>
    </w:div>
    <w:div w:id="763837895">
      <w:bodyDiv w:val="1"/>
      <w:marLeft w:val="0"/>
      <w:marRight w:val="0"/>
      <w:marTop w:val="0"/>
      <w:marBottom w:val="0"/>
      <w:divBdr>
        <w:top w:val="none" w:sz="0" w:space="0" w:color="auto"/>
        <w:left w:val="none" w:sz="0" w:space="0" w:color="auto"/>
        <w:bottom w:val="none" w:sz="0" w:space="0" w:color="auto"/>
        <w:right w:val="none" w:sz="0" w:space="0" w:color="auto"/>
      </w:divBdr>
      <w:divsChild>
        <w:div w:id="1901358002">
          <w:marLeft w:val="547"/>
          <w:marRight w:val="0"/>
          <w:marTop w:val="240"/>
          <w:marBottom w:val="240"/>
          <w:divBdr>
            <w:top w:val="none" w:sz="0" w:space="0" w:color="auto"/>
            <w:left w:val="none" w:sz="0" w:space="0" w:color="auto"/>
            <w:bottom w:val="none" w:sz="0" w:space="0" w:color="auto"/>
            <w:right w:val="none" w:sz="0" w:space="0" w:color="auto"/>
          </w:divBdr>
        </w:div>
      </w:divsChild>
    </w:div>
    <w:div w:id="2052268529">
      <w:bodyDiv w:val="1"/>
      <w:marLeft w:val="0"/>
      <w:marRight w:val="0"/>
      <w:marTop w:val="0"/>
      <w:marBottom w:val="0"/>
      <w:divBdr>
        <w:top w:val="none" w:sz="0" w:space="0" w:color="auto"/>
        <w:left w:val="none" w:sz="0" w:space="0" w:color="auto"/>
        <w:bottom w:val="none" w:sz="0" w:space="0" w:color="auto"/>
        <w:right w:val="none" w:sz="0" w:space="0" w:color="auto"/>
      </w:divBdr>
      <w:divsChild>
        <w:div w:id="863783799">
          <w:marLeft w:val="-45"/>
          <w:marRight w:val="0"/>
          <w:marTop w:val="0"/>
          <w:marBottom w:val="0"/>
          <w:divBdr>
            <w:top w:val="single" w:sz="6" w:space="0" w:color="FFFFFF"/>
            <w:left w:val="single" w:sz="6" w:space="0" w:color="FFFFFF"/>
            <w:bottom w:val="single" w:sz="6" w:space="0" w:color="FFFFFF"/>
            <w:right w:val="single" w:sz="6" w:space="0" w:color="FFFFFF"/>
          </w:divBdr>
        </w:div>
        <w:div w:id="1044405681">
          <w:marLeft w:val="0"/>
          <w:marRight w:val="0"/>
          <w:marTop w:val="0"/>
          <w:marBottom w:val="0"/>
          <w:divBdr>
            <w:top w:val="none" w:sz="0" w:space="0" w:color="auto"/>
            <w:left w:val="none" w:sz="0" w:space="0" w:color="auto"/>
            <w:bottom w:val="none" w:sz="0" w:space="0" w:color="auto"/>
            <w:right w:val="none" w:sz="0" w:space="0" w:color="auto"/>
          </w:divBdr>
        </w:div>
      </w:divsChild>
    </w:div>
    <w:div w:id="20967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2180C11-BE02-45CD-B06E-C5E8B99FA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3307</Words>
  <Characters>18854</Characters>
  <Application>Microsoft Office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Divisão de Suporte - CTI - UFU</Company>
  <LinksUpToDate>false</LinksUpToDate>
  <CharactersWithSpaces>22117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Eulogio Amado Cruz Crespo</cp:lastModifiedBy>
  <cp:revision>2</cp:revision>
  <cp:lastPrinted>2017-03-02T19:45:00Z</cp:lastPrinted>
  <dcterms:created xsi:type="dcterms:W3CDTF">2019-03-13T20:29:00Z</dcterms:created>
  <dcterms:modified xsi:type="dcterms:W3CDTF">2019-03-13T20:29:00Z</dcterms:modified>
</cp:coreProperties>
</file>