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C19" w:rsidRPr="00525C19" w:rsidRDefault="00525C19" w:rsidP="00667F10">
      <w:pPr>
        <w:spacing w:after="0"/>
        <w:jc w:val="center"/>
        <w:rPr>
          <w:rFonts w:ascii="Times New Roman" w:hAnsi="Times New Roman" w:cs="Times New Roman"/>
          <w:b/>
          <w:sz w:val="28"/>
          <w:szCs w:val="28"/>
        </w:rPr>
      </w:pPr>
      <w:bookmarkStart w:id="0" w:name="_GoBack"/>
      <w:bookmarkEnd w:id="0"/>
      <w:r w:rsidRPr="00525C19">
        <w:rPr>
          <w:rFonts w:ascii="Times New Roman" w:hAnsi="Times New Roman" w:cs="Times New Roman"/>
          <w:b/>
          <w:sz w:val="28"/>
          <w:szCs w:val="28"/>
        </w:rPr>
        <w:t>IX CONFERENCIA CIENTÍ</w:t>
      </w:r>
      <w:r w:rsidR="0014787E">
        <w:rPr>
          <w:rFonts w:ascii="Times New Roman" w:hAnsi="Times New Roman" w:cs="Times New Roman"/>
          <w:b/>
          <w:sz w:val="28"/>
          <w:szCs w:val="28"/>
        </w:rPr>
        <w:t>FI</w:t>
      </w:r>
      <w:r w:rsidRPr="00525C19">
        <w:rPr>
          <w:rFonts w:ascii="Times New Roman" w:hAnsi="Times New Roman" w:cs="Times New Roman"/>
          <w:b/>
          <w:sz w:val="28"/>
          <w:szCs w:val="28"/>
        </w:rPr>
        <w:t>CA INTERNACIONAL DESARROLLO AGROPECUARIO Y SOSTENIBILIDAD “AGROCENTRO 2019”</w:t>
      </w:r>
    </w:p>
    <w:p w:rsidR="00E912D0" w:rsidRDefault="00E912D0" w:rsidP="001B2615">
      <w:pPr>
        <w:spacing w:after="0" w:line="360" w:lineRule="auto"/>
        <w:jc w:val="center"/>
        <w:rPr>
          <w:rFonts w:ascii="Times New Roman" w:hAnsi="Times New Roman" w:cs="Times New Roman"/>
          <w:b/>
          <w:sz w:val="24"/>
          <w:szCs w:val="24"/>
        </w:rPr>
      </w:pPr>
    </w:p>
    <w:p w:rsidR="00525C19" w:rsidRPr="00525C19" w:rsidRDefault="00525C19" w:rsidP="001B2615">
      <w:pPr>
        <w:spacing w:after="0" w:line="360" w:lineRule="auto"/>
        <w:jc w:val="center"/>
        <w:rPr>
          <w:rFonts w:ascii="Times New Roman" w:hAnsi="Times New Roman" w:cs="Times New Roman"/>
          <w:b/>
          <w:sz w:val="28"/>
          <w:szCs w:val="28"/>
        </w:rPr>
      </w:pPr>
      <w:r w:rsidRPr="00525C19">
        <w:rPr>
          <w:rFonts w:ascii="Times New Roman" w:eastAsia="Times New Roman" w:hAnsi="Times New Roman" w:cs="Times New Roman"/>
          <w:b/>
          <w:sz w:val="28"/>
          <w:szCs w:val="28"/>
          <w:lang w:eastAsia="es-ES"/>
        </w:rPr>
        <w:t>Propiedades físico-mecánicas de los granos y vainas de gandul para el diseño de una desgranadora</w:t>
      </w:r>
    </w:p>
    <w:p w:rsidR="00525C19" w:rsidRPr="00525C19" w:rsidRDefault="00525C19" w:rsidP="001B2615">
      <w:pPr>
        <w:spacing w:after="0" w:line="360" w:lineRule="auto"/>
        <w:jc w:val="center"/>
        <w:rPr>
          <w:rFonts w:ascii="Times New Roman" w:eastAsia="Times New Roman" w:hAnsi="Times New Roman" w:cs="Times New Roman"/>
          <w:b/>
          <w:sz w:val="28"/>
          <w:szCs w:val="28"/>
          <w:lang w:eastAsia="es-ES"/>
        </w:rPr>
      </w:pPr>
    </w:p>
    <w:p w:rsidR="00525C19" w:rsidRPr="00525C19" w:rsidRDefault="00525C19" w:rsidP="001B2615">
      <w:pPr>
        <w:spacing w:after="0" w:line="360" w:lineRule="auto"/>
        <w:jc w:val="center"/>
        <w:rPr>
          <w:rFonts w:ascii="Times New Roman" w:eastAsia="Times New Roman" w:hAnsi="Times New Roman" w:cs="Times New Roman"/>
          <w:b/>
          <w:i/>
          <w:sz w:val="28"/>
          <w:szCs w:val="28"/>
          <w:lang w:val="en-US" w:eastAsia="es-ES"/>
        </w:rPr>
      </w:pPr>
      <w:r w:rsidRPr="00525C19">
        <w:rPr>
          <w:rFonts w:ascii="Times New Roman" w:eastAsia="Times New Roman" w:hAnsi="Times New Roman" w:cs="Times New Roman"/>
          <w:b/>
          <w:i/>
          <w:sz w:val="28"/>
          <w:szCs w:val="28"/>
          <w:lang w:val="en-US" w:eastAsia="es-ES"/>
        </w:rPr>
        <w:t>Physical Mechanical Properties of Pigeon Beans and Pods for the Design of a Sheller Machine</w:t>
      </w:r>
    </w:p>
    <w:p w:rsidR="009D5E02" w:rsidRPr="001B16B6" w:rsidRDefault="009D5E02" w:rsidP="001B2615">
      <w:pPr>
        <w:spacing w:after="0" w:line="360" w:lineRule="auto"/>
        <w:rPr>
          <w:rFonts w:ascii="Times New Roman" w:hAnsi="Times New Roman" w:cs="Times New Roman"/>
          <w:b/>
          <w:sz w:val="24"/>
          <w:szCs w:val="24"/>
          <w:lang w:val="en-US"/>
        </w:rPr>
      </w:pPr>
    </w:p>
    <w:p w:rsidR="00525C19" w:rsidRPr="00C35A38" w:rsidRDefault="00525C19" w:rsidP="001B2615">
      <w:pPr>
        <w:spacing w:after="0" w:line="360" w:lineRule="auto"/>
        <w:jc w:val="both"/>
        <w:rPr>
          <w:rFonts w:ascii="Arial" w:hAnsi="Arial" w:cs="Arial"/>
          <w:sz w:val="20"/>
          <w:szCs w:val="20"/>
          <w:lang w:val="en-US"/>
        </w:rPr>
      </w:pPr>
    </w:p>
    <w:p w:rsidR="00525C19" w:rsidRPr="001B2615" w:rsidRDefault="00525C19" w:rsidP="001B2615">
      <w:pPr>
        <w:spacing w:after="0" w:line="360" w:lineRule="auto"/>
        <w:jc w:val="both"/>
        <w:rPr>
          <w:rFonts w:ascii="Times New Roman" w:hAnsi="Times New Roman" w:cs="Times New Roman"/>
          <w:sz w:val="24"/>
          <w:szCs w:val="24"/>
        </w:rPr>
      </w:pPr>
      <w:r w:rsidRPr="001B2615">
        <w:rPr>
          <w:rFonts w:ascii="Times New Roman" w:hAnsi="Times New Roman" w:cs="Times New Roman"/>
          <w:sz w:val="24"/>
          <w:szCs w:val="24"/>
        </w:rPr>
        <w:t>Autores: Jeny Pérez Petitón</w:t>
      </w:r>
      <w:r w:rsidRPr="001B2615">
        <w:rPr>
          <w:rFonts w:ascii="Times New Roman" w:hAnsi="Times New Roman" w:cs="Times New Roman"/>
          <w:sz w:val="24"/>
          <w:szCs w:val="24"/>
          <w:vertAlign w:val="superscript"/>
        </w:rPr>
        <w:t>1</w:t>
      </w:r>
      <w:r w:rsidRPr="001B2615">
        <w:rPr>
          <w:rFonts w:ascii="Times New Roman" w:hAnsi="Times New Roman" w:cs="Times New Roman"/>
          <w:sz w:val="24"/>
          <w:szCs w:val="24"/>
        </w:rPr>
        <w:t>, Geisy Hernández Cuello</w:t>
      </w:r>
      <w:r w:rsidRPr="001B2615">
        <w:rPr>
          <w:rFonts w:ascii="Times New Roman" w:hAnsi="Times New Roman" w:cs="Times New Roman"/>
          <w:sz w:val="24"/>
          <w:szCs w:val="24"/>
          <w:vertAlign w:val="superscript"/>
        </w:rPr>
        <w:t>2</w:t>
      </w:r>
      <w:r w:rsidRPr="001B2615">
        <w:rPr>
          <w:rFonts w:ascii="Times New Roman" w:hAnsi="Times New Roman" w:cs="Times New Roman"/>
          <w:sz w:val="24"/>
          <w:szCs w:val="24"/>
        </w:rPr>
        <w:t>, Ernesto Ramos Carbajal</w:t>
      </w:r>
      <w:r w:rsidRPr="001B2615">
        <w:rPr>
          <w:rFonts w:ascii="Times New Roman" w:hAnsi="Times New Roman" w:cs="Times New Roman"/>
          <w:sz w:val="24"/>
          <w:szCs w:val="24"/>
          <w:vertAlign w:val="superscript"/>
        </w:rPr>
        <w:t>3</w:t>
      </w:r>
      <w:r w:rsidRPr="001B2615">
        <w:rPr>
          <w:rFonts w:ascii="Times New Roman" w:hAnsi="Times New Roman" w:cs="Times New Roman"/>
          <w:sz w:val="24"/>
          <w:szCs w:val="24"/>
        </w:rPr>
        <w:t>, Segress Garcia Hevia</w:t>
      </w:r>
      <w:r w:rsidRPr="001B2615">
        <w:rPr>
          <w:rFonts w:ascii="Times New Roman" w:hAnsi="Times New Roman" w:cs="Times New Roman"/>
          <w:sz w:val="24"/>
          <w:szCs w:val="24"/>
          <w:vertAlign w:val="superscript"/>
        </w:rPr>
        <w:t>4</w:t>
      </w:r>
    </w:p>
    <w:p w:rsidR="00525C19" w:rsidRPr="001B2615" w:rsidRDefault="00525C19" w:rsidP="001B2615">
      <w:pPr>
        <w:spacing w:after="0" w:line="360" w:lineRule="auto"/>
        <w:jc w:val="both"/>
        <w:rPr>
          <w:rFonts w:ascii="Times New Roman" w:hAnsi="Times New Roman" w:cs="Times New Roman"/>
          <w:sz w:val="24"/>
          <w:szCs w:val="24"/>
        </w:rPr>
      </w:pPr>
    </w:p>
    <w:p w:rsidR="00525C19" w:rsidRPr="001B2615" w:rsidRDefault="00525C19" w:rsidP="001B2615">
      <w:pPr>
        <w:pStyle w:val="Prrafodelista"/>
        <w:numPr>
          <w:ilvl w:val="0"/>
          <w:numId w:val="6"/>
        </w:numPr>
        <w:spacing w:after="0" w:line="360" w:lineRule="auto"/>
        <w:ind w:left="426" w:hanging="426"/>
        <w:jc w:val="both"/>
        <w:rPr>
          <w:rFonts w:ascii="Times New Roman" w:hAnsi="Times New Roman" w:cs="Times New Roman"/>
          <w:sz w:val="24"/>
          <w:szCs w:val="24"/>
        </w:rPr>
      </w:pPr>
      <w:r w:rsidRPr="001B2615">
        <w:rPr>
          <w:rFonts w:ascii="Times New Roman" w:hAnsi="Times New Roman" w:cs="Times New Roman"/>
          <w:sz w:val="24"/>
          <w:szCs w:val="24"/>
        </w:rPr>
        <w:t xml:space="preserve">Jeny Pérez Petitón. Centro de Mecanización Agropecuaria (CEMA). Cuba. </w:t>
      </w:r>
      <w:hyperlink r:id="rId8" w:history="1">
        <w:r w:rsidRPr="001B2615">
          <w:rPr>
            <w:rStyle w:val="Hipervnculo"/>
            <w:rFonts w:ascii="Times New Roman" w:hAnsi="Times New Roman" w:cs="Times New Roman"/>
            <w:sz w:val="24"/>
            <w:szCs w:val="24"/>
          </w:rPr>
          <w:t>jpetiton@unah.edu.cu</w:t>
        </w:r>
      </w:hyperlink>
      <w:r w:rsidRPr="001B2615">
        <w:rPr>
          <w:rFonts w:ascii="Times New Roman" w:hAnsi="Times New Roman" w:cs="Times New Roman"/>
          <w:sz w:val="24"/>
          <w:szCs w:val="24"/>
        </w:rPr>
        <w:t xml:space="preserve"> </w:t>
      </w:r>
    </w:p>
    <w:p w:rsidR="00525C19" w:rsidRPr="001B2615" w:rsidRDefault="00525C19" w:rsidP="001B2615">
      <w:pPr>
        <w:pStyle w:val="Prrafodelista"/>
        <w:numPr>
          <w:ilvl w:val="0"/>
          <w:numId w:val="6"/>
        </w:numPr>
        <w:spacing w:after="0" w:line="360" w:lineRule="auto"/>
        <w:ind w:left="426" w:hanging="426"/>
        <w:jc w:val="both"/>
        <w:rPr>
          <w:rFonts w:ascii="Times New Roman" w:hAnsi="Times New Roman" w:cs="Times New Roman"/>
          <w:sz w:val="24"/>
          <w:szCs w:val="24"/>
        </w:rPr>
      </w:pPr>
      <w:r w:rsidRPr="001B2615">
        <w:rPr>
          <w:rFonts w:ascii="Times New Roman" w:hAnsi="Times New Roman" w:cs="Times New Roman"/>
          <w:sz w:val="24"/>
          <w:szCs w:val="24"/>
        </w:rPr>
        <w:t xml:space="preserve">Geisy Hernández Cuello. Centro de Mecanización Agropecuaria (CEMA). Cuba. </w:t>
      </w:r>
      <w:hyperlink r:id="rId9" w:history="1">
        <w:r w:rsidR="001B2615" w:rsidRPr="001B2615">
          <w:rPr>
            <w:rStyle w:val="Hipervnculo"/>
            <w:rFonts w:ascii="Times New Roman" w:hAnsi="Times New Roman" w:cs="Times New Roman"/>
            <w:sz w:val="24"/>
            <w:szCs w:val="24"/>
          </w:rPr>
          <w:t>geisyh@unah.edu.cu</w:t>
        </w:r>
      </w:hyperlink>
      <w:r w:rsidRPr="001B2615">
        <w:rPr>
          <w:rFonts w:ascii="Times New Roman" w:hAnsi="Times New Roman" w:cs="Times New Roman"/>
          <w:sz w:val="24"/>
          <w:szCs w:val="24"/>
        </w:rPr>
        <w:t xml:space="preserve"> </w:t>
      </w:r>
    </w:p>
    <w:p w:rsidR="00525C19" w:rsidRPr="001B2615" w:rsidRDefault="00525C19" w:rsidP="001B2615">
      <w:pPr>
        <w:pStyle w:val="Prrafodelista"/>
        <w:numPr>
          <w:ilvl w:val="0"/>
          <w:numId w:val="6"/>
        </w:numPr>
        <w:spacing w:after="0" w:line="360" w:lineRule="auto"/>
        <w:jc w:val="both"/>
        <w:rPr>
          <w:rFonts w:ascii="Times New Roman" w:hAnsi="Times New Roman" w:cs="Times New Roman"/>
          <w:sz w:val="24"/>
          <w:szCs w:val="24"/>
        </w:rPr>
      </w:pPr>
      <w:r w:rsidRPr="001B2615">
        <w:rPr>
          <w:rFonts w:ascii="Times New Roman" w:hAnsi="Times New Roman" w:cs="Times New Roman"/>
          <w:sz w:val="24"/>
          <w:szCs w:val="24"/>
        </w:rPr>
        <w:t>Escuela de estudios Agropecuarios de Mezcalapas,</w:t>
      </w:r>
      <w:r w:rsidR="001B2615" w:rsidRPr="001B2615">
        <w:rPr>
          <w:rFonts w:ascii="Times New Roman" w:hAnsi="Times New Roman" w:cs="Times New Roman"/>
          <w:sz w:val="24"/>
          <w:szCs w:val="24"/>
        </w:rPr>
        <w:t xml:space="preserve"> Universidad de Chiapas, México. </w:t>
      </w:r>
      <w:hyperlink r:id="rId10" w:history="1">
        <w:r w:rsidR="001B2615" w:rsidRPr="001B2615">
          <w:rPr>
            <w:rStyle w:val="Hipervnculo"/>
            <w:rFonts w:ascii="Times New Roman" w:hAnsi="Times New Roman" w:cs="Times New Roman"/>
            <w:sz w:val="24"/>
            <w:szCs w:val="24"/>
          </w:rPr>
          <w:t>erc670819@gmail.com</w:t>
        </w:r>
      </w:hyperlink>
      <w:r w:rsidR="001B2615" w:rsidRPr="001B2615">
        <w:rPr>
          <w:rFonts w:ascii="Times New Roman" w:hAnsi="Times New Roman" w:cs="Times New Roman"/>
          <w:sz w:val="24"/>
          <w:szCs w:val="24"/>
        </w:rPr>
        <w:t xml:space="preserve"> </w:t>
      </w:r>
    </w:p>
    <w:p w:rsidR="00525C19" w:rsidRPr="001B2615" w:rsidRDefault="00525C19" w:rsidP="001B2615">
      <w:pPr>
        <w:pStyle w:val="Prrafodelista"/>
        <w:numPr>
          <w:ilvl w:val="0"/>
          <w:numId w:val="6"/>
        </w:numPr>
        <w:spacing w:after="0" w:line="360" w:lineRule="auto"/>
        <w:jc w:val="both"/>
        <w:rPr>
          <w:rFonts w:ascii="Times New Roman" w:hAnsi="Times New Roman" w:cs="Times New Roman"/>
          <w:sz w:val="24"/>
          <w:szCs w:val="24"/>
        </w:rPr>
      </w:pPr>
      <w:r w:rsidRPr="001B2615">
        <w:rPr>
          <w:rFonts w:ascii="Times New Roman" w:hAnsi="Times New Roman" w:cs="Times New Roman"/>
          <w:sz w:val="24"/>
          <w:szCs w:val="24"/>
        </w:rPr>
        <w:t>Universidad de Guayaquil, Facultad de Ciencias Agrarias, Ecuador.</w:t>
      </w:r>
      <w:r w:rsidR="001B2615" w:rsidRPr="001B2615">
        <w:rPr>
          <w:rFonts w:ascii="Times New Roman" w:hAnsi="Times New Roman" w:cs="Times New Roman"/>
          <w:sz w:val="24"/>
          <w:szCs w:val="24"/>
        </w:rPr>
        <w:t xml:space="preserve"> </w:t>
      </w:r>
      <w:hyperlink r:id="rId11" w:history="1">
        <w:r w:rsidR="001B2615" w:rsidRPr="001B2615">
          <w:rPr>
            <w:rStyle w:val="Hipervnculo"/>
            <w:rFonts w:ascii="Times New Roman" w:hAnsi="Times New Roman" w:cs="Times New Roman"/>
            <w:sz w:val="24"/>
            <w:szCs w:val="24"/>
          </w:rPr>
          <w:t>segressgirl@gmail.com</w:t>
        </w:r>
      </w:hyperlink>
      <w:r w:rsidR="001B2615" w:rsidRPr="001B2615">
        <w:rPr>
          <w:rFonts w:ascii="Times New Roman" w:hAnsi="Times New Roman" w:cs="Times New Roman"/>
          <w:sz w:val="24"/>
          <w:szCs w:val="24"/>
        </w:rPr>
        <w:t xml:space="preserve"> </w:t>
      </w:r>
    </w:p>
    <w:p w:rsidR="00525C19" w:rsidRPr="00C35A38" w:rsidRDefault="00525C19" w:rsidP="00525C19">
      <w:pPr>
        <w:spacing w:after="0" w:line="240" w:lineRule="auto"/>
        <w:jc w:val="both"/>
        <w:rPr>
          <w:rFonts w:ascii="Arial" w:hAnsi="Arial" w:cs="Arial"/>
          <w:b/>
          <w:sz w:val="20"/>
          <w:szCs w:val="20"/>
        </w:rPr>
      </w:pPr>
    </w:p>
    <w:p w:rsidR="00525C19" w:rsidRPr="001B2615" w:rsidRDefault="00525C19" w:rsidP="001B2615">
      <w:pPr>
        <w:spacing w:after="0" w:line="360" w:lineRule="auto"/>
        <w:jc w:val="both"/>
        <w:rPr>
          <w:rFonts w:ascii="Times New Roman" w:hAnsi="Times New Roman" w:cs="Times New Roman"/>
          <w:sz w:val="24"/>
          <w:szCs w:val="24"/>
        </w:rPr>
      </w:pPr>
      <w:r w:rsidRPr="001B2615">
        <w:rPr>
          <w:rFonts w:ascii="Times New Roman" w:hAnsi="Times New Roman" w:cs="Times New Roman"/>
          <w:b/>
          <w:sz w:val="24"/>
          <w:szCs w:val="24"/>
        </w:rPr>
        <w:t xml:space="preserve">RESUMEN. </w:t>
      </w:r>
      <w:r w:rsidRPr="001B2615">
        <w:rPr>
          <w:rFonts w:ascii="Times New Roman" w:hAnsi="Times New Roman" w:cs="Times New Roman"/>
          <w:sz w:val="24"/>
          <w:szCs w:val="24"/>
        </w:rPr>
        <w:t>El estudio de las propiedades físico-mecánicas es importante para mejorar el diseño y construcción racional de equipos y estructuras, para el manejo, recolección, transporte, limpieza, clasificación, y procesamiento agroindustrial, así como su utilización como datos de entrada al modelo teórico que fundamenta los parámetros de diseño y de operación de la máquina desgranadora.</w:t>
      </w:r>
      <w:r w:rsidRPr="001B2615">
        <w:rPr>
          <w:rFonts w:ascii="Times New Roman" w:eastAsia="Times New Roman" w:hAnsi="Times New Roman" w:cs="Times New Roman"/>
          <w:sz w:val="24"/>
          <w:szCs w:val="24"/>
          <w:lang w:eastAsia="es-ES"/>
        </w:rPr>
        <w:t xml:space="preserve"> El trabajo se realizó en el Centro de Mecanización Agropecuaria de la Facultad Ciencias Técnicas, Universidad Agraria de </w:t>
      </w:r>
      <w:r w:rsidRPr="001B2615">
        <w:rPr>
          <w:rFonts w:ascii="Times New Roman" w:eastAsia="Times New Roman" w:hAnsi="Times New Roman" w:cs="Times New Roman"/>
          <w:sz w:val="24"/>
          <w:szCs w:val="24"/>
          <w:lang w:eastAsia="es-ES"/>
        </w:rPr>
        <w:lastRenderedPageBreak/>
        <w:t>la Habana, el cual tuvo como objetivo determinar las propiedades físico -mecánicas de los granos y vainas de gandul (</w:t>
      </w:r>
      <w:r w:rsidRPr="001B2615">
        <w:rPr>
          <w:rFonts w:ascii="Times New Roman" w:eastAsia="Times New Roman" w:hAnsi="Times New Roman" w:cs="Times New Roman"/>
          <w:i/>
          <w:sz w:val="24"/>
          <w:szCs w:val="24"/>
          <w:lang w:eastAsia="es-ES"/>
        </w:rPr>
        <w:t>Cajanus cajan (L.) Mill sp</w:t>
      </w:r>
      <w:r w:rsidRPr="001B2615">
        <w:rPr>
          <w:rFonts w:ascii="Times New Roman" w:eastAsia="Times New Roman" w:hAnsi="Times New Roman" w:cs="Times New Roman"/>
          <w:sz w:val="24"/>
          <w:szCs w:val="24"/>
          <w:lang w:eastAsia="es-ES"/>
        </w:rPr>
        <w:t xml:space="preserve">) verde de la variedad Gwailor–3, para su utilización como </w:t>
      </w:r>
      <w:r w:rsidRPr="001B2615">
        <w:rPr>
          <w:rFonts w:ascii="Times New Roman" w:hAnsi="Times New Roman" w:cs="Times New Roman"/>
          <w:sz w:val="24"/>
          <w:szCs w:val="24"/>
        </w:rPr>
        <w:t>parámetros de diseño y operación de una máquina para el desgranado de gandul verde</w:t>
      </w:r>
      <w:r w:rsidRPr="001B2615">
        <w:rPr>
          <w:rFonts w:ascii="Times New Roman" w:eastAsia="Times New Roman" w:hAnsi="Times New Roman" w:cs="Times New Roman"/>
          <w:sz w:val="24"/>
          <w:szCs w:val="24"/>
          <w:lang w:eastAsia="es-ES"/>
        </w:rPr>
        <w:t>. Obteniéndose un ancho de las vainas que oscila entre 12,5 y 15,8 mm, mientras que la longitud se encuentra entre 46,8 y 78,9 mm. Los valores medios de ángulos de fricción de los granos sobre superficie de goma, madera y acero son de 43,6º; 21,07º y 20,13º respectivamente y para las vainas ángulos de 34,9º; 35,38º y 25, 95º.</w:t>
      </w:r>
    </w:p>
    <w:p w:rsidR="00525C19" w:rsidRPr="001B2615" w:rsidRDefault="00525C19" w:rsidP="001B2615">
      <w:pPr>
        <w:spacing w:after="0" w:line="360" w:lineRule="auto"/>
        <w:jc w:val="both"/>
        <w:rPr>
          <w:rFonts w:ascii="Times New Roman" w:eastAsia="Times New Roman" w:hAnsi="Times New Roman" w:cs="Times New Roman"/>
          <w:b/>
          <w:sz w:val="24"/>
          <w:szCs w:val="24"/>
          <w:lang w:eastAsia="es-ES"/>
        </w:rPr>
      </w:pPr>
    </w:p>
    <w:p w:rsidR="00525C19" w:rsidRPr="001B2615" w:rsidRDefault="00525C19" w:rsidP="001B2615">
      <w:pPr>
        <w:spacing w:after="0" w:line="360" w:lineRule="auto"/>
        <w:jc w:val="both"/>
        <w:rPr>
          <w:rFonts w:ascii="Times New Roman" w:eastAsia="Times New Roman" w:hAnsi="Times New Roman" w:cs="Times New Roman"/>
          <w:sz w:val="24"/>
          <w:szCs w:val="24"/>
          <w:lang w:val="en-US" w:eastAsia="es-ES"/>
        </w:rPr>
      </w:pPr>
      <w:r w:rsidRPr="001B2615">
        <w:rPr>
          <w:rFonts w:ascii="Times New Roman" w:eastAsia="Times New Roman" w:hAnsi="Times New Roman" w:cs="Times New Roman"/>
          <w:b/>
          <w:sz w:val="24"/>
          <w:szCs w:val="24"/>
          <w:lang w:val="en-US" w:eastAsia="es-ES"/>
        </w:rPr>
        <w:t xml:space="preserve">ABSTRACT. </w:t>
      </w:r>
      <w:r w:rsidRPr="001B2615">
        <w:rPr>
          <w:rFonts w:ascii="Times New Roman" w:eastAsia="Times New Roman" w:hAnsi="Times New Roman" w:cs="Times New Roman"/>
          <w:sz w:val="24"/>
          <w:szCs w:val="24"/>
          <w:lang w:val="en-US" w:eastAsia="es-ES"/>
        </w:rPr>
        <w:t>The study of the physical-mechanical properties is important for improve the design and construction of equipment and structures, for the management, collection, transportation, cleaning, classification, and agro industrial processing, as well as the input data to the theoretical model that bases the parameters of design and operation of the sheller machine. The work was carried out in the Agricultural Mechanization Center of the Faculty of Technical Sciences, Agrarian University of Havana, which had as objective to determine the physical-mechanical properties of the grains and green Gandul pods (</w:t>
      </w:r>
      <w:r w:rsidRPr="001B2615">
        <w:rPr>
          <w:rFonts w:ascii="Times New Roman" w:eastAsia="Times New Roman" w:hAnsi="Times New Roman" w:cs="Times New Roman"/>
          <w:i/>
          <w:sz w:val="24"/>
          <w:szCs w:val="24"/>
          <w:lang w:val="en-US" w:eastAsia="es-ES"/>
        </w:rPr>
        <w:t>Cajanus cajan (L.) Mill sp</w:t>
      </w:r>
      <w:r w:rsidRPr="001B2615">
        <w:rPr>
          <w:rFonts w:ascii="Times New Roman" w:eastAsia="Times New Roman" w:hAnsi="Times New Roman" w:cs="Times New Roman"/>
          <w:sz w:val="24"/>
          <w:szCs w:val="24"/>
          <w:lang w:val="en-US" w:eastAsia="es-ES"/>
        </w:rPr>
        <w:t>) of the variety Gwailor-3, for its use of parameters of design and operation of a machine for the husking of green pigeon peas. Obtaining a width of the pods that oscillates between 12.5 and 15.8 mm, while the length is between 46.8 and 78.9 mm. The average friction values ​​of the grains on rubber, wood and steel surfaces are 43.6º; 21.07º and 20.13º respectively and for the pods angles of 34.9º; 35.38º and 25, 95º.</w:t>
      </w:r>
    </w:p>
    <w:p w:rsidR="001B2615" w:rsidRPr="001B16B6" w:rsidRDefault="001B2615" w:rsidP="001B2615">
      <w:pPr>
        <w:spacing w:after="0" w:line="360" w:lineRule="auto"/>
        <w:jc w:val="both"/>
        <w:rPr>
          <w:rFonts w:ascii="Times New Roman" w:eastAsia="Times New Roman" w:hAnsi="Times New Roman" w:cs="Times New Roman"/>
          <w:b/>
          <w:i/>
          <w:sz w:val="24"/>
          <w:szCs w:val="24"/>
          <w:lang w:val="en-US" w:eastAsia="es-ES"/>
        </w:rPr>
      </w:pPr>
    </w:p>
    <w:p w:rsidR="001B2615" w:rsidRPr="001B2615" w:rsidRDefault="001B2615"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b/>
          <w:i/>
          <w:sz w:val="24"/>
          <w:szCs w:val="24"/>
          <w:lang w:eastAsia="es-ES"/>
        </w:rPr>
        <w:t>Palabras clave:</w:t>
      </w:r>
      <w:r w:rsidRPr="001B2615">
        <w:rPr>
          <w:rFonts w:ascii="Times New Roman" w:eastAsia="Times New Roman" w:hAnsi="Times New Roman" w:cs="Times New Roman"/>
          <w:sz w:val="24"/>
          <w:szCs w:val="24"/>
          <w:lang w:eastAsia="es-ES"/>
        </w:rPr>
        <w:t xml:space="preserve"> </w:t>
      </w:r>
      <w:r w:rsidRPr="001B2615">
        <w:rPr>
          <w:rFonts w:ascii="Times New Roman" w:eastAsia="Times New Roman" w:hAnsi="Times New Roman" w:cs="Times New Roman"/>
          <w:i/>
          <w:sz w:val="24"/>
          <w:szCs w:val="24"/>
          <w:lang w:eastAsia="es-ES"/>
        </w:rPr>
        <w:t>Cajanus cajan</w:t>
      </w:r>
      <w:r w:rsidRPr="001B2615">
        <w:rPr>
          <w:rFonts w:ascii="Times New Roman" w:eastAsia="Times New Roman" w:hAnsi="Times New Roman" w:cs="Times New Roman"/>
          <w:sz w:val="24"/>
          <w:szCs w:val="24"/>
          <w:lang w:eastAsia="es-ES"/>
        </w:rPr>
        <w:t>, ángulo de fricción, dimensiones.</w:t>
      </w:r>
    </w:p>
    <w:p w:rsidR="001B16B6" w:rsidRPr="001B16B6" w:rsidRDefault="00525C19" w:rsidP="001B16B6">
      <w:pPr>
        <w:pStyle w:val="HTMLconformatoprevio"/>
        <w:rPr>
          <w:lang w:val="en-US" w:eastAsia="es-MX"/>
        </w:rPr>
      </w:pPr>
      <w:r w:rsidRPr="001B16B6">
        <w:rPr>
          <w:rFonts w:ascii="Times New Roman" w:hAnsi="Times New Roman" w:cs="Times New Roman"/>
          <w:b/>
          <w:i/>
          <w:sz w:val="24"/>
          <w:szCs w:val="24"/>
          <w:lang w:val="en-US"/>
        </w:rPr>
        <w:t>Keywords:</w:t>
      </w:r>
      <w:r w:rsidRPr="001B16B6">
        <w:rPr>
          <w:rFonts w:ascii="Times New Roman" w:hAnsi="Times New Roman" w:cs="Times New Roman"/>
          <w:sz w:val="24"/>
          <w:szCs w:val="24"/>
          <w:lang w:val="en-US"/>
        </w:rPr>
        <w:t xml:space="preserve"> Cajanus cajan, </w:t>
      </w:r>
      <w:r w:rsidR="001B16B6" w:rsidRPr="001B16B6">
        <w:rPr>
          <w:rFonts w:ascii="Times New Roman" w:hAnsi="Times New Roman" w:cs="Times New Roman"/>
          <w:sz w:val="24"/>
          <w:szCs w:val="24"/>
          <w:lang w:val="en-US"/>
        </w:rPr>
        <w:t xml:space="preserve">friction angle, </w:t>
      </w:r>
      <w:r w:rsidR="001B16B6" w:rsidRPr="001B16B6">
        <w:rPr>
          <w:rFonts w:ascii="Times New Roman" w:hAnsi="Times New Roman" w:cs="Times New Roman"/>
          <w:sz w:val="24"/>
          <w:szCs w:val="24"/>
          <w:lang w:val="en" w:eastAsia="es-MX"/>
        </w:rPr>
        <w:t>dimensions</w:t>
      </w:r>
    </w:p>
    <w:p w:rsidR="00525C19" w:rsidRPr="001B16B6" w:rsidRDefault="00525C19" w:rsidP="001B2615">
      <w:pPr>
        <w:pStyle w:val="HTMLconformatoprevio"/>
        <w:spacing w:line="360" w:lineRule="auto"/>
        <w:rPr>
          <w:rFonts w:ascii="Times New Roman" w:hAnsi="Times New Roman" w:cs="Times New Roman"/>
          <w:sz w:val="24"/>
          <w:szCs w:val="24"/>
          <w:lang w:val="en-US"/>
        </w:rPr>
      </w:pPr>
    </w:p>
    <w:p w:rsidR="00525C19" w:rsidRPr="001B2615" w:rsidRDefault="00525C19" w:rsidP="001B2615">
      <w:pPr>
        <w:spacing w:after="0" w:line="360" w:lineRule="auto"/>
        <w:jc w:val="both"/>
        <w:rPr>
          <w:rFonts w:ascii="Times New Roman" w:hAnsi="Times New Roman" w:cs="Times New Roman"/>
          <w:b/>
          <w:sz w:val="24"/>
          <w:szCs w:val="24"/>
          <w:lang w:val="en-CA"/>
        </w:rPr>
      </w:pPr>
    </w:p>
    <w:p w:rsidR="00525C19" w:rsidRPr="001B2615" w:rsidRDefault="00525C19" w:rsidP="001B2615">
      <w:pPr>
        <w:spacing w:after="0" w:line="360" w:lineRule="auto"/>
        <w:jc w:val="both"/>
        <w:rPr>
          <w:rFonts w:ascii="Times New Roman" w:hAnsi="Times New Roman" w:cs="Times New Roman"/>
          <w:b/>
          <w:sz w:val="24"/>
          <w:szCs w:val="24"/>
        </w:rPr>
      </w:pPr>
      <w:r w:rsidRPr="001B2615">
        <w:rPr>
          <w:rFonts w:ascii="Times New Roman" w:hAnsi="Times New Roman" w:cs="Times New Roman"/>
          <w:b/>
          <w:sz w:val="24"/>
          <w:szCs w:val="24"/>
        </w:rPr>
        <w:t>INTRODUCCIÓN</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lastRenderedPageBreak/>
        <w:t>El gandul [</w:t>
      </w:r>
      <w:r w:rsidRPr="001B2615">
        <w:rPr>
          <w:rFonts w:ascii="Times New Roman" w:eastAsia="Times New Roman" w:hAnsi="Times New Roman" w:cs="Times New Roman"/>
          <w:i/>
          <w:sz w:val="24"/>
          <w:szCs w:val="24"/>
          <w:lang w:eastAsia="es-ES"/>
        </w:rPr>
        <w:t>Cajanus cajan (L.) Mill sp</w:t>
      </w:r>
      <w:r w:rsidRPr="001B2615">
        <w:rPr>
          <w:rFonts w:ascii="Times New Roman" w:eastAsia="Times New Roman" w:hAnsi="Times New Roman" w:cs="Times New Roman"/>
          <w:sz w:val="24"/>
          <w:szCs w:val="24"/>
          <w:lang w:eastAsia="es-ES"/>
        </w:rPr>
        <w:t xml:space="preserve">.], es originario de la India y más tarde se desarrolló en África. Constituye uno de los principales cultivos de legumbres de los trópicos y sub-trópicos, cultivándose en aproximadamente 50 países de Asia, África y América, principalmente intercalado con cereales. Su tolerancia a la sequía y la capacidad de usar humedad residual durante la estación seca lo hacen un cultivo importante </w:t>
      </w:r>
      <w:r w:rsidRPr="001B2615">
        <w:rPr>
          <w:rFonts w:ascii="Times New Roman" w:eastAsia="Times New Roman" w:hAnsi="Times New Roman" w:cs="Times New Roman"/>
          <w:sz w:val="24"/>
          <w:szCs w:val="24"/>
          <w:lang w:eastAsia="es-ES"/>
        </w:rPr>
        <w:fldChar w:fldCharType="begin"/>
      </w:r>
      <w:r w:rsidRPr="001B2615">
        <w:rPr>
          <w:rFonts w:ascii="Times New Roman" w:eastAsia="Times New Roman" w:hAnsi="Times New Roman" w:cs="Times New Roman"/>
          <w:sz w:val="24"/>
          <w:szCs w:val="24"/>
          <w:lang w:eastAsia="es-ES"/>
        </w:rPr>
        <w:instrText xml:space="preserve"> ADDIN ZOTERO_ITEM CSL_CITATION {"citationID":"a2hon8mhsn0","properties":{"formattedCitation":"{\\rtf (Sheldrake, 1984; Sandoval {\\i{}et\\uc0\\u160{}al.}, 1991; Robledo, 2010)}","plainCitation":"(Sheldrake, 1984; Sandoval et al., 1991; Robledo, 2010)"},"citationItems":[{"id":1979,"uris":["http://zotero.org/users/local/e4oPRoLq/items/3ZZVC935"],"uri":["http://zotero.org/users/local/e4oPRoLq/items/3ZZVC935"],"itemData":{"id":1979,"type":"book","title":"Pigeonpea in The physiology of tropical field crops","publisher":"John Wiley &amp; Co.","publisher-place":"Chichester, USA","number-of-pages":"385-417","edition":"Goldsworth, P.R.;Fisher, N.M., eds.","event-place":"Chichester, USA","author":[{"family":"Sheldrake","given":"A. R."}],"issued":{"date-parts":[["1984"]]}},"label":"page"},{"id":1268,"uris":["http://zotero.org/users/local/e4oPRoLq/items/9QV32DDT"],"uri":["http://zotero.org/users/local/e4oPRoLq/items/9QV32DDT"],"itemData":{"id":1268,"type":"article-journal","title":"Cajanus cajan L. Millsp.(Gandul) recurso forrajero explotable en México. Su composición química","container-title":"Turrialba (IICA) v. 41 (2) p. 211-216","source":"Google Scholar","author":[{"family":"Sandoval","given":"A. J."},{"family":"Arellano","given":"M. L."},{"family":"Carranco","given":"J. M."},{"family":"Perez Gil","given":"R. F."},{"family":"Balvanera","given":"P."}],"issued":{"date-parts":[["1991"]]}},"label":"page"},{"id":1978,"uris":["http://zotero.org/users/local/e4oPRoLq/items/X7I6KBR6"],"uri":["http://zotero.org/users/local/e4oPRoLq/items/X7I6KBR6"],"itemData":{"id":1978,"type":"report","title":"Gandul Cajanuscajan(L.) Mill sp. Leguminosea","publisher":"Universidad de San Carlos de Guatemala. Facultad de Agronomía, área tecnológica de pastos y forrajes","publisher-place":"Guatemala","event-place":"Guatemala","URL":"http://es.scribd.com/doc/31118870/Cajanus-cajan-Gandul","author":[{"family":"Robledo","given":"L. C."}],"issued":{"date-parts":[["2010"]]},"accessed":{"date-parts":[["2017",1,3]]}},"label":"page"}],"schema":"https://github.com/citation-style-language/schema/raw/master/csl-citation.json"} </w:instrText>
      </w:r>
      <w:r w:rsidRPr="001B2615">
        <w:rPr>
          <w:rFonts w:ascii="Times New Roman" w:eastAsia="Times New Roman" w:hAnsi="Times New Roman" w:cs="Times New Roman"/>
          <w:sz w:val="24"/>
          <w:szCs w:val="24"/>
          <w:lang w:eastAsia="es-ES"/>
        </w:rPr>
        <w:fldChar w:fldCharType="separate"/>
      </w:r>
      <w:r w:rsidRPr="001B2615">
        <w:rPr>
          <w:rFonts w:ascii="Times New Roman" w:hAnsi="Times New Roman" w:cs="Times New Roman"/>
          <w:sz w:val="24"/>
          <w:szCs w:val="24"/>
        </w:rPr>
        <w:t xml:space="preserve">(Sheldrake, 1984; Sandoval </w:t>
      </w:r>
      <w:r w:rsidRPr="001B2615">
        <w:rPr>
          <w:rFonts w:ascii="Times New Roman" w:hAnsi="Times New Roman" w:cs="Times New Roman"/>
          <w:i/>
          <w:iCs/>
          <w:sz w:val="24"/>
          <w:szCs w:val="24"/>
        </w:rPr>
        <w:t>et al.</w:t>
      </w:r>
      <w:r w:rsidRPr="001B2615">
        <w:rPr>
          <w:rFonts w:ascii="Times New Roman" w:hAnsi="Times New Roman" w:cs="Times New Roman"/>
          <w:sz w:val="24"/>
          <w:szCs w:val="24"/>
        </w:rPr>
        <w:t>, 1991; Robledo, 2010)</w:t>
      </w:r>
      <w:r w:rsidRPr="001B2615">
        <w:rPr>
          <w:rFonts w:ascii="Times New Roman" w:eastAsia="Times New Roman" w:hAnsi="Times New Roman" w:cs="Times New Roman"/>
          <w:sz w:val="24"/>
          <w:szCs w:val="24"/>
          <w:lang w:eastAsia="es-ES"/>
        </w:rPr>
        <w:fldChar w:fldCharType="end"/>
      </w:r>
      <w:r w:rsidRPr="001B2615">
        <w:rPr>
          <w:rFonts w:ascii="Times New Roman" w:eastAsia="Times New Roman" w:hAnsi="Times New Roman" w:cs="Times New Roman"/>
          <w:sz w:val="24"/>
          <w:szCs w:val="24"/>
          <w:lang w:eastAsia="es-ES"/>
        </w:rPr>
        <w:t>.</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 xml:space="preserve">La producción de gandul ocupa el sexto lugar en comparación con otras leguminosas de grano, tales como frijoles, guisantes y garbanzos. La India es el mayor productor con 3,4 millones de ha, seguido por Myanmar (580 000 ha), China (60 000 ha) y Nepal (28 000 ha). Alrededor del 95% de la producción proviene del sur de Asia, donde el 90% pertenece a la India, </w:t>
      </w:r>
      <w:r w:rsidRPr="001B2615">
        <w:rPr>
          <w:rFonts w:ascii="Times New Roman" w:eastAsia="Times New Roman" w:hAnsi="Times New Roman" w:cs="Times New Roman"/>
          <w:sz w:val="24"/>
          <w:szCs w:val="24"/>
          <w:lang w:eastAsia="es-ES"/>
        </w:rPr>
        <w:fldChar w:fldCharType="begin"/>
      </w:r>
      <w:r w:rsidRPr="001B2615">
        <w:rPr>
          <w:rFonts w:ascii="Times New Roman" w:eastAsia="Times New Roman" w:hAnsi="Times New Roman" w:cs="Times New Roman"/>
          <w:sz w:val="24"/>
          <w:szCs w:val="24"/>
          <w:lang w:eastAsia="es-ES"/>
        </w:rPr>
        <w:instrText xml:space="preserve"> ADDIN ZOTERO_ITEM CSL_CITATION {"citationID":"ajr8e0l87o","properties":{"formattedCitation":"(Neme y Sheila, 1990; PASOLAC (Programa para la Agricultura Sostenible en Laderas de El Salvador), 2000; Robledo, 2010; Duke, 2012)","plainCitation":"(Neme y Sheila, 1990; PASOLAC (Programa para la Agricultura Sostenible en Laderas de El Salvador), 2000; Robledo, 2010; Duke, 2012)"},"citationItems":[{"id":1975,"uris":["http://zotero.org/users/local/e4oPRoLq/items/WYC5AEZU"],"uri":["http://zotero.org/users/local/e4oPRoLq/items/WYC5AEZU"],"itemData":{"id":1975,"type":"report","title":"Gandúl; geografía e importancia","publisher-place":"Patanchene, India.","page":"1-14","event-place":"Patanchene, India.","author":[{"family":"Neme","given":"Y. L."},{"family":"Sheila","given":"V. K."}],"issued":{"date-parts":[["1990"]]}},"label":"page"},{"id":1977,"uris":["http://zotero.org/users/local/e4oPRoLq/items/H34Z3XTG"],"uri":["http://zotero.org/users/local/e4oPRoLq/items/H34Z3XTG"],"itemData":{"id":1977,"type":"article-journal","title":"Lombricultura, una alternativa para pequeños agricultores en laderas","container-title":"Revista Centroamericana Laderas","page":"35","volume":"9","author":[{"family":"PASOLAC (Programa para la Agricultura Sostenible en Laderas de El Salvador)","given":""}],"issued":{"date-parts":[["2000",12]]}},"label":"page"},{"id":1978,"uris":["http://zotero.org/users/local/e4oPRoLq/items/X7I6KBR6"],"uri":["http://zotero.org/users/local/e4oPRoLq/items/X7I6KBR6"],"itemData":{"id":1978,"type":"report","title":"Gandul Cajanuscajan(L.) Mill sp. Leguminosea","publisher":"Universidad de San Carlos de Guatemala. Facultad de Agronomía, área tecnológica de pastos y forrajes","publisher-place":"Guatemala","event-place":"Guatemala","URL":"http://es.scribd.com/doc/31118870/Cajanus-cajan-Gandul","author":[{"family":"Robledo","given":"L. C."}],"issued":{"date-parts":[["2010"]]},"accessed":{"date-parts":[["2017",1,3]]}},"label":"page"},{"id":1249,"uris":["http://zotero.org/users/local/e4oPRoLq/items/A5INSPFJ"],"uri":["http://zotero.org/users/local/e4oPRoLq/items/A5INSPFJ"],"itemData":{"id":1249,"type":"book","title":"Handbook of legumes of world economic importance","publisher":"Springer Science &amp; Business Media","source":"Google Scholar","author":[{"family":"Duke","given":"James"}],"issued":{"date-parts":[["2012"]]}},"label":"page"}],"schema":"https://github.com/citation-style-language/schema/raw/master/csl-citation.json"} </w:instrText>
      </w:r>
      <w:r w:rsidRPr="001B2615">
        <w:rPr>
          <w:rFonts w:ascii="Times New Roman" w:eastAsia="Times New Roman" w:hAnsi="Times New Roman" w:cs="Times New Roman"/>
          <w:sz w:val="24"/>
          <w:szCs w:val="24"/>
          <w:lang w:eastAsia="es-ES"/>
        </w:rPr>
        <w:fldChar w:fldCharType="separate"/>
      </w:r>
      <w:r w:rsidRPr="001B2615">
        <w:rPr>
          <w:rFonts w:ascii="Times New Roman" w:hAnsi="Times New Roman" w:cs="Times New Roman"/>
          <w:sz w:val="24"/>
          <w:szCs w:val="24"/>
        </w:rPr>
        <w:t>(Neme y Sheila, 1990; PASOLAC (Programa para la Agricultura Sostenible en Laderas de El Salvador), 2000; Robledo, 2010; Duke, 2012)</w:t>
      </w:r>
      <w:r w:rsidRPr="001B2615">
        <w:rPr>
          <w:rFonts w:ascii="Times New Roman" w:eastAsia="Times New Roman" w:hAnsi="Times New Roman" w:cs="Times New Roman"/>
          <w:sz w:val="24"/>
          <w:szCs w:val="24"/>
          <w:lang w:eastAsia="es-ES"/>
        </w:rPr>
        <w:fldChar w:fldCharType="end"/>
      </w:r>
      <w:r w:rsidRPr="001B2615">
        <w:rPr>
          <w:rFonts w:ascii="Times New Roman" w:eastAsia="Times New Roman" w:hAnsi="Times New Roman" w:cs="Times New Roman"/>
          <w:sz w:val="24"/>
          <w:szCs w:val="24"/>
          <w:lang w:eastAsia="es-ES"/>
        </w:rPr>
        <w:t xml:space="preserve">, establece que el gandul se adapta bien a altitudes bajas y medias que van desde los 0–1500 metros sobre el nivel del mar; las temperaturas óptimas van desde los 18–35ºC y las precipitaciones desde 700-2500 milímetros anuales. Según </w:t>
      </w:r>
      <w:r w:rsidRPr="001B2615">
        <w:rPr>
          <w:rFonts w:ascii="Times New Roman" w:eastAsia="Times New Roman" w:hAnsi="Times New Roman" w:cs="Times New Roman"/>
          <w:sz w:val="24"/>
          <w:szCs w:val="24"/>
          <w:lang w:eastAsia="es-ES"/>
        </w:rPr>
        <w:fldChar w:fldCharType="begin"/>
      </w:r>
      <w:r w:rsidRPr="001B2615">
        <w:rPr>
          <w:rFonts w:ascii="Times New Roman" w:eastAsia="Times New Roman" w:hAnsi="Times New Roman" w:cs="Times New Roman"/>
          <w:sz w:val="24"/>
          <w:szCs w:val="24"/>
          <w:lang w:eastAsia="es-ES"/>
        </w:rPr>
        <w:instrText xml:space="preserve"> ADDIN ZOTERO_ITEM CSL_CITATION {"citationID":"B5k1I3oY","properties":{"formattedCitation":"(Abrams y Julia, 1973)","plainCitation":"(Abrams y Julia, 1973)"},"citationItems":[{"id":1971,"uris":["http://zotero.org/users/local/e4oPRoLq/items/75GSATVK"],"uri":["http://zotero.org/users/local/e4oPRoLq/items/75GSATVK"],"itemData":{"id":1971,"type":"article-journal","title":"Effect of planting time, plan population and row spacing on yields and other characteristics of pigeon pea (Cajanus Cajan. Millsp)","container-title":"The journal of Agriculture of the University of Puerto Rico","volume":"2","author":[{"family":"Abrams","given":"R."},{"family":"Julia","given":"E. J."}],"issued":{"date-parts":[["1973"]]}}}],"schema":"https://github.com/citation-style-language/schema/raw/master/csl-citation.json"} </w:instrText>
      </w:r>
      <w:r w:rsidRPr="001B2615">
        <w:rPr>
          <w:rFonts w:ascii="Times New Roman" w:eastAsia="Times New Roman" w:hAnsi="Times New Roman" w:cs="Times New Roman"/>
          <w:sz w:val="24"/>
          <w:szCs w:val="24"/>
          <w:lang w:eastAsia="es-ES"/>
        </w:rPr>
        <w:fldChar w:fldCharType="separate"/>
      </w:r>
      <w:r w:rsidRPr="001B2615">
        <w:rPr>
          <w:rFonts w:ascii="Times New Roman" w:hAnsi="Times New Roman" w:cs="Times New Roman"/>
          <w:sz w:val="24"/>
          <w:szCs w:val="24"/>
        </w:rPr>
        <w:t>Abrams y Julia (1973)</w:t>
      </w:r>
      <w:r w:rsidRPr="001B2615">
        <w:rPr>
          <w:rFonts w:ascii="Times New Roman" w:eastAsia="Times New Roman" w:hAnsi="Times New Roman" w:cs="Times New Roman"/>
          <w:sz w:val="24"/>
          <w:szCs w:val="24"/>
          <w:lang w:eastAsia="es-ES"/>
        </w:rPr>
        <w:fldChar w:fldCharType="end"/>
      </w:r>
      <w:r w:rsidRPr="001B2615">
        <w:rPr>
          <w:rFonts w:ascii="Times New Roman" w:eastAsia="Times New Roman" w:hAnsi="Times New Roman" w:cs="Times New Roman"/>
          <w:sz w:val="24"/>
          <w:szCs w:val="24"/>
          <w:lang w:eastAsia="es-ES"/>
        </w:rPr>
        <w:t xml:space="preserve">, la producción de gandul varía según la tecnología que se utilice, siendo afectada principalmente por el tipo de suelo y reporta rendimientos de granos entre 568,18 y 1362 kg/ha, dependiendo de la poda de las planta a una altura entre 0,8 y 10 metros, lo que aumenta el número de vainas y la producción de granos. Investigaciones realizadas por </w:t>
      </w:r>
      <w:r w:rsidRPr="001B2615">
        <w:rPr>
          <w:rFonts w:ascii="Times New Roman" w:eastAsia="Times New Roman" w:hAnsi="Times New Roman" w:cs="Times New Roman"/>
          <w:sz w:val="24"/>
          <w:szCs w:val="24"/>
          <w:lang w:eastAsia="es-ES"/>
        </w:rPr>
        <w:fldChar w:fldCharType="begin"/>
      </w:r>
      <w:r w:rsidRPr="001B2615">
        <w:rPr>
          <w:rFonts w:ascii="Times New Roman" w:eastAsia="Times New Roman" w:hAnsi="Times New Roman" w:cs="Times New Roman"/>
          <w:sz w:val="24"/>
          <w:szCs w:val="24"/>
          <w:lang w:eastAsia="es-ES"/>
        </w:rPr>
        <w:instrText xml:space="preserve"> ADDIN ZOTERO_ITEM CSL_CITATION {"citationID":"ncEmZEKQ","properties":{"formattedCitation":"(CIAT (Centro internacional de Agricultura Tropical), 1983)","plainCitation":"(CIAT (Centro internacional de Agricultura Tropical), 1983)"},"citationItems":[{"id":1973,"uris":["http://zotero.org/users/local/e4oPRoLq/items/KI86YKV6"],"uri":["http://zotero.org/users/local/e4oPRoLq/items/KI86YKV6"],"itemData":{"id":1973,"type":"report","title":"Pastos Tropicales","publisher-place":"Cali, Colombia","page":"5-6","genre":"boletín Informativo","event-place":"Cali, Colombia","author":[{"family":"CIAT (Centro internacional de Agricultura Tropical)","given":""}],"issued":{"date-parts":[["1983",12]]}}}],"schema":"https://github.com/citation-style-language/schema/raw/master/csl-citation.json"} </w:instrText>
      </w:r>
      <w:r w:rsidRPr="001B2615">
        <w:rPr>
          <w:rFonts w:ascii="Times New Roman" w:eastAsia="Times New Roman" w:hAnsi="Times New Roman" w:cs="Times New Roman"/>
          <w:sz w:val="24"/>
          <w:szCs w:val="24"/>
          <w:lang w:eastAsia="es-ES"/>
        </w:rPr>
        <w:fldChar w:fldCharType="separate"/>
      </w:r>
      <w:r w:rsidRPr="001B2615">
        <w:rPr>
          <w:rFonts w:ascii="Times New Roman" w:hAnsi="Times New Roman" w:cs="Times New Roman"/>
          <w:sz w:val="24"/>
          <w:szCs w:val="24"/>
        </w:rPr>
        <w:t>CIAT (Centro internacional de Agricultura Tropical), (1983)</w:t>
      </w:r>
      <w:r w:rsidRPr="001B2615">
        <w:rPr>
          <w:rFonts w:ascii="Times New Roman" w:eastAsia="Times New Roman" w:hAnsi="Times New Roman" w:cs="Times New Roman"/>
          <w:sz w:val="24"/>
          <w:szCs w:val="24"/>
          <w:lang w:eastAsia="es-ES"/>
        </w:rPr>
        <w:fldChar w:fldCharType="end"/>
      </w:r>
      <w:r w:rsidRPr="001B2615">
        <w:rPr>
          <w:rFonts w:ascii="Times New Roman" w:eastAsia="Times New Roman" w:hAnsi="Times New Roman" w:cs="Times New Roman"/>
          <w:sz w:val="24"/>
          <w:szCs w:val="24"/>
          <w:lang w:eastAsia="es-ES"/>
        </w:rPr>
        <w:t xml:space="preserve">, mostraron que una hectárea de gandul puede llegar a producir como promedio de 4 a 5 toneladas de granos verdes, 1 tonelada de grano seco y de 10 a 14 toneladas de forraje verde. </w:t>
      </w:r>
      <w:r w:rsidRPr="001B2615">
        <w:rPr>
          <w:rFonts w:ascii="Times New Roman" w:eastAsia="Times New Roman" w:hAnsi="Times New Roman" w:cs="Times New Roman"/>
          <w:sz w:val="24"/>
          <w:szCs w:val="24"/>
          <w:lang w:eastAsia="es-ES"/>
        </w:rPr>
        <w:fldChar w:fldCharType="begin"/>
      </w:r>
      <w:r w:rsidRPr="001B2615">
        <w:rPr>
          <w:rFonts w:ascii="Times New Roman" w:eastAsia="Times New Roman" w:hAnsi="Times New Roman" w:cs="Times New Roman"/>
          <w:sz w:val="24"/>
          <w:szCs w:val="24"/>
          <w:lang w:eastAsia="es-ES"/>
        </w:rPr>
        <w:instrText xml:space="preserve"> ADDIN ZOTERO_ITEM CSL_CITATION {"citationID":"3ly1noAw","properties":{"formattedCitation":"{\\rtf (Riollano {\\i{}et\\uc0\\u160{}al.}, 1962)}","plainCitation":"(Riollano et al., 1962)"},"citationItems":[{"id":1266,"uris":["http://zotero.org/users/local/e4oPRoLq/items/T2G55A86"],"uri":["http://zotero.org/users/local/e4oPRoLq/items/T2G55A86"],"itemData":{"id":1266,"type":"article-journal","title":"Effects of planting date, variety, and plant population on the flowering and yield of pigeon pea (Cajanus cajan L.)","container-title":"Journal of Agriculture of the University of Puerto Rico","page":"126–134","volume":"46","issue":"2","source":"Google Scholar","author":[{"family":"Riollano","given":"A."},{"family":"Perez","given":"A."},{"family":"Ramos","given":"C."}],"issued":{"date-parts":[["1962"]]}}}],"schema":"https://github.com/citation-style-language/schema/raw/master/csl-citation.json"} </w:instrText>
      </w:r>
      <w:r w:rsidRPr="001B2615">
        <w:rPr>
          <w:rFonts w:ascii="Times New Roman" w:eastAsia="Times New Roman" w:hAnsi="Times New Roman" w:cs="Times New Roman"/>
          <w:sz w:val="24"/>
          <w:szCs w:val="24"/>
          <w:lang w:eastAsia="es-ES"/>
        </w:rPr>
        <w:fldChar w:fldCharType="separate"/>
      </w:r>
      <w:r w:rsidRPr="001B2615">
        <w:rPr>
          <w:rFonts w:ascii="Times New Roman" w:hAnsi="Times New Roman" w:cs="Times New Roman"/>
          <w:sz w:val="24"/>
          <w:szCs w:val="24"/>
        </w:rPr>
        <w:t xml:space="preserve">Riollano </w:t>
      </w:r>
      <w:r w:rsidRPr="001B2615">
        <w:rPr>
          <w:rFonts w:ascii="Times New Roman" w:hAnsi="Times New Roman" w:cs="Times New Roman"/>
          <w:i/>
          <w:iCs/>
          <w:sz w:val="24"/>
          <w:szCs w:val="24"/>
        </w:rPr>
        <w:t>et al.</w:t>
      </w:r>
      <w:r w:rsidRPr="001B2615">
        <w:rPr>
          <w:rFonts w:ascii="Times New Roman" w:hAnsi="Times New Roman" w:cs="Times New Roman"/>
          <w:sz w:val="24"/>
          <w:szCs w:val="24"/>
        </w:rPr>
        <w:t xml:space="preserve"> (1962)</w:t>
      </w:r>
      <w:r w:rsidRPr="001B2615">
        <w:rPr>
          <w:rFonts w:ascii="Times New Roman" w:eastAsia="Times New Roman" w:hAnsi="Times New Roman" w:cs="Times New Roman"/>
          <w:sz w:val="24"/>
          <w:szCs w:val="24"/>
          <w:lang w:eastAsia="es-ES"/>
        </w:rPr>
        <w:fldChar w:fldCharType="end"/>
      </w:r>
      <w:r w:rsidRPr="001B2615">
        <w:rPr>
          <w:rFonts w:ascii="Times New Roman" w:eastAsia="Times New Roman" w:hAnsi="Times New Roman" w:cs="Times New Roman"/>
          <w:sz w:val="24"/>
          <w:szCs w:val="24"/>
          <w:lang w:eastAsia="es-ES"/>
        </w:rPr>
        <w:t xml:space="preserve">, reportó que en Puerto Rico, se cosechó 7,5 t/ha de vainas verdes al emplear una densidad de 8 100 plantas por hectárea, sembradas en abril. </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 xml:space="preserve">Según </w:t>
      </w:r>
      <w:r w:rsidRPr="001B2615">
        <w:rPr>
          <w:rFonts w:ascii="Times New Roman" w:eastAsia="Times New Roman" w:hAnsi="Times New Roman" w:cs="Times New Roman"/>
          <w:sz w:val="24"/>
          <w:szCs w:val="24"/>
          <w:lang w:eastAsia="es-ES"/>
        </w:rPr>
        <w:fldChar w:fldCharType="begin"/>
      </w:r>
      <w:r w:rsidRPr="001B2615">
        <w:rPr>
          <w:rFonts w:ascii="Times New Roman" w:eastAsia="Times New Roman" w:hAnsi="Times New Roman" w:cs="Times New Roman"/>
          <w:sz w:val="24"/>
          <w:szCs w:val="24"/>
          <w:lang w:eastAsia="es-ES"/>
        </w:rPr>
        <w:instrText xml:space="preserve"> ADDIN ZOTERO_ITEM CSL_CITATION {"citationID":"eMSP5LJW","properties":{"formattedCitation":"(Gane, 1972)","plainCitation":"(Gane, 1972)"},"citationItems":[{"id":1254,"uris":["http://zotero.org/users/local/e4oPRoLq/items/WWBHR6EE"],"uri":["http://zotero.org/users/local/e4oPRoLq/items/WWBHR6EE"],"itemData":{"id":1254,"type":"paper-conference","title":"Vining peas in England","publisher-place":"England","source":"Google Scholar","event":"Dissertations published by PGRO","event-place":"England","author":[{"family":"Gane","given":"Alan J."}],"issued":{"date-parts":[["1972"]]}}}],"schema":"https://github.com/citation-style-language/schema/raw/master/csl-citation.json"} </w:instrText>
      </w:r>
      <w:r w:rsidRPr="001B2615">
        <w:rPr>
          <w:rFonts w:ascii="Times New Roman" w:eastAsia="Times New Roman" w:hAnsi="Times New Roman" w:cs="Times New Roman"/>
          <w:sz w:val="24"/>
          <w:szCs w:val="24"/>
          <w:lang w:eastAsia="es-ES"/>
        </w:rPr>
        <w:fldChar w:fldCharType="separate"/>
      </w:r>
      <w:r w:rsidRPr="001B2615">
        <w:rPr>
          <w:rFonts w:ascii="Times New Roman" w:hAnsi="Times New Roman" w:cs="Times New Roman"/>
          <w:sz w:val="24"/>
          <w:szCs w:val="24"/>
        </w:rPr>
        <w:t>Gane (1972)</w:t>
      </w:r>
      <w:r w:rsidRPr="001B2615">
        <w:rPr>
          <w:rFonts w:ascii="Times New Roman" w:eastAsia="Times New Roman" w:hAnsi="Times New Roman" w:cs="Times New Roman"/>
          <w:sz w:val="24"/>
          <w:szCs w:val="24"/>
          <w:lang w:eastAsia="es-ES"/>
        </w:rPr>
        <w:fldChar w:fldCharType="end"/>
      </w:r>
      <w:r w:rsidRPr="001B2615">
        <w:rPr>
          <w:rFonts w:ascii="Times New Roman" w:eastAsia="Times New Roman" w:hAnsi="Times New Roman" w:cs="Times New Roman"/>
          <w:sz w:val="24"/>
          <w:szCs w:val="24"/>
          <w:lang w:eastAsia="es-ES"/>
        </w:rPr>
        <w:t xml:space="preserve">, la mecanización de los procesos para lograr una mayor eficiencia en la obtención de los granos verdes durante el desgranado de frijol, arveja y gandul, datan desde finales del siglo XVIII cuando se realizaron un sinnúmero de equipos. El primer paso revolucionario ocurrió en 1885 cuando Madame Faure presentó, en la </w:t>
      </w:r>
      <w:r w:rsidRPr="001B2615">
        <w:rPr>
          <w:rFonts w:ascii="Times New Roman" w:eastAsia="Times New Roman" w:hAnsi="Times New Roman" w:cs="Times New Roman"/>
          <w:sz w:val="24"/>
          <w:szCs w:val="24"/>
          <w:lang w:eastAsia="es-ES"/>
        </w:rPr>
        <w:lastRenderedPageBreak/>
        <w:t xml:space="preserve">exhibición de París, su máquina desgranadora manual de arvejas, cuyos principios han sido incorporados en todas las cosechadoras exitosas actuales. Así mismo, </w:t>
      </w:r>
      <w:r w:rsidRPr="001B2615">
        <w:rPr>
          <w:rFonts w:ascii="Times New Roman" w:eastAsia="Times New Roman" w:hAnsi="Times New Roman" w:cs="Times New Roman"/>
          <w:sz w:val="24"/>
          <w:szCs w:val="24"/>
          <w:lang w:eastAsia="es-ES"/>
        </w:rPr>
        <w:fldChar w:fldCharType="begin"/>
      </w:r>
      <w:r w:rsidRPr="001B2615">
        <w:rPr>
          <w:rFonts w:ascii="Times New Roman" w:eastAsia="Times New Roman" w:hAnsi="Times New Roman" w:cs="Times New Roman"/>
          <w:sz w:val="24"/>
          <w:szCs w:val="24"/>
          <w:lang w:eastAsia="es-ES"/>
        </w:rPr>
        <w:instrText xml:space="preserve"> ADDIN ZOTERO_ITEM CSL_CITATION {"citationID":"erM88Zp4","properties":{"formattedCitation":"(Scott, 1888)","plainCitation":"(Scott, 1888)"},"citationItems":[{"id":2194,"uris":["http://zotero.org/users/local/e4oPRoLq/items/HGMP7RJ3"],"uri":["http://zotero.org/users/local/e4oPRoLq/items/HGMP7RJ3"],"itemData":{"id":2194,"type":"patent","title":"Machine for hulling and separating green peas","number":"Patent-387,318","author":[{"family":"Scott","given":"R. P."}],"issued":{"date-parts":[["1888"]]},"submitted":{"date-parts":[["1888",8,7]]}}}],"schema":"https://github.com/citation-style-language/schema/raw/master/csl-citation.json"} </w:instrText>
      </w:r>
      <w:r w:rsidRPr="001B2615">
        <w:rPr>
          <w:rFonts w:ascii="Times New Roman" w:eastAsia="Times New Roman" w:hAnsi="Times New Roman" w:cs="Times New Roman"/>
          <w:sz w:val="24"/>
          <w:szCs w:val="24"/>
          <w:lang w:eastAsia="es-ES"/>
        </w:rPr>
        <w:fldChar w:fldCharType="separate"/>
      </w:r>
      <w:r w:rsidRPr="001B2615">
        <w:rPr>
          <w:rFonts w:ascii="Times New Roman" w:hAnsi="Times New Roman" w:cs="Times New Roman"/>
          <w:sz w:val="24"/>
          <w:szCs w:val="24"/>
        </w:rPr>
        <w:t>Scott, (1888)</w:t>
      </w:r>
      <w:r w:rsidRPr="001B2615">
        <w:rPr>
          <w:rFonts w:ascii="Times New Roman" w:eastAsia="Times New Roman" w:hAnsi="Times New Roman" w:cs="Times New Roman"/>
          <w:sz w:val="24"/>
          <w:szCs w:val="24"/>
          <w:lang w:eastAsia="es-ES"/>
        </w:rPr>
        <w:fldChar w:fldCharType="end"/>
      </w:r>
      <w:r w:rsidRPr="001B2615">
        <w:rPr>
          <w:rFonts w:ascii="Times New Roman" w:eastAsia="Times New Roman" w:hAnsi="Times New Roman" w:cs="Times New Roman"/>
          <w:sz w:val="24"/>
          <w:szCs w:val="24"/>
          <w:lang w:eastAsia="es-ES"/>
        </w:rPr>
        <w:t xml:space="preserve">, desarrolló un diseño, que utilizó mecanismo de transmisión de potencia, para que el accionamiento de una palanca generara las rotaciones necesarias para que varias cuchillas hicieran el proceso de corte y separación de la vaina y así lograr la separación de granos y vainas. </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 xml:space="preserve">El estudio de las propiedades físico-mecánicas de los granos aporta conocimiento científico; esencial para mejorar eficientemente el diseño y construcción de equipos y estructuras para el manejo, recolección, transporte, limpieza, clasificación, y procesamiento agroindustrial. Sin embargo, según </w:t>
      </w:r>
      <w:r w:rsidRPr="001B2615">
        <w:rPr>
          <w:rFonts w:ascii="Times New Roman" w:eastAsia="Times New Roman" w:hAnsi="Times New Roman" w:cs="Times New Roman"/>
          <w:sz w:val="24"/>
          <w:szCs w:val="24"/>
          <w:lang w:eastAsia="es-ES"/>
        </w:rPr>
        <w:fldChar w:fldCharType="begin"/>
      </w:r>
      <w:r w:rsidRPr="001B2615">
        <w:rPr>
          <w:rFonts w:ascii="Times New Roman" w:eastAsia="Times New Roman" w:hAnsi="Times New Roman" w:cs="Times New Roman"/>
          <w:sz w:val="24"/>
          <w:szCs w:val="24"/>
          <w:lang w:eastAsia="es-ES"/>
        </w:rPr>
        <w:instrText xml:space="preserve"> ADDIN ZOTERO_ITEM CSL_CITATION {"citationID":"EfBkN15B","properties":{"formattedCitation":"{\\rtf (Villamizar {\\i{}et\\uc0\\u160{}al.}, 2004)}","plainCitation":"(Villamizar et al., 2004)"},"citationItems":[{"id":1283,"uris":["http://zotero.org/users/local/e4oPRoLq/items/ZJAFPHXQ"],"uri":["http://zotero.org/users/local/e4oPRoLq/items/ZJAFPHXQ"],"itemData":{"id":1283,"type":"report","title":"Inventario de las investigaciones realizadas en poscosecha de productos agrícolas en la Universidad Nacional de Colombia.","source":"Google Scholar","author":[{"family":"Villamizar","given":"C."},{"family":"Galvis Vanegas","given":"A."},{"family":"Miranda Lasprilla","given":"D."},{"family":"Ospina","given":"J. E."},{"family":"Perea","given":"M."},{"family":"Restrepo","given":"P."},{"family":"Flórez Roncancio","given":"V."}],"issued":{"date-parts":[["2004"]]}}}],"schema":"https://github.com/citation-style-language/schema/raw/master/csl-citation.json"} </w:instrText>
      </w:r>
      <w:r w:rsidRPr="001B2615">
        <w:rPr>
          <w:rFonts w:ascii="Times New Roman" w:eastAsia="Times New Roman" w:hAnsi="Times New Roman" w:cs="Times New Roman"/>
          <w:sz w:val="24"/>
          <w:szCs w:val="24"/>
          <w:lang w:eastAsia="es-ES"/>
        </w:rPr>
        <w:fldChar w:fldCharType="separate"/>
      </w:r>
      <w:r w:rsidRPr="001B2615">
        <w:rPr>
          <w:rFonts w:ascii="Times New Roman" w:hAnsi="Times New Roman" w:cs="Times New Roman"/>
          <w:sz w:val="24"/>
          <w:szCs w:val="24"/>
        </w:rPr>
        <w:t xml:space="preserve">Villamizar </w:t>
      </w:r>
      <w:r w:rsidRPr="001B2615">
        <w:rPr>
          <w:rFonts w:ascii="Times New Roman" w:hAnsi="Times New Roman" w:cs="Times New Roman"/>
          <w:i/>
          <w:iCs/>
          <w:sz w:val="24"/>
          <w:szCs w:val="24"/>
        </w:rPr>
        <w:t>et al.</w:t>
      </w:r>
      <w:r w:rsidRPr="001B2615">
        <w:rPr>
          <w:rFonts w:ascii="Times New Roman" w:hAnsi="Times New Roman" w:cs="Times New Roman"/>
          <w:sz w:val="24"/>
          <w:szCs w:val="24"/>
        </w:rPr>
        <w:t xml:space="preserve"> (2004)</w:t>
      </w:r>
      <w:r w:rsidRPr="001B2615">
        <w:rPr>
          <w:rFonts w:ascii="Times New Roman" w:eastAsia="Times New Roman" w:hAnsi="Times New Roman" w:cs="Times New Roman"/>
          <w:sz w:val="24"/>
          <w:szCs w:val="24"/>
          <w:lang w:eastAsia="es-ES"/>
        </w:rPr>
        <w:fldChar w:fldCharType="end"/>
      </w:r>
      <w:r w:rsidRPr="001B2615">
        <w:rPr>
          <w:rFonts w:ascii="Times New Roman" w:eastAsia="Times New Roman" w:hAnsi="Times New Roman" w:cs="Times New Roman"/>
          <w:sz w:val="24"/>
          <w:szCs w:val="24"/>
          <w:lang w:eastAsia="es-ES"/>
        </w:rPr>
        <w:t xml:space="preserve">, es poco el conocimiento de las características físicas y mecánicas de muchos productos de origen vegetal. Estas propiedades constituyen información básica de ingeniería, esencial para el diseño y optimización de maquinarias, equipos, estructuras y procesos. El desconocimiento de ellas lleva a procesos agroindustriales poco eficientes, donde el diseño y construcción de equipos, estructuras y procesos agroindustriales se basan en el conocimiento empírico y también, en la mayoría de los casos, se utiliza maquinaria importada agregando mayores costos de inversión. </w:t>
      </w:r>
      <w:r w:rsidRPr="001B2615">
        <w:rPr>
          <w:rFonts w:ascii="Times New Roman" w:eastAsia="Times New Roman" w:hAnsi="Times New Roman" w:cs="Times New Roman"/>
          <w:sz w:val="24"/>
          <w:szCs w:val="24"/>
          <w:lang w:eastAsia="es-ES"/>
        </w:rPr>
        <w:fldChar w:fldCharType="begin"/>
      </w:r>
      <w:r w:rsidRPr="001B2615">
        <w:rPr>
          <w:rFonts w:ascii="Times New Roman" w:eastAsia="Times New Roman" w:hAnsi="Times New Roman" w:cs="Times New Roman"/>
          <w:sz w:val="24"/>
          <w:szCs w:val="24"/>
          <w:lang w:eastAsia="es-ES"/>
        </w:rPr>
        <w:instrText xml:space="preserve"> ADDIN ZOTERO_ITEM CSL_CITATION {"citationID":"UiQhFa7Z","properties":{"formattedCitation":"(Castro, 1996)","plainCitation":"(Castro, 1996)"},"citationItems":[{"id":1972,"uris":["http://zotero.org/users/local/e4oPRoLq/items/CAPCNTDI"],"uri":["http://zotero.org/users/local/e4oPRoLq/items/CAPCNTDI"],"itemData":{"id":1972,"type":"report","title":"Propiedades físicas de los productos vegetales, su sentido físico y aplicacione","publisher":"Universidad Nacional de Colombia. Facultad de Ciencias Agropecuarias","publisher-place":"Medellin, Colombia","page":"103","event-place":"Medellin, Colombia","author":[{"family":"Castro","given":"G."}],"issued":{"date-parts":[["1996"]]}}}],"schema":"https://github.com/citation-style-language/schema/raw/master/csl-citation.json"} </w:instrText>
      </w:r>
      <w:r w:rsidRPr="001B2615">
        <w:rPr>
          <w:rFonts w:ascii="Times New Roman" w:eastAsia="Times New Roman" w:hAnsi="Times New Roman" w:cs="Times New Roman"/>
          <w:sz w:val="24"/>
          <w:szCs w:val="24"/>
          <w:lang w:eastAsia="es-ES"/>
        </w:rPr>
        <w:fldChar w:fldCharType="separate"/>
      </w:r>
      <w:r w:rsidRPr="001B2615">
        <w:rPr>
          <w:rFonts w:ascii="Times New Roman" w:hAnsi="Times New Roman" w:cs="Times New Roman"/>
          <w:sz w:val="24"/>
          <w:szCs w:val="24"/>
        </w:rPr>
        <w:t>Castro, (1996)</w:t>
      </w:r>
      <w:r w:rsidRPr="001B2615">
        <w:rPr>
          <w:rFonts w:ascii="Times New Roman" w:eastAsia="Times New Roman" w:hAnsi="Times New Roman" w:cs="Times New Roman"/>
          <w:sz w:val="24"/>
          <w:szCs w:val="24"/>
          <w:lang w:eastAsia="es-ES"/>
        </w:rPr>
        <w:fldChar w:fldCharType="end"/>
      </w:r>
      <w:r w:rsidRPr="001B2615">
        <w:rPr>
          <w:rFonts w:ascii="Times New Roman" w:eastAsia="Times New Roman" w:hAnsi="Times New Roman" w:cs="Times New Roman"/>
          <w:sz w:val="24"/>
          <w:szCs w:val="24"/>
          <w:lang w:eastAsia="es-ES"/>
        </w:rPr>
        <w:t xml:space="preserve"> y </w:t>
      </w:r>
      <w:r w:rsidRPr="001B2615">
        <w:rPr>
          <w:rFonts w:ascii="Times New Roman" w:eastAsia="Times New Roman" w:hAnsi="Times New Roman" w:cs="Times New Roman"/>
          <w:sz w:val="24"/>
          <w:szCs w:val="24"/>
          <w:lang w:eastAsia="es-ES"/>
        </w:rPr>
        <w:fldChar w:fldCharType="begin"/>
      </w:r>
      <w:r w:rsidRPr="001B2615">
        <w:rPr>
          <w:rFonts w:ascii="Times New Roman" w:eastAsia="Times New Roman" w:hAnsi="Times New Roman" w:cs="Times New Roman"/>
          <w:sz w:val="24"/>
          <w:szCs w:val="24"/>
          <w:lang w:eastAsia="es-ES"/>
        </w:rPr>
        <w:instrText xml:space="preserve"> ADDIN ZOTERO_ITEM CSL_CITATION {"citationID":"tjMBfJo1","properties":{"formattedCitation":"(Ospina y Julio, 2001)","plainCitation":"(Ospina y Julio, 2001)"},"citationItems":[{"id":1976,"uris":["http://zotero.org/users/local/e4oPRoLq/items/3ZR96A2W"],"uri":["http://zotero.org/users/local/e4oPRoLq/items/3ZR96A2W"],"itemData":{"id":1976,"type":"report","title":"Características físico mecánicas y análisis de calidad de granos","publisher":"Universidad Nacional de Colombia. Facultad de Ciencias Agrícolas. Departamento de Ingeniería Agrícola","publisher-place":"Bogotá, Colombia","page":"225","event-place":"Bogotá, Colombia","author":[{"family":"Ospina","given":"M."},{"family":"Julio","given":"E."}],"issued":{"date-parts":[["2001"]]}}}],"schema":"https://github.com/citation-style-language/schema/raw/master/csl-citation.json"} </w:instrText>
      </w:r>
      <w:r w:rsidRPr="001B2615">
        <w:rPr>
          <w:rFonts w:ascii="Times New Roman" w:eastAsia="Times New Roman" w:hAnsi="Times New Roman" w:cs="Times New Roman"/>
          <w:sz w:val="24"/>
          <w:szCs w:val="24"/>
          <w:lang w:eastAsia="es-ES"/>
        </w:rPr>
        <w:fldChar w:fldCharType="separate"/>
      </w:r>
      <w:r w:rsidRPr="001B2615">
        <w:rPr>
          <w:rFonts w:ascii="Times New Roman" w:hAnsi="Times New Roman" w:cs="Times New Roman"/>
          <w:sz w:val="24"/>
          <w:szCs w:val="24"/>
        </w:rPr>
        <w:t>Ospina y Julio (2001)</w:t>
      </w:r>
      <w:r w:rsidRPr="001B2615">
        <w:rPr>
          <w:rFonts w:ascii="Times New Roman" w:eastAsia="Times New Roman" w:hAnsi="Times New Roman" w:cs="Times New Roman"/>
          <w:sz w:val="24"/>
          <w:szCs w:val="24"/>
          <w:lang w:eastAsia="es-ES"/>
        </w:rPr>
        <w:fldChar w:fldCharType="end"/>
      </w:r>
      <w:r w:rsidRPr="001B2615">
        <w:rPr>
          <w:rFonts w:ascii="Times New Roman" w:eastAsia="Times New Roman" w:hAnsi="Times New Roman" w:cs="Times New Roman"/>
          <w:sz w:val="24"/>
          <w:szCs w:val="24"/>
          <w:lang w:eastAsia="es-ES"/>
        </w:rPr>
        <w:t xml:space="preserve">, plantean que el conocimiento de las propiedades físicas de los granos y semillas, constituyen una información fundamental de ingeniería para adecuar y operar máquinas, diseñar y construir estructuras de almacenamiento, montar sistemas adecuados de transporte; además, es un parámetro fundamental para el diseño de empaques, en el análisis de calidad y en el control de procesos. Por lo que este trabajo tiene como objetivo determinar las propiedades físico -mecánicas de los granos y vainas de gandul verde de la variedad Gwailor–3, para su utilización como </w:t>
      </w:r>
      <w:r w:rsidRPr="001B2615">
        <w:rPr>
          <w:rFonts w:ascii="Times New Roman" w:hAnsi="Times New Roman" w:cs="Times New Roman"/>
          <w:sz w:val="24"/>
          <w:szCs w:val="24"/>
        </w:rPr>
        <w:t>parámetros de diseño y operación de una máquina para el desgranado de gandul verde</w:t>
      </w:r>
      <w:r w:rsidRPr="001B2615">
        <w:rPr>
          <w:rFonts w:ascii="Times New Roman" w:eastAsia="Times New Roman" w:hAnsi="Times New Roman" w:cs="Times New Roman"/>
          <w:sz w:val="24"/>
          <w:szCs w:val="24"/>
          <w:lang w:eastAsia="es-ES"/>
        </w:rPr>
        <w:t>.</w:t>
      </w:r>
    </w:p>
    <w:p w:rsidR="00525C19" w:rsidRPr="001B2615" w:rsidRDefault="00525C19" w:rsidP="001B2615">
      <w:pPr>
        <w:spacing w:after="0" w:line="360" w:lineRule="auto"/>
        <w:jc w:val="both"/>
        <w:rPr>
          <w:rFonts w:ascii="Times New Roman" w:eastAsia="Times New Roman" w:hAnsi="Times New Roman" w:cs="Times New Roman"/>
          <w:b/>
          <w:sz w:val="24"/>
          <w:szCs w:val="24"/>
          <w:lang w:eastAsia="es-ES"/>
        </w:rPr>
      </w:pPr>
    </w:p>
    <w:p w:rsidR="00525C19" w:rsidRPr="001B2615" w:rsidRDefault="00525C19" w:rsidP="001B2615">
      <w:pPr>
        <w:spacing w:after="0" w:line="360" w:lineRule="auto"/>
        <w:jc w:val="both"/>
        <w:rPr>
          <w:rFonts w:ascii="Times New Roman" w:hAnsi="Times New Roman" w:cs="Times New Roman"/>
          <w:sz w:val="24"/>
          <w:szCs w:val="24"/>
        </w:rPr>
      </w:pPr>
      <w:r w:rsidRPr="001B2615">
        <w:rPr>
          <w:rFonts w:ascii="Times New Roman" w:eastAsia="Times New Roman" w:hAnsi="Times New Roman" w:cs="Times New Roman"/>
          <w:b/>
          <w:sz w:val="24"/>
          <w:szCs w:val="24"/>
          <w:lang w:eastAsia="es-ES"/>
        </w:rPr>
        <w:t>MÉTODOS</w:t>
      </w:r>
      <w:r w:rsidRPr="001B2615">
        <w:rPr>
          <w:rFonts w:ascii="Times New Roman" w:hAnsi="Times New Roman" w:cs="Times New Roman"/>
          <w:sz w:val="24"/>
          <w:szCs w:val="24"/>
        </w:rPr>
        <w:t xml:space="preserve"> </w:t>
      </w:r>
    </w:p>
    <w:p w:rsidR="00525C19" w:rsidRPr="001B2615" w:rsidRDefault="00525C19" w:rsidP="001B2615">
      <w:pPr>
        <w:autoSpaceDE w:val="0"/>
        <w:autoSpaceDN w:val="0"/>
        <w:adjustRightInd w:val="0"/>
        <w:spacing w:after="0" w:line="360" w:lineRule="auto"/>
        <w:jc w:val="both"/>
        <w:rPr>
          <w:rFonts w:ascii="Times New Roman" w:hAnsi="Times New Roman" w:cs="Times New Roman"/>
          <w:color w:val="000000"/>
          <w:sz w:val="24"/>
          <w:szCs w:val="24"/>
        </w:rPr>
      </w:pPr>
      <w:r w:rsidRPr="001B2615">
        <w:rPr>
          <w:rFonts w:ascii="Times New Roman" w:hAnsi="Times New Roman" w:cs="Times New Roman"/>
          <w:sz w:val="24"/>
          <w:szCs w:val="24"/>
        </w:rPr>
        <w:lastRenderedPageBreak/>
        <w:t>Las muestras de gandul se tomaron de la finca “Guayabal”, perteneciente al Instituto de Ciencias Animal (ICA) ubicado en el municipio San José de las Lajas, Provincia Mayabeque (Figura 1).</w:t>
      </w:r>
    </w:p>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p>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noProof/>
          <w:color w:val="000000"/>
          <w:sz w:val="24"/>
          <w:szCs w:val="24"/>
          <w:lang w:eastAsia="es-ES"/>
        </w:rPr>
        <w:drawing>
          <wp:inline distT="0" distB="0" distL="0" distR="0" wp14:anchorId="17A23A25" wp14:editId="459D5F9A">
            <wp:extent cx="5400040" cy="2552198"/>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552198"/>
                    </a:xfrm>
                    <a:prstGeom prst="rect">
                      <a:avLst/>
                    </a:prstGeom>
                    <a:noFill/>
                    <a:ln>
                      <a:noFill/>
                    </a:ln>
                  </pic:spPr>
                </pic:pic>
              </a:graphicData>
            </a:graphic>
          </wp:inline>
        </w:drawing>
      </w:r>
    </w:p>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p>
    <w:p w:rsidR="00525C19" w:rsidRPr="001B2615" w:rsidRDefault="00525C19" w:rsidP="001B2615">
      <w:pPr>
        <w:autoSpaceDE w:val="0"/>
        <w:autoSpaceDN w:val="0"/>
        <w:adjustRightInd w:val="0"/>
        <w:spacing w:after="0" w:line="360" w:lineRule="auto"/>
        <w:jc w:val="center"/>
        <w:rPr>
          <w:rFonts w:ascii="Times New Roman" w:hAnsi="Times New Roman" w:cs="Times New Roman"/>
          <w:color w:val="000000"/>
          <w:sz w:val="24"/>
          <w:szCs w:val="24"/>
        </w:rPr>
      </w:pPr>
      <w:r w:rsidRPr="001B2615">
        <w:rPr>
          <w:rFonts w:ascii="Times New Roman" w:hAnsi="Times New Roman" w:cs="Times New Roman"/>
          <w:bCs/>
          <w:sz w:val="24"/>
          <w:szCs w:val="24"/>
        </w:rPr>
        <w:t>FIGURA 1. Finca Guayabal, zona de muestreo.</w:t>
      </w:r>
    </w:p>
    <w:p w:rsidR="00525C19" w:rsidRPr="001B2615" w:rsidRDefault="00525C19" w:rsidP="001B2615">
      <w:pPr>
        <w:autoSpaceDE w:val="0"/>
        <w:autoSpaceDN w:val="0"/>
        <w:adjustRightInd w:val="0"/>
        <w:spacing w:after="0" w:line="360" w:lineRule="auto"/>
        <w:jc w:val="both"/>
        <w:rPr>
          <w:rFonts w:ascii="Times New Roman" w:hAnsi="Times New Roman" w:cs="Times New Roman"/>
          <w:color w:val="000000"/>
          <w:sz w:val="24"/>
          <w:szCs w:val="24"/>
        </w:rPr>
      </w:pPr>
      <w:r w:rsidRPr="001B2615">
        <w:rPr>
          <w:rFonts w:ascii="Times New Roman" w:hAnsi="Times New Roman" w:cs="Times New Roman"/>
          <w:color w:val="000000"/>
          <w:sz w:val="24"/>
          <w:szCs w:val="24"/>
        </w:rPr>
        <w:t>Para la toma de muestras se seleccionó la variedad de Gandul (</w:t>
      </w:r>
      <w:r w:rsidRPr="001B2615">
        <w:rPr>
          <w:rFonts w:ascii="Times New Roman" w:hAnsi="Times New Roman" w:cs="Times New Roman"/>
          <w:i/>
          <w:iCs/>
          <w:color w:val="000000"/>
          <w:sz w:val="24"/>
          <w:szCs w:val="24"/>
        </w:rPr>
        <w:t>Cajanus Cajan</w:t>
      </w:r>
      <w:r w:rsidRPr="001B2615">
        <w:rPr>
          <w:rFonts w:ascii="Times New Roman" w:hAnsi="Times New Roman" w:cs="Times New Roman"/>
          <w:color w:val="000000"/>
          <w:sz w:val="24"/>
          <w:szCs w:val="24"/>
        </w:rPr>
        <w:t xml:space="preserve">) Gwailor-3 en plena madurez de cosecha y el muestreo se realizó al azar. </w:t>
      </w:r>
    </w:p>
    <w:p w:rsidR="00525C19" w:rsidRPr="001B2615" w:rsidRDefault="00525C19" w:rsidP="001B2615">
      <w:pPr>
        <w:autoSpaceDE w:val="0"/>
        <w:autoSpaceDN w:val="0"/>
        <w:adjustRightInd w:val="0"/>
        <w:spacing w:after="0" w:line="360" w:lineRule="auto"/>
        <w:jc w:val="both"/>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El tamaño de la muestra se determinó a partir de un pre-experimento </w:t>
      </w:r>
      <w:r w:rsidRPr="001B2615">
        <w:rPr>
          <w:rFonts w:ascii="Times New Roman" w:hAnsi="Times New Roman" w:cs="Times New Roman"/>
          <w:color w:val="000000"/>
          <w:sz w:val="24"/>
          <w:szCs w:val="24"/>
        </w:rPr>
        <w:fldChar w:fldCharType="begin"/>
      </w:r>
      <w:r w:rsidRPr="001B2615">
        <w:rPr>
          <w:rFonts w:ascii="Times New Roman" w:hAnsi="Times New Roman" w:cs="Times New Roman"/>
          <w:color w:val="000000"/>
          <w:sz w:val="24"/>
          <w:szCs w:val="24"/>
        </w:rPr>
        <w:instrText xml:space="preserve"> ADDIN ZOTERO_ITEM CSL_CITATION {"citationID":"WtShY9Bc","properties":{"formattedCitation":"(Luyarati, 1997)","plainCitation":"(Luyarati, 1997)"},"citationItems":[{"id":1974,"uris":["http://zotero.org/users/local/e4oPRoLq/items/QSKFJRDB"],"uri":["http://zotero.org/users/local/e4oPRoLq/items/QSKFJRDB"],"itemData":{"id":1974,"type":"book","title":"Economía","publisher":"ENPES","number-of-pages":"597","edition":"Ediciones ENPES 2da edición","author":[{"family":"Luyarati","given":"D. N."}],"issued":{"date-parts":[["1997"]]}}}],"schema":"https://github.com/citation-style-language/schema/raw/master/csl-citation.json"} </w:instrText>
      </w:r>
      <w:r w:rsidRPr="001B2615">
        <w:rPr>
          <w:rFonts w:ascii="Times New Roman" w:hAnsi="Times New Roman" w:cs="Times New Roman"/>
          <w:color w:val="000000"/>
          <w:sz w:val="24"/>
          <w:szCs w:val="24"/>
        </w:rPr>
        <w:fldChar w:fldCharType="separate"/>
      </w:r>
      <w:r w:rsidRPr="001B2615">
        <w:rPr>
          <w:rFonts w:ascii="Times New Roman" w:hAnsi="Times New Roman" w:cs="Times New Roman"/>
          <w:sz w:val="24"/>
          <w:szCs w:val="24"/>
        </w:rPr>
        <w:t>Luyarati, (1997)</w:t>
      </w:r>
      <w:r w:rsidRPr="001B2615">
        <w:rPr>
          <w:rFonts w:ascii="Times New Roman" w:hAnsi="Times New Roman" w:cs="Times New Roman"/>
          <w:color w:val="000000"/>
          <w:sz w:val="24"/>
          <w:szCs w:val="24"/>
        </w:rPr>
        <w:fldChar w:fldCharType="end"/>
      </w:r>
      <w:r w:rsidRPr="001B2615">
        <w:rPr>
          <w:rFonts w:ascii="Times New Roman" w:hAnsi="Times New Roman" w:cs="Times New Roman"/>
          <w:color w:val="000000"/>
          <w:sz w:val="24"/>
          <w:szCs w:val="24"/>
        </w:rPr>
        <w:t xml:space="preserve">, a través de la siguiente expresión: </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p>
    <w:p w:rsidR="00525C19" w:rsidRPr="001B2615" w:rsidRDefault="001E486B" w:rsidP="001B2615">
      <w:pPr>
        <w:tabs>
          <w:tab w:val="left" w:pos="7371"/>
        </w:tabs>
        <w:spacing w:after="0" w:line="360" w:lineRule="auto"/>
        <w:jc w:val="center"/>
        <w:rPr>
          <w:rFonts w:ascii="Times New Roman" w:eastAsia="Times New Roman" w:hAnsi="Times New Roman" w:cs="Times New Roman"/>
          <w:sz w:val="24"/>
          <w:szCs w:val="24"/>
          <w:lang w:eastAsia="es-ES"/>
        </w:rPr>
      </w:pPr>
      <m:oMath>
        <m:sSub>
          <m:sSubPr>
            <m:ctrlPr>
              <w:rPr>
                <w:rFonts w:ascii="Cambria Math" w:eastAsia="Times New Roman" w:hAnsi="Cambria Math" w:cs="Times New Roman"/>
                <w:i/>
                <w:sz w:val="24"/>
                <w:szCs w:val="24"/>
                <w:lang w:eastAsia="es-ES"/>
              </w:rPr>
            </m:ctrlPr>
          </m:sSubPr>
          <m:e>
            <m:r>
              <w:rPr>
                <w:rFonts w:ascii="Cambria Math" w:eastAsia="Times New Roman" w:hAnsi="Cambria Math" w:cs="Times New Roman"/>
                <w:sz w:val="24"/>
                <w:szCs w:val="24"/>
                <w:lang w:eastAsia="es-ES"/>
              </w:rPr>
              <m:t>N</m:t>
            </m:r>
          </m:e>
          <m:sub>
            <m:r>
              <w:rPr>
                <w:rFonts w:ascii="Cambria Math" w:eastAsia="Times New Roman" w:hAnsi="Cambria Math" w:cs="Times New Roman"/>
                <w:sz w:val="24"/>
                <w:szCs w:val="24"/>
                <w:lang w:eastAsia="es-ES"/>
              </w:rPr>
              <m:t>m =</m:t>
            </m:r>
            <m:f>
              <m:fPr>
                <m:ctrlPr>
                  <w:rPr>
                    <w:rFonts w:ascii="Cambria Math" w:eastAsia="Times New Roman" w:hAnsi="Cambria Math" w:cs="Times New Roman"/>
                    <w:i/>
                    <w:sz w:val="24"/>
                    <w:szCs w:val="24"/>
                    <w:lang w:eastAsia="es-ES"/>
                  </w:rPr>
                </m:ctrlPr>
              </m:fPr>
              <m:num>
                <m:sSup>
                  <m:sSupPr>
                    <m:ctrlPr>
                      <w:rPr>
                        <w:rFonts w:ascii="Cambria Math" w:eastAsia="Times New Roman" w:hAnsi="Cambria Math" w:cs="Times New Roman"/>
                        <w:i/>
                        <w:sz w:val="24"/>
                        <w:szCs w:val="24"/>
                        <w:lang w:eastAsia="es-ES"/>
                      </w:rPr>
                    </m:ctrlPr>
                  </m:sSupPr>
                  <m:e>
                    <m:sSub>
                      <m:sSubPr>
                        <m:ctrlPr>
                          <w:rPr>
                            <w:rFonts w:ascii="Cambria Math" w:eastAsia="Times New Roman" w:hAnsi="Cambria Math" w:cs="Times New Roman"/>
                            <w:i/>
                            <w:sz w:val="24"/>
                            <w:szCs w:val="24"/>
                            <w:lang w:eastAsia="es-ES"/>
                          </w:rPr>
                        </m:ctrlPr>
                      </m:sSubPr>
                      <m:e>
                        <m:r>
                          <w:rPr>
                            <w:rFonts w:ascii="Cambria Math" w:eastAsia="Times New Roman" w:hAnsi="Cambria Math" w:cs="Times New Roman"/>
                            <w:sz w:val="24"/>
                            <w:szCs w:val="24"/>
                            <w:lang w:eastAsia="es-ES"/>
                          </w:rPr>
                          <m:t>t</m:t>
                        </m:r>
                      </m:e>
                      <m:sub>
                        <m:r>
                          <w:rPr>
                            <w:rFonts w:ascii="Cambria Math" w:eastAsia="Times New Roman" w:hAnsi="Cambria Math" w:cs="Times New Roman"/>
                            <w:sz w:val="24"/>
                            <w:szCs w:val="24"/>
                            <w:lang w:eastAsia="es-ES"/>
                          </w:rPr>
                          <m:t>s</m:t>
                        </m:r>
                      </m:sub>
                    </m:sSub>
                  </m:e>
                  <m:sup>
                    <m:r>
                      <w:rPr>
                        <w:rFonts w:ascii="Cambria Math" w:eastAsia="Times New Roman" w:hAnsi="Cambria Math" w:cs="Times New Roman"/>
                        <w:sz w:val="24"/>
                        <w:szCs w:val="24"/>
                        <w:lang w:eastAsia="es-ES"/>
                      </w:rPr>
                      <m:t>2</m:t>
                    </m:r>
                  </m:sup>
                </m:sSup>
              </m:num>
              <m:den>
                <m:sSup>
                  <m:sSupPr>
                    <m:ctrlPr>
                      <w:rPr>
                        <w:rFonts w:ascii="Cambria Math" w:eastAsia="Times New Roman" w:hAnsi="Cambria Math" w:cs="Times New Roman"/>
                        <w:i/>
                        <w:sz w:val="24"/>
                        <w:szCs w:val="24"/>
                        <w:lang w:eastAsia="es-ES"/>
                      </w:rPr>
                    </m:ctrlPr>
                  </m:sSupPr>
                  <m:e>
                    <m:r>
                      <w:rPr>
                        <w:rFonts w:ascii="Cambria Math" w:eastAsia="Times New Roman" w:hAnsi="Cambria Math" w:cs="Times New Roman"/>
                        <w:sz w:val="24"/>
                        <w:szCs w:val="24"/>
                        <w:lang w:eastAsia="es-ES"/>
                      </w:rPr>
                      <m:t>∆a</m:t>
                    </m:r>
                  </m:e>
                  <m:sup>
                    <m:r>
                      <w:rPr>
                        <w:rFonts w:ascii="Cambria Math" w:eastAsia="Times New Roman" w:hAnsi="Cambria Math" w:cs="Times New Roman"/>
                        <w:sz w:val="24"/>
                        <w:szCs w:val="24"/>
                        <w:lang w:eastAsia="es-ES"/>
                      </w:rPr>
                      <m:t>2</m:t>
                    </m:r>
                  </m:sup>
                </m:sSup>
              </m:den>
            </m:f>
          </m:sub>
        </m:sSub>
        <m:r>
          <w:rPr>
            <w:rFonts w:ascii="Cambria Math" w:eastAsia="Times New Roman" w:hAnsi="Cambria Math" w:cs="Times New Roman"/>
            <w:sz w:val="24"/>
            <w:szCs w:val="24"/>
            <w:lang w:eastAsia="es-ES"/>
          </w:rPr>
          <m:t>*</m:t>
        </m:r>
        <m:sSup>
          <m:sSupPr>
            <m:ctrlPr>
              <w:rPr>
                <w:rFonts w:ascii="Cambria Math" w:eastAsia="Times New Roman" w:hAnsi="Cambria Math" w:cs="Times New Roman"/>
                <w:i/>
                <w:sz w:val="24"/>
                <w:szCs w:val="24"/>
                <w:lang w:eastAsia="es-ES"/>
              </w:rPr>
            </m:ctrlPr>
          </m:sSupPr>
          <m:e>
            <m:r>
              <w:rPr>
                <w:rFonts w:ascii="Cambria Math" w:eastAsia="Times New Roman" w:hAnsi="Cambria Math" w:cs="Times New Roman"/>
                <w:sz w:val="24"/>
                <w:szCs w:val="24"/>
                <w:lang w:eastAsia="es-ES"/>
              </w:rPr>
              <m:t>σ</m:t>
            </m:r>
          </m:e>
          <m:sup>
            <m:r>
              <w:rPr>
                <w:rFonts w:ascii="Cambria Math" w:eastAsia="Times New Roman" w:hAnsi="Cambria Math" w:cs="Times New Roman"/>
                <w:sz w:val="24"/>
                <w:szCs w:val="24"/>
                <w:lang w:eastAsia="es-ES"/>
              </w:rPr>
              <m:t>2</m:t>
            </m:r>
          </m:sup>
        </m:sSup>
      </m:oMath>
      <w:r w:rsidR="00525C19" w:rsidRPr="001B2615">
        <w:rPr>
          <w:rFonts w:ascii="Times New Roman" w:eastAsia="Times New Roman" w:hAnsi="Times New Roman" w:cs="Times New Roman"/>
          <w:sz w:val="24"/>
          <w:szCs w:val="24"/>
          <w:lang w:eastAsia="es-ES"/>
        </w:rPr>
        <w:t xml:space="preserve"> </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donde:</w:t>
      </w:r>
    </w:p>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i/>
          <w:iCs/>
          <w:color w:val="000000"/>
          <w:sz w:val="24"/>
          <w:szCs w:val="24"/>
        </w:rPr>
        <w:t>σ</w:t>
      </w:r>
      <w:r w:rsidRPr="001B2615">
        <w:rPr>
          <w:rFonts w:ascii="Times New Roman" w:hAnsi="Times New Roman" w:cs="Times New Roman"/>
          <w:color w:val="000000"/>
          <w:sz w:val="24"/>
          <w:szCs w:val="24"/>
        </w:rPr>
        <w:t xml:space="preserve">- desviación típica o estándar; </w:t>
      </w:r>
    </w:p>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i/>
          <w:iCs/>
          <w:color w:val="000000"/>
          <w:sz w:val="24"/>
          <w:szCs w:val="24"/>
        </w:rPr>
        <w:t xml:space="preserve">ts </w:t>
      </w:r>
      <w:r w:rsidRPr="001B2615">
        <w:rPr>
          <w:rFonts w:ascii="Times New Roman" w:hAnsi="Times New Roman" w:cs="Times New Roman"/>
          <w:color w:val="000000"/>
          <w:sz w:val="24"/>
          <w:szCs w:val="24"/>
        </w:rPr>
        <w:t xml:space="preserve">- coeficiente que depende del nivel de confianza y del número de muestras, se determina para una distribución de t de student; </w:t>
      </w:r>
    </w:p>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sym w:font="Symbol" w:char="F044"/>
      </w:r>
      <w:r w:rsidRPr="001B2615">
        <w:rPr>
          <w:rFonts w:ascii="Times New Roman" w:hAnsi="Times New Roman" w:cs="Times New Roman"/>
          <w:i/>
          <w:iCs/>
          <w:color w:val="000000"/>
          <w:sz w:val="24"/>
          <w:szCs w:val="24"/>
        </w:rPr>
        <w:t xml:space="preserve">a </w:t>
      </w:r>
      <w:r w:rsidRPr="001B2615">
        <w:rPr>
          <w:rFonts w:ascii="Times New Roman" w:hAnsi="Times New Roman" w:cs="Times New Roman"/>
          <w:color w:val="000000"/>
          <w:sz w:val="24"/>
          <w:szCs w:val="24"/>
        </w:rPr>
        <w:t xml:space="preserve">- error máximo permisible de la media. </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hAnsi="Times New Roman" w:cs="Times New Roman"/>
          <w:color w:val="000000"/>
          <w:sz w:val="24"/>
          <w:szCs w:val="24"/>
        </w:rPr>
        <w:t>La media aritmética se determina como:</w:t>
      </w:r>
    </w:p>
    <w:p w:rsidR="00525C19" w:rsidRPr="001B2615" w:rsidRDefault="001E486B" w:rsidP="001B2615">
      <w:pPr>
        <w:spacing w:after="0" w:line="360" w:lineRule="auto"/>
        <w:jc w:val="both"/>
        <w:rPr>
          <w:rFonts w:ascii="Times New Roman" w:eastAsia="Times New Roman" w:hAnsi="Times New Roman" w:cs="Times New Roman"/>
          <w:sz w:val="24"/>
          <w:szCs w:val="24"/>
          <w:lang w:eastAsia="es-ES"/>
        </w:rPr>
      </w:pPr>
      <m:oMathPara>
        <m:oMath>
          <m:acc>
            <m:accPr>
              <m:chr m:val="̅"/>
              <m:ctrlPr>
                <w:rPr>
                  <w:rFonts w:ascii="Cambria Math" w:eastAsia="Times New Roman" w:hAnsi="Cambria Math" w:cs="Times New Roman"/>
                  <w:i/>
                  <w:sz w:val="24"/>
                  <w:szCs w:val="24"/>
                  <w:lang w:eastAsia="es-ES"/>
                </w:rPr>
              </m:ctrlPr>
            </m:accPr>
            <m:e>
              <m:r>
                <w:rPr>
                  <w:rFonts w:ascii="Cambria Math" w:eastAsia="Times New Roman" w:hAnsi="Cambria Math" w:cs="Times New Roman"/>
                  <w:sz w:val="24"/>
                  <w:szCs w:val="24"/>
                  <w:lang w:eastAsia="es-ES"/>
                </w:rPr>
                <m:t>x</m:t>
              </m:r>
            </m:e>
          </m:acc>
          <m:r>
            <w:rPr>
              <w:rFonts w:ascii="Cambria Math" w:eastAsia="Times New Roman" w:hAnsi="Cambria Math" w:cs="Times New Roman"/>
              <w:sz w:val="24"/>
              <w:szCs w:val="24"/>
              <w:lang w:eastAsia="es-ES"/>
            </w:rPr>
            <m:t xml:space="preserve">= </m:t>
          </m:r>
          <m:f>
            <m:fPr>
              <m:ctrlPr>
                <w:rPr>
                  <w:rFonts w:ascii="Cambria Math" w:eastAsia="Times New Roman" w:hAnsi="Cambria Math" w:cs="Times New Roman"/>
                  <w:i/>
                  <w:sz w:val="24"/>
                  <w:szCs w:val="24"/>
                  <w:lang w:eastAsia="es-ES"/>
                </w:rPr>
              </m:ctrlPr>
            </m:fPr>
            <m:num>
              <m:nary>
                <m:naryPr>
                  <m:chr m:val="∑"/>
                  <m:limLoc m:val="undOvr"/>
                  <m:subHide m:val="1"/>
                  <m:supHide m:val="1"/>
                  <m:ctrlPr>
                    <w:rPr>
                      <w:rFonts w:ascii="Cambria Math" w:eastAsia="Times New Roman" w:hAnsi="Cambria Math" w:cs="Times New Roman"/>
                      <w:i/>
                      <w:sz w:val="24"/>
                      <w:szCs w:val="24"/>
                      <w:lang w:eastAsia="es-ES"/>
                    </w:rPr>
                  </m:ctrlPr>
                </m:naryPr>
                <m:sub/>
                <m:sup/>
                <m:e>
                  <m:r>
                    <w:rPr>
                      <w:rFonts w:ascii="Cambria Math" w:eastAsia="Times New Roman" w:hAnsi="Cambria Math" w:cs="Times New Roman"/>
                      <w:sz w:val="24"/>
                      <w:szCs w:val="24"/>
                      <w:lang w:eastAsia="es-ES"/>
                    </w:rPr>
                    <m:t>x</m:t>
                  </m:r>
                </m:e>
              </m:nary>
            </m:num>
            <m:den>
              <m:sSub>
                <m:sSubPr>
                  <m:ctrlPr>
                    <w:rPr>
                      <w:rFonts w:ascii="Cambria Math" w:eastAsia="Times New Roman" w:hAnsi="Cambria Math" w:cs="Times New Roman"/>
                      <w:i/>
                      <w:sz w:val="24"/>
                      <w:szCs w:val="24"/>
                      <w:lang w:eastAsia="es-ES"/>
                    </w:rPr>
                  </m:ctrlPr>
                </m:sSubPr>
                <m:e>
                  <m:r>
                    <w:rPr>
                      <w:rFonts w:ascii="Cambria Math" w:eastAsia="Times New Roman" w:hAnsi="Cambria Math" w:cs="Times New Roman"/>
                      <w:sz w:val="24"/>
                      <w:szCs w:val="24"/>
                      <w:lang w:eastAsia="es-ES"/>
                    </w:rPr>
                    <m:t>n</m:t>
                  </m:r>
                </m:e>
                <m:sub>
                  <m:r>
                    <w:rPr>
                      <w:rFonts w:ascii="Cambria Math" w:eastAsia="Times New Roman" w:hAnsi="Cambria Math" w:cs="Times New Roman"/>
                      <w:sz w:val="24"/>
                      <w:szCs w:val="24"/>
                      <w:lang w:eastAsia="es-ES"/>
                    </w:rPr>
                    <m:t>m</m:t>
                  </m:r>
                </m:sub>
              </m:sSub>
            </m:den>
          </m:f>
        </m:oMath>
      </m:oMathPara>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hAnsi="Times New Roman" w:cs="Times New Roman"/>
          <w:sz w:val="24"/>
          <w:szCs w:val="24"/>
        </w:rPr>
        <w:t xml:space="preserve">En la figura 2 se muestra la forma de medición de las </w:t>
      </w:r>
      <w:r w:rsidRPr="001B2615">
        <w:rPr>
          <w:rFonts w:ascii="Times New Roman" w:eastAsia="Times New Roman" w:hAnsi="Times New Roman" w:cs="Times New Roman"/>
          <w:sz w:val="24"/>
          <w:szCs w:val="24"/>
          <w:lang w:eastAsia="es-ES"/>
        </w:rPr>
        <w:t>características dimensionales de los granos y vainas, así como su masa y los coeficientes de fricción con relación a superficies de diferente material. Una vez seleccionada la muestra se determinaron las características dimensionales de las vainas y granos, mediante el uso de un pie de rey de 0-150 mm, marca SIMCT., con una precisión de 0,02 milímetros.</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Las dimensiones que se midieron en las vainas fueron: la longitud de la vaina (A), del pedúnculo (C) y de la punta (B), el ancho de cada vaina (D) y el espesor de la vaina (E).</w:t>
      </w:r>
    </w:p>
    <w:p w:rsidR="00525C19" w:rsidRPr="001B2615" w:rsidRDefault="00525C19" w:rsidP="001B2615">
      <w:pPr>
        <w:spacing w:after="0" w:line="360" w:lineRule="auto"/>
        <w:rPr>
          <w:rFonts w:ascii="Times New Roman" w:eastAsia="Times New Roman" w:hAnsi="Times New Roman" w:cs="Times New Roman"/>
          <w:sz w:val="24"/>
          <w:szCs w:val="24"/>
          <w:highlight w:val="yellow"/>
          <w:lang w:eastAsia="es-ES"/>
        </w:rPr>
      </w:pPr>
    </w:p>
    <w:p w:rsidR="00525C19" w:rsidRPr="001B2615" w:rsidRDefault="00525C19" w:rsidP="001B2615">
      <w:pPr>
        <w:spacing w:after="0" w:line="360" w:lineRule="auto"/>
        <w:jc w:val="center"/>
        <w:rPr>
          <w:rFonts w:ascii="Times New Roman" w:eastAsia="Times New Roman" w:hAnsi="Times New Roman" w:cs="Times New Roman"/>
          <w:sz w:val="24"/>
          <w:szCs w:val="24"/>
          <w:highlight w:val="yellow"/>
          <w:lang w:eastAsia="es-ES"/>
        </w:rPr>
      </w:pPr>
      <w:r w:rsidRPr="001B2615">
        <w:rPr>
          <w:rFonts w:ascii="Times New Roman" w:eastAsia="Times New Roman" w:hAnsi="Times New Roman" w:cs="Times New Roman"/>
          <w:noProof/>
          <w:sz w:val="24"/>
          <w:szCs w:val="24"/>
          <w:highlight w:val="yellow"/>
          <w:lang w:eastAsia="es-ES"/>
        </w:rPr>
        <w:drawing>
          <wp:inline distT="0" distB="0" distL="0" distR="0" wp14:anchorId="41697FB2" wp14:editId="0754A6F6">
            <wp:extent cx="5400040" cy="1389107"/>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389107"/>
                    </a:xfrm>
                    <a:prstGeom prst="rect">
                      <a:avLst/>
                    </a:prstGeom>
                    <a:noFill/>
                    <a:ln>
                      <a:noFill/>
                    </a:ln>
                  </pic:spPr>
                </pic:pic>
              </a:graphicData>
            </a:graphic>
          </wp:inline>
        </w:drawing>
      </w:r>
    </w:p>
    <w:p w:rsidR="00525C19" w:rsidRPr="001B2615" w:rsidRDefault="00525C19" w:rsidP="001B2615">
      <w:pPr>
        <w:spacing w:after="0" w:line="360" w:lineRule="auto"/>
        <w:jc w:val="center"/>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FIGURA 2. Dimensiones de la vaina de gandul verde.</w:t>
      </w:r>
    </w:p>
    <w:p w:rsidR="00525C19" w:rsidRPr="001B2615" w:rsidRDefault="00525C19" w:rsidP="001B2615">
      <w:pPr>
        <w:spacing w:after="0" w:line="360" w:lineRule="auto"/>
        <w:jc w:val="center"/>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En el caso de los granos se determinaron las dimensiones principales, longitud (L) (Dimensión mayor), ancho (A) (dimensión media) y espesor (E) (dimensión menor), a una muestra de 40 granos (Figura 3).</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center"/>
        <w:rPr>
          <w:rFonts w:ascii="Times New Roman" w:eastAsia="Times New Roman" w:hAnsi="Times New Roman" w:cs="Times New Roman"/>
          <w:sz w:val="24"/>
          <w:szCs w:val="24"/>
          <w:lang w:eastAsia="es-ES"/>
        </w:rPr>
      </w:pPr>
      <w:r w:rsidRPr="001B2615">
        <w:rPr>
          <w:rFonts w:ascii="Times New Roman" w:eastAsia="Times New Roman" w:hAnsi="Times New Roman" w:cs="Times New Roman"/>
          <w:noProof/>
          <w:sz w:val="24"/>
          <w:szCs w:val="24"/>
          <w:lang w:eastAsia="es-ES"/>
        </w:rPr>
        <w:drawing>
          <wp:inline distT="0" distB="0" distL="0" distR="0" wp14:anchorId="5595CFEE" wp14:editId="6F56CFE0">
            <wp:extent cx="4219575" cy="14192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9575" cy="1419225"/>
                    </a:xfrm>
                    <a:prstGeom prst="rect">
                      <a:avLst/>
                    </a:prstGeom>
                    <a:noFill/>
                    <a:ln>
                      <a:noFill/>
                    </a:ln>
                  </pic:spPr>
                </pic:pic>
              </a:graphicData>
            </a:graphic>
          </wp:inline>
        </w:drawing>
      </w:r>
    </w:p>
    <w:p w:rsidR="00525C19" w:rsidRPr="001B2615" w:rsidRDefault="00525C19" w:rsidP="001B2615">
      <w:pPr>
        <w:spacing w:after="0" w:line="360" w:lineRule="auto"/>
        <w:jc w:val="center"/>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FIGURA 3. Dimensiones de los granos de gandul verde.</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lastRenderedPageBreak/>
        <w:t xml:space="preserve">El diámetro medio geométrico (Dg) y aritmético (Da) se determinó según </w:t>
      </w:r>
      <w:r w:rsidRPr="001B2615">
        <w:rPr>
          <w:rFonts w:ascii="Times New Roman" w:eastAsia="Times New Roman" w:hAnsi="Times New Roman" w:cs="Times New Roman"/>
          <w:sz w:val="24"/>
          <w:szCs w:val="24"/>
          <w:lang w:eastAsia="es-ES"/>
        </w:rPr>
        <w:fldChar w:fldCharType="begin"/>
      </w:r>
      <w:r w:rsidRPr="001B2615">
        <w:rPr>
          <w:rFonts w:ascii="Times New Roman" w:eastAsia="Times New Roman" w:hAnsi="Times New Roman" w:cs="Times New Roman"/>
          <w:sz w:val="24"/>
          <w:szCs w:val="24"/>
          <w:lang w:eastAsia="es-ES"/>
        </w:rPr>
        <w:instrText xml:space="preserve"> ADDIN ZOTERO_ITEM CSL_CITATION {"citationID":"2jdR8Kjt","properties":{"formattedCitation":"(Mohsenin, 1986)","plainCitation":"(Mohsenin, 1986)"},"citationItems":[{"id":1260,"uris":["http://zotero.org/users/local/e4oPRoLq/items/YP9AJDCH"],"uri":["http://zotero.org/users/local/e4oPRoLq/items/YP9AJDCH"],"itemData":{"id":1260,"type":"book","title":"Physical properties of plant and animial materials.","publisher":"Gordon Breach Science Publishers","publisher-place":"New York, USA","volume":"1","edition":"2nd","source":"Google Scholar","event-place":"New York, USA","author":[{"family":"Mohsenin","given":"Nuri N."}],"issued":{"date-parts":[["1986"]]}}}],"schema":"https://github.com/citation-style-language/schema/raw/master/csl-citation.json"} </w:instrText>
      </w:r>
      <w:r w:rsidRPr="001B2615">
        <w:rPr>
          <w:rFonts w:ascii="Times New Roman" w:eastAsia="Times New Roman" w:hAnsi="Times New Roman" w:cs="Times New Roman"/>
          <w:sz w:val="24"/>
          <w:szCs w:val="24"/>
          <w:lang w:eastAsia="es-ES"/>
        </w:rPr>
        <w:fldChar w:fldCharType="separate"/>
      </w:r>
      <w:r w:rsidRPr="001B2615">
        <w:rPr>
          <w:rFonts w:ascii="Times New Roman" w:hAnsi="Times New Roman" w:cs="Times New Roman"/>
          <w:sz w:val="24"/>
          <w:szCs w:val="24"/>
        </w:rPr>
        <w:t>Mohsenin (1986)</w:t>
      </w:r>
      <w:r w:rsidRPr="001B2615">
        <w:rPr>
          <w:rFonts w:ascii="Times New Roman" w:eastAsia="Times New Roman" w:hAnsi="Times New Roman" w:cs="Times New Roman"/>
          <w:sz w:val="24"/>
          <w:szCs w:val="24"/>
          <w:lang w:eastAsia="es-ES"/>
        </w:rPr>
        <w:fldChar w:fldCharType="end"/>
      </w:r>
      <w:r w:rsidRPr="001B2615">
        <w:rPr>
          <w:rFonts w:ascii="Times New Roman" w:eastAsia="Times New Roman" w:hAnsi="Times New Roman" w:cs="Times New Roman"/>
          <w:sz w:val="24"/>
          <w:szCs w:val="24"/>
          <w:lang w:eastAsia="es-ES"/>
        </w:rPr>
        <w:t>.</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p>
    <w:p w:rsidR="00525C19" w:rsidRPr="001B2615" w:rsidRDefault="001E486B" w:rsidP="001B2615">
      <w:pPr>
        <w:spacing w:after="0" w:line="360" w:lineRule="auto"/>
        <w:jc w:val="center"/>
        <w:rPr>
          <w:rFonts w:ascii="Times New Roman" w:eastAsia="Times New Roman" w:hAnsi="Times New Roman" w:cs="Times New Roman"/>
          <w:sz w:val="24"/>
          <w:szCs w:val="24"/>
          <w:lang w:eastAsia="es-ES"/>
        </w:rPr>
      </w:pPr>
      <m:oMath>
        <m:sSub>
          <m:sSubPr>
            <m:ctrlPr>
              <w:rPr>
                <w:rFonts w:ascii="Cambria Math" w:eastAsia="Times New Roman" w:hAnsi="Cambria Math" w:cs="Times New Roman"/>
                <w:i/>
                <w:sz w:val="24"/>
                <w:szCs w:val="24"/>
                <w:lang w:eastAsia="es-ES"/>
              </w:rPr>
            </m:ctrlPr>
          </m:sSubPr>
          <m:e>
            <m:r>
              <w:rPr>
                <w:rFonts w:ascii="Cambria Math" w:eastAsia="Times New Roman" w:hAnsi="Cambria Math" w:cs="Times New Roman"/>
                <w:sz w:val="24"/>
                <w:szCs w:val="24"/>
                <w:lang w:eastAsia="es-ES"/>
              </w:rPr>
              <m:t>D</m:t>
            </m:r>
          </m:e>
          <m:sub>
            <m:r>
              <w:rPr>
                <w:rFonts w:ascii="Cambria Math" w:eastAsia="Times New Roman" w:hAnsi="Cambria Math" w:cs="Times New Roman"/>
                <w:sz w:val="24"/>
                <w:szCs w:val="24"/>
                <w:lang w:eastAsia="es-ES"/>
              </w:rPr>
              <m:t xml:space="preserve">a </m:t>
            </m:r>
          </m:sub>
        </m:sSub>
        <m:r>
          <w:rPr>
            <w:rFonts w:ascii="Cambria Math" w:eastAsia="Times New Roman" w:hAnsi="Cambria Math" w:cs="Times New Roman"/>
            <w:sz w:val="24"/>
            <w:szCs w:val="24"/>
            <w:lang w:eastAsia="es-ES"/>
          </w:rPr>
          <m:t>=</m:t>
        </m:r>
        <m:f>
          <m:fPr>
            <m:ctrlPr>
              <w:rPr>
                <w:rFonts w:ascii="Cambria Math" w:eastAsia="Times New Roman" w:hAnsi="Cambria Math" w:cs="Times New Roman"/>
                <w:i/>
                <w:sz w:val="24"/>
                <w:szCs w:val="24"/>
                <w:lang w:eastAsia="es-ES"/>
              </w:rPr>
            </m:ctrlPr>
          </m:fPr>
          <m:num>
            <m:r>
              <w:rPr>
                <w:rFonts w:ascii="Cambria Math" w:eastAsia="Times New Roman" w:hAnsi="Cambria Math" w:cs="Times New Roman"/>
                <w:sz w:val="24"/>
                <w:szCs w:val="24"/>
                <w:lang w:eastAsia="es-ES"/>
              </w:rPr>
              <m:t xml:space="preserve">L </m:t>
            </m:r>
            <m:r>
              <m:rPr>
                <m:nor/>
              </m:rPr>
              <w:rPr>
                <w:rFonts w:ascii="Times New Roman" w:eastAsia="Times New Roman" w:hAnsi="Times New Roman" w:cs="Times New Roman"/>
                <w:sz w:val="24"/>
                <w:szCs w:val="24"/>
                <w:lang w:eastAsia="es-ES"/>
              </w:rPr>
              <m:t>+A+E</m:t>
            </m:r>
          </m:num>
          <m:den>
            <m:r>
              <w:rPr>
                <w:rFonts w:ascii="Cambria Math" w:eastAsia="Times New Roman" w:hAnsi="Cambria Math" w:cs="Times New Roman"/>
                <w:sz w:val="24"/>
                <w:szCs w:val="24"/>
                <w:lang w:eastAsia="es-ES"/>
              </w:rPr>
              <m:t>3</m:t>
            </m:r>
          </m:den>
        </m:f>
        <m:r>
          <w:rPr>
            <w:rFonts w:ascii="Cambria Math" w:eastAsia="Times New Roman" w:hAnsi="Cambria Math" w:cs="Times New Roman"/>
            <w:sz w:val="24"/>
            <w:szCs w:val="24"/>
            <w:lang w:eastAsia="es-ES"/>
          </w:rPr>
          <m:t>, mm</m:t>
        </m:r>
      </m:oMath>
      <w:r w:rsidR="00525C19" w:rsidRPr="001B2615">
        <w:rPr>
          <w:rFonts w:ascii="Times New Roman" w:eastAsia="Times New Roman" w:hAnsi="Times New Roman" w:cs="Times New Roman"/>
          <w:sz w:val="24"/>
          <w:szCs w:val="24"/>
          <w:lang w:eastAsia="es-ES"/>
        </w:rPr>
        <w:t xml:space="preserve">    </w:t>
      </w:r>
    </w:p>
    <w:p w:rsidR="00525C19" w:rsidRPr="001B2615" w:rsidRDefault="00525C19" w:rsidP="001B2615">
      <w:pPr>
        <w:spacing w:after="0" w:line="360" w:lineRule="auto"/>
        <w:jc w:val="center"/>
        <w:rPr>
          <w:rFonts w:ascii="Times New Roman" w:eastAsia="Times New Roman" w:hAnsi="Times New Roman" w:cs="Times New Roman"/>
          <w:sz w:val="24"/>
          <w:szCs w:val="24"/>
          <w:lang w:eastAsia="es-ES"/>
        </w:rPr>
      </w:pPr>
    </w:p>
    <w:p w:rsidR="00525C19" w:rsidRPr="001B2615" w:rsidRDefault="001E486B" w:rsidP="001B2615">
      <w:pPr>
        <w:spacing w:after="0" w:line="360" w:lineRule="auto"/>
        <w:jc w:val="center"/>
        <w:rPr>
          <w:rFonts w:ascii="Times New Roman" w:eastAsia="Times New Roman" w:hAnsi="Times New Roman" w:cs="Times New Roman"/>
          <w:sz w:val="24"/>
          <w:szCs w:val="24"/>
          <w:lang w:eastAsia="es-ES"/>
        </w:rPr>
      </w:pPr>
      <m:oMathPara>
        <m:oMath>
          <m:sSub>
            <m:sSubPr>
              <m:ctrlPr>
                <w:rPr>
                  <w:rFonts w:ascii="Cambria Math" w:eastAsia="Times New Roman" w:hAnsi="Cambria Math" w:cs="Times New Roman"/>
                  <w:i/>
                  <w:sz w:val="24"/>
                  <w:szCs w:val="24"/>
                  <w:lang w:eastAsia="es-ES"/>
                </w:rPr>
              </m:ctrlPr>
            </m:sSubPr>
            <m:e>
              <m:r>
                <w:rPr>
                  <w:rFonts w:ascii="Cambria Math" w:eastAsia="Times New Roman" w:hAnsi="Cambria Math" w:cs="Times New Roman"/>
                  <w:sz w:val="24"/>
                  <w:szCs w:val="24"/>
                  <w:lang w:eastAsia="es-ES"/>
                </w:rPr>
                <m:t>D</m:t>
              </m:r>
            </m:e>
            <m:sub>
              <m:r>
                <w:rPr>
                  <w:rFonts w:ascii="Cambria Math" w:eastAsia="Times New Roman" w:hAnsi="Cambria Math" w:cs="Times New Roman"/>
                  <w:sz w:val="24"/>
                  <w:szCs w:val="24"/>
                  <w:lang w:eastAsia="es-ES"/>
                </w:rPr>
                <m:t xml:space="preserve">g </m:t>
              </m:r>
            </m:sub>
          </m:sSub>
          <m:r>
            <w:rPr>
              <w:rFonts w:ascii="Cambria Math" w:eastAsia="Times New Roman" w:hAnsi="Cambria Math" w:cs="Times New Roman"/>
              <w:sz w:val="24"/>
              <w:szCs w:val="24"/>
              <w:lang w:eastAsia="es-ES"/>
            </w:rPr>
            <m:t xml:space="preserve"> = </m:t>
          </m:r>
          <m:sSup>
            <m:sSupPr>
              <m:ctrlPr>
                <w:rPr>
                  <w:rFonts w:ascii="Cambria Math" w:eastAsia="Times New Roman" w:hAnsi="Cambria Math" w:cs="Times New Roman"/>
                  <w:i/>
                  <w:sz w:val="24"/>
                  <w:szCs w:val="24"/>
                  <w:lang w:eastAsia="es-ES"/>
                </w:rPr>
              </m:ctrlPr>
            </m:sSupPr>
            <m:e>
              <m:d>
                <m:dPr>
                  <m:ctrlPr>
                    <w:rPr>
                      <w:rFonts w:ascii="Cambria Math" w:eastAsia="Times New Roman" w:hAnsi="Cambria Math" w:cs="Times New Roman"/>
                      <w:i/>
                      <w:sz w:val="24"/>
                      <w:szCs w:val="24"/>
                      <w:lang w:eastAsia="es-ES"/>
                    </w:rPr>
                  </m:ctrlPr>
                </m:dPr>
                <m:e>
                  <m:r>
                    <w:rPr>
                      <w:rFonts w:ascii="Cambria Math" w:eastAsia="Times New Roman" w:hAnsi="Cambria Math" w:cs="Times New Roman"/>
                      <w:sz w:val="24"/>
                      <w:szCs w:val="24"/>
                      <w:lang w:eastAsia="es-ES"/>
                    </w:rPr>
                    <m:t>L*A*E</m:t>
                  </m:r>
                </m:e>
              </m:d>
            </m:e>
            <m:sup>
              <m:f>
                <m:fPr>
                  <m:ctrlPr>
                    <w:rPr>
                      <w:rFonts w:ascii="Cambria Math" w:eastAsia="Times New Roman" w:hAnsi="Cambria Math" w:cs="Times New Roman"/>
                      <w:i/>
                      <w:sz w:val="24"/>
                      <w:szCs w:val="24"/>
                      <w:lang w:eastAsia="es-ES"/>
                    </w:rPr>
                  </m:ctrlPr>
                </m:fPr>
                <m:num>
                  <m:r>
                    <w:rPr>
                      <w:rFonts w:ascii="Cambria Math" w:eastAsia="Times New Roman" w:hAnsi="Cambria Math" w:cs="Times New Roman"/>
                      <w:sz w:val="24"/>
                      <w:szCs w:val="24"/>
                      <w:lang w:eastAsia="es-ES"/>
                    </w:rPr>
                    <m:t>1</m:t>
                  </m:r>
                </m:num>
                <m:den>
                  <m:r>
                    <w:rPr>
                      <w:rFonts w:ascii="Cambria Math" w:eastAsia="Times New Roman" w:hAnsi="Cambria Math" w:cs="Times New Roman"/>
                      <w:sz w:val="24"/>
                      <w:szCs w:val="24"/>
                      <w:lang w:eastAsia="es-ES"/>
                    </w:rPr>
                    <m:t>3</m:t>
                  </m:r>
                </m:den>
              </m:f>
            </m:sup>
          </m:sSup>
          <m:r>
            <w:rPr>
              <w:rFonts w:ascii="Cambria Math" w:eastAsia="Times New Roman" w:hAnsi="Cambria Math" w:cs="Times New Roman"/>
              <w:sz w:val="24"/>
              <w:szCs w:val="24"/>
              <w:lang w:eastAsia="es-ES"/>
            </w:rPr>
            <m:t>, mm</m:t>
          </m:r>
        </m:oMath>
      </m:oMathPara>
    </w:p>
    <w:p w:rsidR="00525C19" w:rsidRPr="001B2615" w:rsidRDefault="00525C19" w:rsidP="001B2615">
      <w:pPr>
        <w:spacing w:after="0" w:line="360" w:lineRule="auto"/>
        <w:jc w:val="both"/>
        <w:rPr>
          <w:rFonts w:ascii="Times New Roman" w:eastAsia="Times New Roman" w:hAnsi="Times New Roman" w:cs="Times New Roman"/>
          <w:sz w:val="24"/>
          <w:szCs w:val="24"/>
          <w:highlight w:val="yellow"/>
          <w:lang w:eastAsia="es-ES"/>
        </w:rPr>
      </w:pP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 xml:space="preserve">Para la determinación de la masa se utilizó una balanza marca College, de precisión 0,01 gramos (Figura 4). </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center"/>
        <w:rPr>
          <w:rFonts w:ascii="Times New Roman" w:eastAsia="Times New Roman" w:hAnsi="Times New Roman" w:cs="Times New Roman"/>
          <w:sz w:val="24"/>
          <w:szCs w:val="24"/>
          <w:lang w:eastAsia="es-ES"/>
        </w:rPr>
      </w:pPr>
      <w:r w:rsidRPr="001B2615">
        <w:rPr>
          <w:rFonts w:ascii="Times New Roman" w:eastAsia="Times New Roman" w:hAnsi="Times New Roman" w:cs="Times New Roman"/>
          <w:noProof/>
          <w:sz w:val="24"/>
          <w:szCs w:val="24"/>
          <w:lang w:eastAsia="es-ES"/>
        </w:rPr>
        <w:drawing>
          <wp:inline distT="0" distB="0" distL="0" distR="0" wp14:anchorId="7071AC39" wp14:editId="53E8FD9E">
            <wp:extent cx="3648075" cy="24003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8075" cy="2400300"/>
                    </a:xfrm>
                    <a:prstGeom prst="rect">
                      <a:avLst/>
                    </a:prstGeom>
                    <a:noFill/>
                    <a:ln>
                      <a:noFill/>
                    </a:ln>
                  </pic:spPr>
                </pic:pic>
              </a:graphicData>
            </a:graphic>
          </wp:inline>
        </w:drawing>
      </w:r>
    </w:p>
    <w:p w:rsidR="00525C19" w:rsidRPr="001B2615" w:rsidRDefault="00525C19" w:rsidP="001B2615">
      <w:pPr>
        <w:spacing w:after="0" w:line="360" w:lineRule="auto"/>
        <w:jc w:val="center"/>
        <w:rPr>
          <w:rFonts w:ascii="Times New Roman" w:eastAsia="Times New Roman" w:hAnsi="Times New Roman" w:cs="Times New Roman"/>
          <w:sz w:val="24"/>
          <w:szCs w:val="24"/>
          <w:lang w:eastAsia="es-ES"/>
        </w:rPr>
      </w:pPr>
      <w:r w:rsidRPr="001B2615">
        <w:rPr>
          <w:rFonts w:ascii="Times New Roman" w:hAnsi="Times New Roman" w:cs="Times New Roman"/>
          <w:bCs/>
          <w:sz w:val="24"/>
          <w:szCs w:val="24"/>
        </w:rPr>
        <w:t>FIGURA 4. Pesaje de muestras, a) vainas, b) granos.</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 xml:space="preserve">La masa de las vainas se determinó individualmente y en el caso de los granos se siguió la metodología expuesta por </w:t>
      </w:r>
      <w:r w:rsidRPr="001B2615">
        <w:rPr>
          <w:rFonts w:ascii="Times New Roman" w:eastAsia="Times New Roman" w:hAnsi="Times New Roman" w:cs="Times New Roman"/>
          <w:sz w:val="24"/>
          <w:szCs w:val="24"/>
          <w:lang w:eastAsia="es-ES"/>
        </w:rPr>
        <w:fldChar w:fldCharType="begin"/>
      </w:r>
      <w:r w:rsidRPr="001B2615">
        <w:rPr>
          <w:rFonts w:ascii="Times New Roman" w:eastAsia="Times New Roman" w:hAnsi="Times New Roman" w:cs="Times New Roman"/>
          <w:sz w:val="24"/>
          <w:szCs w:val="24"/>
          <w:lang w:eastAsia="es-ES"/>
        </w:rPr>
        <w:instrText xml:space="preserve"> ADDIN ZOTERO_ITEM CSL_CITATION {"citationID":"sox4vqlk","properties":{"formattedCitation":"{\\rtf (Vilche {\\i{}et\\uc0\\u160{}al.}, 2003)}","plainCitation":"(Vilche et al., 2003)"},"citationItems":[{"id":1282,"uris":["http://zotero.org/users/local/e4oPRoLq/items/Q739MYCX"],"uri":["http://zotero.org/users/local/e4oPRoLq/items/Q739MYCX"],"itemData":{"id":1282,"type":"article-journal","title":"Physical properties of quinoa seeds","container-title":"Biosystems Engineering","page":"59–65","volume":"86","issue":"1","source":"Google Scholar","ISSN":"1537-5110","author":[{"family":"Vilche","given":"C."},{"family":"Gely","given":"M."},{"family":"Santalla","given":"E."}],"issued":{"date-parts":[["2003"]]}}}],"schema":"https://github.com/citation-style-language/schema/raw/master/csl-citation.json"} </w:instrText>
      </w:r>
      <w:r w:rsidRPr="001B2615">
        <w:rPr>
          <w:rFonts w:ascii="Times New Roman" w:eastAsia="Times New Roman" w:hAnsi="Times New Roman" w:cs="Times New Roman"/>
          <w:sz w:val="24"/>
          <w:szCs w:val="24"/>
          <w:lang w:eastAsia="es-ES"/>
        </w:rPr>
        <w:fldChar w:fldCharType="separate"/>
      </w:r>
      <w:r w:rsidRPr="001B2615">
        <w:rPr>
          <w:rFonts w:ascii="Times New Roman" w:hAnsi="Times New Roman" w:cs="Times New Roman"/>
          <w:sz w:val="24"/>
          <w:szCs w:val="24"/>
        </w:rPr>
        <w:t xml:space="preserve">Vilche </w:t>
      </w:r>
      <w:r w:rsidRPr="001B2615">
        <w:rPr>
          <w:rFonts w:ascii="Times New Roman" w:hAnsi="Times New Roman" w:cs="Times New Roman"/>
          <w:i/>
          <w:iCs/>
          <w:sz w:val="24"/>
          <w:szCs w:val="24"/>
        </w:rPr>
        <w:t>et al.</w:t>
      </w:r>
      <w:r w:rsidRPr="001B2615">
        <w:rPr>
          <w:rFonts w:ascii="Times New Roman" w:hAnsi="Times New Roman" w:cs="Times New Roman"/>
          <w:sz w:val="24"/>
          <w:szCs w:val="24"/>
        </w:rPr>
        <w:t xml:space="preserve"> (2003)</w:t>
      </w:r>
      <w:r w:rsidRPr="001B2615">
        <w:rPr>
          <w:rFonts w:ascii="Times New Roman" w:eastAsia="Times New Roman" w:hAnsi="Times New Roman" w:cs="Times New Roman"/>
          <w:sz w:val="24"/>
          <w:szCs w:val="24"/>
          <w:lang w:eastAsia="es-ES"/>
        </w:rPr>
        <w:fldChar w:fldCharType="end"/>
      </w:r>
      <w:r w:rsidRPr="001B2615">
        <w:rPr>
          <w:rFonts w:ascii="Times New Roman" w:eastAsia="Times New Roman" w:hAnsi="Times New Roman" w:cs="Times New Roman"/>
          <w:sz w:val="24"/>
          <w:szCs w:val="24"/>
          <w:lang w:eastAsia="es-ES"/>
        </w:rPr>
        <w:t xml:space="preserve">, pesándose 5 sub-muestras de 100 semillas cada una y se extrapolándose el resultado para 1 000 granos. </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Para la determinación del ángulo de fricción se utilizó un plano inclinado en el que se colocaron por separado tres superficies: acero, madera y goma, completamente limpias (Figura 5).</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center"/>
        <w:rPr>
          <w:rFonts w:ascii="Times New Roman" w:eastAsia="Times New Roman" w:hAnsi="Times New Roman" w:cs="Times New Roman"/>
          <w:sz w:val="24"/>
          <w:szCs w:val="24"/>
          <w:highlight w:val="yellow"/>
          <w:lang w:eastAsia="es-ES"/>
        </w:rPr>
      </w:pPr>
      <w:r w:rsidRPr="001B2615">
        <w:rPr>
          <w:rFonts w:ascii="Times New Roman" w:eastAsia="Times New Roman" w:hAnsi="Times New Roman" w:cs="Times New Roman"/>
          <w:noProof/>
          <w:sz w:val="24"/>
          <w:szCs w:val="24"/>
          <w:highlight w:val="yellow"/>
          <w:lang w:eastAsia="es-ES"/>
        </w:rPr>
        <w:drawing>
          <wp:inline distT="0" distB="0" distL="0" distR="0" wp14:anchorId="2C567A6E" wp14:editId="0CA3943F">
            <wp:extent cx="4343400" cy="2604738"/>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273" cy="2604662"/>
                    </a:xfrm>
                    <a:prstGeom prst="rect">
                      <a:avLst/>
                    </a:prstGeom>
                    <a:noFill/>
                    <a:ln>
                      <a:noFill/>
                    </a:ln>
                  </pic:spPr>
                </pic:pic>
              </a:graphicData>
            </a:graphic>
          </wp:inline>
        </w:drawing>
      </w:r>
    </w:p>
    <w:p w:rsidR="00525C19" w:rsidRPr="001B2615" w:rsidRDefault="00525C19" w:rsidP="001B2615">
      <w:pPr>
        <w:spacing w:after="0" w:line="360" w:lineRule="auto"/>
        <w:jc w:val="center"/>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FIGURA 5. Determinación del ángulo de fricción para vainas en el plano inclinado.</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El ángulo de fricción entre el material de las vainas de gandul y las superficies anteriormente descritas se determinó después de colocar la vaina sobre las superficies y mover la rampa desde la posición horizontal (0º) hasta obtener el ángulo en que comienza la vaina a deslizarse. Este ángulo fue medido con el semicírculo graduado con precisión hasta 1º que se encuentra en el plano inclinado.</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 xml:space="preserve">En el caso de los granos, el ángulo de fricción, se determinó aplicando el mismo procedimiento </w:t>
      </w:r>
      <w:r w:rsidRPr="001B2615">
        <w:rPr>
          <w:rFonts w:ascii="Times New Roman" w:hAnsi="Times New Roman" w:cs="Times New Roman"/>
          <w:sz w:val="24"/>
          <w:szCs w:val="24"/>
        </w:rPr>
        <w:t>e instrumento</w:t>
      </w:r>
      <w:r w:rsidRPr="001B2615">
        <w:rPr>
          <w:rFonts w:ascii="Times New Roman" w:eastAsia="Times New Roman" w:hAnsi="Times New Roman" w:cs="Times New Roman"/>
          <w:sz w:val="24"/>
          <w:szCs w:val="24"/>
          <w:lang w:eastAsia="es-ES"/>
        </w:rPr>
        <w:t xml:space="preserve"> que para las vainas, con la diferencia de que los granos fueron unidos en grupos de tres con cinta adhesiva para evitar la rodadura (Figura 6)</w:t>
      </w:r>
    </w:p>
    <w:p w:rsidR="00525C19" w:rsidRPr="001B2615" w:rsidRDefault="00525C19" w:rsidP="001B2615">
      <w:pPr>
        <w:spacing w:after="0" w:line="360" w:lineRule="auto"/>
        <w:jc w:val="center"/>
        <w:rPr>
          <w:rFonts w:ascii="Times New Roman" w:eastAsia="Times New Roman" w:hAnsi="Times New Roman" w:cs="Times New Roman"/>
          <w:sz w:val="24"/>
          <w:szCs w:val="24"/>
          <w:highlight w:val="yellow"/>
          <w:lang w:eastAsia="es-ES"/>
        </w:rPr>
      </w:pPr>
      <w:r w:rsidRPr="001B2615">
        <w:rPr>
          <w:rFonts w:ascii="Times New Roman" w:eastAsia="Times New Roman" w:hAnsi="Times New Roman" w:cs="Times New Roman"/>
          <w:noProof/>
          <w:sz w:val="24"/>
          <w:szCs w:val="24"/>
          <w:highlight w:val="yellow"/>
          <w:lang w:eastAsia="es-ES"/>
        </w:rPr>
        <w:lastRenderedPageBreak/>
        <w:drawing>
          <wp:inline distT="0" distB="0" distL="0" distR="0" wp14:anchorId="7A7AF6E5" wp14:editId="5A5EB05E">
            <wp:extent cx="5400040" cy="20199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2019985"/>
                    </a:xfrm>
                    <a:prstGeom prst="rect">
                      <a:avLst/>
                    </a:prstGeom>
                    <a:noFill/>
                    <a:ln>
                      <a:noFill/>
                    </a:ln>
                  </pic:spPr>
                </pic:pic>
              </a:graphicData>
            </a:graphic>
          </wp:inline>
        </w:drawing>
      </w:r>
    </w:p>
    <w:p w:rsidR="00525C19" w:rsidRPr="001B2615" w:rsidRDefault="00525C19" w:rsidP="001B2615">
      <w:pPr>
        <w:spacing w:after="0" w:line="360" w:lineRule="auto"/>
        <w:rPr>
          <w:rFonts w:ascii="Times New Roman" w:eastAsia="Times New Roman" w:hAnsi="Times New Roman" w:cs="Times New Roman"/>
          <w:sz w:val="24"/>
          <w:szCs w:val="24"/>
          <w:highlight w:val="yellow"/>
          <w:lang w:eastAsia="es-ES"/>
        </w:rPr>
      </w:pPr>
    </w:p>
    <w:p w:rsidR="00525C19" w:rsidRPr="001B2615" w:rsidRDefault="00525C19" w:rsidP="001B2615">
      <w:pPr>
        <w:spacing w:after="0" w:line="360" w:lineRule="auto"/>
        <w:jc w:val="center"/>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FIGURA 6.a) granos unidos con cinta adhesiva, b) plano inclinado.</w:t>
      </w:r>
    </w:p>
    <w:p w:rsidR="00525C19" w:rsidRPr="001B2615" w:rsidRDefault="00525C19" w:rsidP="001B2615">
      <w:pPr>
        <w:spacing w:after="0" w:line="360" w:lineRule="auto"/>
        <w:rPr>
          <w:rFonts w:ascii="Times New Roman" w:eastAsia="Times New Roman" w:hAnsi="Times New Roman" w:cs="Times New Roman"/>
          <w:sz w:val="24"/>
          <w:szCs w:val="24"/>
          <w:lang w:eastAsia="es-ES"/>
        </w:rPr>
      </w:pPr>
    </w:p>
    <w:p w:rsidR="00525C19" w:rsidRPr="001B2615" w:rsidRDefault="00525C19" w:rsidP="001B2615">
      <w:pPr>
        <w:spacing w:after="0" w:line="360" w:lineRule="auto"/>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En ambos casos para el cálculo del coeficiente de fricción estático (Cd) se utilizó la siguiente expresión.</w:t>
      </w:r>
    </w:p>
    <w:p w:rsidR="00525C19" w:rsidRPr="001B2615" w:rsidRDefault="001E486B" w:rsidP="001B2615">
      <w:pPr>
        <w:spacing w:after="0" w:line="360" w:lineRule="auto"/>
        <w:rPr>
          <w:rFonts w:ascii="Times New Roman" w:eastAsia="Times New Roman" w:hAnsi="Times New Roman" w:cs="Times New Roman"/>
          <w:sz w:val="24"/>
          <w:szCs w:val="24"/>
          <w:lang w:eastAsia="es-ES"/>
        </w:rPr>
      </w:pPr>
      <m:oMathPara>
        <m:oMath>
          <m:sSub>
            <m:sSubPr>
              <m:ctrlPr>
                <w:rPr>
                  <w:rFonts w:ascii="Cambria Math" w:eastAsia="Times New Roman" w:hAnsi="Cambria Math" w:cs="Times New Roman"/>
                  <w:i/>
                  <w:sz w:val="24"/>
                  <w:szCs w:val="24"/>
                  <w:lang w:eastAsia="es-ES"/>
                </w:rPr>
              </m:ctrlPr>
            </m:sSubPr>
            <m:e>
              <m:r>
                <w:rPr>
                  <w:rFonts w:ascii="Cambria Math" w:eastAsia="Times New Roman" w:hAnsi="Cambria Math" w:cs="Times New Roman"/>
                  <w:sz w:val="24"/>
                  <w:szCs w:val="24"/>
                  <w:lang w:eastAsia="es-ES"/>
                </w:rPr>
                <m:t>C</m:t>
              </m:r>
            </m:e>
            <m:sub>
              <m:r>
                <w:rPr>
                  <w:rFonts w:ascii="Cambria Math" w:eastAsia="Times New Roman" w:hAnsi="Cambria Math" w:cs="Times New Roman"/>
                  <w:sz w:val="24"/>
                  <w:szCs w:val="24"/>
                  <w:lang w:eastAsia="es-ES"/>
                </w:rPr>
                <m:t xml:space="preserve">d </m:t>
              </m:r>
            </m:sub>
          </m:sSub>
          <m:r>
            <w:rPr>
              <w:rFonts w:ascii="Cambria Math" w:eastAsia="Times New Roman" w:hAnsi="Cambria Math" w:cs="Times New Roman"/>
              <w:sz w:val="24"/>
              <w:szCs w:val="24"/>
              <w:lang w:eastAsia="es-ES"/>
            </w:rPr>
            <m:t>=</m:t>
          </m:r>
          <m:r>
            <m:rPr>
              <m:sty m:val="p"/>
            </m:rPr>
            <w:rPr>
              <w:rFonts w:ascii="Cambria Math" w:eastAsia="Times New Roman" w:hAnsi="Cambria Math" w:cs="Times New Roman"/>
              <w:sz w:val="24"/>
              <w:szCs w:val="24"/>
              <w:lang w:eastAsia="es-ES"/>
            </w:rPr>
            <m:t>tan(∅)</m:t>
          </m:r>
          <m:r>
            <w:rPr>
              <w:rFonts w:ascii="Cambria Math" w:eastAsia="Times New Roman" w:hAnsi="Cambria Math" w:cs="Times New Roman"/>
              <w:sz w:val="24"/>
              <w:szCs w:val="24"/>
              <w:lang w:eastAsia="es-ES"/>
            </w:rPr>
            <m:t>⁡</m:t>
          </m:r>
        </m:oMath>
      </m:oMathPara>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Donde:</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 xml:space="preserve">Ø - ángulo de fricción, </w:t>
      </w:r>
      <w:r w:rsidRPr="001B2615">
        <w:rPr>
          <w:rFonts w:ascii="Times New Roman" w:hAnsi="Times New Roman" w:cs="Times New Roman"/>
          <w:sz w:val="24"/>
          <w:szCs w:val="24"/>
        </w:rPr>
        <w:t>(</w:t>
      </w:r>
      <w:r w:rsidRPr="001B2615">
        <w:rPr>
          <w:rFonts w:ascii="Times New Roman" w:hAnsi="Times New Roman" w:cs="Times New Roman"/>
          <w:sz w:val="24"/>
          <w:szCs w:val="24"/>
          <w:vertAlign w:val="superscript"/>
        </w:rPr>
        <w:t>o</w:t>
      </w:r>
      <w:r w:rsidRPr="001B2615">
        <w:rPr>
          <w:rFonts w:ascii="Times New Roman" w:hAnsi="Times New Roman" w:cs="Times New Roman"/>
          <w:sz w:val="24"/>
          <w:szCs w:val="24"/>
        </w:rPr>
        <w:t>).</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 xml:space="preserve">Para el procesamiento estadístico matemático de los datos se emplearon los programas: Statgraphics plus, versión 5.1 (en español) y Excel 2010. Se realizó un análisis descriptivo de los datos experimentales, determinando la Media Aritmética </w:t>
      </w:r>
      <m:oMath>
        <m:r>
          <w:rPr>
            <w:rFonts w:ascii="Cambria Math" w:eastAsia="Times New Roman" w:hAnsi="Cambria Math" w:cs="Times New Roman"/>
            <w:sz w:val="24"/>
            <w:szCs w:val="24"/>
            <w:lang w:eastAsia="es-ES"/>
          </w:rPr>
          <m:t>(</m:t>
        </m:r>
        <m:acc>
          <m:accPr>
            <m:chr m:val="̅"/>
            <m:ctrlPr>
              <w:rPr>
                <w:rFonts w:ascii="Cambria Math" w:eastAsia="Times New Roman" w:hAnsi="Cambria Math" w:cs="Times New Roman"/>
                <w:i/>
                <w:sz w:val="24"/>
                <w:szCs w:val="24"/>
                <w:lang w:eastAsia="es-ES"/>
              </w:rPr>
            </m:ctrlPr>
          </m:accPr>
          <m:e>
            <m:r>
              <w:rPr>
                <w:rFonts w:ascii="Cambria Math" w:eastAsia="Times New Roman" w:hAnsi="Cambria Math" w:cs="Times New Roman"/>
                <w:sz w:val="24"/>
                <w:szCs w:val="24"/>
                <w:lang w:eastAsia="es-ES"/>
              </w:rPr>
              <m:t>X</m:t>
            </m:r>
          </m:e>
        </m:acc>
        <m:r>
          <w:rPr>
            <w:rFonts w:ascii="Cambria Math" w:eastAsia="Times New Roman" w:hAnsi="Cambria Math" w:cs="Times New Roman"/>
            <w:sz w:val="24"/>
            <w:szCs w:val="24"/>
            <w:lang w:eastAsia="es-ES"/>
          </w:rPr>
          <m:t>)</m:t>
        </m:r>
      </m:oMath>
      <w:r w:rsidRPr="001B2615">
        <w:rPr>
          <w:rFonts w:ascii="Times New Roman" w:eastAsia="Times New Roman" w:hAnsi="Times New Roman" w:cs="Times New Roman"/>
          <w:sz w:val="24"/>
          <w:szCs w:val="24"/>
          <w:lang w:eastAsia="es-ES"/>
        </w:rPr>
        <w:t>, la Desviación Típica de la media (σ), el Error de la media (</w:t>
      </w:r>
      <w:r w:rsidRPr="001B2615">
        <w:rPr>
          <w:rFonts w:ascii="Times New Roman" w:eastAsia="Times New Roman" w:hAnsi="Times New Roman" w:cs="Times New Roman"/>
          <w:sz w:val="24"/>
          <w:szCs w:val="24"/>
          <w:lang w:eastAsia="es-ES"/>
        </w:rPr>
        <w:sym w:font="Symbol" w:char="F044"/>
      </w:r>
      <w:r w:rsidRPr="001B2615">
        <w:rPr>
          <w:rFonts w:ascii="Times New Roman" w:eastAsia="Times New Roman" w:hAnsi="Times New Roman" w:cs="Times New Roman"/>
          <w:sz w:val="24"/>
          <w:szCs w:val="24"/>
          <w:lang w:eastAsia="es-ES"/>
        </w:rPr>
        <w:t>r) y el Coeficiente de Variación (C.V).</w:t>
      </w:r>
    </w:p>
    <w:p w:rsidR="00525C19" w:rsidRPr="001B2615" w:rsidRDefault="00525C19" w:rsidP="001B2615">
      <w:pPr>
        <w:spacing w:after="0" w:line="360" w:lineRule="auto"/>
        <w:jc w:val="both"/>
        <w:rPr>
          <w:rFonts w:ascii="Times New Roman" w:eastAsia="Times New Roman" w:hAnsi="Times New Roman" w:cs="Times New Roman"/>
          <w:b/>
          <w:sz w:val="24"/>
          <w:szCs w:val="24"/>
          <w:lang w:eastAsia="es-ES"/>
        </w:rPr>
      </w:pPr>
    </w:p>
    <w:p w:rsidR="00525C19" w:rsidRPr="001B2615" w:rsidRDefault="00525C19" w:rsidP="001B2615">
      <w:pPr>
        <w:spacing w:after="0" w:line="360" w:lineRule="auto"/>
        <w:jc w:val="both"/>
        <w:rPr>
          <w:rFonts w:ascii="Times New Roman" w:eastAsia="Times New Roman" w:hAnsi="Times New Roman" w:cs="Times New Roman"/>
          <w:b/>
          <w:sz w:val="24"/>
          <w:szCs w:val="24"/>
          <w:lang w:eastAsia="es-ES"/>
        </w:rPr>
      </w:pPr>
      <w:r w:rsidRPr="001B2615">
        <w:rPr>
          <w:rFonts w:ascii="Times New Roman" w:eastAsia="Times New Roman" w:hAnsi="Times New Roman" w:cs="Times New Roman"/>
          <w:b/>
          <w:sz w:val="24"/>
          <w:szCs w:val="24"/>
          <w:lang w:eastAsia="es-ES"/>
        </w:rPr>
        <w:t>RESULTADOS Y DISCUSIÓN</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 xml:space="preserve">Como resultado de los pre-experimentos se obtuvo que el número de muestras necesario para la realización del experimento debe ser mayor de 38. Tomándose 40 granos y 40 vainas para la realización de los experimentos, con el objetivo de garantizar mayor precisión en los resultados finales. </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lastRenderedPageBreak/>
        <w:t>En la Tabla 1, se aprecian los resultados del análisis descriptivo realizado a las dimensiones de granos y vainas.</w:t>
      </w:r>
    </w:p>
    <w:p w:rsidR="00525C19" w:rsidRPr="001B2615" w:rsidRDefault="00525C19" w:rsidP="001B2615">
      <w:pPr>
        <w:spacing w:after="0" w:line="360" w:lineRule="auto"/>
        <w:jc w:val="center"/>
        <w:rPr>
          <w:rFonts w:ascii="Times New Roman" w:eastAsia="Times New Roman" w:hAnsi="Times New Roman" w:cs="Times New Roman"/>
          <w:b/>
          <w:sz w:val="24"/>
          <w:szCs w:val="24"/>
          <w:lang w:eastAsia="es-ES"/>
        </w:rPr>
      </w:pPr>
      <w:r w:rsidRPr="001B2615">
        <w:rPr>
          <w:rFonts w:ascii="Times New Roman" w:eastAsia="Times New Roman" w:hAnsi="Times New Roman" w:cs="Times New Roman"/>
          <w:b/>
          <w:sz w:val="24"/>
          <w:szCs w:val="24"/>
          <w:lang w:eastAsia="es-ES"/>
        </w:rPr>
        <w:t>TABLA 1. Análisis descriptivo a partir de dimensiones de granos y vainas</w:t>
      </w:r>
    </w:p>
    <w:tbl>
      <w:tblPr>
        <w:tblW w:w="9034" w:type="dxa"/>
        <w:tblInd w:w="-108" w:type="dxa"/>
        <w:tblBorders>
          <w:top w:val="single" w:sz="12" w:space="0" w:color="auto"/>
          <w:bottom w:val="single" w:sz="12" w:space="0" w:color="auto"/>
        </w:tblBorders>
        <w:tblLayout w:type="fixed"/>
        <w:tblLook w:val="0000" w:firstRow="0" w:lastRow="0" w:firstColumn="0" w:lastColumn="0" w:noHBand="0" w:noVBand="0"/>
      </w:tblPr>
      <w:tblGrid>
        <w:gridCol w:w="1242"/>
        <w:gridCol w:w="1418"/>
        <w:gridCol w:w="1134"/>
        <w:gridCol w:w="1417"/>
        <w:gridCol w:w="1276"/>
        <w:gridCol w:w="1276"/>
        <w:gridCol w:w="1271"/>
      </w:tblGrid>
      <w:tr w:rsidR="00525C19" w:rsidRPr="001B2615" w:rsidTr="002771BC">
        <w:trPr>
          <w:trHeight w:val="112"/>
        </w:trPr>
        <w:tc>
          <w:tcPr>
            <w:tcW w:w="5211" w:type="dxa"/>
            <w:gridSpan w:val="4"/>
          </w:tcPr>
          <w:p w:rsidR="00525C19" w:rsidRPr="001B2615" w:rsidRDefault="00525C19" w:rsidP="001B2615">
            <w:pPr>
              <w:pStyle w:val="Default"/>
              <w:spacing w:line="360" w:lineRule="auto"/>
              <w:rPr>
                <w:rFonts w:ascii="Times New Roman" w:hAnsi="Times New Roman" w:cs="Times New Roman"/>
                <w:b/>
              </w:rPr>
            </w:pPr>
            <w:r w:rsidRPr="001B2615">
              <w:rPr>
                <w:rFonts w:ascii="Times New Roman" w:hAnsi="Times New Roman" w:cs="Times New Roman"/>
                <w:b/>
              </w:rPr>
              <w:t xml:space="preserve">Granos </w:t>
            </w:r>
          </w:p>
        </w:tc>
        <w:tc>
          <w:tcPr>
            <w:tcW w:w="3823" w:type="dxa"/>
            <w:gridSpan w:val="3"/>
          </w:tcPr>
          <w:p w:rsidR="00525C19" w:rsidRPr="001B2615" w:rsidRDefault="00525C19" w:rsidP="001B2615">
            <w:pPr>
              <w:pStyle w:val="Default"/>
              <w:spacing w:line="360" w:lineRule="auto"/>
              <w:rPr>
                <w:rFonts w:ascii="Times New Roman" w:hAnsi="Times New Roman" w:cs="Times New Roman"/>
                <w:b/>
              </w:rPr>
            </w:pPr>
            <w:r w:rsidRPr="001B2615">
              <w:rPr>
                <w:rFonts w:ascii="Times New Roman" w:hAnsi="Times New Roman" w:cs="Times New Roman"/>
                <w:b/>
              </w:rPr>
              <w:t xml:space="preserve">Vainas </w:t>
            </w:r>
          </w:p>
        </w:tc>
      </w:tr>
      <w:tr w:rsidR="00525C19" w:rsidRPr="001B2615" w:rsidTr="002771BC">
        <w:trPr>
          <w:trHeight w:val="112"/>
        </w:trPr>
        <w:tc>
          <w:tcPr>
            <w:tcW w:w="1242" w:type="dxa"/>
            <w:tcBorders>
              <w:bottom w:val="single" w:sz="6" w:space="0" w:color="auto"/>
            </w:tcBorders>
          </w:tcPr>
          <w:p w:rsidR="00525C19" w:rsidRPr="001B2615" w:rsidRDefault="00525C19" w:rsidP="001B2615">
            <w:pPr>
              <w:pStyle w:val="Default"/>
              <w:spacing w:line="360" w:lineRule="auto"/>
              <w:rPr>
                <w:rFonts w:ascii="Times New Roman" w:hAnsi="Times New Roman" w:cs="Times New Roman"/>
                <w:b/>
              </w:rPr>
            </w:pPr>
          </w:p>
        </w:tc>
        <w:tc>
          <w:tcPr>
            <w:tcW w:w="1418" w:type="dxa"/>
            <w:tcBorders>
              <w:bottom w:val="single" w:sz="6" w:space="0" w:color="auto"/>
            </w:tcBorders>
          </w:tcPr>
          <w:p w:rsidR="00525C19" w:rsidRPr="001B2615" w:rsidRDefault="00525C19" w:rsidP="001B2615">
            <w:pPr>
              <w:pStyle w:val="Default"/>
              <w:spacing w:line="360" w:lineRule="auto"/>
              <w:rPr>
                <w:rFonts w:ascii="Times New Roman" w:hAnsi="Times New Roman" w:cs="Times New Roman"/>
                <w:b/>
              </w:rPr>
            </w:pPr>
            <w:r w:rsidRPr="001B2615">
              <w:rPr>
                <w:rFonts w:ascii="Times New Roman" w:hAnsi="Times New Roman" w:cs="Times New Roman"/>
                <w:b/>
              </w:rPr>
              <w:t>Ancho</w:t>
            </w:r>
          </w:p>
        </w:tc>
        <w:tc>
          <w:tcPr>
            <w:tcW w:w="1134" w:type="dxa"/>
            <w:tcBorders>
              <w:bottom w:val="single" w:sz="6" w:space="0" w:color="auto"/>
            </w:tcBorders>
          </w:tcPr>
          <w:p w:rsidR="00525C19" w:rsidRPr="001B2615" w:rsidRDefault="00525C19" w:rsidP="001B2615">
            <w:pPr>
              <w:pStyle w:val="Default"/>
              <w:spacing w:line="360" w:lineRule="auto"/>
              <w:rPr>
                <w:rFonts w:ascii="Times New Roman" w:hAnsi="Times New Roman" w:cs="Times New Roman"/>
                <w:b/>
              </w:rPr>
            </w:pPr>
            <w:r w:rsidRPr="001B2615">
              <w:rPr>
                <w:rFonts w:ascii="Times New Roman" w:hAnsi="Times New Roman" w:cs="Times New Roman"/>
                <w:b/>
              </w:rPr>
              <w:t xml:space="preserve">Largo </w:t>
            </w:r>
          </w:p>
        </w:tc>
        <w:tc>
          <w:tcPr>
            <w:tcW w:w="1417" w:type="dxa"/>
            <w:tcBorders>
              <w:bottom w:val="single" w:sz="6" w:space="0" w:color="auto"/>
            </w:tcBorders>
          </w:tcPr>
          <w:p w:rsidR="00525C19" w:rsidRPr="001B2615" w:rsidRDefault="00525C19" w:rsidP="001B2615">
            <w:pPr>
              <w:pStyle w:val="Default"/>
              <w:spacing w:line="360" w:lineRule="auto"/>
              <w:rPr>
                <w:rFonts w:ascii="Times New Roman" w:hAnsi="Times New Roman" w:cs="Times New Roman"/>
                <w:b/>
              </w:rPr>
            </w:pPr>
            <w:r w:rsidRPr="001B2615">
              <w:rPr>
                <w:rFonts w:ascii="Times New Roman" w:hAnsi="Times New Roman" w:cs="Times New Roman"/>
                <w:b/>
              </w:rPr>
              <w:t xml:space="preserve">Espesor </w:t>
            </w:r>
          </w:p>
        </w:tc>
        <w:tc>
          <w:tcPr>
            <w:tcW w:w="1276" w:type="dxa"/>
            <w:tcBorders>
              <w:bottom w:val="single" w:sz="6" w:space="0" w:color="auto"/>
            </w:tcBorders>
          </w:tcPr>
          <w:p w:rsidR="00525C19" w:rsidRPr="001B2615" w:rsidRDefault="00525C19" w:rsidP="001B2615">
            <w:pPr>
              <w:pStyle w:val="Default"/>
              <w:spacing w:line="360" w:lineRule="auto"/>
              <w:rPr>
                <w:rFonts w:ascii="Times New Roman" w:hAnsi="Times New Roman" w:cs="Times New Roman"/>
                <w:b/>
              </w:rPr>
            </w:pPr>
            <w:r w:rsidRPr="001B2615">
              <w:rPr>
                <w:rFonts w:ascii="Times New Roman" w:hAnsi="Times New Roman" w:cs="Times New Roman"/>
                <w:b/>
              </w:rPr>
              <w:t xml:space="preserve">Ancho </w:t>
            </w:r>
          </w:p>
        </w:tc>
        <w:tc>
          <w:tcPr>
            <w:tcW w:w="1276" w:type="dxa"/>
            <w:tcBorders>
              <w:bottom w:val="single" w:sz="6" w:space="0" w:color="auto"/>
            </w:tcBorders>
          </w:tcPr>
          <w:p w:rsidR="00525C19" w:rsidRPr="001B2615" w:rsidRDefault="00525C19" w:rsidP="001B2615">
            <w:pPr>
              <w:pStyle w:val="Default"/>
              <w:spacing w:line="360" w:lineRule="auto"/>
              <w:rPr>
                <w:rFonts w:ascii="Times New Roman" w:hAnsi="Times New Roman" w:cs="Times New Roman"/>
                <w:b/>
              </w:rPr>
            </w:pPr>
            <w:r w:rsidRPr="001B2615">
              <w:rPr>
                <w:rFonts w:ascii="Times New Roman" w:hAnsi="Times New Roman" w:cs="Times New Roman"/>
                <w:b/>
              </w:rPr>
              <w:t xml:space="preserve">Largo </w:t>
            </w:r>
          </w:p>
        </w:tc>
        <w:tc>
          <w:tcPr>
            <w:tcW w:w="1271" w:type="dxa"/>
            <w:tcBorders>
              <w:bottom w:val="single" w:sz="6" w:space="0" w:color="auto"/>
            </w:tcBorders>
          </w:tcPr>
          <w:p w:rsidR="00525C19" w:rsidRPr="001B2615" w:rsidRDefault="00525C19" w:rsidP="001B2615">
            <w:pPr>
              <w:pStyle w:val="Default"/>
              <w:spacing w:line="360" w:lineRule="auto"/>
              <w:rPr>
                <w:rFonts w:ascii="Times New Roman" w:hAnsi="Times New Roman" w:cs="Times New Roman"/>
                <w:b/>
              </w:rPr>
            </w:pPr>
            <w:r w:rsidRPr="001B2615">
              <w:rPr>
                <w:rFonts w:ascii="Times New Roman" w:hAnsi="Times New Roman" w:cs="Times New Roman"/>
                <w:b/>
              </w:rPr>
              <w:t xml:space="preserve">Espesor </w:t>
            </w:r>
          </w:p>
        </w:tc>
      </w:tr>
      <w:tr w:rsidR="00525C19" w:rsidRPr="001B2615" w:rsidTr="002771BC">
        <w:trPr>
          <w:trHeight w:val="144"/>
        </w:trPr>
        <w:tc>
          <w:tcPr>
            <w:tcW w:w="1242" w:type="dxa"/>
            <w:tcBorders>
              <w:top w:val="single" w:sz="6" w:space="0" w:color="auto"/>
              <w:bottom w:val="nil"/>
            </w:tcBorders>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Media(mm) </w:t>
            </w:r>
          </w:p>
        </w:tc>
        <w:tc>
          <w:tcPr>
            <w:tcW w:w="1418" w:type="dxa"/>
            <w:tcBorders>
              <w:top w:val="single" w:sz="6" w:space="0" w:color="auto"/>
              <w:bottom w:val="nil"/>
            </w:tcBorders>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9,99 </w:t>
            </w:r>
          </w:p>
        </w:tc>
        <w:tc>
          <w:tcPr>
            <w:tcW w:w="1134" w:type="dxa"/>
            <w:tcBorders>
              <w:top w:val="single" w:sz="6" w:space="0" w:color="auto"/>
              <w:bottom w:val="nil"/>
            </w:tcBorders>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10,08 </w:t>
            </w:r>
          </w:p>
        </w:tc>
        <w:tc>
          <w:tcPr>
            <w:tcW w:w="1417" w:type="dxa"/>
            <w:tcBorders>
              <w:top w:val="single" w:sz="6" w:space="0" w:color="auto"/>
              <w:bottom w:val="nil"/>
            </w:tcBorders>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6,40 </w:t>
            </w:r>
          </w:p>
        </w:tc>
        <w:tc>
          <w:tcPr>
            <w:tcW w:w="1276" w:type="dxa"/>
            <w:tcBorders>
              <w:top w:val="single" w:sz="6" w:space="0" w:color="auto"/>
              <w:bottom w:val="nil"/>
            </w:tcBorders>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13,90 </w:t>
            </w:r>
          </w:p>
        </w:tc>
        <w:tc>
          <w:tcPr>
            <w:tcW w:w="1276" w:type="dxa"/>
            <w:tcBorders>
              <w:top w:val="single" w:sz="6" w:space="0" w:color="auto"/>
              <w:bottom w:val="nil"/>
            </w:tcBorders>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63,42 </w:t>
            </w:r>
          </w:p>
        </w:tc>
        <w:tc>
          <w:tcPr>
            <w:tcW w:w="1271" w:type="dxa"/>
            <w:tcBorders>
              <w:top w:val="single" w:sz="6" w:space="0" w:color="auto"/>
              <w:bottom w:val="nil"/>
            </w:tcBorders>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3,97 </w:t>
            </w:r>
          </w:p>
        </w:tc>
      </w:tr>
      <w:tr w:rsidR="00525C19" w:rsidRPr="001B2615" w:rsidTr="002771BC">
        <w:trPr>
          <w:trHeight w:val="146"/>
        </w:trPr>
        <w:tc>
          <w:tcPr>
            <w:tcW w:w="1242" w:type="dxa"/>
            <w:tcBorders>
              <w:top w:val="nil"/>
            </w:tcBorders>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Desv. Std. </w:t>
            </w:r>
          </w:p>
        </w:tc>
        <w:tc>
          <w:tcPr>
            <w:tcW w:w="1418" w:type="dxa"/>
            <w:tcBorders>
              <w:top w:val="nil"/>
            </w:tcBorders>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0,48 </w:t>
            </w:r>
          </w:p>
        </w:tc>
        <w:tc>
          <w:tcPr>
            <w:tcW w:w="1134" w:type="dxa"/>
            <w:tcBorders>
              <w:top w:val="nil"/>
            </w:tcBorders>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0,74 </w:t>
            </w:r>
          </w:p>
        </w:tc>
        <w:tc>
          <w:tcPr>
            <w:tcW w:w="1417" w:type="dxa"/>
            <w:tcBorders>
              <w:top w:val="nil"/>
            </w:tcBorders>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0,43 </w:t>
            </w:r>
          </w:p>
        </w:tc>
        <w:tc>
          <w:tcPr>
            <w:tcW w:w="1276" w:type="dxa"/>
            <w:tcBorders>
              <w:top w:val="nil"/>
            </w:tcBorders>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0,67 </w:t>
            </w:r>
          </w:p>
        </w:tc>
        <w:tc>
          <w:tcPr>
            <w:tcW w:w="1276" w:type="dxa"/>
            <w:tcBorders>
              <w:top w:val="nil"/>
            </w:tcBorders>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7,37 </w:t>
            </w:r>
          </w:p>
        </w:tc>
        <w:tc>
          <w:tcPr>
            <w:tcW w:w="1271" w:type="dxa"/>
            <w:tcBorders>
              <w:top w:val="nil"/>
            </w:tcBorders>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0,75 </w:t>
            </w:r>
          </w:p>
        </w:tc>
      </w:tr>
      <w:tr w:rsidR="00525C19" w:rsidRPr="001B2615" w:rsidTr="002771BC">
        <w:trPr>
          <w:trHeight w:val="146"/>
        </w:trPr>
        <w:tc>
          <w:tcPr>
            <w:tcW w:w="1242"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Error de la media, % </w:t>
            </w:r>
          </w:p>
        </w:tc>
        <w:tc>
          <w:tcPr>
            <w:tcW w:w="1418"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0,50 </w:t>
            </w:r>
          </w:p>
        </w:tc>
        <w:tc>
          <w:tcPr>
            <w:tcW w:w="1134"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0,50 </w:t>
            </w:r>
          </w:p>
        </w:tc>
        <w:tc>
          <w:tcPr>
            <w:tcW w:w="1417"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0,32 </w:t>
            </w:r>
          </w:p>
        </w:tc>
        <w:tc>
          <w:tcPr>
            <w:tcW w:w="1276"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0,70 </w:t>
            </w:r>
          </w:p>
        </w:tc>
        <w:tc>
          <w:tcPr>
            <w:tcW w:w="1276"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3,17 </w:t>
            </w:r>
          </w:p>
        </w:tc>
        <w:tc>
          <w:tcPr>
            <w:tcW w:w="1271"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0,20 </w:t>
            </w:r>
          </w:p>
        </w:tc>
      </w:tr>
      <w:tr w:rsidR="00525C19" w:rsidRPr="001B2615" w:rsidTr="002771BC">
        <w:trPr>
          <w:trHeight w:val="144"/>
        </w:trPr>
        <w:tc>
          <w:tcPr>
            <w:tcW w:w="1242"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Mínimo </w:t>
            </w:r>
          </w:p>
        </w:tc>
        <w:tc>
          <w:tcPr>
            <w:tcW w:w="1418"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9,0 </w:t>
            </w:r>
          </w:p>
        </w:tc>
        <w:tc>
          <w:tcPr>
            <w:tcW w:w="1134"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8,5 </w:t>
            </w:r>
          </w:p>
        </w:tc>
        <w:tc>
          <w:tcPr>
            <w:tcW w:w="1417"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5,5 </w:t>
            </w:r>
          </w:p>
        </w:tc>
        <w:tc>
          <w:tcPr>
            <w:tcW w:w="1276"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12,5 </w:t>
            </w:r>
          </w:p>
        </w:tc>
        <w:tc>
          <w:tcPr>
            <w:tcW w:w="1276"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46,8 </w:t>
            </w:r>
          </w:p>
        </w:tc>
        <w:tc>
          <w:tcPr>
            <w:tcW w:w="1271"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2,2 </w:t>
            </w:r>
          </w:p>
        </w:tc>
      </w:tr>
      <w:tr w:rsidR="00525C19" w:rsidRPr="001B2615" w:rsidTr="002771BC">
        <w:trPr>
          <w:trHeight w:val="146"/>
        </w:trPr>
        <w:tc>
          <w:tcPr>
            <w:tcW w:w="1242"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Máximo </w:t>
            </w:r>
          </w:p>
        </w:tc>
        <w:tc>
          <w:tcPr>
            <w:tcW w:w="1418"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10,8 </w:t>
            </w:r>
          </w:p>
        </w:tc>
        <w:tc>
          <w:tcPr>
            <w:tcW w:w="1134"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11,7 </w:t>
            </w:r>
          </w:p>
        </w:tc>
        <w:tc>
          <w:tcPr>
            <w:tcW w:w="1417"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7,1 </w:t>
            </w:r>
          </w:p>
        </w:tc>
        <w:tc>
          <w:tcPr>
            <w:tcW w:w="1276"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15,8 </w:t>
            </w:r>
          </w:p>
        </w:tc>
        <w:tc>
          <w:tcPr>
            <w:tcW w:w="1276"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78,9 </w:t>
            </w:r>
          </w:p>
        </w:tc>
        <w:tc>
          <w:tcPr>
            <w:tcW w:w="1271"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6,0 </w:t>
            </w:r>
          </w:p>
        </w:tc>
      </w:tr>
      <w:tr w:rsidR="00525C19" w:rsidRPr="001B2615" w:rsidTr="002771BC">
        <w:trPr>
          <w:trHeight w:val="146"/>
        </w:trPr>
        <w:tc>
          <w:tcPr>
            <w:tcW w:w="1242"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Rango </w:t>
            </w:r>
          </w:p>
        </w:tc>
        <w:tc>
          <w:tcPr>
            <w:tcW w:w="1418"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1,8 </w:t>
            </w:r>
          </w:p>
        </w:tc>
        <w:tc>
          <w:tcPr>
            <w:tcW w:w="1134"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3,2 </w:t>
            </w:r>
          </w:p>
        </w:tc>
        <w:tc>
          <w:tcPr>
            <w:tcW w:w="1417"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1,6 </w:t>
            </w:r>
          </w:p>
        </w:tc>
        <w:tc>
          <w:tcPr>
            <w:tcW w:w="1276"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3,3 </w:t>
            </w:r>
          </w:p>
        </w:tc>
        <w:tc>
          <w:tcPr>
            <w:tcW w:w="1276"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32,1 </w:t>
            </w:r>
          </w:p>
        </w:tc>
        <w:tc>
          <w:tcPr>
            <w:tcW w:w="1271" w:type="dxa"/>
          </w:tcPr>
          <w:p w:rsidR="00525C19" w:rsidRPr="001B2615" w:rsidRDefault="00525C19" w:rsidP="001B2615">
            <w:pPr>
              <w:pStyle w:val="Default"/>
              <w:spacing w:line="360" w:lineRule="auto"/>
              <w:rPr>
                <w:rFonts w:ascii="Times New Roman" w:hAnsi="Times New Roman" w:cs="Times New Roman"/>
              </w:rPr>
            </w:pPr>
            <w:r w:rsidRPr="001B2615">
              <w:rPr>
                <w:rFonts w:ascii="Times New Roman" w:hAnsi="Times New Roman" w:cs="Times New Roman"/>
              </w:rPr>
              <w:t xml:space="preserve">3,8 </w:t>
            </w:r>
          </w:p>
        </w:tc>
      </w:tr>
    </w:tbl>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 xml:space="preserve">En la tabla anterior se observa que el ancho de las vainas oscila entre 12,5 y 15,8 mm, el largo se encuentra entre 46,8 y 78,9 mm. Resultados similares fueron obtenidos por </w:t>
      </w:r>
      <w:r w:rsidRPr="001B2615">
        <w:rPr>
          <w:rFonts w:ascii="Times New Roman" w:eastAsia="Times New Roman" w:hAnsi="Times New Roman" w:cs="Times New Roman"/>
          <w:sz w:val="24"/>
          <w:szCs w:val="24"/>
          <w:lang w:eastAsia="es-ES"/>
        </w:rPr>
        <w:fldChar w:fldCharType="begin"/>
      </w:r>
      <w:r w:rsidRPr="001B2615">
        <w:rPr>
          <w:rFonts w:ascii="Times New Roman" w:eastAsia="Times New Roman" w:hAnsi="Times New Roman" w:cs="Times New Roman"/>
          <w:sz w:val="24"/>
          <w:szCs w:val="24"/>
          <w:lang w:eastAsia="es-ES"/>
        </w:rPr>
        <w:instrText xml:space="preserve"> ADDIN ZOTERO_ITEM CSL_CITATION {"citationID":"m1UjtkAh","properties":{"formattedCitation":"(Sheahan, 2012)","plainCitation":"(Sheahan, 2012)"},"citationItems":[{"id":1982,"uris":["http://zotero.org/users/local/e4oPRoLq/items/8PJXQTPJ"],"uri":["http://zotero.org/users/local/e4oPRoLq/items/8PJXQTPJ"],"itemData":{"id":1982,"type":"report","title":"Plant guide for pigeonpea (Cajanus Cajan)","publisher":"USDA-Natural Resources Conservation Service, Cape May Plant Materials Center","publisher-place":"Cape May, N.J., USA","event-place":"Cape May, N.J., USA","author":[{"family":"Sheahan","given":"C. M."}],"issued":{"date-parts":[["2012"]]}}}],"schema":"https://github.com/citation-style-language/schema/raw/master/csl-citation.json"} </w:instrText>
      </w:r>
      <w:r w:rsidRPr="001B2615">
        <w:rPr>
          <w:rFonts w:ascii="Times New Roman" w:eastAsia="Times New Roman" w:hAnsi="Times New Roman" w:cs="Times New Roman"/>
          <w:sz w:val="24"/>
          <w:szCs w:val="24"/>
          <w:lang w:eastAsia="es-ES"/>
        </w:rPr>
        <w:fldChar w:fldCharType="separate"/>
      </w:r>
      <w:r w:rsidRPr="001B2615">
        <w:rPr>
          <w:rFonts w:ascii="Times New Roman" w:hAnsi="Times New Roman" w:cs="Times New Roman"/>
          <w:sz w:val="24"/>
          <w:szCs w:val="24"/>
        </w:rPr>
        <w:t>Sheahan (2012)</w:t>
      </w:r>
      <w:r w:rsidRPr="001B2615">
        <w:rPr>
          <w:rFonts w:ascii="Times New Roman" w:eastAsia="Times New Roman" w:hAnsi="Times New Roman" w:cs="Times New Roman"/>
          <w:sz w:val="24"/>
          <w:szCs w:val="24"/>
          <w:lang w:eastAsia="es-ES"/>
        </w:rPr>
        <w:fldChar w:fldCharType="end"/>
      </w:r>
      <w:r w:rsidRPr="001B2615">
        <w:rPr>
          <w:rFonts w:ascii="Times New Roman" w:eastAsia="Times New Roman" w:hAnsi="Times New Roman" w:cs="Times New Roman"/>
          <w:sz w:val="24"/>
          <w:szCs w:val="24"/>
          <w:lang w:eastAsia="es-ES"/>
        </w:rPr>
        <w:t>, que obtuvo longitudes de la vaina entre 50,0 y 90,0 mm y anchos de alrededor de 12,0 mm para este cultivo.</w:t>
      </w:r>
    </w:p>
    <w:p w:rsidR="00525C19" w:rsidRPr="001B2615" w:rsidRDefault="00525C19" w:rsidP="001B2615">
      <w:pPr>
        <w:pStyle w:val="Default"/>
        <w:spacing w:line="360" w:lineRule="auto"/>
        <w:jc w:val="both"/>
        <w:rPr>
          <w:rFonts w:ascii="Times New Roman" w:eastAsia="Times New Roman" w:hAnsi="Times New Roman" w:cs="Times New Roman"/>
          <w:lang w:eastAsia="es-ES"/>
        </w:rPr>
      </w:pPr>
      <w:r w:rsidRPr="001B2615">
        <w:rPr>
          <w:rFonts w:ascii="Times New Roman" w:eastAsia="Times New Roman" w:hAnsi="Times New Roman" w:cs="Times New Roman"/>
          <w:lang w:eastAsia="es-ES"/>
        </w:rPr>
        <w:t>Mientras que para los granos el largo, ancho, espesor, de los granos varía entre 8,5 y 11,7 mm; 9,0 y 10,8 mm y 5,5 y 7,1 mm</w:t>
      </w:r>
      <w:r w:rsidRPr="001B2615">
        <w:rPr>
          <w:rFonts w:ascii="Times New Roman" w:hAnsi="Times New Roman" w:cs="Times New Roman"/>
        </w:rPr>
        <w:t xml:space="preserve">, respectivamente. El </w:t>
      </w:r>
      <w:r w:rsidRPr="001B2615">
        <w:rPr>
          <w:rFonts w:ascii="Times New Roman" w:eastAsia="Times New Roman" w:hAnsi="Times New Roman" w:cs="Times New Roman"/>
          <w:lang w:eastAsia="es-ES"/>
        </w:rPr>
        <w:t xml:space="preserve">diámetro medio geométrico </w:t>
      </w:r>
      <w:r w:rsidRPr="001B2615">
        <w:rPr>
          <w:rFonts w:ascii="Times New Roman" w:hAnsi="Times New Roman" w:cs="Times New Roman"/>
        </w:rPr>
        <w:t xml:space="preserve">de </w:t>
      </w:r>
      <w:r w:rsidRPr="001B2615">
        <w:rPr>
          <w:rFonts w:ascii="Times New Roman" w:eastAsia="Times New Roman" w:hAnsi="Times New Roman" w:cs="Times New Roman"/>
          <w:lang w:eastAsia="es-ES"/>
        </w:rPr>
        <w:t xml:space="preserve">9,06 y </w:t>
      </w:r>
      <w:r w:rsidRPr="001B2615">
        <w:rPr>
          <w:rFonts w:ascii="Times New Roman" w:hAnsi="Times New Roman" w:cs="Times New Roman"/>
        </w:rPr>
        <w:t xml:space="preserve">el </w:t>
      </w:r>
      <w:r w:rsidRPr="001B2615">
        <w:rPr>
          <w:rFonts w:ascii="Times New Roman" w:eastAsia="Times New Roman" w:hAnsi="Times New Roman" w:cs="Times New Roman"/>
          <w:lang w:eastAsia="es-ES"/>
        </w:rPr>
        <w:t>aritmético</w:t>
      </w:r>
      <w:r w:rsidRPr="001B2615">
        <w:rPr>
          <w:rFonts w:ascii="Times New Roman" w:hAnsi="Times New Roman" w:cs="Times New Roman"/>
        </w:rPr>
        <w:t xml:space="preserve"> de</w:t>
      </w:r>
      <w:r w:rsidRPr="001B2615">
        <w:rPr>
          <w:rFonts w:ascii="Times New Roman" w:eastAsia="Times New Roman" w:hAnsi="Times New Roman" w:cs="Times New Roman"/>
          <w:lang w:eastAsia="es-ES"/>
        </w:rPr>
        <w:t xml:space="preserve"> 8,63 mm, según las tres dimensiones características de los granos. </w:t>
      </w:r>
      <w:r w:rsidRPr="001B2615">
        <w:rPr>
          <w:rFonts w:ascii="Times New Roman" w:hAnsi="Times New Roman" w:cs="Times New Roman"/>
        </w:rPr>
        <w:t xml:space="preserve">La longitud, el ancho, el espesor y el diámetro geométrico de las semillas de gandul en la India según </w:t>
      </w:r>
      <w:r w:rsidRPr="001B2615">
        <w:rPr>
          <w:rFonts w:ascii="Times New Roman" w:hAnsi="Times New Roman" w:cs="Times New Roman"/>
        </w:rPr>
        <w:fldChar w:fldCharType="begin"/>
      </w:r>
      <w:r w:rsidRPr="001B2615">
        <w:rPr>
          <w:rFonts w:ascii="Times New Roman" w:hAnsi="Times New Roman" w:cs="Times New Roman"/>
        </w:rPr>
        <w:instrText xml:space="preserve"> ADDIN ZOTERO_ITEM CSL_CITATION {"citationID":"s4x5lNWI","properties":{"formattedCitation":"{\\rtf (Khan {\\i{}et\\uc0\\u160{}al.}, 2017)}","plainCitation":"(Khan et al., 2017)"},"citationItems":[{"id":1256,"uris":["http://zotero.org/users/local/e4oPRoLq/items/BB5UKX3K"],"uri":["http://zotero.org/users/local/e4oPRoLq/items/BB5UKX3K"],"itemData":{"id":1256,"type":"article-journal","title":"Physical Properties of Pigeon Pea Grains at Different Moisture Content","container-title":"International Journal of Pure and Applied Bioscience","page":"556–562","volume":"5","issue":"2","source":"Google Scholar","DOI":"http://dx.doi.org/10.18782/2320-7051.2534","ISSN":"2320 – 7051","author":[{"family":"Khan","given":"Kalay"},{"family":"Moses","given":"S. C."},{"family":"Kumar","given":"Ashok"}],"issued":{"date-parts":[["2017"]]}}}],"schema":"https://github.com/citation-style-language/schema/raw/master/csl-citation.json"} </w:instrText>
      </w:r>
      <w:r w:rsidRPr="001B2615">
        <w:rPr>
          <w:rFonts w:ascii="Times New Roman" w:hAnsi="Times New Roman" w:cs="Times New Roman"/>
        </w:rPr>
        <w:fldChar w:fldCharType="separate"/>
      </w:r>
      <w:r w:rsidRPr="001B2615">
        <w:rPr>
          <w:rFonts w:ascii="Times New Roman" w:hAnsi="Times New Roman" w:cs="Times New Roman"/>
        </w:rPr>
        <w:t xml:space="preserve">Khan </w:t>
      </w:r>
      <w:r w:rsidRPr="001B2615">
        <w:rPr>
          <w:rFonts w:ascii="Times New Roman" w:hAnsi="Times New Roman" w:cs="Times New Roman"/>
          <w:i/>
          <w:iCs/>
        </w:rPr>
        <w:t>et al.</w:t>
      </w:r>
      <w:r w:rsidRPr="001B2615">
        <w:rPr>
          <w:rFonts w:ascii="Times New Roman" w:hAnsi="Times New Roman" w:cs="Times New Roman"/>
        </w:rPr>
        <w:t xml:space="preserve"> (2017)</w:t>
      </w:r>
      <w:r w:rsidRPr="001B2615">
        <w:rPr>
          <w:rFonts w:ascii="Times New Roman" w:hAnsi="Times New Roman" w:cs="Times New Roman"/>
        </w:rPr>
        <w:fldChar w:fldCharType="end"/>
      </w:r>
      <w:r w:rsidRPr="001B2615">
        <w:rPr>
          <w:rFonts w:ascii="Times New Roman" w:hAnsi="Times New Roman" w:cs="Times New Roman"/>
        </w:rPr>
        <w:t xml:space="preserve">, variaron de 4.9 a 6.9 mm, de 4.52 a 5.40 mm, de 4.10 a 4.70 mm y de 4.95 a 5.45 mm, respectivamente. </w:t>
      </w:r>
      <w:r w:rsidRPr="001B2615">
        <w:rPr>
          <w:rFonts w:ascii="Times New Roman" w:eastAsia="Times New Roman" w:hAnsi="Times New Roman" w:cs="Times New Roman"/>
          <w:lang w:eastAsia="es-ES"/>
        </w:rPr>
        <w:t xml:space="preserve">Resultados muy similares obtuvieron </w:t>
      </w:r>
      <w:r w:rsidRPr="001B2615">
        <w:rPr>
          <w:rFonts w:ascii="Times New Roman" w:eastAsia="Times New Roman" w:hAnsi="Times New Roman" w:cs="Times New Roman"/>
          <w:lang w:eastAsia="es-ES"/>
        </w:rPr>
        <w:fldChar w:fldCharType="begin"/>
      </w:r>
      <w:r w:rsidRPr="001B2615">
        <w:rPr>
          <w:rFonts w:ascii="Times New Roman" w:eastAsia="Times New Roman" w:hAnsi="Times New Roman" w:cs="Times New Roman"/>
          <w:lang w:eastAsia="es-ES"/>
        </w:rPr>
        <w:instrText xml:space="preserve"> ADDIN ZOTERO_ITEM CSL_CITATION {"citationID":"HoyxRiYX","properties":{"formattedCitation":"(Sobukola y Onwuka, 2011)","plainCitation":"(Sobukola y Onwuka, 2011)"},"citationItems":[{"id":1280,"uris":["http://zotero.org/users/local/e4oPRoLq/items/G6HNYX3D"],"uri":["http://zotero.org/users/local/e4oPRoLq/items/G6HNYX3D"],"itemData":{"id":1280,"type":"article-journal","title":"Effect of moisture content on some physical properties of locust bean seed (Parkia fillicoidea L.)","container-title":"Journal of Food Process Engineering","page":"1946–1964","volume":"34","issue":"6","source":"Google Scholar","DOI":"https://doi.org/10.1111/j.1745-4530.2009.00511.x","ISSN":"0260-8774","author":[{"family":"Sobukola","given":"O. P."},{"family":"Onwuka","given":"V. I."}],"issued":{"date-parts":[["2011"]]}}}],"schema":"https://github.com/citation-style-language/schema/raw/master/csl-citation.json"} </w:instrText>
      </w:r>
      <w:r w:rsidRPr="001B2615">
        <w:rPr>
          <w:rFonts w:ascii="Times New Roman" w:eastAsia="Times New Roman" w:hAnsi="Times New Roman" w:cs="Times New Roman"/>
          <w:lang w:eastAsia="es-ES"/>
        </w:rPr>
        <w:fldChar w:fldCharType="separate"/>
      </w:r>
      <w:r w:rsidRPr="001B2615">
        <w:rPr>
          <w:rFonts w:ascii="Times New Roman" w:hAnsi="Times New Roman" w:cs="Times New Roman"/>
        </w:rPr>
        <w:t>Sobukola y Onwuka (2011)</w:t>
      </w:r>
      <w:r w:rsidRPr="001B2615">
        <w:rPr>
          <w:rFonts w:ascii="Times New Roman" w:eastAsia="Times New Roman" w:hAnsi="Times New Roman" w:cs="Times New Roman"/>
          <w:lang w:eastAsia="es-ES"/>
        </w:rPr>
        <w:fldChar w:fldCharType="end"/>
      </w:r>
      <w:r w:rsidRPr="001B2615">
        <w:rPr>
          <w:rFonts w:ascii="Times New Roman" w:eastAsia="Times New Roman" w:hAnsi="Times New Roman" w:cs="Times New Roman"/>
          <w:lang w:eastAsia="es-ES"/>
        </w:rPr>
        <w:t xml:space="preserve">, en el cultivo del algarrobo en la semilla donde la longitud, el ancho, el espesor y el diámetro medio geométrico oscilaron entre 10.00 a 11.72 mm; 7.80 a 9.22 mm; 4.00 a 4.85 mm; y 6.78 </w:t>
      </w:r>
      <w:r w:rsidRPr="001B2615">
        <w:rPr>
          <w:rFonts w:ascii="Times New Roman" w:eastAsia="Times New Roman" w:hAnsi="Times New Roman" w:cs="Times New Roman"/>
          <w:lang w:eastAsia="es-ES"/>
        </w:rPr>
        <w:lastRenderedPageBreak/>
        <w:t xml:space="preserve">a 8.06 mm, respectivamente. Al igual que </w:t>
      </w:r>
      <w:r w:rsidRPr="001B2615">
        <w:rPr>
          <w:rFonts w:ascii="Times New Roman" w:eastAsia="Times New Roman" w:hAnsi="Times New Roman" w:cs="Times New Roman"/>
          <w:lang w:eastAsia="es-ES"/>
        </w:rPr>
        <w:fldChar w:fldCharType="begin"/>
      </w:r>
      <w:r w:rsidRPr="001B2615">
        <w:rPr>
          <w:rFonts w:ascii="Times New Roman" w:eastAsia="Times New Roman" w:hAnsi="Times New Roman" w:cs="Times New Roman"/>
          <w:lang w:eastAsia="es-ES"/>
        </w:rPr>
        <w:instrText xml:space="preserve"> ADDIN ZOTERO_ITEM CSL_CITATION {"citationID":"paf47Wuj","properties":{"formattedCitation":"(Shirneshan, 2011)","plainCitation":"(Shirneshan, 2011)"},"citationItems":[{"id":1980,"uris":["http://zotero.org/users/local/e4oPRoLq/items/E2856NF6"],"uri":["http://zotero.org/users/local/e4oPRoLq/items/E2856NF6"],"itemData":{"id":1980,"type":"article-journal","title":"Physical and Mechanical Properties of beans","container-title":"Journal of American Science","page":"158-164","volume":"7","issue":"5","author":[{"family":"Shirneshan","given":"A."}],"issued":{"date-parts":[["2011"]]}}}],"schema":"https://github.com/citation-style-language/schema/raw/master/csl-citation.json"} </w:instrText>
      </w:r>
      <w:r w:rsidRPr="001B2615">
        <w:rPr>
          <w:rFonts w:ascii="Times New Roman" w:eastAsia="Times New Roman" w:hAnsi="Times New Roman" w:cs="Times New Roman"/>
          <w:lang w:eastAsia="es-ES"/>
        </w:rPr>
        <w:fldChar w:fldCharType="separate"/>
      </w:r>
      <w:r w:rsidRPr="001B2615">
        <w:rPr>
          <w:rFonts w:ascii="Times New Roman" w:hAnsi="Times New Roman" w:cs="Times New Roman"/>
        </w:rPr>
        <w:t>Shirneshan (2011)</w:t>
      </w:r>
      <w:r w:rsidRPr="001B2615">
        <w:rPr>
          <w:rFonts w:ascii="Times New Roman" w:eastAsia="Times New Roman" w:hAnsi="Times New Roman" w:cs="Times New Roman"/>
          <w:lang w:eastAsia="es-ES"/>
        </w:rPr>
        <w:fldChar w:fldCharType="end"/>
      </w:r>
      <w:r w:rsidRPr="001B2615">
        <w:rPr>
          <w:rFonts w:ascii="Times New Roman" w:hAnsi="Times New Roman" w:cs="Times New Roman"/>
        </w:rPr>
        <w:t xml:space="preserve"> en granos donde el diámetro medio geométrico varió de 3.2 a 8.4 mm, </w:t>
      </w:r>
      <w:r w:rsidRPr="001B2615">
        <w:rPr>
          <w:rFonts w:ascii="Times New Roman" w:eastAsia="Times New Roman" w:hAnsi="Times New Roman" w:cs="Times New Roman"/>
          <w:lang w:eastAsia="es-ES"/>
        </w:rPr>
        <w:t xml:space="preserve">respectivamente. </w:t>
      </w:r>
    </w:p>
    <w:p w:rsidR="00525C19" w:rsidRPr="001B2615" w:rsidRDefault="00525C19" w:rsidP="001B2615">
      <w:pPr>
        <w:pStyle w:val="Default"/>
        <w:spacing w:line="360" w:lineRule="auto"/>
        <w:jc w:val="both"/>
        <w:rPr>
          <w:rFonts w:ascii="Times New Roman" w:hAnsi="Times New Roman" w:cs="Times New Roman"/>
        </w:rPr>
      </w:pPr>
      <w:r w:rsidRPr="001B2615">
        <w:rPr>
          <w:rFonts w:ascii="Times New Roman" w:hAnsi="Times New Roman" w:cs="Times New Roman"/>
        </w:rPr>
        <w:t xml:space="preserve">Lo anteriormente expuesto evidencia la calidad comercial del grano de gandul verde la variedad </w:t>
      </w:r>
      <w:r w:rsidRPr="001B2615">
        <w:rPr>
          <w:rFonts w:ascii="Times New Roman" w:eastAsia="Times New Roman" w:hAnsi="Times New Roman" w:cs="Times New Roman"/>
          <w:i/>
          <w:lang w:eastAsia="es-ES"/>
        </w:rPr>
        <w:t>Gwailor–3.</w:t>
      </w:r>
      <w:r w:rsidRPr="001B2615">
        <w:rPr>
          <w:rFonts w:ascii="Times New Roman" w:eastAsia="Times New Roman" w:hAnsi="Times New Roman" w:cs="Times New Roman"/>
          <w:lang w:eastAsia="es-ES"/>
        </w:rPr>
        <w:t xml:space="preserve"> </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hAnsi="Times New Roman" w:cs="Times New Roman"/>
          <w:sz w:val="24"/>
          <w:szCs w:val="24"/>
        </w:rPr>
        <w:t xml:space="preserve">En la figura 6 se presentan </w:t>
      </w:r>
      <w:r w:rsidRPr="001B2615">
        <w:rPr>
          <w:rFonts w:ascii="Times New Roman" w:eastAsia="Times New Roman" w:hAnsi="Times New Roman" w:cs="Times New Roman"/>
          <w:sz w:val="24"/>
          <w:szCs w:val="24"/>
          <w:lang w:eastAsia="es-ES"/>
        </w:rPr>
        <w:t>En los histogramas de frecuencia obtenidos, se aprecia una distribución cercana a la normal de los comportamientos de los valores de cada variable para el caso de los granos.</w:t>
      </w:r>
    </w:p>
    <w:p w:rsidR="00525C19" w:rsidRPr="001B2615" w:rsidRDefault="00525C19" w:rsidP="001B2615">
      <w:pPr>
        <w:spacing w:after="0" w:line="360" w:lineRule="auto"/>
        <w:jc w:val="center"/>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center"/>
        <w:rPr>
          <w:rFonts w:ascii="Times New Roman" w:eastAsia="Times New Roman" w:hAnsi="Times New Roman" w:cs="Times New Roman"/>
          <w:sz w:val="24"/>
          <w:szCs w:val="24"/>
          <w:lang w:eastAsia="es-ES"/>
        </w:rPr>
      </w:pPr>
      <w:r w:rsidRPr="001B2615">
        <w:rPr>
          <w:rFonts w:ascii="Times New Roman" w:eastAsia="Times New Roman" w:hAnsi="Times New Roman" w:cs="Times New Roman"/>
          <w:noProof/>
          <w:sz w:val="24"/>
          <w:szCs w:val="24"/>
          <w:lang w:eastAsia="es-ES"/>
        </w:rPr>
        <w:drawing>
          <wp:inline distT="0" distB="0" distL="0" distR="0" wp14:anchorId="7DA0E5AE" wp14:editId="209834C1">
            <wp:extent cx="5400040" cy="1123818"/>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123818"/>
                    </a:xfrm>
                    <a:prstGeom prst="rect">
                      <a:avLst/>
                    </a:prstGeom>
                    <a:noFill/>
                    <a:ln>
                      <a:noFill/>
                    </a:ln>
                  </pic:spPr>
                </pic:pic>
              </a:graphicData>
            </a:graphic>
          </wp:inline>
        </w:drawing>
      </w:r>
    </w:p>
    <w:p w:rsidR="00525C19" w:rsidRPr="001B2615" w:rsidRDefault="00525C19" w:rsidP="001B2615">
      <w:pPr>
        <w:spacing w:after="0" w:line="360" w:lineRule="auto"/>
        <w:jc w:val="center"/>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FIGURA 6. Histogramas de frecuencias para el ancho, largo y espesor de los granos.</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 xml:space="preserve">En el caso de las vainas, en términos prácticos, se observan diferencias significativas durante la comparación mutua de las tres magnitudes. </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Los menores valores de error de la media se aprecian en la característica del espesor, donde alcanza 0,20 mientras que los valores máximos se encuentran en la característica del largo, con un valor de 3,17 (Tabla 1).</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Según los histogramas de frecuencia obtenidos (Figura 7), se aprecia una distribución cercana a la normal de los comportamientos de los valores de cada variable.</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noProof/>
          <w:sz w:val="24"/>
          <w:szCs w:val="24"/>
          <w:lang w:eastAsia="es-ES"/>
        </w:rPr>
        <w:drawing>
          <wp:inline distT="0" distB="0" distL="0" distR="0" wp14:anchorId="0A2CA35D" wp14:editId="6D83D2B1">
            <wp:extent cx="5400040" cy="1085722"/>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1085722"/>
                    </a:xfrm>
                    <a:prstGeom prst="rect">
                      <a:avLst/>
                    </a:prstGeom>
                    <a:noFill/>
                    <a:ln>
                      <a:noFill/>
                    </a:ln>
                  </pic:spPr>
                </pic:pic>
              </a:graphicData>
            </a:graphic>
          </wp:inline>
        </w:drawing>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center"/>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lastRenderedPageBreak/>
        <w:t>FIGURA 7. Histogramas de frecuencias para el ancho, largo y espesor de las vainas.</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center"/>
        <w:rPr>
          <w:rFonts w:ascii="Times New Roman" w:eastAsia="Times New Roman" w:hAnsi="Times New Roman" w:cs="Times New Roman"/>
          <w:b/>
          <w:sz w:val="24"/>
          <w:szCs w:val="24"/>
          <w:lang w:eastAsia="es-ES"/>
        </w:rPr>
      </w:pPr>
      <w:r w:rsidRPr="001B2615">
        <w:rPr>
          <w:rFonts w:ascii="Times New Roman" w:eastAsia="Times New Roman" w:hAnsi="Times New Roman" w:cs="Times New Roman"/>
          <w:b/>
          <w:sz w:val="24"/>
          <w:szCs w:val="24"/>
          <w:lang w:eastAsia="es-ES"/>
        </w:rPr>
        <w:t>TABLA 2. Comparación de los espesores de los granos y las vainas</w:t>
      </w:r>
    </w:p>
    <w:tbl>
      <w:tblPr>
        <w:tblW w:w="8684" w:type="dxa"/>
        <w:tblInd w:w="-108" w:type="dxa"/>
        <w:tblBorders>
          <w:top w:val="nil"/>
          <w:left w:val="nil"/>
          <w:bottom w:val="nil"/>
          <w:right w:val="nil"/>
        </w:tblBorders>
        <w:tblLayout w:type="fixed"/>
        <w:tblLook w:val="0000" w:firstRow="0" w:lastRow="0" w:firstColumn="0" w:lastColumn="0" w:noHBand="0" w:noVBand="0"/>
      </w:tblPr>
      <w:tblGrid>
        <w:gridCol w:w="2235"/>
        <w:gridCol w:w="1134"/>
        <w:gridCol w:w="1841"/>
        <w:gridCol w:w="1703"/>
        <w:gridCol w:w="1771"/>
      </w:tblGrid>
      <w:tr w:rsidR="00525C19" w:rsidRPr="001B2615" w:rsidTr="002771BC">
        <w:trPr>
          <w:trHeight w:val="272"/>
        </w:trPr>
        <w:tc>
          <w:tcPr>
            <w:tcW w:w="2235" w:type="dxa"/>
            <w:tcBorders>
              <w:top w:val="single" w:sz="12" w:space="0" w:color="auto"/>
              <w:bottom w:val="single" w:sz="6"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b/>
                <w:color w:val="000000"/>
                <w:sz w:val="24"/>
                <w:szCs w:val="24"/>
              </w:rPr>
            </w:pPr>
          </w:p>
        </w:tc>
        <w:tc>
          <w:tcPr>
            <w:tcW w:w="1134" w:type="dxa"/>
            <w:tcBorders>
              <w:top w:val="single" w:sz="12" w:space="0" w:color="auto"/>
              <w:bottom w:val="single" w:sz="6"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b/>
                <w:color w:val="000000"/>
                <w:sz w:val="24"/>
                <w:szCs w:val="24"/>
              </w:rPr>
            </w:pPr>
            <w:r w:rsidRPr="001B2615">
              <w:rPr>
                <w:rFonts w:ascii="Times New Roman" w:hAnsi="Times New Roman" w:cs="Times New Roman"/>
                <w:b/>
                <w:color w:val="000000"/>
                <w:sz w:val="24"/>
                <w:szCs w:val="24"/>
              </w:rPr>
              <w:t>p-valor</w:t>
            </w:r>
          </w:p>
        </w:tc>
        <w:tc>
          <w:tcPr>
            <w:tcW w:w="1841" w:type="dxa"/>
            <w:tcBorders>
              <w:top w:val="single" w:sz="12" w:space="0" w:color="auto"/>
              <w:bottom w:val="single" w:sz="6"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b/>
                <w:color w:val="000000"/>
                <w:sz w:val="24"/>
                <w:szCs w:val="24"/>
              </w:rPr>
            </w:pPr>
            <w:r w:rsidRPr="001B2615">
              <w:rPr>
                <w:rFonts w:ascii="Times New Roman" w:hAnsi="Times New Roman" w:cs="Times New Roman"/>
                <w:b/>
                <w:color w:val="000000"/>
                <w:sz w:val="24"/>
                <w:szCs w:val="24"/>
              </w:rPr>
              <w:t xml:space="preserve">Intervalo de confianza </w:t>
            </w:r>
          </w:p>
        </w:tc>
        <w:tc>
          <w:tcPr>
            <w:tcW w:w="1703" w:type="dxa"/>
            <w:tcBorders>
              <w:top w:val="single" w:sz="12" w:space="0" w:color="auto"/>
              <w:bottom w:val="single" w:sz="6"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b/>
                <w:color w:val="000000"/>
                <w:sz w:val="24"/>
                <w:szCs w:val="24"/>
              </w:rPr>
            </w:pPr>
            <w:r w:rsidRPr="001B2615">
              <w:rPr>
                <w:rFonts w:ascii="Times New Roman" w:hAnsi="Times New Roman" w:cs="Times New Roman"/>
                <w:b/>
                <w:color w:val="000000"/>
                <w:sz w:val="24"/>
                <w:szCs w:val="24"/>
              </w:rPr>
              <w:t xml:space="preserve">Sesgo estandarizado </w:t>
            </w:r>
          </w:p>
        </w:tc>
        <w:tc>
          <w:tcPr>
            <w:tcW w:w="1771" w:type="dxa"/>
            <w:tcBorders>
              <w:top w:val="single" w:sz="12" w:space="0" w:color="auto"/>
              <w:bottom w:val="single" w:sz="6"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b/>
                <w:color w:val="000000"/>
                <w:sz w:val="24"/>
                <w:szCs w:val="24"/>
              </w:rPr>
            </w:pPr>
            <w:r w:rsidRPr="001B2615">
              <w:rPr>
                <w:rFonts w:ascii="Times New Roman" w:hAnsi="Times New Roman" w:cs="Times New Roman"/>
                <w:b/>
                <w:color w:val="000000"/>
                <w:sz w:val="24"/>
                <w:szCs w:val="24"/>
              </w:rPr>
              <w:t xml:space="preserve">Curtosis estandarizada </w:t>
            </w:r>
          </w:p>
        </w:tc>
      </w:tr>
      <w:tr w:rsidR="00525C19" w:rsidRPr="001B2615" w:rsidTr="002771BC">
        <w:trPr>
          <w:trHeight w:val="270"/>
        </w:trPr>
        <w:tc>
          <w:tcPr>
            <w:tcW w:w="2235" w:type="dxa"/>
            <w:tcBorders>
              <w:top w:val="single" w:sz="6" w:space="0" w:color="auto"/>
              <w:bottom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Espesor de los granos </w:t>
            </w:r>
          </w:p>
        </w:tc>
        <w:tc>
          <w:tcPr>
            <w:tcW w:w="1134" w:type="dxa"/>
            <w:tcBorders>
              <w:top w:val="single" w:sz="6" w:space="0" w:color="auto"/>
              <w:bottom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0,004 </w:t>
            </w:r>
          </w:p>
        </w:tc>
        <w:tc>
          <w:tcPr>
            <w:tcW w:w="1841" w:type="dxa"/>
            <w:tcBorders>
              <w:top w:val="single" w:sz="6" w:space="0" w:color="auto"/>
              <w:bottom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95% </w:t>
            </w:r>
          </w:p>
        </w:tc>
        <w:tc>
          <w:tcPr>
            <w:tcW w:w="1703" w:type="dxa"/>
            <w:tcBorders>
              <w:top w:val="single" w:sz="6" w:space="0" w:color="auto"/>
              <w:bottom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-0,407 </w:t>
            </w:r>
          </w:p>
        </w:tc>
        <w:tc>
          <w:tcPr>
            <w:tcW w:w="1771" w:type="dxa"/>
            <w:tcBorders>
              <w:top w:val="single" w:sz="6" w:space="0" w:color="auto"/>
              <w:bottom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-1,157 </w:t>
            </w:r>
          </w:p>
        </w:tc>
      </w:tr>
      <w:tr w:rsidR="00525C19" w:rsidRPr="001B2615" w:rsidTr="002771BC">
        <w:trPr>
          <w:trHeight w:val="271"/>
        </w:trPr>
        <w:tc>
          <w:tcPr>
            <w:tcW w:w="2235" w:type="dxa"/>
            <w:tcBorders>
              <w:top w:val="nil"/>
              <w:bottom w:val="single" w:sz="12"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Espesor de las vainas </w:t>
            </w:r>
          </w:p>
        </w:tc>
        <w:tc>
          <w:tcPr>
            <w:tcW w:w="1134" w:type="dxa"/>
            <w:tcBorders>
              <w:top w:val="nil"/>
              <w:bottom w:val="single" w:sz="12"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0,004 </w:t>
            </w:r>
          </w:p>
        </w:tc>
        <w:tc>
          <w:tcPr>
            <w:tcW w:w="1841" w:type="dxa"/>
            <w:tcBorders>
              <w:top w:val="nil"/>
              <w:bottom w:val="single" w:sz="12"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95% </w:t>
            </w:r>
          </w:p>
        </w:tc>
        <w:tc>
          <w:tcPr>
            <w:tcW w:w="1703" w:type="dxa"/>
            <w:tcBorders>
              <w:top w:val="nil"/>
              <w:bottom w:val="single" w:sz="12"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0,4810 </w:t>
            </w:r>
          </w:p>
        </w:tc>
        <w:tc>
          <w:tcPr>
            <w:tcW w:w="1771" w:type="dxa"/>
            <w:tcBorders>
              <w:top w:val="nil"/>
              <w:bottom w:val="single" w:sz="12"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0,537 </w:t>
            </w:r>
          </w:p>
        </w:tc>
      </w:tr>
    </w:tbl>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En la tabla anterior (Tabla 2), se observa que como el p-valor es menor que 0,05, existen diferencias estadísticamente significativas durante la comparación mutua de los espesores de granos y vainas, para un nivel de confianza del 95%. Estos resultados asumen que las poblaciones de las cuales provienen las muestras pueden ser representadas por distribuciones normales.</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Lo anterior se puede observar al analizar la frecuencia de distribución de dichas dimensiones y el gráfico de cajas y bigotes (Figura 8), observándose la existencia de diferencias significativas entre las dimensiones comparadas de granos y vainas.</w:t>
      </w:r>
    </w:p>
    <w:p w:rsidR="00525C19" w:rsidRPr="001B2615" w:rsidRDefault="00525C19" w:rsidP="001B2615">
      <w:pPr>
        <w:spacing w:after="0" w:line="360" w:lineRule="auto"/>
        <w:jc w:val="center"/>
        <w:rPr>
          <w:rFonts w:ascii="Times New Roman" w:eastAsia="Times New Roman" w:hAnsi="Times New Roman" w:cs="Times New Roman"/>
          <w:b/>
          <w:sz w:val="24"/>
          <w:szCs w:val="24"/>
          <w:lang w:eastAsia="es-ES"/>
        </w:rPr>
      </w:pPr>
    </w:p>
    <w:p w:rsidR="00525C19" w:rsidRPr="001B2615" w:rsidRDefault="00525C19" w:rsidP="001B2615">
      <w:pPr>
        <w:spacing w:after="0" w:line="360" w:lineRule="auto"/>
        <w:jc w:val="center"/>
        <w:rPr>
          <w:rFonts w:ascii="Times New Roman" w:eastAsia="Times New Roman" w:hAnsi="Times New Roman" w:cs="Times New Roman"/>
          <w:sz w:val="24"/>
          <w:szCs w:val="24"/>
          <w:lang w:eastAsia="es-ES"/>
        </w:rPr>
      </w:pPr>
      <w:r w:rsidRPr="001B2615">
        <w:rPr>
          <w:rFonts w:ascii="Times New Roman" w:eastAsia="Times New Roman" w:hAnsi="Times New Roman" w:cs="Times New Roman"/>
          <w:noProof/>
          <w:sz w:val="24"/>
          <w:szCs w:val="24"/>
          <w:lang w:eastAsia="es-ES"/>
        </w:rPr>
        <w:drawing>
          <wp:inline distT="0" distB="0" distL="0" distR="0" wp14:anchorId="7536BB12" wp14:editId="4FB39B99">
            <wp:extent cx="4981517" cy="18748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5466" cy="1876333"/>
                    </a:xfrm>
                    <a:prstGeom prst="rect">
                      <a:avLst/>
                    </a:prstGeom>
                    <a:noFill/>
                    <a:ln>
                      <a:noFill/>
                    </a:ln>
                  </pic:spPr>
                </pic:pic>
              </a:graphicData>
            </a:graphic>
          </wp:inline>
        </w:drawing>
      </w:r>
    </w:p>
    <w:p w:rsidR="00525C19" w:rsidRPr="001B2615" w:rsidRDefault="00525C19" w:rsidP="001B2615">
      <w:pPr>
        <w:spacing w:after="0" w:line="360" w:lineRule="auto"/>
        <w:jc w:val="center"/>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lastRenderedPageBreak/>
        <w:t>FIGURA 8. a) Comparación entre espesores de granos y vainas, b) gráfico de cajas y bigotes.</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En la Figura 9, se muestra el análisis de las curvas variacionales de distribución de las dimensiones de granos y vainas. En la misma se aprecia la existencia de un pequeño solapamiento entre el espesor de las vainas y los granos, lo que demuestra que es posible la separación de estos dos componentes, aunque no total, ya que una pequeña parte de los granos pasarán a través de los rodillos mezclados con las vainas. Este resultado no afecta la calidad del proceso teniendo en cuenta que los granos más pequeños no cumplen las condiciones dimensionales requeridas en el producto final.</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center"/>
        <w:rPr>
          <w:rFonts w:ascii="Times New Roman" w:eastAsia="Times New Roman" w:hAnsi="Times New Roman" w:cs="Times New Roman"/>
          <w:sz w:val="24"/>
          <w:szCs w:val="24"/>
          <w:lang w:eastAsia="es-ES"/>
        </w:rPr>
      </w:pPr>
      <w:r w:rsidRPr="001B2615">
        <w:rPr>
          <w:rFonts w:ascii="Times New Roman" w:eastAsia="Times New Roman" w:hAnsi="Times New Roman" w:cs="Times New Roman"/>
          <w:noProof/>
          <w:sz w:val="24"/>
          <w:szCs w:val="24"/>
          <w:lang w:eastAsia="es-ES"/>
        </w:rPr>
        <w:drawing>
          <wp:inline distT="0" distB="0" distL="0" distR="0" wp14:anchorId="38651260" wp14:editId="187EC5E4">
            <wp:extent cx="3876675" cy="16002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6675" cy="1600200"/>
                    </a:xfrm>
                    <a:prstGeom prst="rect">
                      <a:avLst/>
                    </a:prstGeom>
                    <a:noFill/>
                    <a:ln>
                      <a:noFill/>
                    </a:ln>
                  </pic:spPr>
                </pic:pic>
              </a:graphicData>
            </a:graphic>
          </wp:inline>
        </w:drawing>
      </w:r>
    </w:p>
    <w:p w:rsidR="00525C19" w:rsidRPr="001B2615" w:rsidRDefault="00525C19" w:rsidP="001B2615">
      <w:pPr>
        <w:spacing w:after="0" w:line="360" w:lineRule="auto"/>
        <w:jc w:val="center"/>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FIGURA 9. Curvas variacionales de distribución del espesor de vainas y granos.</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Los resultados del análisis descriptivo para la masa de los granos y las vainas se muestran en la tabla 3.</w:t>
      </w:r>
    </w:p>
    <w:p w:rsidR="00525C19" w:rsidRPr="001B2615" w:rsidRDefault="00525C19" w:rsidP="001B2615">
      <w:pPr>
        <w:spacing w:after="0" w:line="360" w:lineRule="auto"/>
        <w:jc w:val="center"/>
        <w:rPr>
          <w:rFonts w:ascii="Times New Roman" w:eastAsia="Times New Roman" w:hAnsi="Times New Roman" w:cs="Times New Roman"/>
          <w:b/>
          <w:sz w:val="24"/>
          <w:szCs w:val="24"/>
          <w:lang w:eastAsia="es-ES"/>
        </w:rPr>
      </w:pPr>
    </w:p>
    <w:p w:rsidR="00525C19" w:rsidRPr="001B2615" w:rsidRDefault="00525C19" w:rsidP="001B2615">
      <w:pPr>
        <w:spacing w:after="0" w:line="360" w:lineRule="auto"/>
        <w:jc w:val="center"/>
        <w:rPr>
          <w:rFonts w:ascii="Times New Roman" w:eastAsia="Times New Roman" w:hAnsi="Times New Roman" w:cs="Times New Roman"/>
          <w:b/>
          <w:sz w:val="24"/>
          <w:szCs w:val="24"/>
          <w:lang w:eastAsia="es-ES"/>
        </w:rPr>
      </w:pPr>
      <w:r w:rsidRPr="001B2615">
        <w:rPr>
          <w:rFonts w:ascii="Times New Roman" w:eastAsia="Times New Roman" w:hAnsi="Times New Roman" w:cs="Times New Roman"/>
          <w:b/>
          <w:sz w:val="24"/>
          <w:szCs w:val="24"/>
          <w:lang w:eastAsia="es-ES"/>
        </w:rPr>
        <w:t>TABLA 3. Análisis descriptivo de los datos de las mediciones de la masa de los granos y las vainas</w:t>
      </w:r>
    </w:p>
    <w:tbl>
      <w:tblPr>
        <w:tblW w:w="0" w:type="auto"/>
        <w:jc w:val="center"/>
        <w:tblBorders>
          <w:top w:val="nil"/>
          <w:left w:val="nil"/>
          <w:bottom w:val="nil"/>
          <w:right w:val="nil"/>
        </w:tblBorders>
        <w:tblLayout w:type="fixed"/>
        <w:tblLook w:val="0000" w:firstRow="0" w:lastRow="0" w:firstColumn="0" w:lastColumn="0" w:noHBand="0" w:noVBand="0"/>
      </w:tblPr>
      <w:tblGrid>
        <w:gridCol w:w="2223"/>
        <w:gridCol w:w="2455"/>
        <w:gridCol w:w="2318"/>
      </w:tblGrid>
      <w:tr w:rsidR="00525C19" w:rsidRPr="001B2615" w:rsidTr="002771BC">
        <w:trPr>
          <w:trHeight w:val="112"/>
          <w:jc w:val="center"/>
        </w:trPr>
        <w:tc>
          <w:tcPr>
            <w:tcW w:w="2223" w:type="dxa"/>
            <w:tcBorders>
              <w:top w:val="single" w:sz="12" w:space="0" w:color="auto"/>
              <w:bottom w:val="single" w:sz="6"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p>
        </w:tc>
        <w:tc>
          <w:tcPr>
            <w:tcW w:w="2455" w:type="dxa"/>
            <w:tcBorders>
              <w:top w:val="single" w:sz="12" w:space="0" w:color="auto"/>
              <w:bottom w:val="single" w:sz="6" w:space="0" w:color="auto"/>
            </w:tcBorders>
          </w:tcPr>
          <w:p w:rsidR="00525C19" w:rsidRPr="001B2615" w:rsidRDefault="00525C19" w:rsidP="001B2615">
            <w:pPr>
              <w:autoSpaceDE w:val="0"/>
              <w:autoSpaceDN w:val="0"/>
              <w:adjustRightInd w:val="0"/>
              <w:spacing w:after="0" w:line="360" w:lineRule="auto"/>
              <w:jc w:val="center"/>
              <w:rPr>
                <w:rFonts w:ascii="Times New Roman" w:hAnsi="Times New Roman" w:cs="Times New Roman"/>
                <w:b/>
                <w:color w:val="000000"/>
                <w:sz w:val="24"/>
                <w:szCs w:val="24"/>
              </w:rPr>
            </w:pPr>
            <w:r w:rsidRPr="001B2615">
              <w:rPr>
                <w:rFonts w:ascii="Times New Roman" w:hAnsi="Times New Roman" w:cs="Times New Roman"/>
                <w:b/>
                <w:color w:val="000000"/>
                <w:sz w:val="24"/>
                <w:szCs w:val="24"/>
              </w:rPr>
              <w:t>Masa de 1000 granos</w:t>
            </w:r>
          </w:p>
        </w:tc>
        <w:tc>
          <w:tcPr>
            <w:tcW w:w="2318" w:type="dxa"/>
            <w:tcBorders>
              <w:top w:val="single" w:sz="12" w:space="0" w:color="auto"/>
              <w:bottom w:val="single" w:sz="6" w:space="0" w:color="auto"/>
            </w:tcBorders>
          </w:tcPr>
          <w:p w:rsidR="00525C19" w:rsidRPr="001B2615" w:rsidRDefault="00525C19" w:rsidP="001B2615">
            <w:pPr>
              <w:autoSpaceDE w:val="0"/>
              <w:autoSpaceDN w:val="0"/>
              <w:adjustRightInd w:val="0"/>
              <w:spacing w:after="0" w:line="360" w:lineRule="auto"/>
              <w:jc w:val="center"/>
              <w:rPr>
                <w:rFonts w:ascii="Times New Roman" w:hAnsi="Times New Roman" w:cs="Times New Roman"/>
                <w:b/>
                <w:color w:val="000000"/>
                <w:sz w:val="24"/>
                <w:szCs w:val="24"/>
              </w:rPr>
            </w:pPr>
            <w:r w:rsidRPr="001B2615">
              <w:rPr>
                <w:rFonts w:ascii="Times New Roman" w:hAnsi="Times New Roman" w:cs="Times New Roman"/>
                <w:b/>
                <w:color w:val="000000"/>
                <w:sz w:val="24"/>
                <w:szCs w:val="24"/>
              </w:rPr>
              <w:t>Masa de las vainas</w:t>
            </w:r>
          </w:p>
        </w:tc>
      </w:tr>
      <w:tr w:rsidR="00525C19" w:rsidRPr="001B2615" w:rsidTr="002771BC">
        <w:trPr>
          <w:trHeight w:val="112"/>
          <w:jc w:val="center"/>
        </w:trPr>
        <w:tc>
          <w:tcPr>
            <w:tcW w:w="2223" w:type="dxa"/>
            <w:tcBorders>
              <w:top w:val="single" w:sz="6" w:space="0" w:color="auto"/>
              <w:bottom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Media (g) </w:t>
            </w:r>
          </w:p>
        </w:tc>
        <w:tc>
          <w:tcPr>
            <w:tcW w:w="2455" w:type="dxa"/>
            <w:tcBorders>
              <w:top w:val="single" w:sz="6" w:space="0" w:color="auto"/>
              <w:bottom w:val="nil"/>
            </w:tcBorders>
          </w:tcPr>
          <w:p w:rsidR="00525C19" w:rsidRPr="001B2615" w:rsidRDefault="00525C19" w:rsidP="001B2615">
            <w:pPr>
              <w:autoSpaceDE w:val="0"/>
              <w:autoSpaceDN w:val="0"/>
              <w:adjustRightInd w:val="0"/>
              <w:spacing w:after="0" w:line="360" w:lineRule="auto"/>
              <w:jc w:val="center"/>
              <w:rPr>
                <w:rFonts w:ascii="Times New Roman" w:hAnsi="Times New Roman" w:cs="Times New Roman"/>
                <w:color w:val="000000"/>
                <w:sz w:val="24"/>
                <w:szCs w:val="24"/>
              </w:rPr>
            </w:pPr>
            <w:r w:rsidRPr="001B2615">
              <w:rPr>
                <w:rFonts w:ascii="Times New Roman" w:hAnsi="Times New Roman" w:cs="Times New Roman"/>
                <w:color w:val="000000"/>
                <w:sz w:val="24"/>
                <w:szCs w:val="24"/>
              </w:rPr>
              <w:t>358,8</w:t>
            </w:r>
          </w:p>
        </w:tc>
        <w:tc>
          <w:tcPr>
            <w:tcW w:w="2318" w:type="dxa"/>
            <w:tcBorders>
              <w:top w:val="single" w:sz="6" w:space="0" w:color="auto"/>
              <w:bottom w:val="nil"/>
            </w:tcBorders>
          </w:tcPr>
          <w:p w:rsidR="00525C19" w:rsidRPr="001B2615" w:rsidRDefault="00525C19" w:rsidP="001B2615">
            <w:pPr>
              <w:autoSpaceDE w:val="0"/>
              <w:autoSpaceDN w:val="0"/>
              <w:adjustRightInd w:val="0"/>
              <w:spacing w:after="0" w:line="360" w:lineRule="auto"/>
              <w:jc w:val="center"/>
              <w:rPr>
                <w:rFonts w:ascii="Times New Roman" w:hAnsi="Times New Roman" w:cs="Times New Roman"/>
                <w:color w:val="000000"/>
                <w:sz w:val="24"/>
                <w:szCs w:val="24"/>
              </w:rPr>
            </w:pPr>
            <w:r w:rsidRPr="001B2615">
              <w:rPr>
                <w:rFonts w:ascii="Times New Roman" w:hAnsi="Times New Roman" w:cs="Times New Roman"/>
                <w:color w:val="000000"/>
                <w:sz w:val="24"/>
                <w:szCs w:val="24"/>
              </w:rPr>
              <w:t>2,70</w:t>
            </w:r>
          </w:p>
        </w:tc>
      </w:tr>
      <w:tr w:rsidR="00525C19" w:rsidRPr="001B2615" w:rsidTr="002771BC">
        <w:trPr>
          <w:trHeight w:val="131"/>
          <w:jc w:val="center"/>
        </w:trPr>
        <w:tc>
          <w:tcPr>
            <w:tcW w:w="2223" w:type="dxa"/>
            <w:tcBorders>
              <w:top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Desv. std </w:t>
            </w:r>
          </w:p>
        </w:tc>
        <w:tc>
          <w:tcPr>
            <w:tcW w:w="2455" w:type="dxa"/>
            <w:tcBorders>
              <w:top w:val="nil"/>
            </w:tcBorders>
          </w:tcPr>
          <w:p w:rsidR="00525C19" w:rsidRPr="001B2615" w:rsidRDefault="00525C19" w:rsidP="001B2615">
            <w:pPr>
              <w:autoSpaceDE w:val="0"/>
              <w:autoSpaceDN w:val="0"/>
              <w:adjustRightInd w:val="0"/>
              <w:spacing w:after="0" w:line="360" w:lineRule="auto"/>
              <w:jc w:val="center"/>
              <w:rPr>
                <w:rFonts w:ascii="Times New Roman" w:hAnsi="Times New Roman" w:cs="Times New Roman"/>
                <w:color w:val="000000"/>
                <w:sz w:val="24"/>
                <w:szCs w:val="24"/>
              </w:rPr>
            </w:pPr>
            <w:r w:rsidRPr="001B2615">
              <w:rPr>
                <w:rFonts w:ascii="Times New Roman" w:hAnsi="Times New Roman" w:cs="Times New Roman"/>
                <w:color w:val="000000"/>
                <w:sz w:val="24"/>
                <w:szCs w:val="24"/>
              </w:rPr>
              <w:t>0,17</w:t>
            </w:r>
          </w:p>
        </w:tc>
        <w:tc>
          <w:tcPr>
            <w:tcW w:w="2318" w:type="dxa"/>
            <w:tcBorders>
              <w:top w:val="nil"/>
            </w:tcBorders>
          </w:tcPr>
          <w:p w:rsidR="00525C19" w:rsidRPr="001B2615" w:rsidRDefault="00525C19" w:rsidP="001B2615">
            <w:pPr>
              <w:autoSpaceDE w:val="0"/>
              <w:autoSpaceDN w:val="0"/>
              <w:adjustRightInd w:val="0"/>
              <w:spacing w:after="0" w:line="360" w:lineRule="auto"/>
              <w:jc w:val="center"/>
              <w:rPr>
                <w:rFonts w:ascii="Times New Roman" w:hAnsi="Times New Roman" w:cs="Times New Roman"/>
                <w:color w:val="000000"/>
                <w:sz w:val="24"/>
                <w:szCs w:val="24"/>
              </w:rPr>
            </w:pPr>
            <w:r w:rsidRPr="001B2615">
              <w:rPr>
                <w:rFonts w:ascii="Times New Roman" w:hAnsi="Times New Roman" w:cs="Times New Roman"/>
                <w:color w:val="000000"/>
                <w:sz w:val="24"/>
                <w:szCs w:val="24"/>
              </w:rPr>
              <w:t>0,38</w:t>
            </w:r>
          </w:p>
        </w:tc>
      </w:tr>
      <w:tr w:rsidR="00525C19" w:rsidRPr="001B2615" w:rsidTr="002771BC">
        <w:trPr>
          <w:trHeight w:val="112"/>
          <w:jc w:val="center"/>
        </w:trPr>
        <w:tc>
          <w:tcPr>
            <w:tcW w:w="2223" w:type="dxa"/>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Error de la media, % </w:t>
            </w:r>
          </w:p>
        </w:tc>
        <w:tc>
          <w:tcPr>
            <w:tcW w:w="2455" w:type="dxa"/>
          </w:tcPr>
          <w:p w:rsidR="00525C19" w:rsidRPr="001B2615" w:rsidRDefault="00525C19" w:rsidP="001B2615">
            <w:pPr>
              <w:autoSpaceDE w:val="0"/>
              <w:autoSpaceDN w:val="0"/>
              <w:adjustRightInd w:val="0"/>
              <w:spacing w:after="0" w:line="360" w:lineRule="auto"/>
              <w:jc w:val="center"/>
              <w:rPr>
                <w:rFonts w:ascii="Times New Roman" w:hAnsi="Times New Roman" w:cs="Times New Roman"/>
                <w:color w:val="000000"/>
                <w:sz w:val="24"/>
                <w:szCs w:val="24"/>
              </w:rPr>
            </w:pPr>
            <w:r w:rsidRPr="001B2615">
              <w:rPr>
                <w:rFonts w:ascii="Times New Roman" w:hAnsi="Times New Roman" w:cs="Times New Roman"/>
                <w:color w:val="000000"/>
                <w:sz w:val="24"/>
                <w:szCs w:val="24"/>
              </w:rPr>
              <w:t>3,58</w:t>
            </w:r>
          </w:p>
        </w:tc>
        <w:tc>
          <w:tcPr>
            <w:tcW w:w="2318" w:type="dxa"/>
          </w:tcPr>
          <w:p w:rsidR="00525C19" w:rsidRPr="001B2615" w:rsidRDefault="00525C19" w:rsidP="001B2615">
            <w:pPr>
              <w:autoSpaceDE w:val="0"/>
              <w:autoSpaceDN w:val="0"/>
              <w:adjustRightInd w:val="0"/>
              <w:spacing w:after="0" w:line="360" w:lineRule="auto"/>
              <w:jc w:val="center"/>
              <w:rPr>
                <w:rFonts w:ascii="Times New Roman" w:hAnsi="Times New Roman" w:cs="Times New Roman"/>
                <w:color w:val="000000"/>
                <w:sz w:val="24"/>
                <w:szCs w:val="24"/>
              </w:rPr>
            </w:pPr>
            <w:r w:rsidRPr="001B2615">
              <w:rPr>
                <w:rFonts w:ascii="Times New Roman" w:hAnsi="Times New Roman" w:cs="Times New Roman"/>
                <w:color w:val="000000"/>
                <w:sz w:val="24"/>
                <w:szCs w:val="24"/>
              </w:rPr>
              <w:t>0,27</w:t>
            </w:r>
          </w:p>
        </w:tc>
      </w:tr>
      <w:tr w:rsidR="00525C19" w:rsidRPr="001B2615" w:rsidTr="002771BC">
        <w:trPr>
          <w:trHeight w:val="112"/>
          <w:jc w:val="center"/>
        </w:trPr>
        <w:tc>
          <w:tcPr>
            <w:tcW w:w="2223" w:type="dxa"/>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Mínimo </w:t>
            </w:r>
          </w:p>
        </w:tc>
        <w:tc>
          <w:tcPr>
            <w:tcW w:w="2455" w:type="dxa"/>
          </w:tcPr>
          <w:p w:rsidR="00525C19" w:rsidRPr="001B2615" w:rsidRDefault="00525C19" w:rsidP="001B2615">
            <w:pPr>
              <w:autoSpaceDE w:val="0"/>
              <w:autoSpaceDN w:val="0"/>
              <w:adjustRightInd w:val="0"/>
              <w:spacing w:after="0" w:line="360" w:lineRule="auto"/>
              <w:jc w:val="center"/>
              <w:rPr>
                <w:rFonts w:ascii="Times New Roman" w:hAnsi="Times New Roman" w:cs="Times New Roman"/>
                <w:color w:val="000000"/>
                <w:sz w:val="24"/>
                <w:szCs w:val="24"/>
              </w:rPr>
            </w:pPr>
            <w:r w:rsidRPr="001B2615">
              <w:rPr>
                <w:rFonts w:ascii="Times New Roman" w:hAnsi="Times New Roman" w:cs="Times New Roman"/>
                <w:color w:val="000000"/>
                <w:sz w:val="24"/>
                <w:szCs w:val="24"/>
              </w:rPr>
              <w:t>358,6</w:t>
            </w:r>
          </w:p>
        </w:tc>
        <w:tc>
          <w:tcPr>
            <w:tcW w:w="2318" w:type="dxa"/>
          </w:tcPr>
          <w:p w:rsidR="00525C19" w:rsidRPr="001B2615" w:rsidRDefault="00525C19" w:rsidP="001B2615">
            <w:pPr>
              <w:autoSpaceDE w:val="0"/>
              <w:autoSpaceDN w:val="0"/>
              <w:adjustRightInd w:val="0"/>
              <w:spacing w:after="0" w:line="360" w:lineRule="auto"/>
              <w:jc w:val="center"/>
              <w:rPr>
                <w:rFonts w:ascii="Times New Roman" w:hAnsi="Times New Roman" w:cs="Times New Roman"/>
                <w:color w:val="000000"/>
                <w:sz w:val="24"/>
                <w:szCs w:val="24"/>
              </w:rPr>
            </w:pPr>
            <w:r w:rsidRPr="001B2615">
              <w:rPr>
                <w:rFonts w:ascii="Times New Roman" w:hAnsi="Times New Roman" w:cs="Times New Roman"/>
                <w:color w:val="000000"/>
                <w:sz w:val="24"/>
                <w:szCs w:val="24"/>
              </w:rPr>
              <w:t>2,13</w:t>
            </w:r>
          </w:p>
        </w:tc>
      </w:tr>
      <w:tr w:rsidR="00525C19" w:rsidRPr="001B2615" w:rsidTr="002771BC">
        <w:trPr>
          <w:trHeight w:val="112"/>
          <w:jc w:val="center"/>
        </w:trPr>
        <w:tc>
          <w:tcPr>
            <w:tcW w:w="2223" w:type="dxa"/>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lastRenderedPageBreak/>
              <w:t xml:space="preserve">Máximo </w:t>
            </w:r>
          </w:p>
        </w:tc>
        <w:tc>
          <w:tcPr>
            <w:tcW w:w="2455" w:type="dxa"/>
          </w:tcPr>
          <w:p w:rsidR="00525C19" w:rsidRPr="001B2615" w:rsidRDefault="00525C19" w:rsidP="001B2615">
            <w:pPr>
              <w:autoSpaceDE w:val="0"/>
              <w:autoSpaceDN w:val="0"/>
              <w:adjustRightInd w:val="0"/>
              <w:spacing w:after="0" w:line="360" w:lineRule="auto"/>
              <w:jc w:val="center"/>
              <w:rPr>
                <w:rFonts w:ascii="Times New Roman" w:hAnsi="Times New Roman" w:cs="Times New Roman"/>
                <w:color w:val="000000"/>
                <w:sz w:val="24"/>
                <w:szCs w:val="24"/>
              </w:rPr>
            </w:pPr>
            <w:r w:rsidRPr="001B2615">
              <w:rPr>
                <w:rFonts w:ascii="Times New Roman" w:hAnsi="Times New Roman" w:cs="Times New Roman"/>
                <w:color w:val="000000"/>
                <w:sz w:val="24"/>
                <w:szCs w:val="24"/>
              </w:rPr>
              <w:t>359,0</w:t>
            </w:r>
          </w:p>
        </w:tc>
        <w:tc>
          <w:tcPr>
            <w:tcW w:w="2318" w:type="dxa"/>
          </w:tcPr>
          <w:p w:rsidR="00525C19" w:rsidRPr="001B2615" w:rsidRDefault="00525C19" w:rsidP="001B2615">
            <w:pPr>
              <w:autoSpaceDE w:val="0"/>
              <w:autoSpaceDN w:val="0"/>
              <w:adjustRightInd w:val="0"/>
              <w:spacing w:after="0" w:line="360" w:lineRule="auto"/>
              <w:jc w:val="center"/>
              <w:rPr>
                <w:rFonts w:ascii="Times New Roman" w:hAnsi="Times New Roman" w:cs="Times New Roman"/>
                <w:color w:val="000000"/>
                <w:sz w:val="24"/>
                <w:szCs w:val="24"/>
              </w:rPr>
            </w:pPr>
            <w:r w:rsidRPr="001B2615">
              <w:rPr>
                <w:rFonts w:ascii="Times New Roman" w:hAnsi="Times New Roman" w:cs="Times New Roman"/>
                <w:color w:val="000000"/>
                <w:sz w:val="24"/>
                <w:szCs w:val="24"/>
              </w:rPr>
              <w:t>3,37</w:t>
            </w:r>
          </w:p>
        </w:tc>
      </w:tr>
      <w:tr w:rsidR="00525C19" w:rsidRPr="001B2615" w:rsidTr="002771BC">
        <w:trPr>
          <w:trHeight w:val="112"/>
          <w:jc w:val="center"/>
        </w:trPr>
        <w:tc>
          <w:tcPr>
            <w:tcW w:w="2223" w:type="dxa"/>
            <w:tcBorders>
              <w:bottom w:val="single" w:sz="12"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Rango </w:t>
            </w:r>
          </w:p>
        </w:tc>
        <w:tc>
          <w:tcPr>
            <w:tcW w:w="2455" w:type="dxa"/>
            <w:tcBorders>
              <w:bottom w:val="single" w:sz="12" w:space="0" w:color="auto"/>
            </w:tcBorders>
          </w:tcPr>
          <w:p w:rsidR="00525C19" w:rsidRPr="001B2615" w:rsidRDefault="00525C19" w:rsidP="001B2615">
            <w:pPr>
              <w:autoSpaceDE w:val="0"/>
              <w:autoSpaceDN w:val="0"/>
              <w:adjustRightInd w:val="0"/>
              <w:spacing w:after="0" w:line="360" w:lineRule="auto"/>
              <w:jc w:val="center"/>
              <w:rPr>
                <w:rFonts w:ascii="Times New Roman" w:hAnsi="Times New Roman" w:cs="Times New Roman"/>
                <w:color w:val="000000"/>
                <w:sz w:val="24"/>
                <w:szCs w:val="24"/>
              </w:rPr>
            </w:pPr>
            <w:r w:rsidRPr="001B2615">
              <w:rPr>
                <w:rFonts w:ascii="Times New Roman" w:hAnsi="Times New Roman" w:cs="Times New Roman"/>
                <w:color w:val="000000"/>
                <w:sz w:val="24"/>
                <w:szCs w:val="24"/>
              </w:rPr>
              <w:t>0,04</w:t>
            </w:r>
          </w:p>
        </w:tc>
        <w:tc>
          <w:tcPr>
            <w:tcW w:w="2318" w:type="dxa"/>
            <w:tcBorders>
              <w:bottom w:val="single" w:sz="12" w:space="0" w:color="auto"/>
            </w:tcBorders>
          </w:tcPr>
          <w:p w:rsidR="00525C19" w:rsidRPr="001B2615" w:rsidRDefault="00525C19" w:rsidP="001B2615">
            <w:pPr>
              <w:autoSpaceDE w:val="0"/>
              <w:autoSpaceDN w:val="0"/>
              <w:adjustRightInd w:val="0"/>
              <w:spacing w:after="0" w:line="360" w:lineRule="auto"/>
              <w:jc w:val="center"/>
              <w:rPr>
                <w:rFonts w:ascii="Times New Roman" w:hAnsi="Times New Roman" w:cs="Times New Roman"/>
                <w:color w:val="000000"/>
                <w:sz w:val="24"/>
                <w:szCs w:val="24"/>
              </w:rPr>
            </w:pPr>
            <w:r w:rsidRPr="001B2615">
              <w:rPr>
                <w:rFonts w:ascii="Times New Roman" w:hAnsi="Times New Roman" w:cs="Times New Roman"/>
                <w:color w:val="000000"/>
                <w:sz w:val="24"/>
                <w:szCs w:val="24"/>
              </w:rPr>
              <w:t>1,24</w:t>
            </w:r>
          </w:p>
        </w:tc>
      </w:tr>
    </w:tbl>
    <w:p w:rsidR="00525C19" w:rsidRPr="001B2615" w:rsidRDefault="00525C19" w:rsidP="001B2615">
      <w:pPr>
        <w:spacing w:after="0" w:line="360" w:lineRule="auto"/>
        <w:jc w:val="center"/>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Como se muestra en la Tabla 3, existen diferencias significativas durante la comparación mutua de las masas. Los valores menores de error de la media se observan en el caso de las vainas, donde alcanza un valor de 0,27, mientras que los valores máximos se encuentran en los granos, con un valor de 3,58.</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En el histograma de frecuencia (Figura 10), se observa una distribución cercana a la normal de los comportamientos de los valores para la masa de las vainas.</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center"/>
        <w:rPr>
          <w:rFonts w:ascii="Times New Roman" w:eastAsia="Times New Roman" w:hAnsi="Times New Roman" w:cs="Times New Roman"/>
          <w:sz w:val="24"/>
          <w:szCs w:val="24"/>
          <w:lang w:eastAsia="es-ES"/>
        </w:rPr>
      </w:pPr>
      <w:r w:rsidRPr="001B2615">
        <w:rPr>
          <w:rFonts w:ascii="Times New Roman" w:eastAsia="Times New Roman" w:hAnsi="Times New Roman" w:cs="Times New Roman"/>
          <w:noProof/>
          <w:sz w:val="24"/>
          <w:szCs w:val="24"/>
          <w:lang w:eastAsia="es-ES"/>
        </w:rPr>
        <w:drawing>
          <wp:inline distT="0" distB="0" distL="0" distR="0" wp14:anchorId="527A8D93" wp14:editId="429620C3">
            <wp:extent cx="3114675" cy="16478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675" cy="1647825"/>
                    </a:xfrm>
                    <a:prstGeom prst="rect">
                      <a:avLst/>
                    </a:prstGeom>
                    <a:noFill/>
                    <a:ln>
                      <a:noFill/>
                    </a:ln>
                  </pic:spPr>
                </pic:pic>
              </a:graphicData>
            </a:graphic>
          </wp:inline>
        </w:drawing>
      </w:r>
    </w:p>
    <w:p w:rsidR="00525C19" w:rsidRPr="001B2615" w:rsidRDefault="00525C19" w:rsidP="001B2615">
      <w:pPr>
        <w:spacing w:after="0" w:line="360" w:lineRule="auto"/>
        <w:jc w:val="center"/>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FIGURA 10. Histograma de frecuencia para la masa de las vainas.</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Los resultados de la determinación del ángulo de fricción de las vainas y granos sobre madera, goma y acero se muestran en la Tabla 4.</w:t>
      </w:r>
    </w:p>
    <w:p w:rsidR="00525C19" w:rsidRPr="001B2615" w:rsidRDefault="00525C19" w:rsidP="001B2615">
      <w:pPr>
        <w:spacing w:after="0" w:line="360" w:lineRule="auto"/>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br w:type="page"/>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center"/>
        <w:rPr>
          <w:rFonts w:ascii="Times New Roman" w:eastAsia="Times New Roman" w:hAnsi="Times New Roman" w:cs="Times New Roman"/>
          <w:b/>
          <w:sz w:val="24"/>
          <w:szCs w:val="24"/>
          <w:lang w:eastAsia="es-ES"/>
        </w:rPr>
      </w:pPr>
      <w:r w:rsidRPr="001B2615">
        <w:rPr>
          <w:rFonts w:ascii="Times New Roman" w:eastAsia="Times New Roman" w:hAnsi="Times New Roman" w:cs="Times New Roman"/>
          <w:b/>
          <w:sz w:val="24"/>
          <w:szCs w:val="24"/>
          <w:lang w:eastAsia="es-ES"/>
        </w:rPr>
        <w:t>TABLA 4. Estadígrafos determinados para el ángulo de fricción</w:t>
      </w:r>
    </w:p>
    <w:tbl>
      <w:tblPr>
        <w:tblW w:w="0" w:type="auto"/>
        <w:jc w:val="center"/>
        <w:tblBorders>
          <w:top w:val="nil"/>
          <w:left w:val="nil"/>
          <w:bottom w:val="nil"/>
          <w:right w:val="nil"/>
        </w:tblBorders>
        <w:tblLayout w:type="fixed"/>
        <w:tblLook w:val="0000" w:firstRow="0" w:lastRow="0" w:firstColumn="0" w:lastColumn="0" w:noHBand="0" w:noVBand="0"/>
      </w:tblPr>
      <w:tblGrid>
        <w:gridCol w:w="1101"/>
        <w:gridCol w:w="1134"/>
        <w:gridCol w:w="1134"/>
        <w:gridCol w:w="1134"/>
        <w:gridCol w:w="992"/>
        <w:gridCol w:w="1134"/>
        <w:gridCol w:w="1137"/>
        <w:gridCol w:w="6"/>
      </w:tblGrid>
      <w:tr w:rsidR="00525C19" w:rsidRPr="001B2615" w:rsidTr="002771BC">
        <w:trPr>
          <w:trHeight w:val="112"/>
          <w:jc w:val="center"/>
        </w:trPr>
        <w:tc>
          <w:tcPr>
            <w:tcW w:w="1101" w:type="dxa"/>
            <w:vMerge w:val="restart"/>
            <w:tcBorders>
              <w:top w:val="single" w:sz="12" w:space="0" w:color="auto"/>
            </w:tcBorders>
          </w:tcPr>
          <w:p w:rsidR="00525C19" w:rsidRPr="001B2615" w:rsidRDefault="00525C19" w:rsidP="001B2615">
            <w:pPr>
              <w:autoSpaceDE w:val="0"/>
              <w:autoSpaceDN w:val="0"/>
              <w:adjustRightInd w:val="0"/>
              <w:spacing w:after="0" w:line="360" w:lineRule="auto"/>
              <w:jc w:val="center"/>
              <w:rPr>
                <w:rFonts w:ascii="Times New Roman" w:hAnsi="Times New Roman" w:cs="Times New Roman"/>
                <w:color w:val="000000"/>
                <w:sz w:val="24"/>
                <w:szCs w:val="24"/>
              </w:rPr>
            </w:pPr>
          </w:p>
        </w:tc>
        <w:tc>
          <w:tcPr>
            <w:tcW w:w="6671" w:type="dxa"/>
            <w:gridSpan w:val="7"/>
            <w:tcBorders>
              <w:top w:val="single" w:sz="12" w:space="0" w:color="auto"/>
            </w:tcBorders>
          </w:tcPr>
          <w:p w:rsidR="00525C19" w:rsidRPr="001B2615" w:rsidRDefault="00525C19" w:rsidP="001B2615">
            <w:pPr>
              <w:autoSpaceDE w:val="0"/>
              <w:autoSpaceDN w:val="0"/>
              <w:adjustRightInd w:val="0"/>
              <w:spacing w:after="0" w:line="360" w:lineRule="auto"/>
              <w:jc w:val="center"/>
              <w:rPr>
                <w:rFonts w:ascii="Times New Roman" w:hAnsi="Times New Roman" w:cs="Times New Roman"/>
                <w:b/>
                <w:color w:val="000000"/>
                <w:sz w:val="24"/>
                <w:szCs w:val="24"/>
              </w:rPr>
            </w:pPr>
            <w:r w:rsidRPr="001B2615">
              <w:rPr>
                <w:rFonts w:ascii="Times New Roman" w:hAnsi="Times New Roman" w:cs="Times New Roman"/>
                <w:b/>
                <w:color w:val="000000"/>
                <w:sz w:val="24"/>
                <w:szCs w:val="24"/>
              </w:rPr>
              <w:t>Ángulo de fricción (º)</w:t>
            </w:r>
          </w:p>
        </w:tc>
      </w:tr>
      <w:tr w:rsidR="00525C19" w:rsidRPr="001B2615" w:rsidTr="002771BC">
        <w:trPr>
          <w:trHeight w:val="112"/>
          <w:jc w:val="center"/>
        </w:trPr>
        <w:tc>
          <w:tcPr>
            <w:tcW w:w="1101" w:type="dxa"/>
            <w:vMerge/>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p>
        </w:tc>
        <w:tc>
          <w:tcPr>
            <w:tcW w:w="3402" w:type="dxa"/>
            <w:gridSpan w:val="3"/>
          </w:tcPr>
          <w:p w:rsidR="00525C19" w:rsidRPr="001B2615" w:rsidRDefault="00525C19" w:rsidP="001B2615">
            <w:pPr>
              <w:autoSpaceDE w:val="0"/>
              <w:autoSpaceDN w:val="0"/>
              <w:adjustRightInd w:val="0"/>
              <w:spacing w:after="0" w:line="360" w:lineRule="auto"/>
              <w:rPr>
                <w:rFonts w:ascii="Times New Roman" w:hAnsi="Times New Roman" w:cs="Times New Roman"/>
                <w:b/>
                <w:color w:val="000000"/>
                <w:sz w:val="24"/>
                <w:szCs w:val="24"/>
              </w:rPr>
            </w:pPr>
            <w:r w:rsidRPr="001B2615">
              <w:rPr>
                <w:rFonts w:ascii="Times New Roman" w:hAnsi="Times New Roman" w:cs="Times New Roman"/>
                <w:b/>
                <w:color w:val="000000"/>
                <w:sz w:val="24"/>
                <w:szCs w:val="24"/>
              </w:rPr>
              <w:t>Granos</w:t>
            </w:r>
          </w:p>
        </w:tc>
        <w:tc>
          <w:tcPr>
            <w:tcW w:w="3269" w:type="dxa"/>
            <w:gridSpan w:val="4"/>
          </w:tcPr>
          <w:p w:rsidR="00525C19" w:rsidRPr="001B2615" w:rsidRDefault="00525C19" w:rsidP="001B2615">
            <w:pPr>
              <w:autoSpaceDE w:val="0"/>
              <w:autoSpaceDN w:val="0"/>
              <w:adjustRightInd w:val="0"/>
              <w:spacing w:after="0" w:line="360" w:lineRule="auto"/>
              <w:rPr>
                <w:rFonts w:ascii="Times New Roman" w:hAnsi="Times New Roman" w:cs="Times New Roman"/>
                <w:b/>
                <w:color w:val="000000"/>
                <w:sz w:val="24"/>
                <w:szCs w:val="24"/>
              </w:rPr>
            </w:pPr>
            <w:r w:rsidRPr="001B2615">
              <w:rPr>
                <w:rFonts w:ascii="Times New Roman" w:hAnsi="Times New Roman" w:cs="Times New Roman"/>
                <w:b/>
                <w:color w:val="000000"/>
                <w:sz w:val="24"/>
                <w:szCs w:val="24"/>
              </w:rPr>
              <w:t xml:space="preserve">Vainas </w:t>
            </w:r>
          </w:p>
        </w:tc>
      </w:tr>
      <w:tr w:rsidR="00525C19" w:rsidRPr="001B2615" w:rsidTr="002771BC">
        <w:trPr>
          <w:gridAfter w:val="1"/>
          <w:wAfter w:w="6" w:type="dxa"/>
          <w:trHeight w:val="112"/>
          <w:jc w:val="center"/>
        </w:trPr>
        <w:tc>
          <w:tcPr>
            <w:tcW w:w="1101" w:type="dxa"/>
            <w:vMerge/>
            <w:tcBorders>
              <w:bottom w:val="single" w:sz="6"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p>
        </w:tc>
        <w:tc>
          <w:tcPr>
            <w:tcW w:w="1134" w:type="dxa"/>
            <w:tcBorders>
              <w:bottom w:val="single" w:sz="6"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b/>
                <w:color w:val="000000"/>
                <w:sz w:val="24"/>
                <w:szCs w:val="24"/>
              </w:rPr>
            </w:pPr>
            <w:r w:rsidRPr="001B2615">
              <w:rPr>
                <w:rFonts w:ascii="Times New Roman" w:hAnsi="Times New Roman" w:cs="Times New Roman"/>
                <w:b/>
                <w:color w:val="000000"/>
                <w:sz w:val="24"/>
                <w:szCs w:val="24"/>
              </w:rPr>
              <w:t>Goma</w:t>
            </w:r>
          </w:p>
        </w:tc>
        <w:tc>
          <w:tcPr>
            <w:tcW w:w="1134" w:type="dxa"/>
            <w:tcBorders>
              <w:bottom w:val="single" w:sz="6"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b/>
                <w:color w:val="000000"/>
                <w:sz w:val="24"/>
                <w:szCs w:val="24"/>
              </w:rPr>
            </w:pPr>
            <w:r w:rsidRPr="001B2615">
              <w:rPr>
                <w:rFonts w:ascii="Times New Roman" w:hAnsi="Times New Roman" w:cs="Times New Roman"/>
                <w:b/>
                <w:color w:val="000000"/>
                <w:sz w:val="24"/>
                <w:szCs w:val="24"/>
              </w:rPr>
              <w:t xml:space="preserve">Madera </w:t>
            </w:r>
          </w:p>
        </w:tc>
        <w:tc>
          <w:tcPr>
            <w:tcW w:w="1134" w:type="dxa"/>
            <w:tcBorders>
              <w:bottom w:val="single" w:sz="6"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b/>
                <w:color w:val="000000"/>
                <w:sz w:val="24"/>
                <w:szCs w:val="24"/>
              </w:rPr>
            </w:pPr>
            <w:r w:rsidRPr="001B2615">
              <w:rPr>
                <w:rFonts w:ascii="Times New Roman" w:hAnsi="Times New Roman" w:cs="Times New Roman"/>
                <w:b/>
                <w:color w:val="000000"/>
                <w:sz w:val="24"/>
                <w:szCs w:val="24"/>
              </w:rPr>
              <w:t xml:space="preserve">Acero </w:t>
            </w:r>
          </w:p>
        </w:tc>
        <w:tc>
          <w:tcPr>
            <w:tcW w:w="992" w:type="dxa"/>
            <w:tcBorders>
              <w:bottom w:val="single" w:sz="6"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b/>
                <w:color w:val="000000"/>
                <w:sz w:val="24"/>
                <w:szCs w:val="24"/>
              </w:rPr>
            </w:pPr>
            <w:r w:rsidRPr="001B2615">
              <w:rPr>
                <w:rFonts w:ascii="Times New Roman" w:hAnsi="Times New Roman" w:cs="Times New Roman"/>
                <w:b/>
                <w:color w:val="000000"/>
                <w:sz w:val="24"/>
                <w:szCs w:val="24"/>
              </w:rPr>
              <w:t xml:space="preserve">Goma </w:t>
            </w:r>
          </w:p>
        </w:tc>
        <w:tc>
          <w:tcPr>
            <w:tcW w:w="1134" w:type="dxa"/>
            <w:tcBorders>
              <w:bottom w:val="single" w:sz="6"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b/>
                <w:color w:val="000000"/>
                <w:sz w:val="24"/>
                <w:szCs w:val="24"/>
              </w:rPr>
            </w:pPr>
            <w:r w:rsidRPr="001B2615">
              <w:rPr>
                <w:rFonts w:ascii="Times New Roman" w:hAnsi="Times New Roman" w:cs="Times New Roman"/>
                <w:b/>
                <w:color w:val="000000"/>
                <w:sz w:val="24"/>
                <w:szCs w:val="24"/>
              </w:rPr>
              <w:t xml:space="preserve">Madera </w:t>
            </w:r>
          </w:p>
        </w:tc>
        <w:tc>
          <w:tcPr>
            <w:tcW w:w="1137" w:type="dxa"/>
            <w:tcBorders>
              <w:bottom w:val="single" w:sz="6"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b/>
                <w:color w:val="000000"/>
                <w:sz w:val="24"/>
                <w:szCs w:val="24"/>
              </w:rPr>
            </w:pPr>
            <w:r w:rsidRPr="001B2615">
              <w:rPr>
                <w:rFonts w:ascii="Times New Roman" w:hAnsi="Times New Roman" w:cs="Times New Roman"/>
                <w:b/>
                <w:color w:val="000000"/>
                <w:sz w:val="24"/>
                <w:szCs w:val="24"/>
              </w:rPr>
              <w:t xml:space="preserve">Acero </w:t>
            </w:r>
          </w:p>
        </w:tc>
      </w:tr>
      <w:tr w:rsidR="00525C19" w:rsidRPr="001B2615" w:rsidTr="002771BC">
        <w:trPr>
          <w:gridAfter w:val="1"/>
          <w:wAfter w:w="6" w:type="dxa"/>
          <w:trHeight w:val="112"/>
          <w:jc w:val="center"/>
        </w:trPr>
        <w:tc>
          <w:tcPr>
            <w:tcW w:w="1101" w:type="dxa"/>
            <w:tcBorders>
              <w:top w:val="single" w:sz="6" w:space="0" w:color="auto"/>
              <w:bottom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Media (º) </w:t>
            </w:r>
          </w:p>
        </w:tc>
        <w:tc>
          <w:tcPr>
            <w:tcW w:w="1134" w:type="dxa"/>
            <w:tcBorders>
              <w:top w:val="single" w:sz="6" w:space="0" w:color="auto"/>
              <w:bottom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43,60 </w:t>
            </w:r>
          </w:p>
        </w:tc>
        <w:tc>
          <w:tcPr>
            <w:tcW w:w="1134" w:type="dxa"/>
            <w:tcBorders>
              <w:top w:val="single" w:sz="6" w:space="0" w:color="auto"/>
              <w:bottom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21,07 </w:t>
            </w:r>
          </w:p>
        </w:tc>
        <w:tc>
          <w:tcPr>
            <w:tcW w:w="1134" w:type="dxa"/>
            <w:tcBorders>
              <w:top w:val="single" w:sz="6" w:space="0" w:color="auto"/>
              <w:bottom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20,13 </w:t>
            </w:r>
          </w:p>
        </w:tc>
        <w:tc>
          <w:tcPr>
            <w:tcW w:w="992" w:type="dxa"/>
            <w:tcBorders>
              <w:top w:val="single" w:sz="6" w:space="0" w:color="auto"/>
              <w:bottom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34,90 </w:t>
            </w:r>
          </w:p>
        </w:tc>
        <w:tc>
          <w:tcPr>
            <w:tcW w:w="1134" w:type="dxa"/>
            <w:tcBorders>
              <w:top w:val="single" w:sz="6" w:space="0" w:color="auto"/>
              <w:bottom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35,38 </w:t>
            </w:r>
          </w:p>
        </w:tc>
        <w:tc>
          <w:tcPr>
            <w:tcW w:w="1137" w:type="dxa"/>
            <w:tcBorders>
              <w:top w:val="single" w:sz="6" w:space="0" w:color="auto"/>
              <w:bottom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25,95 </w:t>
            </w:r>
          </w:p>
        </w:tc>
      </w:tr>
      <w:tr w:rsidR="00525C19" w:rsidRPr="001B2615" w:rsidTr="002771BC">
        <w:trPr>
          <w:gridAfter w:val="1"/>
          <w:wAfter w:w="6" w:type="dxa"/>
          <w:trHeight w:val="112"/>
          <w:jc w:val="center"/>
        </w:trPr>
        <w:tc>
          <w:tcPr>
            <w:tcW w:w="1101" w:type="dxa"/>
            <w:tcBorders>
              <w:top w:val="nil"/>
              <w:bottom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Desvstd </w:t>
            </w:r>
          </w:p>
        </w:tc>
        <w:tc>
          <w:tcPr>
            <w:tcW w:w="1134" w:type="dxa"/>
            <w:tcBorders>
              <w:top w:val="nil"/>
              <w:bottom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3,00 </w:t>
            </w:r>
          </w:p>
        </w:tc>
        <w:tc>
          <w:tcPr>
            <w:tcW w:w="1134" w:type="dxa"/>
            <w:tcBorders>
              <w:top w:val="nil"/>
              <w:bottom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1,28 </w:t>
            </w:r>
          </w:p>
        </w:tc>
        <w:tc>
          <w:tcPr>
            <w:tcW w:w="1134" w:type="dxa"/>
            <w:tcBorders>
              <w:top w:val="nil"/>
              <w:bottom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1,13 </w:t>
            </w:r>
          </w:p>
        </w:tc>
        <w:tc>
          <w:tcPr>
            <w:tcW w:w="992" w:type="dxa"/>
            <w:tcBorders>
              <w:top w:val="nil"/>
              <w:bottom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2,58 </w:t>
            </w:r>
          </w:p>
        </w:tc>
        <w:tc>
          <w:tcPr>
            <w:tcW w:w="1134" w:type="dxa"/>
            <w:tcBorders>
              <w:top w:val="nil"/>
              <w:bottom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4,00 </w:t>
            </w:r>
          </w:p>
        </w:tc>
        <w:tc>
          <w:tcPr>
            <w:tcW w:w="1137" w:type="dxa"/>
            <w:tcBorders>
              <w:top w:val="nil"/>
              <w:bottom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4,45 </w:t>
            </w:r>
          </w:p>
        </w:tc>
      </w:tr>
      <w:tr w:rsidR="00525C19" w:rsidRPr="001B2615" w:rsidTr="002771BC">
        <w:trPr>
          <w:gridAfter w:val="1"/>
          <w:wAfter w:w="6" w:type="dxa"/>
          <w:trHeight w:val="112"/>
          <w:jc w:val="center"/>
        </w:trPr>
        <w:tc>
          <w:tcPr>
            <w:tcW w:w="1101" w:type="dxa"/>
            <w:tcBorders>
              <w:top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Error de la media (%) </w:t>
            </w:r>
          </w:p>
        </w:tc>
        <w:tc>
          <w:tcPr>
            <w:tcW w:w="1134" w:type="dxa"/>
            <w:tcBorders>
              <w:top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4,36 </w:t>
            </w:r>
          </w:p>
        </w:tc>
        <w:tc>
          <w:tcPr>
            <w:tcW w:w="1134" w:type="dxa"/>
            <w:tcBorders>
              <w:top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2,11 </w:t>
            </w:r>
          </w:p>
        </w:tc>
        <w:tc>
          <w:tcPr>
            <w:tcW w:w="1134" w:type="dxa"/>
            <w:tcBorders>
              <w:top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2,01 </w:t>
            </w:r>
          </w:p>
        </w:tc>
        <w:tc>
          <w:tcPr>
            <w:tcW w:w="992" w:type="dxa"/>
            <w:tcBorders>
              <w:top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1,75 </w:t>
            </w:r>
          </w:p>
        </w:tc>
        <w:tc>
          <w:tcPr>
            <w:tcW w:w="1134" w:type="dxa"/>
            <w:tcBorders>
              <w:top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1,77 </w:t>
            </w:r>
          </w:p>
        </w:tc>
        <w:tc>
          <w:tcPr>
            <w:tcW w:w="1137" w:type="dxa"/>
            <w:tcBorders>
              <w:top w:val="nil"/>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1,30 </w:t>
            </w:r>
          </w:p>
        </w:tc>
      </w:tr>
      <w:tr w:rsidR="00525C19" w:rsidRPr="001B2615" w:rsidTr="002771BC">
        <w:trPr>
          <w:gridAfter w:val="1"/>
          <w:wAfter w:w="6" w:type="dxa"/>
          <w:trHeight w:val="112"/>
          <w:jc w:val="center"/>
        </w:trPr>
        <w:tc>
          <w:tcPr>
            <w:tcW w:w="1101" w:type="dxa"/>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Mínimo </w:t>
            </w:r>
          </w:p>
        </w:tc>
        <w:tc>
          <w:tcPr>
            <w:tcW w:w="1134" w:type="dxa"/>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39,0 </w:t>
            </w:r>
          </w:p>
        </w:tc>
        <w:tc>
          <w:tcPr>
            <w:tcW w:w="1134" w:type="dxa"/>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19,0 </w:t>
            </w:r>
          </w:p>
        </w:tc>
        <w:tc>
          <w:tcPr>
            <w:tcW w:w="1134" w:type="dxa"/>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18,0 </w:t>
            </w:r>
          </w:p>
        </w:tc>
        <w:tc>
          <w:tcPr>
            <w:tcW w:w="992" w:type="dxa"/>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28,0 </w:t>
            </w:r>
          </w:p>
        </w:tc>
        <w:tc>
          <w:tcPr>
            <w:tcW w:w="1134" w:type="dxa"/>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28,0 </w:t>
            </w:r>
          </w:p>
        </w:tc>
        <w:tc>
          <w:tcPr>
            <w:tcW w:w="1137" w:type="dxa"/>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18,0 </w:t>
            </w:r>
          </w:p>
        </w:tc>
      </w:tr>
      <w:tr w:rsidR="00525C19" w:rsidRPr="001B2615" w:rsidTr="002771BC">
        <w:trPr>
          <w:gridAfter w:val="1"/>
          <w:wAfter w:w="6" w:type="dxa"/>
          <w:trHeight w:val="112"/>
          <w:jc w:val="center"/>
        </w:trPr>
        <w:tc>
          <w:tcPr>
            <w:tcW w:w="1101" w:type="dxa"/>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Máximo </w:t>
            </w:r>
          </w:p>
        </w:tc>
        <w:tc>
          <w:tcPr>
            <w:tcW w:w="1134" w:type="dxa"/>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50,0 </w:t>
            </w:r>
          </w:p>
        </w:tc>
        <w:tc>
          <w:tcPr>
            <w:tcW w:w="1134" w:type="dxa"/>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23,0 </w:t>
            </w:r>
          </w:p>
        </w:tc>
        <w:tc>
          <w:tcPr>
            <w:tcW w:w="1134" w:type="dxa"/>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22,0 </w:t>
            </w:r>
          </w:p>
        </w:tc>
        <w:tc>
          <w:tcPr>
            <w:tcW w:w="992" w:type="dxa"/>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41,0 </w:t>
            </w:r>
          </w:p>
        </w:tc>
        <w:tc>
          <w:tcPr>
            <w:tcW w:w="1134" w:type="dxa"/>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44,0 </w:t>
            </w:r>
          </w:p>
        </w:tc>
        <w:tc>
          <w:tcPr>
            <w:tcW w:w="1137" w:type="dxa"/>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36,0 </w:t>
            </w:r>
          </w:p>
        </w:tc>
      </w:tr>
      <w:tr w:rsidR="00525C19" w:rsidRPr="001B2615" w:rsidTr="002771BC">
        <w:trPr>
          <w:gridAfter w:val="1"/>
          <w:wAfter w:w="6" w:type="dxa"/>
          <w:trHeight w:val="112"/>
          <w:jc w:val="center"/>
        </w:trPr>
        <w:tc>
          <w:tcPr>
            <w:tcW w:w="1101" w:type="dxa"/>
            <w:tcBorders>
              <w:bottom w:val="single" w:sz="12"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Rango </w:t>
            </w:r>
          </w:p>
        </w:tc>
        <w:tc>
          <w:tcPr>
            <w:tcW w:w="1134" w:type="dxa"/>
            <w:tcBorders>
              <w:bottom w:val="single" w:sz="12"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11,0 </w:t>
            </w:r>
          </w:p>
        </w:tc>
        <w:tc>
          <w:tcPr>
            <w:tcW w:w="1134" w:type="dxa"/>
            <w:tcBorders>
              <w:bottom w:val="single" w:sz="12"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4,0 </w:t>
            </w:r>
          </w:p>
        </w:tc>
        <w:tc>
          <w:tcPr>
            <w:tcW w:w="1134" w:type="dxa"/>
            <w:tcBorders>
              <w:bottom w:val="single" w:sz="12"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4,0 </w:t>
            </w:r>
          </w:p>
        </w:tc>
        <w:tc>
          <w:tcPr>
            <w:tcW w:w="992" w:type="dxa"/>
            <w:tcBorders>
              <w:bottom w:val="single" w:sz="12"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13,0 </w:t>
            </w:r>
          </w:p>
        </w:tc>
        <w:tc>
          <w:tcPr>
            <w:tcW w:w="1134" w:type="dxa"/>
            <w:tcBorders>
              <w:bottom w:val="single" w:sz="12"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16,0 </w:t>
            </w:r>
          </w:p>
        </w:tc>
        <w:tc>
          <w:tcPr>
            <w:tcW w:w="1137" w:type="dxa"/>
            <w:tcBorders>
              <w:bottom w:val="single" w:sz="12" w:space="0" w:color="auto"/>
            </w:tcBorders>
          </w:tcPr>
          <w:p w:rsidR="00525C19" w:rsidRPr="001B2615" w:rsidRDefault="00525C19" w:rsidP="001B2615">
            <w:pPr>
              <w:autoSpaceDE w:val="0"/>
              <w:autoSpaceDN w:val="0"/>
              <w:adjustRightInd w:val="0"/>
              <w:spacing w:after="0" w:line="360" w:lineRule="auto"/>
              <w:rPr>
                <w:rFonts w:ascii="Times New Roman" w:hAnsi="Times New Roman" w:cs="Times New Roman"/>
                <w:color w:val="000000"/>
                <w:sz w:val="24"/>
                <w:szCs w:val="24"/>
              </w:rPr>
            </w:pPr>
            <w:r w:rsidRPr="001B2615">
              <w:rPr>
                <w:rFonts w:ascii="Times New Roman" w:hAnsi="Times New Roman" w:cs="Times New Roman"/>
                <w:color w:val="000000"/>
                <w:sz w:val="24"/>
                <w:szCs w:val="24"/>
              </w:rPr>
              <w:t xml:space="preserve">18,0 </w:t>
            </w:r>
          </w:p>
        </w:tc>
      </w:tr>
    </w:tbl>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both"/>
        <w:rPr>
          <w:rFonts w:ascii="Times New Roman" w:hAnsi="Times New Roman" w:cs="Times New Roman"/>
          <w:sz w:val="24"/>
          <w:szCs w:val="24"/>
        </w:rPr>
      </w:pPr>
      <w:r w:rsidRPr="001B2615">
        <w:rPr>
          <w:rFonts w:ascii="Times New Roman" w:eastAsia="Times New Roman" w:hAnsi="Times New Roman" w:cs="Times New Roman"/>
          <w:sz w:val="24"/>
          <w:szCs w:val="24"/>
          <w:lang w:eastAsia="es-ES"/>
        </w:rPr>
        <w:t xml:space="preserve">En la Tabla 4 se puede apreciar que en el caso de los granos la media menor para el ángulo de fricción se obtuvo en la superficie acero 20,13º, mientras que la mayor está dado para la superficie de goma 43,6º. Resultados similares obtuvo </w:t>
      </w:r>
      <w:r w:rsidRPr="001B2615">
        <w:rPr>
          <w:rFonts w:ascii="Times New Roman" w:eastAsia="Times New Roman" w:hAnsi="Times New Roman" w:cs="Times New Roman"/>
          <w:sz w:val="24"/>
          <w:szCs w:val="24"/>
          <w:lang w:eastAsia="es-ES"/>
        </w:rPr>
        <w:fldChar w:fldCharType="begin"/>
      </w:r>
      <w:r w:rsidRPr="001B2615">
        <w:rPr>
          <w:rFonts w:ascii="Times New Roman" w:eastAsia="Times New Roman" w:hAnsi="Times New Roman" w:cs="Times New Roman"/>
          <w:sz w:val="24"/>
          <w:szCs w:val="24"/>
          <w:lang w:eastAsia="es-ES"/>
        </w:rPr>
        <w:instrText xml:space="preserve"> ADDIN ZOTERO_ITEM CSL_CITATION {"citationID":"CAwwV5zo","properties":{"formattedCitation":"(Shirneshan, 2011)","plainCitation":"(Shirneshan, 2011)"},"citationItems":[{"id":1980,"uris":["http://zotero.org/users/local/e4oPRoLq/items/E2856NF6"],"uri":["http://zotero.org/users/local/e4oPRoLq/items/E2856NF6"],"itemData":{"id":1980,"type":"article-journal","title":"Physical and Mechanical Properties of beans","container-title":"Journal of American Science","page":"158-164","volume":"7","issue":"5","author":[{"family":"Shirneshan","given":"A."}],"issued":{"date-parts":[["2011"]]}}}],"schema":"https://github.com/citation-style-language/schema/raw/master/csl-citation.json"} </w:instrText>
      </w:r>
      <w:r w:rsidRPr="001B2615">
        <w:rPr>
          <w:rFonts w:ascii="Times New Roman" w:eastAsia="Times New Roman" w:hAnsi="Times New Roman" w:cs="Times New Roman"/>
          <w:sz w:val="24"/>
          <w:szCs w:val="24"/>
          <w:lang w:eastAsia="es-ES"/>
        </w:rPr>
        <w:fldChar w:fldCharType="separate"/>
      </w:r>
      <w:r w:rsidRPr="001B2615">
        <w:rPr>
          <w:rFonts w:ascii="Times New Roman" w:hAnsi="Times New Roman" w:cs="Times New Roman"/>
          <w:sz w:val="24"/>
          <w:szCs w:val="24"/>
        </w:rPr>
        <w:t>Shirneshan (2011)</w:t>
      </w:r>
      <w:r w:rsidRPr="001B2615">
        <w:rPr>
          <w:rFonts w:ascii="Times New Roman" w:eastAsia="Times New Roman" w:hAnsi="Times New Roman" w:cs="Times New Roman"/>
          <w:sz w:val="24"/>
          <w:szCs w:val="24"/>
          <w:lang w:eastAsia="es-ES"/>
        </w:rPr>
        <w:fldChar w:fldCharType="end"/>
      </w:r>
      <w:r w:rsidRPr="001B2615">
        <w:rPr>
          <w:rFonts w:ascii="Times New Roman" w:eastAsia="Times New Roman" w:hAnsi="Times New Roman" w:cs="Times New Roman"/>
          <w:sz w:val="24"/>
          <w:szCs w:val="24"/>
          <w:lang w:eastAsia="es-ES"/>
        </w:rPr>
        <w:t>, para granos donde l</w:t>
      </w:r>
      <w:r w:rsidRPr="001B2615">
        <w:rPr>
          <w:rFonts w:ascii="Times New Roman" w:hAnsi="Times New Roman" w:cs="Times New Roman"/>
          <w:sz w:val="24"/>
          <w:szCs w:val="24"/>
        </w:rPr>
        <w:t xml:space="preserve">os valores medios mostraron que el coeficiente estático más bajo 0.32 ocurrió con acero superficie galvanizada y los más altos de 0,40 y 0,44 para la goma y lona, respectivamente. </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A su vez los histogramas de frecuencia (Figura 11), muestran una distribución normal de los comportamientos de los valores de cada variable durante el análisis de los ángulos de fricción entre los granos y las diferentes superficies.</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noProof/>
          <w:sz w:val="24"/>
          <w:szCs w:val="24"/>
          <w:lang w:eastAsia="es-ES"/>
        </w:rPr>
        <w:drawing>
          <wp:inline distT="0" distB="0" distL="0" distR="0" wp14:anchorId="1473A2F2" wp14:editId="333EEA0B">
            <wp:extent cx="5400040" cy="101647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1016478"/>
                    </a:xfrm>
                    <a:prstGeom prst="rect">
                      <a:avLst/>
                    </a:prstGeom>
                    <a:noFill/>
                    <a:ln>
                      <a:noFill/>
                    </a:ln>
                  </pic:spPr>
                </pic:pic>
              </a:graphicData>
            </a:graphic>
          </wp:inline>
        </w:drawing>
      </w:r>
    </w:p>
    <w:p w:rsidR="00525C19" w:rsidRPr="001B2615" w:rsidRDefault="00525C19" w:rsidP="001B2615">
      <w:pPr>
        <w:spacing w:after="0" w:line="360" w:lineRule="auto"/>
        <w:jc w:val="center"/>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FIGURA 11. Histogramas de ángulos de fricción para granos en superficies de goma, madera y acero.</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 xml:space="preserve">Algo similar ocurre para el caso del ángulo de fricción de las vainas, donde los resultados muestran que la media menor para el ángulo de fricción se obtiene en la superficie de acero, con 25,95º, sin embargo en este caso los mayores valores de ángulo de fricción están dados para la superficie de madera con 35,38º, aunque muy similar al de la goma con </w:t>
      </w:r>
      <w:r w:rsidRPr="001B2615">
        <w:rPr>
          <w:rFonts w:ascii="Times New Roman" w:hAnsi="Times New Roman" w:cs="Times New Roman"/>
          <w:color w:val="000000"/>
          <w:sz w:val="24"/>
          <w:szCs w:val="24"/>
        </w:rPr>
        <w:t>34,90</w:t>
      </w:r>
      <w:r w:rsidRPr="001B2615">
        <w:rPr>
          <w:rFonts w:ascii="Times New Roman" w:eastAsia="Times New Roman" w:hAnsi="Times New Roman" w:cs="Times New Roman"/>
          <w:sz w:val="24"/>
          <w:szCs w:val="24"/>
          <w:lang w:eastAsia="es-ES"/>
        </w:rPr>
        <w:t xml:space="preserve"> º (Tabla 4). </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 xml:space="preserve">Lo que significa que </w:t>
      </w:r>
      <w:r w:rsidRPr="001B2615">
        <w:rPr>
          <w:rFonts w:ascii="Times New Roman" w:hAnsi="Times New Roman" w:cs="Times New Roman"/>
          <w:sz w:val="24"/>
          <w:szCs w:val="24"/>
        </w:rPr>
        <w:t>el material más conveniente a utilizar es la goma para cubrir las superficies de contacto lo que permitirá realizar la alimentación a los rodillos desgranadores de forma progresiva evitando así el atasco de los mismos</w:t>
      </w:r>
      <w:r w:rsidRPr="001B2615">
        <w:rPr>
          <w:rFonts w:ascii="Times New Roman" w:eastAsia="Times New Roman" w:hAnsi="Times New Roman" w:cs="Times New Roman"/>
          <w:sz w:val="24"/>
          <w:szCs w:val="24"/>
          <w:lang w:eastAsia="es-ES"/>
        </w:rPr>
        <w:t xml:space="preserve">. </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De igual forma al poseer el grano (</w:t>
      </w:r>
      <w:r w:rsidRPr="001B2615">
        <w:rPr>
          <w:rFonts w:ascii="Times New Roman" w:hAnsi="Times New Roman" w:cs="Times New Roman"/>
          <w:color w:val="000000"/>
          <w:sz w:val="24"/>
          <w:szCs w:val="24"/>
        </w:rPr>
        <w:t>43,60</w:t>
      </w:r>
      <w:r w:rsidRPr="001B2615">
        <w:rPr>
          <w:rFonts w:ascii="Times New Roman" w:eastAsia="Times New Roman" w:hAnsi="Times New Roman" w:cs="Times New Roman"/>
          <w:sz w:val="24"/>
          <w:szCs w:val="24"/>
          <w:lang w:eastAsia="es-ES"/>
        </w:rPr>
        <w:t xml:space="preserve"> º) un ángulo de fricción mayor que la vaina (</w:t>
      </w:r>
      <w:r w:rsidRPr="001B2615">
        <w:rPr>
          <w:rFonts w:ascii="Times New Roman" w:hAnsi="Times New Roman" w:cs="Times New Roman"/>
          <w:color w:val="000000"/>
          <w:sz w:val="24"/>
          <w:szCs w:val="24"/>
        </w:rPr>
        <w:t>34,90</w:t>
      </w:r>
      <w:r w:rsidRPr="001B2615">
        <w:rPr>
          <w:rFonts w:ascii="Times New Roman" w:eastAsia="Times New Roman" w:hAnsi="Times New Roman" w:cs="Times New Roman"/>
          <w:sz w:val="24"/>
          <w:szCs w:val="24"/>
          <w:lang w:eastAsia="es-ES"/>
        </w:rPr>
        <w:t xml:space="preserve"> º), se puede aconsejar que la zaranda separadora de ambos esté revestida de goma.</w:t>
      </w:r>
    </w:p>
    <w:p w:rsidR="00525C19" w:rsidRPr="001B2615" w:rsidRDefault="00525C19" w:rsidP="001B2615">
      <w:pPr>
        <w:spacing w:after="0" w:line="360" w:lineRule="auto"/>
        <w:jc w:val="both"/>
        <w:rPr>
          <w:rFonts w:ascii="Times New Roman" w:eastAsia="Times New Roman" w:hAnsi="Times New Roman" w:cs="Times New Roman"/>
          <w:sz w:val="24"/>
          <w:szCs w:val="24"/>
          <w:lang w:eastAsia="es-ES"/>
        </w:rPr>
      </w:pPr>
      <w:r w:rsidRPr="001B2615">
        <w:rPr>
          <w:rFonts w:ascii="Times New Roman" w:eastAsia="Times New Roman" w:hAnsi="Times New Roman" w:cs="Times New Roman"/>
          <w:sz w:val="24"/>
          <w:szCs w:val="24"/>
          <w:lang w:eastAsia="es-ES"/>
        </w:rPr>
        <w:t>Al analizar los histogramas de frecuencia (Figura 12), se observa una distribución cercana a la normal de los comportamientos de los valores de cada variable.</w:t>
      </w:r>
    </w:p>
    <w:p w:rsidR="00525C19" w:rsidRPr="001B2615" w:rsidRDefault="00525C19" w:rsidP="001B2615">
      <w:pPr>
        <w:spacing w:after="0" w:line="360" w:lineRule="auto"/>
        <w:jc w:val="center"/>
        <w:rPr>
          <w:rFonts w:ascii="Times New Roman" w:hAnsi="Times New Roman" w:cs="Times New Roman"/>
          <w:b/>
          <w:sz w:val="24"/>
          <w:szCs w:val="24"/>
        </w:rPr>
      </w:pPr>
      <w:r w:rsidRPr="001B2615">
        <w:rPr>
          <w:rFonts w:ascii="Times New Roman" w:hAnsi="Times New Roman" w:cs="Times New Roman"/>
          <w:b/>
          <w:noProof/>
          <w:sz w:val="24"/>
          <w:szCs w:val="24"/>
          <w:lang w:eastAsia="es-ES"/>
        </w:rPr>
        <w:drawing>
          <wp:inline distT="0" distB="0" distL="0" distR="0" wp14:anchorId="0FA57074" wp14:editId="58D7DE6B">
            <wp:extent cx="5400040" cy="104974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1049745"/>
                    </a:xfrm>
                    <a:prstGeom prst="rect">
                      <a:avLst/>
                    </a:prstGeom>
                    <a:noFill/>
                    <a:ln>
                      <a:noFill/>
                    </a:ln>
                  </pic:spPr>
                </pic:pic>
              </a:graphicData>
            </a:graphic>
          </wp:inline>
        </w:drawing>
      </w:r>
    </w:p>
    <w:p w:rsidR="00525C19" w:rsidRPr="001B2615" w:rsidRDefault="00525C19" w:rsidP="001B2615">
      <w:pPr>
        <w:spacing w:after="0" w:line="360" w:lineRule="auto"/>
        <w:jc w:val="center"/>
        <w:rPr>
          <w:rFonts w:ascii="Times New Roman" w:hAnsi="Times New Roman" w:cs="Times New Roman"/>
          <w:sz w:val="24"/>
          <w:szCs w:val="24"/>
        </w:rPr>
      </w:pPr>
      <w:r w:rsidRPr="001B2615">
        <w:rPr>
          <w:rFonts w:ascii="Times New Roman" w:hAnsi="Times New Roman" w:cs="Times New Roman"/>
          <w:sz w:val="24"/>
          <w:szCs w:val="24"/>
        </w:rPr>
        <w:t>FIGURA 12. Histogramas de ángulos de fricción para vainas en superficies de goma, madera y acero.</w:t>
      </w:r>
    </w:p>
    <w:p w:rsidR="00525C19" w:rsidRPr="001B2615" w:rsidRDefault="00525C19" w:rsidP="001B2615">
      <w:pPr>
        <w:spacing w:after="0" w:line="360" w:lineRule="auto"/>
        <w:jc w:val="both"/>
        <w:rPr>
          <w:rFonts w:ascii="Times New Roman" w:hAnsi="Times New Roman" w:cs="Times New Roman"/>
          <w:b/>
          <w:sz w:val="24"/>
          <w:szCs w:val="24"/>
        </w:rPr>
      </w:pPr>
      <w:r w:rsidRPr="001B2615">
        <w:rPr>
          <w:rFonts w:ascii="Times New Roman" w:hAnsi="Times New Roman" w:cs="Times New Roman"/>
          <w:b/>
          <w:sz w:val="24"/>
          <w:szCs w:val="24"/>
        </w:rPr>
        <w:t>CONCLUSIONES</w:t>
      </w:r>
    </w:p>
    <w:p w:rsidR="00525C19" w:rsidRPr="001B2615" w:rsidRDefault="00525C19" w:rsidP="001B2615">
      <w:pPr>
        <w:pStyle w:val="Prrafodelista"/>
        <w:numPr>
          <w:ilvl w:val="0"/>
          <w:numId w:val="2"/>
        </w:numPr>
        <w:tabs>
          <w:tab w:val="left" w:pos="426"/>
        </w:tabs>
        <w:spacing w:after="0" w:line="360" w:lineRule="auto"/>
        <w:ind w:left="0" w:hanging="11"/>
        <w:jc w:val="both"/>
        <w:rPr>
          <w:rFonts w:ascii="Times New Roman" w:hAnsi="Times New Roman" w:cs="Times New Roman"/>
          <w:sz w:val="24"/>
          <w:szCs w:val="24"/>
        </w:rPr>
      </w:pPr>
      <w:r w:rsidRPr="001B2615">
        <w:rPr>
          <w:rFonts w:ascii="Times New Roman" w:eastAsia="Times New Roman" w:hAnsi="Times New Roman" w:cs="Times New Roman"/>
          <w:sz w:val="24"/>
          <w:szCs w:val="24"/>
          <w:lang w:eastAsia="es-ES"/>
        </w:rPr>
        <w:t xml:space="preserve">En los granos </w:t>
      </w:r>
      <w:r w:rsidRPr="001B2615">
        <w:rPr>
          <w:rFonts w:ascii="Times New Roman" w:hAnsi="Times New Roman" w:cs="Times New Roman"/>
          <w:sz w:val="24"/>
          <w:szCs w:val="24"/>
        </w:rPr>
        <w:t xml:space="preserve">de gandul verde variedad </w:t>
      </w:r>
      <w:r w:rsidRPr="001B2615">
        <w:rPr>
          <w:rFonts w:ascii="Times New Roman" w:eastAsia="Times New Roman" w:hAnsi="Times New Roman" w:cs="Times New Roman"/>
          <w:i/>
          <w:sz w:val="24"/>
          <w:szCs w:val="24"/>
          <w:lang w:eastAsia="es-ES"/>
        </w:rPr>
        <w:t xml:space="preserve">Gwailor–3 </w:t>
      </w:r>
      <w:r w:rsidRPr="001B2615">
        <w:rPr>
          <w:rFonts w:ascii="Times New Roman" w:eastAsia="Times New Roman" w:hAnsi="Times New Roman" w:cs="Times New Roman"/>
          <w:sz w:val="24"/>
          <w:szCs w:val="24"/>
          <w:lang w:eastAsia="es-ES"/>
        </w:rPr>
        <w:t>el largo, ancho, espesor, de los mismos varía entre 8,5 y 11,7 mm; 9,0 y 10,8 mm y 5,5 y 7,1 mm</w:t>
      </w:r>
      <w:r w:rsidRPr="001B2615">
        <w:rPr>
          <w:rFonts w:ascii="Times New Roman" w:hAnsi="Times New Roman" w:cs="Times New Roman"/>
          <w:sz w:val="24"/>
          <w:szCs w:val="24"/>
        </w:rPr>
        <w:t xml:space="preserve">, respectivamente. El </w:t>
      </w:r>
      <w:r w:rsidRPr="001B2615">
        <w:rPr>
          <w:rFonts w:ascii="Times New Roman" w:eastAsia="Times New Roman" w:hAnsi="Times New Roman" w:cs="Times New Roman"/>
          <w:sz w:val="24"/>
          <w:szCs w:val="24"/>
          <w:lang w:eastAsia="es-ES"/>
        </w:rPr>
        <w:t xml:space="preserve">diámetro medio geométrico </w:t>
      </w:r>
      <w:r w:rsidRPr="001B2615">
        <w:rPr>
          <w:rFonts w:ascii="Times New Roman" w:hAnsi="Times New Roman" w:cs="Times New Roman"/>
          <w:sz w:val="24"/>
          <w:szCs w:val="24"/>
        </w:rPr>
        <w:t xml:space="preserve">de </w:t>
      </w:r>
      <w:r w:rsidRPr="001B2615">
        <w:rPr>
          <w:rFonts w:ascii="Times New Roman" w:eastAsia="Times New Roman" w:hAnsi="Times New Roman" w:cs="Times New Roman"/>
          <w:sz w:val="24"/>
          <w:szCs w:val="24"/>
          <w:lang w:eastAsia="es-ES"/>
        </w:rPr>
        <w:t xml:space="preserve">9,06 y </w:t>
      </w:r>
      <w:r w:rsidRPr="001B2615">
        <w:rPr>
          <w:rFonts w:ascii="Times New Roman" w:hAnsi="Times New Roman" w:cs="Times New Roman"/>
          <w:sz w:val="24"/>
          <w:szCs w:val="24"/>
        </w:rPr>
        <w:t xml:space="preserve">el </w:t>
      </w:r>
      <w:r w:rsidRPr="001B2615">
        <w:rPr>
          <w:rFonts w:ascii="Times New Roman" w:eastAsia="Times New Roman" w:hAnsi="Times New Roman" w:cs="Times New Roman"/>
          <w:sz w:val="24"/>
          <w:szCs w:val="24"/>
          <w:lang w:eastAsia="es-ES"/>
        </w:rPr>
        <w:t>aritmético</w:t>
      </w:r>
      <w:r w:rsidRPr="001B2615">
        <w:rPr>
          <w:rFonts w:ascii="Times New Roman" w:hAnsi="Times New Roman" w:cs="Times New Roman"/>
          <w:sz w:val="24"/>
          <w:szCs w:val="24"/>
        </w:rPr>
        <w:t xml:space="preserve"> de</w:t>
      </w:r>
      <w:r w:rsidRPr="001B2615">
        <w:rPr>
          <w:rFonts w:ascii="Times New Roman" w:eastAsia="Times New Roman" w:hAnsi="Times New Roman" w:cs="Times New Roman"/>
          <w:sz w:val="24"/>
          <w:szCs w:val="24"/>
          <w:lang w:eastAsia="es-ES"/>
        </w:rPr>
        <w:t xml:space="preserve"> 8,63 mm, garantizando su calidad </w:t>
      </w:r>
      <w:r w:rsidRPr="001B2615">
        <w:rPr>
          <w:rFonts w:ascii="Times New Roman" w:hAnsi="Times New Roman" w:cs="Times New Roman"/>
          <w:sz w:val="24"/>
          <w:szCs w:val="24"/>
        </w:rPr>
        <w:t>comercial.</w:t>
      </w:r>
    </w:p>
    <w:p w:rsidR="00525C19" w:rsidRPr="001B2615" w:rsidRDefault="00525C19" w:rsidP="001B2615">
      <w:pPr>
        <w:pStyle w:val="Prrafodelista"/>
        <w:numPr>
          <w:ilvl w:val="0"/>
          <w:numId w:val="2"/>
        </w:numPr>
        <w:tabs>
          <w:tab w:val="left" w:pos="426"/>
        </w:tabs>
        <w:spacing w:after="0" w:line="360" w:lineRule="auto"/>
        <w:ind w:left="0" w:hanging="11"/>
        <w:jc w:val="both"/>
        <w:rPr>
          <w:rFonts w:ascii="Times New Roman" w:hAnsi="Times New Roman" w:cs="Times New Roman"/>
          <w:sz w:val="24"/>
          <w:szCs w:val="24"/>
        </w:rPr>
      </w:pPr>
      <w:r w:rsidRPr="001B2615">
        <w:rPr>
          <w:rFonts w:ascii="Times New Roman" w:hAnsi="Times New Roman" w:cs="Times New Roman"/>
          <w:sz w:val="24"/>
          <w:szCs w:val="24"/>
        </w:rPr>
        <w:t>El ángulo de fricción medio de los granos sobre superficie de goma, madera y acero es de 43,6º; 21,07º y 20,13º respectivamente y para vainas de 34,9º; 35,38º y 25,95º, l</w:t>
      </w:r>
      <w:r w:rsidRPr="001B2615">
        <w:rPr>
          <w:rFonts w:ascii="Times New Roman" w:eastAsia="Times New Roman" w:hAnsi="Times New Roman" w:cs="Times New Roman"/>
          <w:sz w:val="24"/>
          <w:szCs w:val="24"/>
          <w:lang w:eastAsia="es-ES"/>
        </w:rPr>
        <w:t xml:space="preserve">o que significa que </w:t>
      </w:r>
      <w:r w:rsidRPr="001B2615">
        <w:rPr>
          <w:rFonts w:ascii="Times New Roman" w:hAnsi="Times New Roman" w:cs="Times New Roman"/>
          <w:sz w:val="24"/>
          <w:szCs w:val="24"/>
        </w:rPr>
        <w:t>el material más conveniente a utilizar es la goma para cubrir las superficies de contacto, lo que permite realizar la alimentación a los rodillos desgranadores de forma progresiva evitando así el atasco de los mismos, así como la separación de las vainas y granos</w:t>
      </w:r>
      <w:r w:rsidRPr="001B2615">
        <w:rPr>
          <w:rFonts w:ascii="Times New Roman" w:eastAsia="Times New Roman" w:hAnsi="Times New Roman" w:cs="Times New Roman"/>
          <w:sz w:val="24"/>
          <w:szCs w:val="24"/>
          <w:lang w:eastAsia="es-ES"/>
        </w:rPr>
        <w:t>.</w:t>
      </w:r>
    </w:p>
    <w:p w:rsidR="00525C19" w:rsidRPr="001B2615" w:rsidRDefault="00525C19" w:rsidP="001B2615">
      <w:pPr>
        <w:spacing w:after="0" w:line="360" w:lineRule="auto"/>
        <w:jc w:val="both"/>
        <w:rPr>
          <w:rFonts w:ascii="Times New Roman" w:hAnsi="Times New Roman" w:cs="Times New Roman"/>
          <w:b/>
          <w:sz w:val="24"/>
          <w:szCs w:val="24"/>
        </w:rPr>
      </w:pPr>
    </w:p>
    <w:p w:rsidR="00525C19" w:rsidRPr="001B2615" w:rsidRDefault="00525C19" w:rsidP="001B2615">
      <w:pPr>
        <w:spacing w:after="0" w:line="360" w:lineRule="auto"/>
        <w:jc w:val="both"/>
        <w:rPr>
          <w:rFonts w:ascii="Times New Roman" w:hAnsi="Times New Roman" w:cs="Times New Roman"/>
          <w:b/>
          <w:sz w:val="24"/>
          <w:szCs w:val="24"/>
          <w:lang w:val="en-CA"/>
        </w:rPr>
      </w:pPr>
      <w:r w:rsidRPr="001B2615">
        <w:rPr>
          <w:rFonts w:ascii="Times New Roman" w:hAnsi="Times New Roman" w:cs="Times New Roman"/>
          <w:b/>
          <w:sz w:val="24"/>
          <w:szCs w:val="24"/>
          <w:lang w:val="en-CA"/>
        </w:rPr>
        <w:t>REFERENCES / REFERENCIAS BIBLIOGRÁFICAS</w:t>
      </w:r>
    </w:p>
    <w:p w:rsidR="00525C19" w:rsidRPr="001B2615" w:rsidRDefault="00525C19" w:rsidP="001B2615">
      <w:pPr>
        <w:pStyle w:val="Bibliografa"/>
        <w:numPr>
          <w:ilvl w:val="0"/>
          <w:numId w:val="3"/>
        </w:numPr>
        <w:tabs>
          <w:tab w:val="left" w:pos="426"/>
        </w:tabs>
        <w:spacing w:after="0" w:line="360" w:lineRule="auto"/>
        <w:ind w:left="0" w:hanging="11"/>
        <w:jc w:val="both"/>
        <w:rPr>
          <w:rFonts w:ascii="Times New Roman" w:hAnsi="Times New Roman" w:cs="Times New Roman"/>
          <w:sz w:val="24"/>
          <w:szCs w:val="24"/>
          <w:lang w:val="en-CA"/>
        </w:rPr>
      </w:pPr>
      <w:r w:rsidRPr="001B2615">
        <w:rPr>
          <w:rFonts w:ascii="Times New Roman" w:hAnsi="Times New Roman" w:cs="Times New Roman"/>
          <w:b/>
          <w:sz w:val="24"/>
          <w:szCs w:val="24"/>
        </w:rPr>
        <w:fldChar w:fldCharType="begin"/>
      </w:r>
      <w:r w:rsidRPr="001B2615">
        <w:rPr>
          <w:rFonts w:ascii="Times New Roman" w:hAnsi="Times New Roman" w:cs="Times New Roman"/>
          <w:b/>
          <w:sz w:val="24"/>
          <w:szCs w:val="24"/>
          <w:lang w:val="en-CA"/>
        </w:rPr>
        <w:instrText xml:space="preserve"> ADDIN ZOTERO_BIBL {"custom":[]} CSL_BIBLIOGRAPHY </w:instrText>
      </w:r>
      <w:r w:rsidRPr="001B2615">
        <w:rPr>
          <w:rFonts w:ascii="Times New Roman" w:hAnsi="Times New Roman" w:cs="Times New Roman"/>
          <w:b/>
          <w:sz w:val="24"/>
          <w:szCs w:val="24"/>
        </w:rPr>
        <w:fldChar w:fldCharType="separate"/>
      </w:r>
      <w:r w:rsidRPr="001B2615">
        <w:rPr>
          <w:rFonts w:ascii="Times New Roman" w:hAnsi="Times New Roman" w:cs="Times New Roman"/>
          <w:sz w:val="24"/>
          <w:szCs w:val="24"/>
          <w:lang w:val="en-CA"/>
        </w:rPr>
        <w:t xml:space="preserve">ABRAMS, R.; JULIA, E.J.: “Effect of planting time, plan population and row spacing on yields and other characteristics of pigeon pea (Cajanus Cajan. Millsp)”, </w:t>
      </w:r>
      <w:r w:rsidRPr="001B2615">
        <w:rPr>
          <w:rFonts w:ascii="Times New Roman" w:hAnsi="Times New Roman" w:cs="Times New Roman"/>
          <w:i/>
          <w:iCs/>
          <w:sz w:val="24"/>
          <w:szCs w:val="24"/>
          <w:lang w:val="en-CA"/>
        </w:rPr>
        <w:t>The journal of Agriculture of the University of Puerto Rico</w:t>
      </w:r>
      <w:r w:rsidRPr="001B2615">
        <w:rPr>
          <w:rFonts w:ascii="Times New Roman" w:hAnsi="Times New Roman" w:cs="Times New Roman"/>
          <w:sz w:val="24"/>
          <w:szCs w:val="24"/>
          <w:lang w:val="en-CA"/>
        </w:rPr>
        <w:t>, 2, 1973.</w:t>
      </w:r>
    </w:p>
    <w:p w:rsidR="00525C19" w:rsidRPr="001B2615" w:rsidRDefault="00525C19" w:rsidP="001B2615">
      <w:pPr>
        <w:pStyle w:val="Bibliografa"/>
        <w:numPr>
          <w:ilvl w:val="0"/>
          <w:numId w:val="3"/>
        </w:numPr>
        <w:tabs>
          <w:tab w:val="left" w:pos="426"/>
        </w:tabs>
        <w:spacing w:after="0" w:line="360" w:lineRule="auto"/>
        <w:ind w:left="0" w:hanging="11"/>
        <w:jc w:val="both"/>
        <w:rPr>
          <w:rFonts w:ascii="Times New Roman" w:hAnsi="Times New Roman" w:cs="Times New Roman"/>
          <w:sz w:val="24"/>
          <w:szCs w:val="24"/>
        </w:rPr>
      </w:pPr>
      <w:r w:rsidRPr="001B2615">
        <w:rPr>
          <w:rFonts w:ascii="Times New Roman" w:hAnsi="Times New Roman" w:cs="Times New Roman"/>
          <w:sz w:val="24"/>
          <w:szCs w:val="24"/>
        </w:rPr>
        <w:t xml:space="preserve">CASTRO, G.: </w:t>
      </w:r>
      <w:r w:rsidRPr="001B2615">
        <w:rPr>
          <w:rFonts w:ascii="Times New Roman" w:hAnsi="Times New Roman" w:cs="Times New Roman"/>
          <w:i/>
          <w:iCs/>
          <w:sz w:val="24"/>
          <w:szCs w:val="24"/>
        </w:rPr>
        <w:t>Propiedades físicas de los productos vegetales, su sentido físico y aplicacione</w:t>
      </w:r>
      <w:r w:rsidRPr="001B2615">
        <w:rPr>
          <w:rFonts w:ascii="Times New Roman" w:hAnsi="Times New Roman" w:cs="Times New Roman"/>
          <w:sz w:val="24"/>
          <w:szCs w:val="24"/>
        </w:rPr>
        <w:t>, Inst. Universidad Nacional de Colombia. Facultad de Ciencias Agropecuarias, Medellin, Colombia, 103 p., 1996.</w:t>
      </w:r>
    </w:p>
    <w:p w:rsidR="00525C19" w:rsidRPr="001B2615" w:rsidRDefault="00525C19" w:rsidP="001B2615">
      <w:pPr>
        <w:pStyle w:val="Bibliografa"/>
        <w:numPr>
          <w:ilvl w:val="0"/>
          <w:numId w:val="3"/>
        </w:numPr>
        <w:tabs>
          <w:tab w:val="left" w:pos="426"/>
        </w:tabs>
        <w:spacing w:after="0" w:line="360" w:lineRule="auto"/>
        <w:ind w:left="0" w:hanging="11"/>
        <w:jc w:val="both"/>
        <w:rPr>
          <w:rFonts w:ascii="Times New Roman" w:hAnsi="Times New Roman" w:cs="Times New Roman"/>
          <w:sz w:val="24"/>
          <w:szCs w:val="24"/>
        </w:rPr>
      </w:pPr>
      <w:r w:rsidRPr="001B2615">
        <w:rPr>
          <w:rFonts w:ascii="Times New Roman" w:hAnsi="Times New Roman" w:cs="Times New Roman"/>
          <w:sz w:val="24"/>
          <w:szCs w:val="24"/>
        </w:rPr>
        <w:t xml:space="preserve">CIAT (CENTRO INTERNACIONAL DE AGRICULTURA TROPICAL): </w:t>
      </w:r>
      <w:r w:rsidRPr="001B2615">
        <w:rPr>
          <w:rFonts w:ascii="Times New Roman" w:hAnsi="Times New Roman" w:cs="Times New Roman"/>
          <w:i/>
          <w:iCs/>
          <w:sz w:val="24"/>
          <w:szCs w:val="24"/>
        </w:rPr>
        <w:t>Pastos Tropicales</w:t>
      </w:r>
      <w:r w:rsidRPr="001B2615">
        <w:rPr>
          <w:rFonts w:ascii="Times New Roman" w:hAnsi="Times New Roman" w:cs="Times New Roman"/>
          <w:sz w:val="24"/>
          <w:szCs w:val="24"/>
        </w:rPr>
        <w:t>, boletín Informativo, Cali, Colombia, 5-6 p., diciembre de 1983.</w:t>
      </w:r>
    </w:p>
    <w:p w:rsidR="00525C19" w:rsidRPr="001B2615" w:rsidRDefault="00525C19" w:rsidP="001B2615">
      <w:pPr>
        <w:pStyle w:val="Bibliografa"/>
        <w:numPr>
          <w:ilvl w:val="0"/>
          <w:numId w:val="3"/>
        </w:numPr>
        <w:tabs>
          <w:tab w:val="left" w:pos="426"/>
        </w:tabs>
        <w:spacing w:after="0" w:line="360" w:lineRule="auto"/>
        <w:ind w:left="0" w:hanging="11"/>
        <w:jc w:val="both"/>
        <w:rPr>
          <w:rFonts w:ascii="Times New Roman" w:hAnsi="Times New Roman" w:cs="Times New Roman"/>
          <w:sz w:val="24"/>
          <w:szCs w:val="24"/>
          <w:lang w:val="en-CA"/>
        </w:rPr>
      </w:pPr>
      <w:r w:rsidRPr="001B2615">
        <w:rPr>
          <w:rFonts w:ascii="Times New Roman" w:hAnsi="Times New Roman" w:cs="Times New Roman"/>
          <w:sz w:val="24"/>
          <w:szCs w:val="24"/>
          <w:lang w:val="en-CA"/>
        </w:rPr>
        <w:t xml:space="preserve">DUKE, J.: </w:t>
      </w:r>
      <w:r w:rsidRPr="001B2615">
        <w:rPr>
          <w:rFonts w:ascii="Times New Roman" w:hAnsi="Times New Roman" w:cs="Times New Roman"/>
          <w:i/>
          <w:iCs/>
          <w:sz w:val="24"/>
          <w:szCs w:val="24"/>
          <w:lang w:val="en-CA"/>
        </w:rPr>
        <w:t>Handbook of legumes of world economic importance</w:t>
      </w:r>
      <w:r w:rsidRPr="001B2615">
        <w:rPr>
          <w:rFonts w:ascii="Times New Roman" w:hAnsi="Times New Roman" w:cs="Times New Roman"/>
          <w:sz w:val="24"/>
          <w:szCs w:val="24"/>
          <w:lang w:val="en-CA"/>
        </w:rPr>
        <w:t>, Ed. Springer Science &amp; Business Media, 2012.</w:t>
      </w:r>
    </w:p>
    <w:p w:rsidR="00525C19" w:rsidRPr="001B2615" w:rsidRDefault="00525C19" w:rsidP="001B2615">
      <w:pPr>
        <w:pStyle w:val="Bibliografa"/>
        <w:numPr>
          <w:ilvl w:val="0"/>
          <w:numId w:val="3"/>
        </w:numPr>
        <w:tabs>
          <w:tab w:val="left" w:pos="426"/>
        </w:tabs>
        <w:spacing w:after="0" w:line="360" w:lineRule="auto"/>
        <w:ind w:left="0" w:hanging="11"/>
        <w:jc w:val="both"/>
        <w:rPr>
          <w:rFonts w:ascii="Times New Roman" w:hAnsi="Times New Roman" w:cs="Times New Roman"/>
          <w:sz w:val="24"/>
          <w:szCs w:val="24"/>
          <w:lang w:val="en-CA"/>
        </w:rPr>
      </w:pPr>
      <w:r w:rsidRPr="001B2615">
        <w:rPr>
          <w:rFonts w:ascii="Times New Roman" w:hAnsi="Times New Roman" w:cs="Times New Roman"/>
          <w:sz w:val="24"/>
          <w:szCs w:val="24"/>
          <w:lang w:val="en-CA"/>
        </w:rPr>
        <w:t xml:space="preserve">GANE, A.J.: “Vining peas in England”, En: </w:t>
      </w:r>
      <w:r w:rsidRPr="001B2615">
        <w:rPr>
          <w:rFonts w:ascii="Times New Roman" w:hAnsi="Times New Roman" w:cs="Times New Roman"/>
          <w:i/>
          <w:iCs/>
          <w:sz w:val="24"/>
          <w:szCs w:val="24"/>
          <w:lang w:val="en-CA"/>
        </w:rPr>
        <w:t>Dissertations published by PGRO</w:t>
      </w:r>
      <w:r w:rsidRPr="001B2615">
        <w:rPr>
          <w:rFonts w:ascii="Times New Roman" w:hAnsi="Times New Roman" w:cs="Times New Roman"/>
          <w:sz w:val="24"/>
          <w:szCs w:val="24"/>
          <w:lang w:val="en-CA"/>
        </w:rPr>
        <w:t>, England, 1972.</w:t>
      </w:r>
    </w:p>
    <w:p w:rsidR="00525C19" w:rsidRPr="001B2615" w:rsidRDefault="00525C19" w:rsidP="001B2615">
      <w:pPr>
        <w:pStyle w:val="Bibliografa"/>
        <w:numPr>
          <w:ilvl w:val="0"/>
          <w:numId w:val="3"/>
        </w:numPr>
        <w:tabs>
          <w:tab w:val="left" w:pos="426"/>
        </w:tabs>
        <w:spacing w:after="0" w:line="360" w:lineRule="auto"/>
        <w:ind w:left="0" w:hanging="11"/>
        <w:jc w:val="both"/>
        <w:rPr>
          <w:rFonts w:ascii="Times New Roman" w:hAnsi="Times New Roman" w:cs="Times New Roman"/>
          <w:sz w:val="24"/>
          <w:szCs w:val="24"/>
          <w:lang w:val="en-CA"/>
        </w:rPr>
      </w:pPr>
      <w:r w:rsidRPr="001B2615">
        <w:rPr>
          <w:rFonts w:ascii="Times New Roman" w:hAnsi="Times New Roman" w:cs="Times New Roman"/>
          <w:sz w:val="24"/>
          <w:szCs w:val="24"/>
          <w:lang w:val="en-CA"/>
        </w:rPr>
        <w:t xml:space="preserve">KHAN, K.; MOSES, S.C.; KUMAR, A.: “Physical Properties of Pigeon Pea Grains at Different Moisture Content”, </w:t>
      </w:r>
      <w:r w:rsidRPr="001B2615">
        <w:rPr>
          <w:rFonts w:ascii="Times New Roman" w:hAnsi="Times New Roman" w:cs="Times New Roman"/>
          <w:i/>
          <w:iCs/>
          <w:sz w:val="24"/>
          <w:szCs w:val="24"/>
          <w:lang w:val="en-CA"/>
        </w:rPr>
        <w:t>International Journal of Pure and Applied Bioscience</w:t>
      </w:r>
      <w:r w:rsidRPr="001B2615">
        <w:rPr>
          <w:rFonts w:ascii="Times New Roman" w:hAnsi="Times New Roman" w:cs="Times New Roman"/>
          <w:sz w:val="24"/>
          <w:szCs w:val="24"/>
          <w:lang w:val="en-CA"/>
        </w:rPr>
        <w:t>, 5(2): 556–562, 2017, ISSN: 2320 – 7051, DOI: http://dx.doi.org/10.18782/2320-7051.2534.</w:t>
      </w:r>
    </w:p>
    <w:p w:rsidR="00525C19" w:rsidRPr="001B2615" w:rsidRDefault="00525C19" w:rsidP="001B2615">
      <w:pPr>
        <w:pStyle w:val="Bibliografa"/>
        <w:numPr>
          <w:ilvl w:val="0"/>
          <w:numId w:val="3"/>
        </w:numPr>
        <w:tabs>
          <w:tab w:val="left" w:pos="426"/>
        </w:tabs>
        <w:spacing w:after="0" w:line="360" w:lineRule="auto"/>
        <w:ind w:left="0" w:hanging="11"/>
        <w:jc w:val="both"/>
        <w:rPr>
          <w:rFonts w:ascii="Times New Roman" w:hAnsi="Times New Roman" w:cs="Times New Roman"/>
          <w:sz w:val="24"/>
          <w:szCs w:val="24"/>
        </w:rPr>
      </w:pPr>
      <w:r w:rsidRPr="001B2615">
        <w:rPr>
          <w:rFonts w:ascii="Times New Roman" w:hAnsi="Times New Roman" w:cs="Times New Roman"/>
          <w:sz w:val="24"/>
          <w:szCs w:val="24"/>
        </w:rPr>
        <w:t xml:space="preserve">LUYARATI, D.N.: </w:t>
      </w:r>
      <w:r w:rsidRPr="001B2615">
        <w:rPr>
          <w:rFonts w:ascii="Times New Roman" w:hAnsi="Times New Roman" w:cs="Times New Roman"/>
          <w:i/>
          <w:iCs/>
          <w:sz w:val="24"/>
          <w:szCs w:val="24"/>
        </w:rPr>
        <w:t>Economía</w:t>
      </w:r>
      <w:r w:rsidRPr="001B2615">
        <w:rPr>
          <w:rFonts w:ascii="Times New Roman" w:hAnsi="Times New Roman" w:cs="Times New Roman"/>
          <w:sz w:val="24"/>
          <w:szCs w:val="24"/>
        </w:rPr>
        <w:t>, Ed. ENPES, Ediciones ENPES 2da edición ed., 597 p., 1997.</w:t>
      </w:r>
    </w:p>
    <w:p w:rsidR="00525C19" w:rsidRPr="001B2615" w:rsidRDefault="00525C19" w:rsidP="001B2615">
      <w:pPr>
        <w:pStyle w:val="Bibliografa"/>
        <w:numPr>
          <w:ilvl w:val="0"/>
          <w:numId w:val="3"/>
        </w:numPr>
        <w:tabs>
          <w:tab w:val="left" w:pos="426"/>
        </w:tabs>
        <w:spacing w:after="0" w:line="360" w:lineRule="auto"/>
        <w:ind w:left="0" w:hanging="11"/>
        <w:jc w:val="both"/>
        <w:rPr>
          <w:rFonts w:ascii="Times New Roman" w:hAnsi="Times New Roman" w:cs="Times New Roman"/>
          <w:sz w:val="24"/>
          <w:szCs w:val="24"/>
          <w:lang w:val="en-CA"/>
        </w:rPr>
      </w:pPr>
      <w:r w:rsidRPr="001B2615">
        <w:rPr>
          <w:rFonts w:ascii="Times New Roman" w:hAnsi="Times New Roman" w:cs="Times New Roman"/>
          <w:sz w:val="24"/>
          <w:szCs w:val="24"/>
          <w:lang w:val="en-CA"/>
        </w:rPr>
        <w:t xml:space="preserve">MOHSENIN, N.N.: </w:t>
      </w:r>
      <w:r w:rsidRPr="001B2615">
        <w:rPr>
          <w:rFonts w:ascii="Times New Roman" w:hAnsi="Times New Roman" w:cs="Times New Roman"/>
          <w:i/>
          <w:iCs/>
          <w:sz w:val="24"/>
          <w:szCs w:val="24"/>
          <w:lang w:val="en-CA"/>
        </w:rPr>
        <w:t>Physical properties of plant and animal materials</w:t>
      </w:r>
      <w:r w:rsidRPr="001B2615">
        <w:rPr>
          <w:rFonts w:ascii="Times New Roman" w:hAnsi="Times New Roman" w:cs="Times New Roman"/>
          <w:sz w:val="24"/>
          <w:szCs w:val="24"/>
          <w:lang w:val="en-CA"/>
        </w:rPr>
        <w:t>, Ed. Gordon Breach Science Publishers, 2nd ed., vol. 1, New York, USA, 1986.</w:t>
      </w:r>
    </w:p>
    <w:p w:rsidR="00525C19" w:rsidRPr="001B2615" w:rsidRDefault="00525C19" w:rsidP="001B2615">
      <w:pPr>
        <w:pStyle w:val="Bibliografa"/>
        <w:numPr>
          <w:ilvl w:val="0"/>
          <w:numId w:val="3"/>
        </w:numPr>
        <w:tabs>
          <w:tab w:val="left" w:pos="426"/>
        </w:tabs>
        <w:spacing w:after="0" w:line="360" w:lineRule="auto"/>
        <w:ind w:left="0" w:hanging="11"/>
        <w:jc w:val="both"/>
        <w:rPr>
          <w:rFonts w:ascii="Times New Roman" w:hAnsi="Times New Roman" w:cs="Times New Roman"/>
          <w:sz w:val="24"/>
          <w:szCs w:val="24"/>
        </w:rPr>
      </w:pPr>
      <w:r w:rsidRPr="001B2615">
        <w:rPr>
          <w:rFonts w:ascii="Times New Roman" w:hAnsi="Times New Roman" w:cs="Times New Roman"/>
          <w:sz w:val="24"/>
          <w:szCs w:val="24"/>
        </w:rPr>
        <w:t xml:space="preserve">NEME, Y.L.; SHEILA, V.K.: </w:t>
      </w:r>
      <w:r w:rsidRPr="001B2615">
        <w:rPr>
          <w:rFonts w:ascii="Times New Roman" w:hAnsi="Times New Roman" w:cs="Times New Roman"/>
          <w:i/>
          <w:iCs/>
          <w:sz w:val="24"/>
          <w:szCs w:val="24"/>
        </w:rPr>
        <w:t>Gandúl; geografía e importancia</w:t>
      </w:r>
      <w:r w:rsidRPr="001B2615">
        <w:rPr>
          <w:rFonts w:ascii="Times New Roman" w:hAnsi="Times New Roman" w:cs="Times New Roman"/>
          <w:sz w:val="24"/>
          <w:szCs w:val="24"/>
        </w:rPr>
        <w:t>, Patanchene, India., 1-14 p., 1990.</w:t>
      </w:r>
    </w:p>
    <w:p w:rsidR="00525C19" w:rsidRPr="001B2615" w:rsidRDefault="00525C19" w:rsidP="001B2615">
      <w:pPr>
        <w:pStyle w:val="Bibliografa"/>
        <w:numPr>
          <w:ilvl w:val="0"/>
          <w:numId w:val="3"/>
        </w:numPr>
        <w:tabs>
          <w:tab w:val="left" w:pos="426"/>
        </w:tabs>
        <w:spacing w:after="0" w:line="360" w:lineRule="auto"/>
        <w:ind w:left="0" w:hanging="11"/>
        <w:jc w:val="both"/>
        <w:rPr>
          <w:rFonts w:ascii="Times New Roman" w:hAnsi="Times New Roman" w:cs="Times New Roman"/>
          <w:sz w:val="24"/>
          <w:szCs w:val="24"/>
        </w:rPr>
      </w:pPr>
      <w:r w:rsidRPr="001B2615">
        <w:rPr>
          <w:rFonts w:ascii="Times New Roman" w:hAnsi="Times New Roman" w:cs="Times New Roman"/>
          <w:sz w:val="24"/>
          <w:szCs w:val="24"/>
        </w:rPr>
        <w:t xml:space="preserve">OSPINA, M.; JULIO, E.: </w:t>
      </w:r>
      <w:r w:rsidRPr="001B2615">
        <w:rPr>
          <w:rFonts w:ascii="Times New Roman" w:hAnsi="Times New Roman" w:cs="Times New Roman"/>
          <w:i/>
          <w:iCs/>
          <w:sz w:val="24"/>
          <w:szCs w:val="24"/>
        </w:rPr>
        <w:t>Características físico mecánicas y análisis de calidad de granos</w:t>
      </w:r>
      <w:r w:rsidRPr="001B2615">
        <w:rPr>
          <w:rFonts w:ascii="Times New Roman" w:hAnsi="Times New Roman" w:cs="Times New Roman"/>
          <w:sz w:val="24"/>
          <w:szCs w:val="24"/>
        </w:rPr>
        <w:t>, Inst. Universidad Nacional de Colombia. Facultad de Ciencias Agrícolas. Departamento de Ingeniería Agrícola, Bogotá, Colombia, 225 p., 2001.</w:t>
      </w:r>
    </w:p>
    <w:p w:rsidR="00525C19" w:rsidRPr="001B2615" w:rsidRDefault="00525C19" w:rsidP="001B2615">
      <w:pPr>
        <w:pStyle w:val="Bibliografa"/>
        <w:numPr>
          <w:ilvl w:val="0"/>
          <w:numId w:val="3"/>
        </w:numPr>
        <w:tabs>
          <w:tab w:val="left" w:pos="426"/>
        </w:tabs>
        <w:spacing w:after="0" w:line="360" w:lineRule="auto"/>
        <w:ind w:left="0" w:hanging="11"/>
        <w:jc w:val="both"/>
        <w:rPr>
          <w:rFonts w:ascii="Times New Roman" w:hAnsi="Times New Roman" w:cs="Times New Roman"/>
          <w:sz w:val="24"/>
          <w:szCs w:val="24"/>
        </w:rPr>
      </w:pPr>
      <w:r w:rsidRPr="001B2615">
        <w:rPr>
          <w:rFonts w:ascii="Times New Roman" w:hAnsi="Times New Roman" w:cs="Times New Roman"/>
          <w:sz w:val="24"/>
          <w:szCs w:val="24"/>
        </w:rPr>
        <w:t xml:space="preserve">PASOLAC (PROGRAMA PARA LA AGRICULTURA SOSTENIBLE EN LADERAS DE EL SALVADOR): “Lombricultura, una alternativa para pequeños agricultores en laderas”, </w:t>
      </w:r>
      <w:r w:rsidRPr="001B2615">
        <w:rPr>
          <w:rFonts w:ascii="Times New Roman" w:hAnsi="Times New Roman" w:cs="Times New Roman"/>
          <w:i/>
          <w:iCs/>
          <w:sz w:val="24"/>
          <w:szCs w:val="24"/>
        </w:rPr>
        <w:t>Revista Centroamericana Laderas</w:t>
      </w:r>
      <w:r w:rsidRPr="001B2615">
        <w:rPr>
          <w:rFonts w:ascii="Times New Roman" w:hAnsi="Times New Roman" w:cs="Times New Roman"/>
          <w:sz w:val="24"/>
          <w:szCs w:val="24"/>
        </w:rPr>
        <w:t>, 9: 35, diciembre de 2000.</w:t>
      </w:r>
    </w:p>
    <w:p w:rsidR="00525C19" w:rsidRPr="001B2615" w:rsidRDefault="00525C19" w:rsidP="001B2615">
      <w:pPr>
        <w:pStyle w:val="Bibliografa"/>
        <w:numPr>
          <w:ilvl w:val="0"/>
          <w:numId w:val="3"/>
        </w:numPr>
        <w:tabs>
          <w:tab w:val="left" w:pos="426"/>
        </w:tabs>
        <w:spacing w:after="0" w:line="360" w:lineRule="auto"/>
        <w:ind w:left="0" w:hanging="11"/>
        <w:jc w:val="both"/>
        <w:rPr>
          <w:rFonts w:ascii="Times New Roman" w:hAnsi="Times New Roman" w:cs="Times New Roman"/>
          <w:sz w:val="24"/>
          <w:szCs w:val="24"/>
          <w:lang w:val="en-CA"/>
        </w:rPr>
      </w:pPr>
      <w:r w:rsidRPr="001B2615">
        <w:rPr>
          <w:rFonts w:ascii="Times New Roman" w:hAnsi="Times New Roman" w:cs="Times New Roman"/>
          <w:sz w:val="24"/>
          <w:szCs w:val="24"/>
          <w:lang w:val="en-CA"/>
        </w:rPr>
        <w:t xml:space="preserve">RIOLLANO, A.; PEREZ, A.; RAMOS, C.: “Effects of planting date, variety, and plant population on the flowering and yield of pigeon pea (Cajanus cajan L.)”, </w:t>
      </w:r>
      <w:r w:rsidRPr="001B2615">
        <w:rPr>
          <w:rFonts w:ascii="Times New Roman" w:hAnsi="Times New Roman" w:cs="Times New Roman"/>
          <w:i/>
          <w:iCs/>
          <w:sz w:val="24"/>
          <w:szCs w:val="24"/>
          <w:lang w:val="en-CA"/>
        </w:rPr>
        <w:t>Journal of Agriculture of the University of Puerto Rico</w:t>
      </w:r>
      <w:r w:rsidRPr="001B2615">
        <w:rPr>
          <w:rFonts w:ascii="Times New Roman" w:hAnsi="Times New Roman" w:cs="Times New Roman"/>
          <w:sz w:val="24"/>
          <w:szCs w:val="24"/>
          <w:lang w:val="en-CA"/>
        </w:rPr>
        <w:t>, 46(2): 126–134, 1962.</w:t>
      </w:r>
    </w:p>
    <w:p w:rsidR="00525C19" w:rsidRPr="001B2615" w:rsidRDefault="00525C19" w:rsidP="001B2615">
      <w:pPr>
        <w:pStyle w:val="Bibliografa"/>
        <w:numPr>
          <w:ilvl w:val="0"/>
          <w:numId w:val="3"/>
        </w:numPr>
        <w:tabs>
          <w:tab w:val="left" w:pos="426"/>
        </w:tabs>
        <w:spacing w:after="0" w:line="360" w:lineRule="auto"/>
        <w:ind w:left="0" w:hanging="11"/>
        <w:jc w:val="both"/>
        <w:rPr>
          <w:rFonts w:ascii="Times New Roman" w:hAnsi="Times New Roman" w:cs="Times New Roman"/>
          <w:sz w:val="24"/>
          <w:szCs w:val="24"/>
        </w:rPr>
      </w:pPr>
      <w:r w:rsidRPr="001B2615">
        <w:rPr>
          <w:rFonts w:ascii="Times New Roman" w:hAnsi="Times New Roman" w:cs="Times New Roman"/>
          <w:sz w:val="24"/>
          <w:szCs w:val="24"/>
        </w:rPr>
        <w:t xml:space="preserve">ROBLEDO, L.C.: </w:t>
      </w:r>
      <w:r w:rsidRPr="001B2615">
        <w:rPr>
          <w:rFonts w:ascii="Times New Roman" w:hAnsi="Times New Roman" w:cs="Times New Roman"/>
          <w:i/>
          <w:iCs/>
          <w:sz w:val="24"/>
          <w:szCs w:val="24"/>
        </w:rPr>
        <w:t>Gandul Cajanuscajan(L.) Mill sp. Leguminosea</w:t>
      </w:r>
      <w:r w:rsidRPr="001B2615">
        <w:rPr>
          <w:rFonts w:ascii="Times New Roman" w:hAnsi="Times New Roman" w:cs="Times New Roman"/>
          <w:sz w:val="24"/>
          <w:szCs w:val="24"/>
        </w:rPr>
        <w:t xml:space="preserve">, </w:t>
      </w:r>
      <w:r w:rsidRPr="001B2615">
        <w:rPr>
          <w:rFonts w:ascii="Times New Roman" w:hAnsi="Times New Roman" w:cs="Times New Roman"/>
          <w:i/>
          <w:iCs/>
          <w:sz w:val="24"/>
          <w:szCs w:val="24"/>
        </w:rPr>
        <w:t>[en línea]</w:t>
      </w:r>
      <w:r w:rsidRPr="001B2615">
        <w:rPr>
          <w:rFonts w:ascii="Times New Roman" w:hAnsi="Times New Roman" w:cs="Times New Roman"/>
          <w:sz w:val="24"/>
          <w:szCs w:val="24"/>
        </w:rPr>
        <w:t xml:space="preserve">, Inst. Universidad de San Carlos de Guatemala. Facultad de Agronomía, área tecnológica de pastos y forrajes, Guatemala, 2010, </w:t>
      </w:r>
      <w:r w:rsidRPr="001B2615">
        <w:rPr>
          <w:rFonts w:ascii="Times New Roman" w:hAnsi="Times New Roman" w:cs="Times New Roman"/>
          <w:i/>
          <w:iCs/>
          <w:sz w:val="24"/>
          <w:szCs w:val="24"/>
        </w:rPr>
        <w:t>Disponible en: http://es.scribd.com/doc/31118870/Cajanus-cajan-Gandul</w:t>
      </w:r>
      <w:r w:rsidRPr="001B2615">
        <w:rPr>
          <w:rFonts w:ascii="Times New Roman" w:hAnsi="Times New Roman" w:cs="Times New Roman"/>
          <w:sz w:val="24"/>
          <w:szCs w:val="24"/>
        </w:rPr>
        <w:t xml:space="preserve">, </w:t>
      </w:r>
      <w:r w:rsidRPr="001B2615">
        <w:rPr>
          <w:rFonts w:ascii="Times New Roman" w:hAnsi="Times New Roman" w:cs="Times New Roman"/>
          <w:i/>
          <w:iCs/>
          <w:sz w:val="24"/>
          <w:szCs w:val="24"/>
        </w:rPr>
        <w:t>[Consulta: 3 de enero de 2017]</w:t>
      </w:r>
      <w:r w:rsidRPr="001B2615">
        <w:rPr>
          <w:rFonts w:ascii="Times New Roman" w:hAnsi="Times New Roman" w:cs="Times New Roman"/>
          <w:sz w:val="24"/>
          <w:szCs w:val="24"/>
        </w:rPr>
        <w:t>.</w:t>
      </w:r>
    </w:p>
    <w:p w:rsidR="00525C19" w:rsidRPr="001B2615" w:rsidRDefault="00525C19" w:rsidP="001B2615">
      <w:pPr>
        <w:pStyle w:val="Bibliografa"/>
        <w:numPr>
          <w:ilvl w:val="0"/>
          <w:numId w:val="3"/>
        </w:numPr>
        <w:tabs>
          <w:tab w:val="left" w:pos="426"/>
        </w:tabs>
        <w:spacing w:after="0" w:line="360" w:lineRule="auto"/>
        <w:ind w:left="0" w:hanging="11"/>
        <w:jc w:val="both"/>
        <w:rPr>
          <w:rFonts w:ascii="Times New Roman" w:hAnsi="Times New Roman" w:cs="Times New Roman"/>
          <w:sz w:val="24"/>
          <w:szCs w:val="24"/>
          <w:lang w:val="es-MX"/>
        </w:rPr>
      </w:pPr>
      <w:r w:rsidRPr="001B2615">
        <w:rPr>
          <w:rFonts w:ascii="Times New Roman" w:hAnsi="Times New Roman" w:cs="Times New Roman"/>
          <w:sz w:val="24"/>
          <w:szCs w:val="24"/>
        </w:rPr>
        <w:t xml:space="preserve">SANDOVAL, A.J.; ARELLANO, M.L.; CARRANCO, J.M.; PEREZ GIL, R.F.; BALVANERA, P.: “Cajanus cajan L. Millsp. (Gandul) recurso forrajero explotable en México. </w:t>
      </w:r>
      <w:r w:rsidRPr="001B2615">
        <w:rPr>
          <w:rFonts w:ascii="Times New Roman" w:hAnsi="Times New Roman" w:cs="Times New Roman"/>
          <w:sz w:val="24"/>
          <w:szCs w:val="24"/>
          <w:lang w:val="es-MX"/>
        </w:rPr>
        <w:t xml:space="preserve">Su composición química”, </w:t>
      </w:r>
      <w:r w:rsidRPr="001B2615">
        <w:rPr>
          <w:rFonts w:ascii="Times New Roman" w:hAnsi="Times New Roman" w:cs="Times New Roman"/>
          <w:i/>
          <w:iCs/>
          <w:sz w:val="24"/>
          <w:szCs w:val="24"/>
          <w:lang w:val="es-MX"/>
        </w:rPr>
        <w:t>Turrialba (IICA) v. 41 (2) p. 211-216</w:t>
      </w:r>
      <w:r w:rsidRPr="001B2615">
        <w:rPr>
          <w:rFonts w:ascii="Times New Roman" w:hAnsi="Times New Roman" w:cs="Times New Roman"/>
          <w:sz w:val="24"/>
          <w:szCs w:val="24"/>
          <w:lang w:val="es-MX"/>
        </w:rPr>
        <w:t>, 1991.</w:t>
      </w:r>
    </w:p>
    <w:p w:rsidR="00525C19" w:rsidRPr="001B2615" w:rsidRDefault="00525C19" w:rsidP="001B2615">
      <w:pPr>
        <w:pStyle w:val="Bibliografa"/>
        <w:numPr>
          <w:ilvl w:val="0"/>
          <w:numId w:val="3"/>
        </w:numPr>
        <w:tabs>
          <w:tab w:val="left" w:pos="426"/>
        </w:tabs>
        <w:spacing w:after="0" w:line="360" w:lineRule="auto"/>
        <w:ind w:left="0" w:hanging="11"/>
        <w:jc w:val="both"/>
        <w:rPr>
          <w:rFonts w:ascii="Times New Roman" w:hAnsi="Times New Roman" w:cs="Times New Roman"/>
          <w:sz w:val="24"/>
          <w:szCs w:val="24"/>
          <w:lang w:val="en-CA"/>
        </w:rPr>
      </w:pPr>
      <w:r w:rsidRPr="001B2615">
        <w:rPr>
          <w:rFonts w:ascii="Times New Roman" w:hAnsi="Times New Roman" w:cs="Times New Roman"/>
          <w:sz w:val="24"/>
          <w:szCs w:val="24"/>
          <w:lang w:val="en-CA"/>
        </w:rPr>
        <w:t xml:space="preserve">SCOTT, R.P.: </w:t>
      </w:r>
      <w:r w:rsidRPr="001B2615">
        <w:rPr>
          <w:rFonts w:ascii="Times New Roman" w:hAnsi="Times New Roman" w:cs="Times New Roman"/>
          <w:i/>
          <w:iCs/>
          <w:sz w:val="24"/>
          <w:szCs w:val="24"/>
          <w:lang w:val="en-CA"/>
        </w:rPr>
        <w:t>Machine for hulling and separating green peas</w:t>
      </w:r>
      <w:r w:rsidRPr="001B2615">
        <w:rPr>
          <w:rFonts w:ascii="Times New Roman" w:hAnsi="Times New Roman" w:cs="Times New Roman"/>
          <w:sz w:val="24"/>
          <w:szCs w:val="24"/>
          <w:lang w:val="en-CA"/>
        </w:rPr>
        <w:t>, no. Patent-387,318, 1888.</w:t>
      </w:r>
    </w:p>
    <w:p w:rsidR="00525C19" w:rsidRPr="001B2615" w:rsidRDefault="00525C19" w:rsidP="001B2615">
      <w:pPr>
        <w:pStyle w:val="Bibliografa"/>
        <w:numPr>
          <w:ilvl w:val="0"/>
          <w:numId w:val="3"/>
        </w:numPr>
        <w:tabs>
          <w:tab w:val="left" w:pos="426"/>
        </w:tabs>
        <w:spacing w:after="0" w:line="360" w:lineRule="auto"/>
        <w:ind w:left="0" w:hanging="11"/>
        <w:jc w:val="both"/>
        <w:rPr>
          <w:rFonts w:ascii="Times New Roman" w:hAnsi="Times New Roman" w:cs="Times New Roman"/>
          <w:sz w:val="24"/>
          <w:szCs w:val="24"/>
          <w:lang w:val="en-CA"/>
        </w:rPr>
      </w:pPr>
      <w:r w:rsidRPr="001B2615">
        <w:rPr>
          <w:rFonts w:ascii="Times New Roman" w:hAnsi="Times New Roman" w:cs="Times New Roman"/>
          <w:sz w:val="24"/>
          <w:szCs w:val="24"/>
          <w:lang w:val="en-CA"/>
        </w:rPr>
        <w:t xml:space="preserve">SHEAHAN, C.M.: </w:t>
      </w:r>
      <w:r w:rsidRPr="001B2615">
        <w:rPr>
          <w:rFonts w:ascii="Times New Roman" w:hAnsi="Times New Roman" w:cs="Times New Roman"/>
          <w:i/>
          <w:iCs/>
          <w:sz w:val="24"/>
          <w:szCs w:val="24"/>
          <w:lang w:val="en-CA"/>
        </w:rPr>
        <w:t>Plant guide for pigeonpea (Cajanus Cajan)</w:t>
      </w:r>
      <w:r w:rsidRPr="001B2615">
        <w:rPr>
          <w:rFonts w:ascii="Times New Roman" w:hAnsi="Times New Roman" w:cs="Times New Roman"/>
          <w:sz w:val="24"/>
          <w:szCs w:val="24"/>
          <w:lang w:val="en-CA"/>
        </w:rPr>
        <w:t>, Inst. USDA-Natural Resources Conservation Service, Cape May Plant Materials Center, Cape May, N.J., USA, 2012.</w:t>
      </w:r>
    </w:p>
    <w:p w:rsidR="00525C19" w:rsidRPr="001B2615" w:rsidRDefault="00525C19" w:rsidP="001B2615">
      <w:pPr>
        <w:pStyle w:val="Bibliografa"/>
        <w:numPr>
          <w:ilvl w:val="0"/>
          <w:numId w:val="3"/>
        </w:numPr>
        <w:tabs>
          <w:tab w:val="left" w:pos="426"/>
        </w:tabs>
        <w:spacing w:after="0" w:line="360" w:lineRule="auto"/>
        <w:ind w:left="0" w:hanging="11"/>
        <w:jc w:val="both"/>
        <w:rPr>
          <w:rFonts w:ascii="Times New Roman" w:hAnsi="Times New Roman" w:cs="Times New Roman"/>
          <w:sz w:val="24"/>
          <w:szCs w:val="24"/>
          <w:lang w:val="en-CA"/>
        </w:rPr>
      </w:pPr>
      <w:r w:rsidRPr="001B2615">
        <w:rPr>
          <w:rFonts w:ascii="Times New Roman" w:hAnsi="Times New Roman" w:cs="Times New Roman"/>
          <w:sz w:val="24"/>
          <w:szCs w:val="24"/>
          <w:lang w:val="en-CA"/>
        </w:rPr>
        <w:t xml:space="preserve">SHELDRAKE, A.R.: </w:t>
      </w:r>
      <w:r w:rsidRPr="001B2615">
        <w:rPr>
          <w:rFonts w:ascii="Times New Roman" w:hAnsi="Times New Roman" w:cs="Times New Roman"/>
          <w:i/>
          <w:iCs/>
          <w:sz w:val="24"/>
          <w:szCs w:val="24"/>
          <w:lang w:val="en-CA"/>
        </w:rPr>
        <w:t>Pigeonpea in The physiology of tropical field crops</w:t>
      </w:r>
      <w:r w:rsidRPr="001B2615">
        <w:rPr>
          <w:rFonts w:ascii="Times New Roman" w:hAnsi="Times New Roman" w:cs="Times New Roman"/>
          <w:sz w:val="24"/>
          <w:szCs w:val="24"/>
          <w:lang w:val="en-CA"/>
        </w:rPr>
        <w:t>, Ed. John Wiley &amp; Co., Goldsworth, P.R.;Fisher, N.M., ed., Chichester, USA, 385-417 p., 1984.</w:t>
      </w:r>
    </w:p>
    <w:p w:rsidR="00525C19" w:rsidRPr="001B2615" w:rsidRDefault="00525C19" w:rsidP="001B2615">
      <w:pPr>
        <w:pStyle w:val="Bibliografa"/>
        <w:numPr>
          <w:ilvl w:val="0"/>
          <w:numId w:val="3"/>
        </w:numPr>
        <w:tabs>
          <w:tab w:val="left" w:pos="426"/>
        </w:tabs>
        <w:spacing w:after="0" w:line="360" w:lineRule="auto"/>
        <w:ind w:left="0" w:hanging="11"/>
        <w:jc w:val="both"/>
        <w:rPr>
          <w:rFonts w:ascii="Times New Roman" w:hAnsi="Times New Roman" w:cs="Times New Roman"/>
          <w:sz w:val="24"/>
          <w:szCs w:val="24"/>
          <w:lang w:val="en-CA"/>
        </w:rPr>
      </w:pPr>
      <w:r w:rsidRPr="001B2615">
        <w:rPr>
          <w:rFonts w:ascii="Times New Roman" w:hAnsi="Times New Roman" w:cs="Times New Roman"/>
          <w:sz w:val="24"/>
          <w:szCs w:val="24"/>
          <w:lang w:val="en-CA"/>
        </w:rPr>
        <w:t xml:space="preserve">SHIRNESHAN, A.: “Physical and Mechanical Properties of beans”, </w:t>
      </w:r>
      <w:r w:rsidRPr="001B2615">
        <w:rPr>
          <w:rFonts w:ascii="Times New Roman" w:hAnsi="Times New Roman" w:cs="Times New Roman"/>
          <w:i/>
          <w:iCs/>
          <w:sz w:val="24"/>
          <w:szCs w:val="24"/>
          <w:lang w:val="en-CA"/>
        </w:rPr>
        <w:t>Journal of American Science</w:t>
      </w:r>
      <w:r w:rsidRPr="001B2615">
        <w:rPr>
          <w:rFonts w:ascii="Times New Roman" w:hAnsi="Times New Roman" w:cs="Times New Roman"/>
          <w:sz w:val="24"/>
          <w:szCs w:val="24"/>
          <w:lang w:val="en-CA"/>
        </w:rPr>
        <w:t>, 7(5): 158-164, 2011.</w:t>
      </w:r>
    </w:p>
    <w:p w:rsidR="00525C19" w:rsidRPr="001B2615" w:rsidRDefault="00525C19" w:rsidP="001B2615">
      <w:pPr>
        <w:pStyle w:val="Bibliografa"/>
        <w:numPr>
          <w:ilvl w:val="0"/>
          <w:numId w:val="3"/>
        </w:numPr>
        <w:tabs>
          <w:tab w:val="left" w:pos="426"/>
        </w:tabs>
        <w:spacing w:after="0" w:line="360" w:lineRule="auto"/>
        <w:ind w:left="0" w:hanging="11"/>
        <w:jc w:val="both"/>
        <w:rPr>
          <w:rFonts w:ascii="Times New Roman" w:hAnsi="Times New Roman" w:cs="Times New Roman"/>
          <w:sz w:val="24"/>
          <w:szCs w:val="24"/>
          <w:lang w:val="en-CA"/>
        </w:rPr>
      </w:pPr>
      <w:r w:rsidRPr="001B2615">
        <w:rPr>
          <w:rFonts w:ascii="Times New Roman" w:hAnsi="Times New Roman" w:cs="Times New Roman"/>
          <w:sz w:val="24"/>
          <w:szCs w:val="24"/>
          <w:lang w:val="en-CA"/>
        </w:rPr>
        <w:t xml:space="preserve">SOBUKOLA, O.P.; ONWUKA, V.I.: “Effect of moisture content on some physical properties of locust bean seed (Parkia fillicoidea L.)”, </w:t>
      </w:r>
      <w:r w:rsidRPr="001B2615">
        <w:rPr>
          <w:rFonts w:ascii="Times New Roman" w:hAnsi="Times New Roman" w:cs="Times New Roman"/>
          <w:i/>
          <w:iCs/>
          <w:sz w:val="24"/>
          <w:szCs w:val="24"/>
          <w:lang w:val="en-CA"/>
        </w:rPr>
        <w:t>Journal of Food Process Engineering</w:t>
      </w:r>
      <w:r w:rsidRPr="001B2615">
        <w:rPr>
          <w:rFonts w:ascii="Times New Roman" w:hAnsi="Times New Roman" w:cs="Times New Roman"/>
          <w:sz w:val="24"/>
          <w:szCs w:val="24"/>
          <w:lang w:val="en-CA"/>
        </w:rPr>
        <w:t>, 34(6): 1946–1964, 2011, ISSN: 0260-8774, DOI: https://doi.org/10.1111/j.1745-4530.2009.00511.x.</w:t>
      </w:r>
    </w:p>
    <w:p w:rsidR="00525C19" w:rsidRPr="001B2615" w:rsidRDefault="00525C19" w:rsidP="001B2615">
      <w:pPr>
        <w:pStyle w:val="Bibliografa"/>
        <w:numPr>
          <w:ilvl w:val="0"/>
          <w:numId w:val="3"/>
        </w:numPr>
        <w:tabs>
          <w:tab w:val="left" w:pos="426"/>
        </w:tabs>
        <w:spacing w:after="0" w:line="360" w:lineRule="auto"/>
        <w:ind w:left="0" w:hanging="11"/>
        <w:jc w:val="both"/>
        <w:rPr>
          <w:rFonts w:ascii="Times New Roman" w:hAnsi="Times New Roman" w:cs="Times New Roman"/>
          <w:sz w:val="24"/>
          <w:szCs w:val="24"/>
          <w:lang w:val="en-CA"/>
        </w:rPr>
      </w:pPr>
      <w:r w:rsidRPr="001B2615">
        <w:rPr>
          <w:rFonts w:ascii="Times New Roman" w:hAnsi="Times New Roman" w:cs="Times New Roman"/>
          <w:sz w:val="24"/>
          <w:szCs w:val="24"/>
          <w:lang w:val="en-CA"/>
        </w:rPr>
        <w:t xml:space="preserve">VILCHE, C.; GELY, M.; SANTALLA, E.: “Physical properties of quinoa seeds”, </w:t>
      </w:r>
      <w:r w:rsidRPr="001B2615">
        <w:rPr>
          <w:rFonts w:ascii="Times New Roman" w:hAnsi="Times New Roman" w:cs="Times New Roman"/>
          <w:i/>
          <w:iCs/>
          <w:sz w:val="24"/>
          <w:szCs w:val="24"/>
          <w:lang w:val="en-CA"/>
        </w:rPr>
        <w:t>Biosystems Engineering</w:t>
      </w:r>
      <w:r w:rsidRPr="001B2615">
        <w:rPr>
          <w:rFonts w:ascii="Times New Roman" w:hAnsi="Times New Roman" w:cs="Times New Roman"/>
          <w:sz w:val="24"/>
          <w:szCs w:val="24"/>
          <w:lang w:val="en-CA"/>
        </w:rPr>
        <w:t>, 86(1): 59–65, 2003, ISSN: 1537-5110.</w:t>
      </w:r>
    </w:p>
    <w:p w:rsidR="00525C19" w:rsidRPr="001B2615" w:rsidRDefault="00525C19" w:rsidP="001B2615">
      <w:pPr>
        <w:pStyle w:val="Bibliografa"/>
        <w:numPr>
          <w:ilvl w:val="0"/>
          <w:numId w:val="3"/>
        </w:numPr>
        <w:tabs>
          <w:tab w:val="left" w:pos="426"/>
        </w:tabs>
        <w:spacing w:after="0" w:line="360" w:lineRule="auto"/>
        <w:ind w:left="0" w:hanging="11"/>
        <w:jc w:val="both"/>
        <w:rPr>
          <w:rFonts w:ascii="Times New Roman" w:hAnsi="Times New Roman" w:cs="Times New Roman"/>
          <w:sz w:val="24"/>
          <w:szCs w:val="24"/>
        </w:rPr>
      </w:pPr>
      <w:r w:rsidRPr="001B2615">
        <w:rPr>
          <w:rFonts w:ascii="Times New Roman" w:hAnsi="Times New Roman" w:cs="Times New Roman"/>
          <w:sz w:val="24"/>
          <w:szCs w:val="24"/>
        </w:rPr>
        <w:t xml:space="preserve">VILLAMIZAR, C.; GALVIS VANEGAS, A.; MIRANDA LASPRILLA, D.; OSPINA, J.E.; PEREA, M.; RESTREPO, P.; FLÓREZ RONCANCIO, V.: </w:t>
      </w:r>
      <w:r w:rsidRPr="001B2615">
        <w:rPr>
          <w:rFonts w:ascii="Times New Roman" w:hAnsi="Times New Roman" w:cs="Times New Roman"/>
          <w:i/>
          <w:iCs/>
          <w:sz w:val="24"/>
          <w:szCs w:val="24"/>
        </w:rPr>
        <w:t>Inventario de las investigaciones realizadas en poscosecha de productos agrícolas en la Universidad Nacional de Colombia.</w:t>
      </w:r>
      <w:r w:rsidRPr="001B2615">
        <w:rPr>
          <w:rFonts w:ascii="Times New Roman" w:hAnsi="Times New Roman" w:cs="Times New Roman"/>
          <w:sz w:val="24"/>
          <w:szCs w:val="24"/>
        </w:rPr>
        <w:t>, 2004.</w:t>
      </w:r>
    </w:p>
    <w:p w:rsidR="00525C19" w:rsidRPr="00C35A38" w:rsidRDefault="00525C19" w:rsidP="001B2615">
      <w:pPr>
        <w:tabs>
          <w:tab w:val="left" w:pos="426"/>
        </w:tabs>
        <w:spacing w:after="0" w:line="360" w:lineRule="auto"/>
        <w:ind w:hanging="11"/>
        <w:jc w:val="both"/>
        <w:rPr>
          <w:rFonts w:ascii="Arial" w:eastAsia="Times New Roman" w:hAnsi="Arial" w:cs="Arial"/>
          <w:sz w:val="20"/>
          <w:szCs w:val="20"/>
          <w:lang w:eastAsia="es-ES"/>
        </w:rPr>
      </w:pPr>
      <w:r w:rsidRPr="001B2615">
        <w:rPr>
          <w:rFonts w:ascii="Times New Roman" w:hAnsi="Times New Roman" w:cs="Times New Roman"/>
          <w:b/>
          <w:sz w:val="24"/>
          <w:szCs w:val="24"/>
        </w:rPr>
        <w:fldChar w:fldCharType="end"/>
      </w:r>
    </w:p>
    <w:p w:rsidR="00525C19" w:rsidRDefault="00525C19" w:rsidP="00FF3346">
      <w:pPr>
        <w:spacing w:after="0" w:line="360" w:lineRule="auto"/>
        <w:rPr>
          <w:rFonts w:ascii="Times New Roman" w:hAnsi="Times New Roman" w:cs="Times New Roman"/>
          <w:b/>
          <w:sz w:val="24"/>
          <w:szCs w:val="24"/>
        </w:rPr>
      </w:pPr>
    </w:p>
    <w:sectPr w:rsidR="00525C19" w:rsidSect="00C8585B">
      <w:headerReference w:type="default" r:id="rId25"/>
      <w:footerReference w:type="default" r:id="rId26"/>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86B" w:rsidRDefault="001E486B" w:rsidP="00C8585B">
      <w:pPr>
        <w:spacing w:after="0" w:line="240" w:lineRule="auto"/>
      </w:pPr>
      <w:r>
        <w:separator/>
      </w:r>
    </w:p>
  </w:endnote>
  <w:endnote w:type="continuationSeparator" w:id="0">
    <w:p w:rsidR="001E486B" w:rsidRDefault="001E486B"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497" w:rsidRDefault="005E2497" w:rsidP="005E2497">
    <w:pPr>
      <w:pStyle w:val="Piedepgina"/>
      <w:jc w:val="center"/>
      <w:rPr>
        <w:rFonts w:ascii="Times New Roman" w:hAnsi="Times New Roman" w:cs="Times New Roman"/>
        <w:sz w:val="24"/>
      </w:rPr>
    </w:pPr>
  </w:p>
  <w:p w:rsidR="00362E5F"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5E2497"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5E2497" w:rsidRPr="007559FA" w:rsidRDefault="001E486B" w:rsidP="005E2497">
    <w:pPr>
      <w:pStyle w:val="Piedepgina"/>
      <w:jc w:val="center"/>
      <w:rPr>
        <w:rFonts w:ascii="Times New Roman" w:hAnsi="Times New Roman" w:cs="Times New Roman"/>
        <w:sz w:val="28"/>
      </w:rPr>
    </w:pPr>
    <w:hyperlink r:id="rId2" w:history="1">
      <w:r w:rsidR="005E2497"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86B" w:rsidRDefault="001E486B" w:rsidP="00C8585B">
      <w:pPr>
        <w:spacing w:after="0" w:line="240" w:lineRule="auto"/>
      </w:pPr>
      <w:r>
        <w:separator/>
      </w:r>
    </w:p>
  </w:footnote>
  <w:footnote w:type="continuationSeparator" w:id="0">
    <w:p w:rsidR="001E486B" w:rsidRDefault="001E486B"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758" w:rsidRPr="00640758" w:rsidRDefault="00640758" w:rsidP="00E83573">
    <w:pPr>
      <w:pStyle w:val="Encabezado"/>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E83573" w:rsidRPr="00640758">
      <w:rPr>
        <w:rFonts w:ascii="Times New Roman" w:hAnsi="Times New Roman" w:cs="Times New Roman"/>
        <w:b/>
        <w:sz w:val="24"/>
      </w:rPr>
      <w:t xml:space="preserve">PLANTILLA OFICIAL PARA LA </w:t>
    </w:r>
    <w:r w:rsidRPr="00640758">
      <w:rPr>
        <w:rFonts w:ascii="Times New Roman" w:hAnsi="Times New Roman" w:cs="Times New Roman"/>
        <w:b/>
        <w:sz w:val="24"/>
      </w:rPr>
      <w:t>PRESENTACIÓ</w:t>
    </w:r>
    <w:r w:rsidR="00E83573" w:rsidRPr="00640758">
      <w:rPr>
        <w:rFonts w:ascii="Times New Roman" w:hAnsi="Times New Roman" w:cs="Times New Roman"/>
        <w:b/>
        <w:sz w:val="24"/>
      </w:rPr>
      <w:t>N DE TRA</w:t>
    </w:r>
    <w:r w:rsidRPr="00640758">
      <w:rPr>
        <w:rFonts w:ascii="Times New Roman" w:hAnsi="Times New Roman" w:cs="Times New Roman"/>
        <w:b/>
        <w:sz w:val="24"/>
      </w:rPr>
      <w:t xml:space="preserve">BAJOS </w:t>
    </w:r>
  </w:p>
  <w:p w:rsidR="005E2497"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758"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Encabezado"/>
      <w:jc w:val="center"/>
      <w:rPr>
        <w:rFonts w:ascii="Times New Roman" w:hAnsi="Times New Roman" w:cs="Times New Roman"/>
        <w:b/>
        <w:sz w:val="24"/>
      </w:rPr>
    </w:pPr>
  </w:p>
  <w:p w:rsidR="00EA1598" w:rsidRDefault="00EA1598" w:rsidP="00E83573">
    <w:pPr>
      <w:pStyle w:val="Encabezado"/>
      <w:jc w:val="center"/>
      <w:rPr>
        <w:rFonts w:ascii="Times New Roman" w:hAnsi="Times New Roman" w:cs="Times New Roman"/>
        <w:b/>
        <w:sz w:val="24"/>
      </w:rPr>
    </w:pPr>
  </w:p>
  <w:p w:rsidR="00640758" w:rsidRDefault="0064075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A0916"/>
    <w:multiLevelType w:val="hybridMultilevel"/>
    <w:tmpl w:val="D9007A48"/>
    <w:lvl w:ilvl="0" w:tplc="0C0A000F">
      <w:start w:val="1"/>
      <w:numFmt w:val="decimal"/>
      <w:lvlText w:val="%1."/>
      <w:lvlJc w:val="left"/>
      <w:pPr>
        <w:ind w:left="720" w:hanging="360"/>
      </w:pPr>
      <w:rPr>
        <w:rFont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
    <w:nsid w:val="181F0A99"/>
    <w:multiLevelType w:val="hybridMultilevel"/>
    <w:tmpl w:val="9DA6570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7461CF4"/>
    <w:multiLevelType w:val="hybridMultilevel"/>
    <w:tmpl w:val="0DAA99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C3963AC"/>
    <w:multiLevelType w:val="hybridMultilevel"/>
    <w:tmpl w:val="61CC5696"/>
    <w:lvl w:ilvl="0" w:tplc="1E82A9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FCE5FE3"/>
    <w:multiLevelType w:val="hybridMultilevel"/>
    <w:tmpl w:val="2C10D454"/>
    <w:lvl w:ilvl="0" w:tplc="62DAE2F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46F14"/>
    <w:rsid w:val="000C14DC"/>
    <w:rsid w:val="00114C82"/>
    <w:rsid w:val="0012608A"/>
    <w:rsid w:val="0014787E"/>
    <w:rsid w:val="001B16B6"/>
    <w:rsid w:val="001B2615"/>
    <w:rsid w:val="001E486B"/>
    <w:rsid w:val="002C4923"/>
    <w:rsid w:val="002E0882"/>
    <w:rsid w:val="002E272A"/>
    <w:rsid w:val="003068F5"/>
    <w:rsid w:val="00362E5F"/>
    <w:rsid w:val="00403285"/>
    <w:rsid w:val="00525C19"/>
    <w:rsid w:val="005754D8"/>
    <w:rsid w:val="005E2497"/>
    <w:rsid w:val="006271E4"/>
    <w:rsid w:val="00640758"/>
    <w:rsid w:val="00667F10"/>
    <w:rsid w:val="00695B3B"/>
    <w:rsid w:val="00712A31"/>
    <w:rsid w:val="007559FA"/>
    <w:rsid w:val="007C0373"/>
    <w:rsid w:val="0088159E"/>
    <w:rsid w:val="008A1C16"/>
    <w:rsid w:val="008A2E7E"/>
    <w:rsid w:val="008B06F8"/>
    <w:rsid w:val="009061A5"/>
    <w:rsid w:val="0091621C"/>
    <w:rsid w:val="009B1EF2"/>
    <w:rsid w:val="009D5E02"/>
    <w:rsid w:val="009D67CD"/>
    <w:rsid w:val="00A156A5"/>
    <w:rsid w:val="00A21A1F"/>
    <w:rsid w:val="00A570C4"/>
    <w:rsid w:val="00A62A14"/>
    <w:rsid w:val="00B2024E"/>
    <w:rsid w:val="00B80E97"/>
    <w:rsid w:val="00BF107B"/>
    <w:rsid w:val="00C56288"/>
    <w:rsid w:val="00C6208A"/>
    <w:rsid w:val="00C8585B"/>
    <w:rsid w:val="00C91EF6"/>
    <w:rsid w:val="00CD2BC3"/>
    <w:rsid w:val="00D05242"/>
    <w:rsid w:val="00D36D1C"/>
    <w:rsid w:val="00D73DE9"/>
    <w:rsid w:val="00E83573"/>
    <w:rsid w:val="00E912D0"/>
    <w:rsid w:val="00EA1598"/>
    <w:rsid w:val="00EA7584"/>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Bibliografa">
    <w:name w:val="Bibliography"/>
    <w:basedOn w:val="Normal"/>
    <w:next w:val="Normal"/>
    <w:uiPriority w:val="37"/>
    <w:semiHidden/>
    <w:unhideWhenUsed/>
    <w:rsid w:val="00525C19"/>
  </w:style>
  <w:style w:type="paragraph" w:customStyle="1" w:styleId="Default">
    <w:name w:val="Default"/>
    <w:rsid w:val="00525C19"/>
    <w:pPr>
      <w:autoSpaceDE w:val="0"/>
      <w:autoSpaceDN w:val="0"/>
      <w:adjustRightInd w:val="0"/>
      <w:spacing w:after="0" w:line="240" w:lineRule="auto"/>
    </w:pPr>
    <w:rPr>
      <w:rFonts w:ascii="Arial" w:hAnsi="Arial" w:cs="Arial"/>
      <w:color w:val="000000"/>
      <w:sz w:val="24"/>
      <w:szCs w:val="24"/>
    </w:rPr>
  </w:style>
  <w:style w:type="paragraph" w:styleId="HTMLconformatoprevio">
    <w:name w:val="HTML Preformatted"/>
    <w:basedOn w:val="Normal"/>
    <w:link w:val="HTMLconformatoprevioCar"/>
    <w:uiPriority w:val="99"/>
    <w:semiHidden/>
    <w:unhideWhenUsed/>
    <w:rsid w:val="00525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525C19"/>
    <w:rPr>
      <w:rFonts w:ascii="Courier New" w:eastAsia="Times New Roman" w:hAnsi="Courier New" w:cs="Courier New"/>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Bibliografa">
    <w:name w:val="Bibliography"/>
    <w:basedOn w:val="Normal"/>
    <w:next w:val="Normal"/>
    <w:uiPriority w:val="37"/>
    <w:semiHidden/>
    <w:unhideWhenUsed/>
    <w:rsid w:val="00525C19"/>
  </w:style>
  <w:style w:type="paragraph" w:customStyle="1" w:styleId="Default">
    <w:name w:val="Default"/>
    <w:rsid w:val="00525C19"/>
    <w:pPr>
      <w:autoSpaceDE w:val="0"/>
      <w:autoSpaceDN w:val="0"/>
      <w:adjustRightInd w:val="0"/>
      <w:spacing w:after="0" w:line="240" w:lineRule="auto"/>
    </w:pPr>
    <w:rPr>
      <w:rFonts w:ascii="Arial" w:hAnsi="Arial" w:cs="Arial"/>
      <w:color w:val="000000"/>
      <w:sz w:val="24"/>
      <w:szCs w:val="24"/>
    </w:rPr>
  </w:style>
  <w:style w:type="paragraph" w:styleId="HTMLconformatoprevio">
    <w:name w:val="HTML Preformatted"/>
    <w:basedOn w:val="Normal"/>
    <w:link w:val="HTMLconformatoprevioCar"/>
    <w:uiPriority w:val="99"/>
    <w:semiHidden/>
    <w:unhideWhenUsed/>
    <w:rsid w:val="00525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525C19"/>
    <w:rPr>
      <w:rFonts w:ascii="Courier New" w:eastAsia="Times New Roman" w:hAnsi="Courier New" w:cs="Courier New"/>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61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petiton@unah.edu.cu"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egressgirl@gmail.com" TargetMode="Externa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hyperlink" Target="mailto:erc670819@gmail.com"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geisyh@unah.edu.cu"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6304</Words>
  <Characters>34672</Characters>
  <Application>Microsoft Office Word</Application>
  <DocSecurity>0</DocSecurity>
  <Lines>288</Lines>
  <Paragraphs>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cp:lastModifiedBy>
  <cp:revision>2</cp:revision>
  <cp:lastPrinted>2017-03-02T19:45:00Z</cp:lastPrinted>
  <dcterms:created xsi:type="dcterms:W3CDTF">2019-05-02T18:25:00Z</dcterms:created>
  <dcterms:modified xsi:type="dcterms:W3CDTF">2019-05-02T18:25:00Z</dcterms:modified>
</cp:coreProperties>
</file>