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3729" w:rsidRDefault="001D3729" w:rsidP="00667F10">
      <w:pPr>
        <w:spacing w:after="0"/>
        <w:jc w:val="center"/>
        <w:rPr>
          <w:rFonts w:ascii="Times New Roman" w:hAnsi="Times New Roman" w:cs="Times New Roman"/>
          <w:b/>
          <w:sz w:val="28"/>
          <w:szCs w:val="28"/>
        </w:rPr>
      </w:pPr>
      <w:r w:rsidRPr="001D3729">
        <w:rPr>
          <w:rFonts w:ascii="Times New Roman" w:hAnsi="Times New Roman" w:cs="Times New Roman"/>
          <w:b/>
          <w:sz w:val="28"/>
          <w:szCs w:val="28"/>
        </w:rPr>
        <w:t xml:space="preserve">XIV SIMPOSIO INTERNACIONAL DE ESTRUCTURAS, GEOTECNIA Y MATERIALES DE CONSTRUCCIÓN ESTRUCTURAS </w:t>
      </w:r>
      <w:bookmarkStart w:id="0" w:name="_GoBack"/>
      <w:bookmarkEnd w:id="0"/>
      <w:r w:rsidRPr="001D3729">
        <w:rPr>
          <w:rFonts w:ascii="Times New Roman" w:hAnsi="Times New Roman" w:cs="Times New Roman"/>
          <w:b/>
          <w:sz w:val="28"/>
          <w:szCs w:val="28"/>
        </w:rPr>
        <w:t>2025</w:t>
      </w:r>
    </w:p>
    <w:p w:rsidR="001D3729" w:rsidRDefault="001D3729" w:rsidP="00667F10">
      <w:pPr>
        <w:spacing w:after="0"/>
        <w:jc w:val="center"/>
        <w:rPr>
          <w:rFonts w:ascii="Times New Roman" w:hAnsi="Times New Roman" w:cs="Times New Roman"/>
          <w:b/>
          <w:sz w:val="28"/>
          <w:szCs w:val="28"/>
        </w:rPr>
      </w:pPr>
    </w:p>
    <w:p w:rsidR="008A1C16" w:rsidRPr="00F25A7D" w:rsidRDefault="00F25A7D" w:rsidP="00667F10">
      <w:pPr>
        <w:spacing w:after="0"/>
        <w:jc w:val="center"/>
        <w:rPr>
          <w:rFonts w:ascii="Times New Roman" w:hAnsi="Times New Roman" w:cs="Times New Roman"/>
          <w:b/>
          <w:sz w:val="28"/>
          <w:szCs w:val="28"/>
        </w:rPr>
      </w:pPr>
      <w:r>
        <w:rPr>
          <w:rFonts w:ascii="Times New Roman" w:hAnsi="Times New Roman" w:cs="Times New Roman"/>
          <w:b/>
          <w:sz w:val="28"/>
          <w:szCs w:val="28"/>
        </w:rPr>
        <w:t>FACTORES SOCIODEMOGRÁFICOS Y EXPERIENCIAS ASOCIADAS A LA PERCEPCIÓN DE RIESGO SÍSMICO EN HABITANTES DE MOA, HOLGUÍN</w:t>
      </w:r>
    </w:p>
    <w:p w:rsidR="00E912D0" w:rsidRPr="00F25A7D" w:rsidRDefault="00E912D0" w:rsidP="00667F10">
      <w:pPr>
        <w:spacing w:after="0"/>
        <w:jc w:val="center"/>
        <w:rPr>
          <w:rFonts w:ascii="Times New Roman" w:hAnsi="Times New Roman" w:cs="Times New Roman"/>
          <w:b/>
          <w:i/>
          <w:sz w:val="24"/>
          <w:szCs w:val="24"/>
        </w:rPr>
      </w:pPr>
    </w:p>
    <w:p w:rsidR="009D5E02" w:rsidRDefault="0001491B" w:rsidP="00CF23F5">
      <w:pPr>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SOCIODEMOGRAPHIC AND EXPERIMENTAL FACTORS ASSOCIATED WITH SEISMIC RISK PERCEPTION AMONG RESIDENTS OF MOA, HOLGUÍN</w:t>
      </w:r>
    </w:p>
    <w:p w:rsidR="002E0882" w:rsidRPr="00F25A7D" w:rsidRDefault="002E0882" w:rsidP="00FF3346">
      <w:pPr>
        <w:spacing w:after="0" w:line="360" w:lineRule="auto"/>
        <w:rPr>
          <w:rFonts w:ascii="Times New Roman" w:hAnsi="Times New Roman" w:cs="Times New Roman"/>
          <w:sz w:val="24"/>
          <w:szCs w:val="24"/>
          <w:lang w:val="en-US"/>
        </w:rPr>
      </w:pPr>
    </w:p>
    <w:p w:rsidR="008A1C16" w:rsidRPr="009D5E02" w:rsidRDefault="00D85F09" w:rsidP="00FF3346">
      <w:pPr>
        <w:spacing w:after="0" w:line="360" w:lineRule="auto"/>
        <w:jc w:val="center"/>
        <w:rPr>
          <w:rFonts w:ascii="Times New Roman" w:hAnsi="Times New Roman" w:cs="Times New Roman"/>
          <w:b/>
          <w:sz w:val="24"/>
          <w:szCs w:val="24"/>
        </w:rPr>
      </w:pPr>
      <w:r w:rsidRPr="00D85F09">
        <w:rPr>
          <w:rFonts w:ascii="Times New Roman" w:hAnsi="Times New Roman" w:cs="Times New Roman"/>
          <w:b/>
          <w:sz w:val="24"/>
          <w:szCs w:val="24"/>
        </w:rPr>
        <w:t>Ing. Oclides Carmenate Hechavarría</w:t>
      </w:r>
      <w:r w:rsidRPr="00D85F09">
        <w:rPr>
          <w:rFonts w:ascii="Times New Roman" w:hAnsi="Times New Roman" w:cs="Times New Roman"/>
          <w:b/>
          <w:sz w:val="24"/>
          <w:szCs w:val="24"/>
          <w:vertAlign w:val="superscript"/>
        </w:rPr>
        <w:t>1</w:t>
      </w:r>
      <w:r w:rsidRPr="00D85F09">
        <w:rPr>
          <w:rFonts w:ascii="Times New Roman" w:hAnsi="Times New Roman" w:cs="Times New Roman"/>
          <w:b/>
          <w:sz w:val="24"/>
          <w:szCs w:val="24"/>
        </w:rPr>
        <w:t>, Ing. Pedro David Labrada Rosabal</w:t>
      </w:r>
      <w:r w:rsidRPr="00D85F09">
        <w:rPr>
          <w:rFonts w:ascii="Times New Roman" w:hAnsi="Times New Roman" w:cs="Times New Roman"/>
          <w:b/>
          <w:sz w:val="24"/>
          <w:szCs w:val="24"/>
          <w:vertAlign w:val="superscript"/>
        </w:rPr>
        <w:t>2</w:t>
      </w:r>
      <w:r w:rsidRPr="00D85F09">
        <w:rPr>
          <w:rFonts w:ascii="Times New Roman" w:hAnsi="Times New Roman" w:cs="Times New Roman"/>
          <w:b/>
          <w:sz w:val="24"/>
          <w:szCs w:val="24"/>
        </w:rPr>
        <w:t>, Ing. Nelson Fernández Hernández</w:t>
      </w:r>
      <w:r w:rsidRPr="00D85F09">
        <w:rPr>
          <w:rFonts w:ascii="Times New Roman" w:hAnsi="Times New Roman" w:cs="Times New Roman"/>
          <w:b/>
          <w:sz w:val="24"/>
          <w:szCs w:val="24"/>
          <w:vertAlign w:val="superscript"/>
        </w:rPr>
        <w:t>3</w:t>
      </w:r>
      <w:r w:rsidRPr="00D85F09">
        <w:rPr>
          <w:rFonts w:ascii="Times New Roman" w:hAnsi="Times New Roman" w:cs="Times New Roman"/>
          <w:b/>
          <w:sz w:val="24"/>
          <w:szCs w:val="24"/>
        </w:rPr>
        <w:t xml:space="preserve">, </w:t>
      </w:r>
      <w:r w:rsidR="00C02548" w:rsidRPr="00D85F09">
        <w:rPr>
          <w:rFonts w:ascii="Times New Roman" w:hAnsi="Times New Roman" w:cs="Times New Roman"/>
          <w:b/>
          <w:sz w:val="24"/>
          <w:szCs w:val="24"/>
        </w:rPr>
        <w:t>Ing. Daliana María Arjona Mendoza</w:t>
      </w:r>
      <w:r w:rsidR="00C02548" w:rsidRPr="00D85F09">
        <w:rPr>
          <w:rFonts w:ascii="Times New Roman" w:hAnsi="Times New Roman" w:cs="Times New Roman"/>
          <w:b/>
          <w:sz w:val="24"/>
          <w:szCs w:val="24"/>
          <w:vertAlign w:val="superscript"/>
        </w:rPr>
        <w:t>1</w:t>
      </w:r>
      <w:r w:rsidR="00C02548">
        <w:rPr>
          <w:rFonts w:ascii="Times New Roman" w:hAnsi="Times New Roman" w:cs="Times New Roman"/>
          <w:b/>
          <w:sz w:val="24"/>
          <w:szCs w:val="24"/>
        </w:rPr>
        <w:t xml:space="preserve">, </w:t>
      </w:r>
      <w:r w:rsidR="00147886">
        <w:rPr>
          <w:rFonts w:ascii="Times New Roman" w:hAnsi="Times New Roman" w:cs="Times New Roman"/>
          <w:b/>
          <w:sz w:val="24"/>
          <w:szCs w:val="24"/>
        </w:rPr>
        <w:t xml:space="preserve">MSc. </w:t>
      </w:r>
      <w:r w:rsidR="00147886" w:rsidRPr="00147886">
        <w:rPr>
          <w:rFonts w:ascii="Times New Roman" w:hAnsi="Times New Roman" w:cs="Times New Roman"/>
          <w:b/>
          <w:sz w:val="24"/>
          <w:szCs w:val="24"/>
        </w:rPr>
        <w:t>Adianes Ferrer Batista</w:t>
      </w:r>
      <w:r w:rsidR="00147886" w:rsidRPr="00147886">
        <w:rPr>
          <w:rFonts w:ascii="Times New Roman" w:hAnsi="Times New Roman" w:cs="Times New Roman"/>
          <w:b/>
          <w:sz w:val="24"/>
          <w:szCs w:val="24"/>
          <w:vertAlign w:val="superscript"/>
        </w:rPr>
        <w:t>1</w:t>
      </w:r>
      <w:r w:rsidR="00147886">
        <w:rPr>
          <w:rFonts w:ascii="Times New Roman" w:hAnsi="Times New Roman" w:cs="Times New Roman"/>
          <w:b/>
          <w:sz w:val="24"/>
          <w:szCs w:val="24"/>
        </w:rPr>
        <w:t xml:space="preserve">, </w:t>
      </w:r>
      <w:r w:rsidRPr="00D85F09">
        <w:rPr>
          <w:rFonts w:ascii="Times New Roman" w:hAnsi="Times New Roman" w:cs="Times New Roman"/>
          <w:b/>
          <w:sz w:val="24"/>
          <w:szCs w:val="24"/>
        </w:rPr>
        <w:t>Dr.C Rafael Guardado Lacaba</w:t>
      </w:r>
      <w:r w:rsidRPr="00D85F09">
        <w:rPr>
          <w:rFonts w:ascii="Times New Roman" w:hAnsi="Times New Roman" w:cs="Times New Roman"/>
          <w:b/>
          <w:sz w:val="24"/>
          <w:szCs w:val="24"/>
          <w:vertAlign w:val="superscript"/>
        </w:rPr>
        <w:t>1</w:t>
      </w:r>
    </w:p>
    <w:p w:rsidR="009D5E02" w:rsidRDefault="009D5E02" w:rsidP="00FF3346">
      <w:pPr>
        <w:spacing w:after="0" w:line="360" w:lineRule="auto"/>
        <w:rPr>
          <w:rFonts w:ascii="Times New Roman" w:hAnsi="Times New Roman" w:cs="Times New Roman"/>
          <w:sz w:val="24"/>
          <w:szCs w:val="24"/>
        </w:rPr>
      </w:pPr>
    </w:p>
    <w:p w:rsidR="005B27F4" w:rsidRPr="005B27F4" w:rsidRDefault="005B27F4" w:rsidP="005B27F4">
      <w:pPr>
        <w:spacing w:after="0" w:line="360" w:lineRule="auto"/>
        <w:rPr>
          <w:rFonts w:ascii="Times New Roman" w:hAnsi="Times New Roman" w:cs="Times New Roman"/>
          <w:sz w:val="24"/>
          <w:szCs w:val="24"/>
        </w:rPr>
      </w:pPr>
      <w:r>
        <w:rPr>
          <w:rFonts w:ascii="Times New Roman" w:hAnsi="Times New Roman" w:cs="Times New Roman"/>
          <w:sz w:val="24"/>
          <w:szCs w:val="24"/>
        </w:rPr>
        <w:t>1-</w:t>
      </w:r>
      <w:r w:rsidR="00CE49B3">
        <w:rPr>
          <w:rFonts w:ascii="Times New Roman" w:hAnsi="Times New Roman" w:cs="Times New Roman"/>
          <w:sz w:val="24"/>
          <w:szCs w:val="24"/>
        </w:rPr>
        <w:t xml:space="preserve"> </w:t>
      </w:r>
      <w:r w:rsidRPr="005B27F4">
        <w:rPr>
          <w:rFonts w:ascii="Times New Roman" w:hAnsi="Times New Roman" w:cs="Times New Roman"/>
          <w:sz w:val="24"/>
          <w:szCs w:val="24"/>
        </w:rPr>
        <w:t xml:space="preserve">Oclides Carmenate Hechavarría. Universidad de Moa, Cuba. </w:t>
      </w:r>
      <w:hyperlink r:id="rId7" w:history="1">
        <w:r w:rsidRPr="007D0FD8">
          <w:rPr>
            <w:rStyle w:val="Hipervnculo"/>
            <w:rFonts w:ascii="Times New Roman" w:hAnsi="Times New Roman" w:cs="Times New Roman"/>
            <w:sz w:val="24"/>
            <w:szCs w:val="24"/>
          </w:rPr>
          <w:t>ochechavarria@ismm.edu.cu</w:t>
        </w:r>
      </w:hyperlink>
      <w:r>
        <w:rPr>
          <w:rFonts w:ascii="Times New Roman" w:hAnsi="Times New Roman" w:cs="Times New Roman"/>
          <w:sz w:val="24"/>
          <w:szCs w:val="24"/>
        </w:rPr>
        <w:t xml:space="preserve"> </w:t>
      </w:r>
      <w:r w:rsidRPr="005B27F4">
        <w:rPr>
          <w:rFonts w:ascii="Times New Roman" w:hAnsi="Times New Roman" w:cs="Times New Roman"/>
          <w:sz w:val="24"/>
          <w:szCs w:val="24"/>
        </w:rPr>
        <w:t xml:space="preserve">  </w:t>
      </w:r>
    </w:p>
    <w:p w:rsidR="005B27F4" w:rsidRPr="005B27F4" w:rsidRDefault="005B27F4" w:rsidP="005B27F4">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00CE49B3">
        <w:rPr>
          <w:rFonts w:ascii="Times New Roman" w:hAnsi="Times New Roman" w:cs="Times New Roman"/>
          <w:sz w:val="24"/>
          <w:szCs w:val="24"/>
        </w:rPr>
        <w:t xml:space="preserve"> </w:t>
      </w:r>
      <w:r w:rsidRPr="005B27F4">
        <w:rPr>
          <w:rFonts w:ascii="Times New Roman" w:hAnsi="Times New Roman" w:cs="Times New Roman"/>
          <w:sz w:val="24"/>
          <w:szCs w:val="24"/>
        </w:rPr>
        <w:t xml:space="preserve">Pedro David Labrada Rosabal. Empresa de Investigaciones y Proyectos Hidráulicos (RAUDAL), Granma, Cuba. </w:t>
      </w:r>
      <w:hyperlink r:id="rId8" w:history="1">
        <w:r w:rsidRPr="007D0FD8">
          <w:rPr>
            <w:rStyle w:val="Hipervnculo"/>
            <w:rFonts w:ascii="Times New Roman" w:hAnsi="Times New Roman" w:cs="Times New Roman"/>
            <w:sz w:val="24"/>
            <w:szCs w:val="24"/>
          </w:rPr>
          <w:t>pedrodavidlabradarosabal@gmail.com</w:t>
        </w:r>
      </w:hyperlink>
      <w:r>
        <w:rPr>
          <w:rFonts w:ascii="Times New Roman" w:hAnsi="Times New Roman" w:cs="Times New Roman"/>
          <w:sz w:val="24"/>
          <w:szCs w:val="24"/>
        </w:rPr>
        <w:t xml:space="preserve"> </w:t>
      </w:r>
      <w:r w:rsidRPr="005B27F4">
        <w:rPr>
          <w:rFonts w:ascii="Times New Roman" w:hAnsi="Times New Roman" w:cs="Times New Roman"/>
          <w:sz w:val="24"/>
          <w:szCs w:val="24"/>
        </w:rPr>
        <w:t xml:space="preserve"> </w:t>
      </w:r>
    </w:p>
    <w:p w:rsidR="005B27F4" w:rsidRDefault="005B27F4" w:rsidP="005B27F4">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00CE49B3">
        <w:rPr>
          <w:rFonts w:ascii="Times New Roman" w:hAnsi="Times New Roman" w:cs="Times New Roman"/>
          <w:sz w:val="24"/>
          <w:szCs w:val="24"/>
        </w:rPr>
        <w:t xml:space="preserve"> </w:t>
      </w:r>
      <w:r w:rsidRPr="005B27F4">
        <w:rPr>
          <w:rFonts w:ascii="Times New Roman" w:hAnsi="Times New Roman" w:cs="Times New Roman"/>
          <w:sz w:val="24"/>
          <w:szCs w:val="24"/>
        </w:rPr>
        <w:t xml:space="preserve">Nelson Fernández Hernández. Empresa Ferroníquel Minera S.A, Moa, Cuba. </w:t>
      </w:r>
      <w:hyperlink r:id="rId9" w:history="1">
        <w:r w:rsidRPr="007D0FD8">
          <w:rPr>
            <w:rStyle w:val="Hipervnculo"/>
            <w:rFonts w:ascii="Times New Roman" w:hAnsi="Times New Roman" w:cs="Times New Roman"/>
            <w:sz w:val="24"/>
            <w:szCs w:val="24"/>
          </w:rPr>
          <w:t>n99081818625@gmail.com</w:t>
        </w:r>
      </w:hyperlink>
      <w:r>
        <w:rPr>
          <w:rFonts w:ascii="Times New Roman" w:hAnsi="Times New Roman" w:cs="Times New Roman"/>
          <w:sz w:val="24"/>
          <w:szCs w:val="24"/>
        </w:rPr>
        <w:t xml:space="preserve"> </w:t>
      </w:r>
    </w:p>
    <w:p w:rsidR="0083640E" w:rsidRPr="005B27F4" w:rsidRDefault="0083640E" w:rsidP="005B27F4">
      <w:pPr>
        <w:spacing w:after="0" w:line="360" w:lineRule="auto"/>
        <w:rPr>
          <w:rFonts w:ascii="Times New Roman" w:hAnsi="Times New Roman" w:cs="Times New Roman"/>
          <w:sz w:val="24"/>
          <w:szCs w:val="24"/>
        </w:rPr>
      </w:pPr>
      <w:r>
        <w:rPr>
          <w:rFonts w:ascii="Times New Roman" w:hAnsi="Times New Roman" w:cs="Times New Roman"/>
          <w:sz w:val="24"/>
          <w:szCs w:val="24"/>
        </w:rPr>
        <w:t>1-</w:t>
      </w:r>
      <w:r w:rsidR="00CE49B3">
        <w:rPr>
          <w:rFonts w:ascii="Times New Roman" w:hAnsi="Times New Roman" w:cs="Times New Roman"/>
          <w:sz w:val="24"/>
          <w:szCs w:val="24"/>
        </w:rPr>
        <w:t xml:space="preserve"> </w:t>
      </w:r>
      <w:r w:rsidRPr="005B27F4">
        <w:rPr>
          <w:rFonts w:ascii="Times New Roman" w:hAnsi="Times New Roman" w:cs="Times New Roman"/>
          <w:sz w:val="24"/>
          <w:szCs w:val="24"/>
        </w:rPr>
        <w:t xml:space="preserve">Daliana María Arjona Mendoza. Universidad de Moa, Cuba. </w:t>
      </w:r>
      <w:hyperlink r:id="rId10" w:history="1">
        <w:r w:rsidRPr="007D0FD8">
          <w:rPr>
            <w:rStyle w:val="Hipervnculo"/>
            <w:rFonts w:ascii="Times New Roman" w:hAnsi="Times New Roman" w:cs="Times New Roman"/>
            <w:sz w:val="24"/>
            <w:szCs w:val="24"/>
          </w:rPr>
          <w:t>damendoza@ismm.edu.cu</w:t>
        </w:r>
      </w:hyperlink>
    </w:p>
    <w:p w:rsidR="005B27F4" w:rsidRPr="005B27F4" w:rsidRDefault="005B27F4" w:rsidP="005B27F4">
      <w:pPr>
        <w:spacing w:after="0" w:line="360" w:lineRule="auto"/>
        <w:rPr>
          <w:rFonts w:ascii="Times New Roman" w:hAnsi="Times New Roman" w:cs="Times New Roman"/>
          <w:sz w:val="24"/>
          <w:szCs w:val="24"/>
        </w:rPr>
      </w:pPr>
      <w:r>
        <w:rPr>
          <w:rFonts w:ascii="Times New Roman" w:hAnsi="Times New Roman" w:cs="Times New Roman"/>
          <w:sz w:val="24"/>
          <w:szCs w:val="24"/>
        </w:rPr>
        <w:t>1-</w:t>
      </w:r>
      <w:r w:rsidR="00CE49B3">
        <w:rPr>
          <w:rFonts w:ascii="Times New Roman" w:hAnsi="Times New Roman" w:cs="Times New Roman"/>
          <w:sz w:val="24"/>
          <w:szCs w:val="24"/>
        </w:rPr>
        <w:t xml:space="preserve"> </w:t>
      </w:r>
      <w:r w:rsidRPr="005B27F4">
        <w:rPr>
          <w:rFonts w:ascii="Times New Roman" w:hAnsi="Times New Roman" w:cs="Times New Roman"/>
          <w:sz w:val="24"/>
          <w:szCs w:val="24"/>
        </w:rPr>
        <w:t xml:space="preserve">Rafael Guardado Lacaba. Universidad de Moa, Cuba. </w:t>
      </w:r>
      <w:hyperlink r:id="rId11" w:history="1">
        <w:r w:rsidRPr="007D0FD8">
          <w:rPr>
            <w:rStyle w:val="Hipervnculo"/>
            <w:rFonts w:ascii="Times New Roman" w:hAnsi="Times New Roman" w:cs="Times New Roman"/>
            <w:sz w:val="24"/>
            <w:szCs w:val="24"/>
          </w:rPr>
          <w:t>rguardado@ismm.edu.cu</w:t>
        </w:r>
      </w:hyperlink>
      <w:r>
        <w:rPr>
          <w:rFonts w:ascii="Times New Roman" w:hAnsi="Times New Roman" w:cs="Times New Roman"/>
          <w:sz w:val="24"/>
          <w:szCs w:val="24"/>
        </w:rPr>
        <w:t xml:space="preserve"> </w:t>
      </w:r>
    </w:p>
    <w:p w:rsidR="005B27F4" w:rsidRDefault="00147886" w:rsidP="00147886">
      <w:pPr>
        <w:spacing w:line="360" w:lineRule="auto"/>
        <w:jc w:val="both"/>
        <w:rPr>
          <w:rFonts w:ascii="Times New Roman" w:hAnsi="Times New Roman"/>
          <w:sz w:val="24"/>
          <w:szCs w:val="24"/>
        </w:rPr>
      </w:pPr>
      <w:r w:rsidRPr="00147886">
        <w:rPr>
          <w:rFonts w:ascii="Times New Roman" w:hAnsi="Times New Roman" w:cs="Times New Roman"/>
          <w:sz w:val="24"/>
          <w:szCs w:val="24"/>
        </w:rPr>
        <w:t>1- Adianes Ferrer Batista</w:t>
      </w:r>
      <w:r w:rsidR="00DF7F2F">
        <w:rPr>
          <w:rFonts w:ascii="Times New Roman" w:hAnsi="Times New Roman" w:cs="Times New Roman"/>
          <w:sz w:val="24"/>
          <w:szCs w:val="24"/>
        </w:rPr>
        <w:t xml:space="preserve">. </w:t>
      </w:r>
      <w:r w:rsidRPr="00147886">
        <w:rPr>
          <w:rFonts w:ascii="Times New Roman" w:hAnsi="Times New Roman" w:cs="Times New Roman"/>
          <w:sz w:val="24"/>
          <w:szCs w:val="24"/>
        </w:rPr>
        <w:t xml:space="preserve">Universidad de Moa, Cuba. </w:t>
      </w:r>
      <w:hyperlink r:id="rId12" w:history="1">
        <w:r w:rsidRPr="00D4444A">
          <w:rPr>
            <w:rStyle w:val="Hipervnculo"/>
            <w:rFonts w:cs="Times New Roman"/>
          </w:rPr>
          <w:t>afbatista@ismm.edu.cu</w:t>
        </w:r>
      </w:hyperlink>
      <w:r>
        <w:rPr>
          <w:rFonts w:ascii="Times New Roman" w:hAnsi="Times New Roman"/>
          <w:sz w:val="24"/>
          <w:szCs w:val="24"/>
        </w:rPr>
        <w:t xml:space="preserve"> </w:t>
      </w:r>
    </w:p>
    <w:p w:rsidR="00433D6C" w:rsidRPr="00433D6C" w:rsidRDefault="00433D6C" w:rsidP="00433D6C">
      <w:pPr>
        <w:spacing w:after="0" w:line="360" w:lineRule="auto"/>
        <w:jc w:val="both"/>
        <w:rPr>
          <w:rFonts w:ascii="Times New Roman" w:hAnsi="Times New Roman" w:cs="Times New Roman"/>
          <w:b/>
          <w:sz w:val="24"/>
          <w:szCs w:val="24"/>
        </w:rPr>
      </w:pPr>
      <w:r w:rsidRPr="00433D6C">
        <w:rPr>
          <w:rFonts w:ascii="Times New Roman" w:hAnsi="Times New Roman" w:cs="Times New Roman"/>
          <w:b/>
          <w:sz w:val="24"/>
          <w:szCs w:val="24"/>
        </w:rPr>
        <w:t xml:space="preserve">Resumen: </w:t>
      </w:r>
    </w:p>
    <w:p w:rsidR="00433D6C" w:rsidRPr="00433D6C" w:rsidRDefault="00433D6C" w:rsidP="00433D6C">
      <w:pPr>
        <w:spacing w:after="0" w:line="360" w:lineRule="auto"/>
        <w:jc w:val="both"/>
        <w:rPr>
          <w:rFonts w:ascii="Times New Roman" w:hAnsi="Times New Roman" w:cs="Times New Roman"/>
          <w:sz w:val="24"/>
          <w:szCs w:val="24"/>
        </w:rPr>
      </w:pPr>
      <w:r w:rsidRPr="00433D6C">
        <w:rPr>
          <w:rFonts w:ascii="Times New Roman" w:hAnsi="Times New Roman" w:cs="Times New Roman"/>
          <w:sz w:val="24"/>
          <w:szCs w:val="24"/>
        </w:rPr>
        <w:t xml:space="preserve">Este estudio evalúa los factores sociodemográficos y experienciales asociados a la percepción del riesgo sísmico en habitantes de Miraflores y Armando Mestre (Moa, Holguín, Cuba), zona expuesta a sismos históricos (6.5R-7.5R) vinculados a la falla Bartlett-Caimán. El objetivo fue determinar cómo el tiempo de residencia, la experiencia sísmica y la ocupación influyen en el conocimiento, actitudes y prácticas (CAP) ante terremotos. Mediante una encuesta CAP validada (α-Cronbach=0.82) </w:t>
      </w:r>
      <w:r w:rsidRPr="00433D6C">
        <w:rPr>
          <w:rFonts w:ascii="Times New Roman" w:hAnsi="Times New Roman" w:cs="Times New Roman"/>
          <w:sz w:val="24"/>
          <w:szCs w:val="24"/>
        </w:rPr>
        <w:lastRenderedPageBreak/>
        <w:t xml:space="preserve">aplicada a 120 residentes (marzo-junio/2024) y análisis estadístico-cualitativo (SPSS v.28, </w:t>
      </w:r>
      <w:proofErr w:type="spellStart"/>
      <w:r w:rsidRPr="00433D6C">
        <w:rPr>
          <w:rFonts w:ascii="Times New Roman" w:hAnsi="Times New Roman" w:cs="Times New Roman"/>
          <w:sz w:val="24"/>
          <w:szCs w:val="24"/>
        </w:rPr>
        <w:t>Atlas.ti</w:t>
      </w:r>
      <w:proofErr w:type="spellEnd"/>
      <w:r w:rsidRPr="00433D6C">
        <w:rPr>
          <w:rFonts w:ascii="Times New Roman" w:hAnsi="Times New Roman" w:cs="Times New Roman"/>
          <w:sz w:val="24"/>
          <w:szCs w:val="24"/>
        </w:rPr>
        <w:t xml:space="preserve"> v.9). Se identificó (I) el 42%-45% nunca percibió un sismo, correlacionándose con subestimación del riesgo y falsa seguridad; (II) aunque el 45%-47% tiene &gt;20 años de residencia, solo el 20%-33% recibió capacitación, con mayor afectación en población no laboralmente activa (amas de casa/jubilados); (III) el 33%-45% huiría corriendo durante un evento y el 0% participa en simulacros, vinculado a normalización de la amenaza; (IV) amenazas visibles (inundaciones/incendios) se perciben como más críticas que los sismos. Se concluye que la percepción es "media" en conocimiento, pero "baja/nula" en prácticas, evidenciando que la escasa experiencia directa y la formación insuficiente exigen intervenciones psicoeducativas focalizadas para fortalecer la resiliencia comunitaria.</w:t>
      </w:r>
    </w:p>
    <w:p w:rsidR="00433D6C" w:rsidRPr="00433D6C" w:rsidRDefault="00433D6C" w:rsidP="00433D6C">
      <w:pPr>
        <w:spacing w:after="0" w:line="360" w:lineRule="auto"/>
        <w:jc w:val="both"/>
        <w:rPr>
          <w:rFonts w:ascii="Times New Roman" w:hAnsi="Times New Roman" w:cs="Times New Roman"/>
          <w:b/>
          <w:sz w:val="24"/>
          <w:szCs w:val="24"/>
        </w:rPr>
      </w:pPr>
    </w:p>
    <w:p w:rsidR="00433D6C" w:rsidRPr="00122E7E" w:rsidRDefault="00433D6C" w:rsidP="00433D6C">
      <w:pPr>
        <w:spacing w:after="0" w:line="360" w:lineRule="auto"/>
        <w:jc w:val="both"/>
        <w:rPr>
          <w:rFonts w:ascii="Times New Roman" w:hAnsi="Times New Roman" w:cs="Times New Roman"/>
          <w:b/>
          <w:sz w:val="24"/>
          <w:szCs w:val="24"/>
          <w:lang w:val="en-US"/>
        </w:rPr>
      </w:pPr>
      <w:r w:rsidRPr="00122E7E">
        <w:rPr>
          <w:rFonts w:ascii="Times New Roman" w:hAnsi="Times New Roman" w:cs="Times New Roman"/>
          <w:b/>
          <w:sz w:val="24"/>
          <w:szCs w:val="24"/>
          <w:lang w:val="en-US"/>
        </w:rPr>
        <w:t xml:space="preserve">Abstract: </w:t>
      </w:r>
    </w:p>
    <w:p w:rsidR="00433D6C" w:rsidRPr="00433D6C" w:rsidRDefault="00433D6C" w:rsidP="00433D6C">
      <w:pPr>
        <w:spacing w:after="0" w:line="360" w:lineRule="auto"/>
        <w:jc w:val="both"/>
        <w:rPr>
          <w:rFonts w:ascii="Times New Roman" w:hAnsi="Times New Roman" w:cs="Times New Roman"/>
          <w:sz w:val="24"/>
          <w:szCs w:val="24"/>
          <w:lang w:val="en-US"/>
        </w:rPr>
      </w:pPr>
      <w:r w:rsidRPr="00433D6C">
        <w:rPr>
          <w:rFonts w:ascii="Times New Roman" w:hAnsi="Times New Roman" w:cs="Times New Roman"/>
          <w:sz w:val="24"/>
          <w:szCs w:val="24"/>
          <w:lang w:val="en-US"/>
        </w:rPr>
        <w:t>This study assesses the sociodemographic and experiential factors associated with seismic risk perception among residents of Miraflores and Armando Mestre (Moa, Holguín, Cuba), an area exposed to historic earthquakes (6.5R-7.5R) linked to the Bartlett-Cayman Fault. The objective was to determine how length of residency, seismic experience, and occupation influence earthquake-related knowledge, attitudes, and practices (KAP). Using a validated KAP survey (</w:t>
      </w:r>
      <w:r w:rsidRPr="00433D6C">
        <w:rPr>
          <w:rFonts w:ascii="Times New Roman" w:hAnsi="Times New Roman" w:cs="Times New Roman"/>
          <w:sz w:val="24"/>
          <w:szCs w:val="24"/>
        </w:rPr>
        <w:t>α</w:t>
      </w:r>
      <w:r w:rsidRPr="00433D6C">
        <w:rPr>
          <w:rFonts w:ascii="Times New Roman" w:hAnsi="Times New Roman" w:cs="Times New Roman"/>
          <w:sz w:val="24"/>
          <w:szCs w:val="24"/>
          <w:lang w:val="en-US"/>
        </w:rPr>
        <w:t xml:space="preserve">-Cronbach=0.82) administered to 120 residents (March-June 2024) and statistical-qualitative analysis (SPSS v.28, </w:t>
      </w:r>
      <w:proofErr w:type="spellStart"/>
      <w:r w:rsidRPr="00433D6C">
        <w:rPr>
          <w:rFonts w:ascii="Times New Roman" w:hAnsi="Times New Roman" w:cs="Times New Roman"/>
          <w:sz w:val="24"/>
          <w:szCs w:val="24"/>
          <w:lang w:val="en-US"/>
        </w:rPr>
        <w:t>Atlas.ti</w:t>
      </w:r>
      <w:proofErr w:type="spellEnd"/>
      <w:r w:rsidRPr="00433D6C">
        <w:rPr>
          <w:rFonts w:ascii="Times New Roman" w:hAnsi="Times New Roman" w:cs="Times New Roman"/>
          <w:sz w:val="24"/>
          <w:szCs w:val="24"/>
          <w:lang w:val="en-US"/>
        </w:rPr>
        <w:t xml:space="preserve"> v.9), we identified: (I) 42%-45% never perceived an earthquake, correlating with risk underestimation and false sense of security; (II) Despite 45%-47% having &gt;20 years of residency, only 20%-33% received training, with greater impact on non-working populations (homemakers/retirees); (III) 33%-45% would run outdoors during an event and 0% participate in drills, indicating threat normalization; (IV) Visible hazards (floods/fires) were perceived as more critical than earthquakes. We conclude that perception is "moderate" in knowledge but "low/null" in practices, demonstrating that limited direct experience and insufficient training necessitate targeted psychoeducational interventions to strengthen community resilience.</w:t>
      </w:r>
    </w:p>
    <w:p w:rsidR="00433D6C" w:rsidRPr="00433D6C" w:rsidRDefault="00433D6C" w:rsidP="00433D6C">
      <w:pPr>
        <w:spacing w:after="0" w:line="360" w:lineRule="auto"/>
        <w:jc w:val="both"/>
        <w:rPr>
          <w:rFonts w:ascii="Times New Roman" w:hAnsi="Times New Roman" w:cs="Times New Roman"/>
          <w:b/>
          <w:sz w:val="24"/>
          <w:szCs w:val="24"/>
          <w:lang w:val="en-US"/>
        </w:rPr>
      </w:pPr>
    </w:p>
    <w:p w:rsidR="00433D6C" w:rsidRPr="00433D6C" w:rsidRDefault="00433D6C" w:rsidP="00433D6C">
      <w:pPr>
        <w:spacing w:after="0" w:line="360" w:lineRule="auto"/>
        <w:jc w:val="both"/>
        <w:rPr>
          <w:rFonts w:ascii="Times New Roman" w:hAnsi="Times New Roman" w:cs="Times New Roman"/>
          <w:b/>
          <w:sz w:val="24"/>
          <w:szCs w:val="24"/>
        </w:rPr>
      </w:pPr>
      <w:r w:rsidRPr="00433D6C">
        <w:rPr>
          <w:rFonts w:ascii="Times New Roman" w:hAnsi="Times New Roman" w:cs="Times New Roman"/>
          <w:b/>
          <w:sz w:val="24"/>
          <w:szCs w:val="24"/>
        </w:rPr>
        <w:t xml:space="preserve">Palabras clave: </w:t>
      </w:r>
      <w:r w:rsidRPr="00433D6C">
        <w:rPr>
          <w:rFonts w:ascii="Times New Roman" w:hAnsi="Times New Roman" w:cs="Times New Roman"/>
          <w:sz w:val="24"/>
          <w:szCs w:val="24"/>
        </w:rPr>
        <w:t>Percepción, Riesgo, Sísmico</w:t>
      </w:r>
    </w:p>
    <w:p w:rsidR="00A21A1F" w:rsidRDefault="00433D6C" w:rsidP="00433D6C">
      <w:pPr>
        <w:spacing w:after="0" w:line="360" w:lineRule="auto"/>
        <w:jc w:val="both"/>
        <w:rPr>
          <w:rFonts w:ascii="Times New Roman" w:hAnsi="Times New Roman" w:cs="Times New Roman"/>
          <w:b/>
          <w:sz w:val="24"/>
          <w:szCs w:val="24"/>
        </w:rPr>
      </w:pPr>
      <w:proofErr w:type="spellStart"/>
      <w:r w:rsidRPr="00433D6C">
        <w:rPr>
          <w:rFonts w:ascii="Times New Roman" w:hAnsi="Times New Roman" w:cs="Times New Roman"/>
          <w:b/>
          <w:sz w:val="24"/>
          <w:szCs w:val="24"/>
        </w:rPr>
        <w:t>Keywords</w:t>
      </w:r>
      <w:proofErr w:type="spellEnd"/>
      <w:r w:rsidRPr="00433D6C">
        <w:rPr>
          <w:rFonts w:ascii="Times New Roman" w:hAnsi="Times New Roman" w:cs="Times New Roman"/>
          <w:b/>
          <w:sz w:val="24"/>
          <w:szCs w:val="24"/>
        </w:rPr>
        <w:t xml:space="preserve">: </w:t>
      </w:r>
      <w:proofErr w:type="spellStart"/>
      <w:r w:rsidRPr="00433D6C">
        <w:rPr>
          <w:rFonts w:ascii="Times New Roman" w:hAnsi="Times New Roman" w:cs="Times New Roman"/>
          <w:sz w:val="24"/>
          <w:szCs w:val="24"/>
        </w:rPr>
        <w:t>Seismic</w:t>
      </w:r>
      <w:proofErr w:type="spellEnd"/>
      <w:r w:rsidRPr="00433D6C">
        <w:rPr>
          <w:rFonts w:ascii="Times New Roman" w:hAnsi="Times New Roman" w:cs="Times New Roman"/>
          <w:sz w:val="24"/>
          <w:szCs w:val="24"/>
        </w:rPr>
        <w:t xml:space="preserve">, </w:t>
      </w:r>
      <w:proofErr w:type="spellStart"/>
      <w:r w:rsidRPr="00433D6C">
        <w:rPr>
          <w:rFonts w:ascii="Times New Roman" w:hAnsi="Times New Roman" w:cs="Times New Roman"/>
          <w:sz w:val="24"/>
          <w:szCs w:val="24"/>
        </w:rPr>
        <w:t>Risk</w:t>
      </w:r>
      <w:proofErr w:type="spellEnd"/>
      <w:r w:rsidRPr="00433D6C">
        <w:rPr>
          <w:rFonts w:ascii="Times New Roman" w:hAnsi="Times New Roman" w:cs="Times New Roman"/>
          <w:sz w:val="24"/>
          <w:szCs w:val="24"/>
        </w:rPr>
        <w:t xml:space="preserve">, </w:t>
      </w:r>
      <w:proofErr w:type="spellStart"/>
      <w:r w:rsidRPr="00433D6C">
        <w:rPr>
          <w:rFonts w:ascii="Times New Roman" w:hAnsi="Times New Roman" w:cs="Times New Roman"/>
          <w:sz w:val="24"/>
          <w:szCs w:val="24"/>
        </w:rPr>
        <w:t>Perception</w:t>
      </w:r>
      <w:proofErr w:type="spellEnd"/>
      <w:r w:rsidRPr="00433D6C">
        <w:rPr>
          <w:rFonts w:ascii="Times New Roman" w:hAnsi="Times New Roman" w:cs="Times New Roman"/>
          <w:sz w:val="24"/>
          <w:szCs w:val="24"/>
        </w:rPr>
        <w:t>.</w:t>
      </w:r>
    </w:p>
    <w:p w:rsidR="00433D6C" w:rsidRPr="00122E7E" w:rsidRDefault="00433D6C" w:rsidP="00433D6C">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FA6840" w:rsidRPr="00FA6840" w:rsidRDefault="00FA6840" w:rsidP="00FA6840">
      <w:pPr>
        <w:spacing w:after="0" w:line="360" w:lineRule="auto"/>
        <w:jc w:val="both"/>
        <w:rPr>
          <w:rFonts w:ascii="Times New Roman" w:hAnsi="Times New Roman" w:cs="Times New Roman"/>
          <w:sz w:val="24"/>
          <w:szCs w:val="24"/>
        </w:rPr>
      </w:pPr>
      <w:r w:rsidRPr="00FA6840">
        <w:rPr>
          <w:rFonts w:ascii="Times New Roman" w:hAnsi="Times New Roman" w:cs="Times New Roman"/>
          <w:sz w:val="24"/>
          <w:szCs w:val="24"/>
        </w:rPr>
        <w:t xml:space="preserve">Los desastres naturales, son eventos catastróficos con impactos medibles en vidas humanas, economías y capacidad de recuperación (Batista </w:t>
      </w:r>
      <w:proofErr w:type="spellStart"/>
      <w:r w:rsidRPr="00FA6840">
        <w:rPr>
          <w:rFonts w:ascii="Times New Roman" w:hAnsi="Times New Roman" w:cs="Times New Roman"/>
          <w:sz w:val="24"/>
          <w:szCs w:val="24"/>
        </w:rPr>
        <w:t>Samé</w:t>
      </w:r>
      <w:proofErr w:type="spellEnd"/>
      <w:r w:rsidRPr="00FA6840">
        <w:rPr>
          <w:rFonts w:ascii="Times New Roman" w:hAnsi="Times New Roman" w:cs="Times New Roman"/>
          <w:sz w:val="24"/>
          <w:szCs w:val="24"/>
        </w:rPr>
        <w:t xml:space="preserve">, 2019; </w:t>
      </w:r>
      <w:proofErr w:type="spellStart"/>
      <w:r w:rsidRPr="00FA6840">
        <w:rPr>
          <w:rFonts w:ascii="Times New Roman" w:hAnsi="Times New Roman" w:cs="Times New Roman"/>
          <w:sz w:val="24"/>
          <w:szCs w:val="24"/>
        </w:rPr>
        <w:t>Garcell</w:t>
      </w:r>
      <w:proofErr w:type="spellEnd"/>
      <w:r w:rsidRPr="00FA6840">
        <w:rPr>
          <w:rFonts w:ascii="Times New Roman" w:hAnsi="Times New Roman" w:cs="Times New Roman"/>
          <w:sz w:val="24"/>
          <w:szCs w:val="24"/>
        </w:rPr>
        <w:t xml:space="preserve"> Rodríguez, 2014; Sánchez et al., 2016). Entre estos fenómenos se destacan los sismos que representan el 56% de las muertes por desastres y la pérdida de US$661 mil millones entre los años 1998 y 2017 (</w:t>
      </w:r>
      <w:proofErr w:type="spellStart"/>
      <w:r w:rsidRPr="00FA6840">
        <w:rPr>
          <w:rFonts w:ascii="Times New Roman" w:hAnsi="Times New Roman" w:cs="Times New Roman"/>
          <w:sz w:val="24"/>
          <w:szCs w:val="24"/>
        </w:rPr>
        <w:t>Cred</w:t>
      </w:r>
      <w:proofErr w:type="spellEnd"/>
      <w:r w:rsidRPr="00FA6840">
        <w:rPr>
          <w:rFonts w:ascii="Times New Roman" w:hAnsi="Times New Roman" w:cs="Times New Roman"/>
          <w:sz w:val="24"/>
          <w:szCs w:val="24"/>
        </w:rPr>
        <w:t xml:space="preserve">, 2018; </w:t>
      </w:r>
      <w:proofErr w:type="spellStart"/>
      <w:r w:rsidRPr="00FA6840">
        <w:rPr>
          <w:rFonts w:ascii="Times New Roman" w:hAnsi="Times New Roman" w:cs="Times New Roman"/>
          <w:sz w:val="24"/>
          <w:szCs w:val="24"/>
        </w:rPr>
        <w:t>Frómeta</w:t>
      </w:r>
      <w:proofErr w:type="spellEnd"/>
      <w:r w:rsidRPr="00FA6840">
        <w:rPr>
          <w:rFonts w:ascii="Times New Roman" w:hAnsi="Times New Roman" w:cs="Times New Roman"/>
          <w:sz w:val="24"/>
          <w:szCs w:val="24"/>
        </w:rPr>
        <w:t xml:space="preserve">-Alfaro &amp; Guardado-Lacaba, 2017). </w:t>
      </w:r>
    </w:p>
    <w:p w:rsidR="00FA6840" w:rsidRPr="00FA6840" w:rsidRDefault="00FA6840" w:rsidP="00FA6840">
      <w:pPr>
        <w:spacing w:after="0" w:line="360" w:lineRule="auto"/>
        <w:jc w:val="both"/>
        <w:rPr>
          <w:rFonts w:ascii="Times New Roman" w:hAnsi="Times New Roman" w:cs="Times New Roman"/>
          <w:sz w:val="24"/>
          <w:szCs w:val="24"/>
        </w:rPr>
      </w:pPr>
      <w:r w:rsidRPr="00FA6840">
        <w:rPr>
          <w:rFonts w:ascii="Times New Roman" w:hAnsi="Times New Roman" w:cs="Times New Roman"/>
          <w:sz w:val="24"/>
          <w:szCs w:val="24"/>
        </w:rPr>
        <w:t>Sin embargo, la magnitud de sus consecuencias no depende únicamente de la amenaza natural, sino de factores como la eficiencia gubernamental en la respuesta (Argüelles et al., 2019), la resiliencia económica (</w:t>
      </w:r>
      <w:proofErr w:type="spellStart"/>
      <w:r w:rsidRPr="00FA6840">
        <w:rPr>
          <w:rFonts w:ascii="Times New Roman" w:hAnsi="Times New Roman" w:cs="Times New Roman"/>
          <w:sz w:val="24"/>
          <w:szCs w:val="24"/>
        </w:rPr>
        <w:t>Zuñiga</w:t>
      </w:r>
      <w:proofErr w:type="spellEnd"/>
      <w:r w:rsidRPr="00FA6840">
        <w:rPr>
          <w:rFonts w:ascii="Times New Roman" w:hAnsi="Times New Roman" w:cs="Times New Roman"/>
          <w:sz w:val="24"/>
          <w:szCs w:val="24"/>
        </w:rPr>
        <w:t xml:space="preserve"> Fuentes, 2019) y la percepción del riesgo por parte de las comunidades (</w:t>
      </w:r>
      <w:proofErr w:type="spellStart"/>
      <w:r w:rsidRPr="00FA6840">
        <w:rPr>
          <w:rFonts w:ascii="Times New Roman" w:hAnsi="Times New Roman" w:cs="Times New Roman"/>
          <w:sz w:val="24"/>
          <w:szCs w:val="24"/>
        </w:rPr>
        <w:t>Tussen-Corrioso</w:t>
      </w:r>
      <w:proofErr w:type="spellEnd"/>
      <w:r w:rsidRPr="00FA6840">
        <w:rPr>
          <w:rFonts w:ascii="Times New Roman" w:hAnsi="Times New Roman" w:cs="Times New Roman"/>
          <w:sz w:val="24"/>
          <w:szCs w:val="24"/>
        </w:rPr>
        <w:t xml:space="preserve"> &amp; </w:t>
      </w:r>
      <w:proofErr w:type="spellStart"/>
      <w:r w:rsidRPr="00FA6840">
        <w:rPr>
          <w:rFonts w:ascii="Times New Roman" w:hAnsi="Times New Roman" w:cs="Times New Roman"/>
          <w:sz w:val="24"/>
          <w:szCs w:val="24"/>
        </w:rPr>
        <w:t>Brull</w:t>
      </w:r>
      <w:proofErr w:type="spellEnd"/>
      <w:r w:rsidRPr="00FA6840">
        <w:rPr>
          <w:rFonts w:ascii="Times New Roman" w:hAnsi="Times New Roman" w:cs="Times New Roman"/>
          <w:sz w:val="24"/>
          <w:szCs w:val="24"/>
        </w:rPr>
        <w:t>-González, 2018).</w:t>
      </w:r>
    </w:p>
    <w:p w:rsidR="00FA6840" w:rsidRPr="00FA6840" w:rsidRDefault="00FA6840" w:rsidP="00FA6840">
      <w:pPr>
        <w:spacing w:after="0" w:line="360" w:lineRule="auto"/>
        <w:jc w:val="both"/>
        <w:rPr>
          <w:rFonts w:ascii="Times New Roman" w:hAnsi="Times New Roman" w:cs="Times New Roman"/>
          <w:sz w:val="24"/>
          <w:szCs w:val="24"/>
        </w:rPr>
      </w:pPr>
      <w:r w:rsidRPr="00FA6840">
        <w:rPr>
          <w:rFonts w:ascii="Times New Roman" w:hAnsi="Times New Roman" w:cs="Times New Roman"/>
          <w:sz w:val="24"/>
          <w:szCs w:val="24"/>
        </w:rPr>
        <w:t xml:space="preserve">La percepción es central en la gestión del riesgo sísmico (Burton &amp; </w:t>
      </w:r>
      <w:proofErr w:type="spellStart"/>
      <w:r w:rsidRPr="00FA6840">
        <w:rPr>
          <w:rFonts w:ascii="Times New Roman" w:hAnsi="Times New Roman" w:cs="Times New Roman"/>
          <w:sz w:val="24"/>
          <w:szCs w:val="24"/>
        </w:rPr>
        <w:t>Kates</w:t>
      </w:r>
      <w:proofErr w:type="spellEnd"/>
      <w:r w:rsidRPr="00FA6840">
        <w:rPr>
          <w:rFonts w:ascii="Times New Roman" w:hAnsi="Times New Roman" w:cs="Times New Roman"/>
          <w:sz w:val="24"/>
          <w:szCs w:val="24"/>
        </w:rPr>
        <w:t xml:space="preserve">, 1964; </w:t>
      </w:r>
      <w:proofErr w:type="spellStart"/>
      <w:r w:rsidRPr="00FA6840">
        <w:rPr>
          <w:rFonts w:ascii="Times New Roman" w:hAnsi="Times New Roman" w:cs="Times New Roman"/>
          <w:sz w:val="24"/>
          <w:szCs w:val="24"/>
        </w:rPr>
        <w:t>Sjöberg</w:t>
      </w:r>
      <w:proofErr w:type="spellEnd"/>
      <w:r w:rsidRPr="00FA6840">
        <w:rPr>
          <w:rFonts w:ascii="Times New Roman" w:hAnsi="Times New Roman" w:cs="Times New Roman"/>
          <w:sz w:val="24"/>
          <w:szCs w:val="24"/>
        </w:rPr>
        <w:t xml:space="preserve">, 2000; variando según contextos sociales, culturales y experiencias previas (Dalmau </w:t>
      </w:r>
      <w:proofErr w:type="spellStart"/>
      <w:r w:rsidRPr="00FA6840">
        <w:rPr>
          <w:rFonts w:ascii="Times New Roman" w:hAnsi="Times New Roman" w:cs="Times New Roman"/>
          <w:sz w:val="24"/>
          <w:szCs w:val="24"/>
        </w:rPr>
        <w:t>Muguercia</w:t>
      </w:r>
      <w:proofErr w:type="spellEnd"/>
      <w:r w:rsidRPr="00FA6840">
        <w:rPr>
          <w:rFonts w:ascii="Times New Roman" w:hAnsi="Times New Roman" w:cs="Times New Roman"/>
          <w:sz w:val="24"/>
          <w:szCs w:val="24"/>
        </w:rPr>
        <w:t xml:space="preserve"> et al., 2013; Pérez-Figueredo, 2019), explicando el fracaso de medidas técnicas ante comprensión limitada del riesgo (</w:t>
      </w:r>
      <w:proofErr w:type="spellStart"/>
      <w:r w:rsidRPr="00FA6840">
        <w:rPr>
          <w:rFonts w:ascii="Times New Roman" w:hAnsi="Times New Roman" w:cs="Times New Roman"/>
          <w:sz w:val="24"/>
          <w:szCs w:val="24"/>
        </w:rPr>
        <w:t>Frometa</w:t>
      </w:r>
      <w:proofErr w:type="spellEnd"/>
      <w:r w:rsidRPr="00FA6840">
        <w:rPr>
          <w:rFonts w:ascii="Times New Roman" w:hAnsi="Times New Roman" w:cs="Times New Roman"/>
          <w:sz w:val="24"/>
          <w:szCs w:val="24"/>
        </w:rPr>
        <w:t xml:space="preserve"> Alfaro et al., 2017). </w:t>
      </w:r>
    </w:p>
    <w:p w:rsidR="00FA6840" w:rsidRPr="00FA6840" w:rsidRDefault="005001E2" w:rsidP="00FA68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FA6840" w:rsidRPr="00FA6840">
        <w:rPr>
          <w:rFonts w:ascii="Times New Roman" w:hAnsi="Times New Roman" w:cs="Times New Roman"/>
          <w:sz w:val="24"/>
          <w:szCs w:val="24"/>
        </w:rPr>
        <w:t xml:space="preserve">a vulnerabilidad emerge de la interacción amenazas-naturales/dinámicas-socioeconómicas (Hernández et al., 2015; Hernández </w:t>
      </w:r>
      <w:proofErr w:type="spellStart"/>
      <w:r w:rsidR="00FA6840" w:rsidRPr="00FA6840">
        <w:rPr>
          <w:rFonts w:ascii="Times New Roman" w:hAnsi="Times New Roman" w:cs="Times New Roman"/>
          <w:sz w:val="24"/>
          <w:szCs w:val="24"/>
        </w:rPr>
        <w:t>Columbié</w:t>
      </w:r>
      <w:proofErr w:type="spellEnd"/>
      <w:r w:rsidR="00FA6840" w:rsidRPr="00FA6840">
        <w:rPr>
          <w:rFonts w:ascii="Times New Roman" w:hAnsi="Times New Roman" w:cs="Times New Roman"/>
          <w:sz w:val="24"/>
          <w:szCs w:val="24"/>
        </w:rPr>
        <w:t xml:space="preserve"> &amp; Guardado Lacaba, 2023; Hernández Zaldívar, 2012), configurando el riesgo como construcción social influida por modelos de desarrollo territorial (</w:t>
      </w:r>
      <w:proofErr w:type="spellStart"/>
      <w:r w:rsidR="00FA6840" w:rsidRPr="00FA6840">
        <w:rPr>
          <w:rFonts w:ascii="Times New Roman" w:hAnsi="Times New Roman" w:cs="Times New Roman"/>
          <w:sz w:val="24"/>
          <w:szCs w:val="24"/>
        </w:rPr>
        <w:t>Lavell</w:t>
      </w:r>
      <w:proofErr w:type="spellEnd"/>
      <w:r w:rsidR="00FA6840" w:rsidRPr="00FA6840">
        <w:rPr>
          <w:rFonts w:ascii="Times New Roman" w:hAnsi="Times New Roman" w:cs="Times New Roman"/>
          <w:sz w:val="24"/>
          <w:szCs w:val="24"/>
        </w:rPr>
        <w:t>, 2010).</w:t>
      </w:r>
    </w:p>
    <w:p w:rsidR="00FA6840" w:rsidRPr="00FA6840" w:rsidRDefault="00FA6840" w:rsidP="00FA6840">
      <w:pPr>
        <w:spacing w:after="0" w:line="360" w:lineRule="auto"/>
        <w:jc w:val="both"/>
        <w:rPr>
          <w:rFonts w:ascii="Times New Roman" w:hAnsi="Times New Roman" w:cs="Times New Roman"/>
          <w:sz w:val="24"/>
          <w:szCs w:val="24"/>
        </w:rPr>
      </w:pPr>
      <w:r w:rsidRPr="00FA6840">
        <w:rPr>
          <w:rFonts w:ascii="Times New Roman" w:hAnsi="Times New Roman" w:cs="Times New Roman"/>
          <w:sz w:val="24"/>
          <w:szCs w:val="24"/>
        </w:rPr>
        <w:t>El Marco de Sendai 2015-2030 (ONU) enfatiza la necesidad de integrar conocimiento científico, participación comunitaria y políticas de ordenamiento territorial (Leyva &amp; González, 2023), especialmente en contextos urbanos donde la densidad poblacional y la planificación insuficiente agravan los riesgos (Silva Reyes, 2017).</w:t>
      </w:r>
    </w:p>
    <w:p w:rsidR="00FA6840" w:rsidRPr="00FA6840" w:rsidRDefault="00FA6840" w:rsidP="00FA6840">
      <w:pPr>
        <w:spacing w:after="0" w:line="360" w:lineRule="auto"/>
        <w:jc w:val="both"/>
        <w:rPr>
          <w:rFonts w:ascii="Times New Roman" w:hAnsi="Times New Roman" w:cs="Times New Roman"/>
          <w:sz w:val="24"/>
          <w:szCs w:val="24"/>
        </w:rPr>
      </w:pPr>
      <w:r w:rsidRPr="00FA6840">
        <w:rPr>
          <w:rFonts w:ascii="Times New Roman" w:hAnsi="Times New Roman" w:cs="Times New Roman"/>
          <w:sz w:val="24"/>
          <w:szCs w:val="24"/>
        </w:rPr>
        <w:t xml:space="preserve">En Cuba, aunque existen estudios sobre peligro, vulnerabilidad y riesgo (Ernesto &amp; Pupo, 2019; Luis et al., 2020; Mata, 2016; Parrado Alvarez et al., 2019), la evaluación de la percepción social del riesgo sísmico en comunidades urbanas sigue siendo un desafío (Linares Acosta, 2022). </w:t>
      </w:r>
    </w:p>
    <w:p w:rsidR="00FA6840" w:rsidRPr="00FA6840" w:rsidRDefault="00FA6840" w:rsidP="00FA6840">
      <w:pPr>
        <w:spacing w:after="0" w:line="360" w:lineRule="auto"/>
        <w:jc w:val="both"/>
        <w:rPr>
          <w:rFonts w:ascii="Times New Roman" w:hAnsi="Times New Roman" w:cs="Times New Roman"/>
          <w:sz w:val="24"/>
          <w:szCs w:val="24"/>
        </w:rPr>
      </w:pPr>
      <w:r w:rsidRPr="00FA6840">
        <w:rPr>
          <w:rFonts w:ascii="Times New Roman" w:hAnsi="Times New Roman" w:cs="Times New Roman"/>
          <w:sz w:val="24"/>
          <w:szCs w:val="24"/>
        </w:rPr>
        <w:t>Estudios de microzonificación sísmica (</w:t>
      </w:r>
      <w:proofErr w:type="spellStart"/>
      <w:r w:rsidRPr="00FA6840">
        <w:rPr>
          <w:rFonts w:ascii="Times New Roman" w:hAnsi="Times New Roman" w:cs="Times New Roman"/>
          <w:sz w:val="24"/>
          <w:szCs w:val="24"/>
        </w:rPr>
        <w:t>Vinardell</w:t>
      </w:r>
      <w:proofErr w:type="spellEnd"/>
      <w:r w:rsidRPr="00FA6840">
        <w:rPr>
          <w:rFonts w:ascii="Times New Roman" w:hAnsi="Times New Roman" w:cs="Times New Roman"/>
          <w:sz w:val="24"/>
          <w:szCs w:val="24"/>
        </w:rPr>
        <w:t xml:space="preserve"> Peña, 2018) identifican áreas críticas en Moa, en rangos de VI y VII MSK y magnitud de 6.5 R y 7.5R (CENAIS, 2015; 2020). Esto se debe a la interacción de las placas de Norteamérica y el </w:t>
      </w:r>
      <w:proofErr w:type="gramStart"/>
      <w:r w:rsidRPr="00FA6840">
        <w:rPr>
          <w:rFonts w:ascii="Times New Roman" w:hAnsi="Times New Roman" w:cs="Times New Roman"/>
          <w:sz w:val="24"/>
          <w:szCs w:val="24"/>
        </w:rPr>
        <w:t>Caribe  y</w:t>
      </w:r>
      <w:proofErr w:type="gramEnd"/>
      <w:r w:rsidRPr="00FA6840">
        <w:rPr>
          <w:rFonts w:ascii="Times New Roman" w:hAnsi="Times New Roman" w:cs="Times New Roman"/>
          <w:sz w:val="24"/>
          <w:szCs w:val="24"/>
        </w:rPr>
        <w:t xml:space="preserve"> a la falla Norte de La Española (</w:t>
      </w:r>
      <w:proofErr w:type="spellStart"/>
      <w:r w:rsidRPr="00FA6840">
        <w:rPr>
          <w:rFonts w:ascii="Times New Roman" w:hAnsi="Times New Roman" w:cs="Times New Roman"/>
          <w:sz w:val="24"/>
          <w:szCs w:val="24"/>
        </w:rPr>
        <w:t>Zuñiga</w:t>
      </w:r>
      <w:proofErr w:type="spellEnd"/>
      <w:r w:rsidRPr="00FA6840">
        <w:rPr>
          <w:rFonts w:ascii="Times New Roman" w:hAnsi="Times New Roman" w:cs="Times New Roman"/>
          <w:sz w:val="24"/>
          <w:szCs w:val="24"/>
        </w:rPr>
        <w:t xml:space="preserve"> Fuentes, 2019).</w:t>
      </w:r>
    </w:p>
    <w:p w:rsidR="00A21A1F" w:rsidRDefault="00FA6840" w:rsidP="00FA6840">
      <w:pPr>
        <w:spacing w:after="0" w:line="360" w:lineRule="auto"/>
        <w:jc w:val="both"/>
        <w:rPr>
          <w:rFonts w:ascii="Times New Roman" w:hAnsi="Times New Roman" w:cs="Times New Roman"/>
          <w:sz w:val="24"/>
          <w:szCs w:val="24"/>
        </w:rPr>
      </w:pPr>
      <w:r w:rsidRPr="00FA6840">
        <w:rPr>
          <w:rFonts w:ascii="Times New Roman" w:hAnsi="Times New Roman" w:cs="Times New Roman"/>
          <w:sz w:val="24"/>
          <w:szCs w:val="24"/>
        </w:rPr>
        <w:lastRenderedPageBreak/>
        <w:t>El presente artículo tiene como propósito evaluar la percepción del riesgo sísmico en las comunidades urbanas del municipio Moa, Holguín, específicamente en los Consejos Populares Miraflores y Armando Mestres (ver Figura 1) para identificar brechas en la preparación comunitaria.</w:t>
      </w:r>
    </w:p>
    <w:p w:rsidR="00934718" w:rsidRPr="00934718" w:rsidRDefault="00347D5B" w:rsidP="00934718">
      <w:pPr>
        <w:spacing w:after="0" w:line="360" w:lineRule="auto"/>
        <w:jc w:val="both"/>
        <w:rPr>
          <w:rFonts w:ascii="Times New Roman" w:hAnsi="Times New Roman" w:cs="Times New Roman"/>
          <w:sz w:val="24"/>
          <w:szCs w:val="24"/>
        </w:rPr>
      </w:pPr>
      <w:r>
        <w:rPr>
          <w:rFonts w:ascii="Verdana" w:hAnsi="Verdana"/>
          <w:noProof/>
          <w:lang w:val="en-US"/>
        </w:rPr>
        <w:drawing>
          <wp:inline distT="0" distB="0" distL="0" distR="0" wp14:anchorId="18C3A4F2" wp14:editId="249BA94A">
            <wp:extent cx="5347934" cy="1941830"/>
            <wp:effectExtent l="0" t="0" r="5715" b="1270"/>
            <wp:docPr id="13150478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8275" cy="1952847"/>
                    </a:xfrm>
                    <a:prstGeom prst="rect">
                      <a:avLst/>
                    </a:prstGeom>
                    <a:noFill/>
                  </pic:spPr>
                </pic:pic>
              </a:graphicData>
            </a:graphic>
          </wp:inline>
        </w:drawing>
      </w:r>
    </w:p>
    <w:p w:rsidR="00934718" w:rsidRPr="00347D5B" w:rsidRDefault="00934718" w:rsidP="00347D5B">
      <w:pPr>
        <w:spacing w:after="0" w:line="360" w:lineRule="auto"/>
        <w:jc w:val="center"/>
        <w:rPr>
          <w:rFonts w:ascii="Times New Roman" w:hAnsi="Times New Roman" w:cs="Times New Roman"/>
          <w:sz w:val="20"/>
          <w:szCs w:val="24"/>
        </w:rPr>
      </w:pPr>
      <w:r w:rsidRPr="00347D5B">
        <w:rPr>
          <w:rFonts w:ascii="Times New Roman" w:hAnsi="Times New Roman" w:cs="Times New Roman"/>
          <w:sz w:val="20"/>
          <w:szCs w:val="24"/>
        </w:rPr>
        <w:t>Figura 1. Contexto territorial del Consejos Populares A) Miraflores, B) Armando Mestres, Moa (Fuente: DMPF, 2012).</w:t>
      </w:r>
    </w:p>
    <w:p w:rsidR="00FA6840" w:rsidRDefault="00934718" w:rsidP="00934718">
      <w:pPr>
        <w:spacing w:after="0" w:line="360" w:lineRule="auto"/>
        <w:jc w:val="both"/>
        <w:rPr>
          <w:rFonts w:ascii="Times New Roman" w:hAnsi="Times New Roman" w:cs="Times New Roman"/>
          <w:sz w:val="24"/>
          <w:szCs w:val="24"/>
        </w:rPr>
      </w:pPr>
      <w:r w:rsidRPr="00934718">
        <w:rPr>
          <w:rFonts w:ascii="Times New Roman" w:hAnsi="Times New Roman" w:cs="Times New Roman"/>
          <w:sz w:val="24"/>
          <w:szCs w:val="24"/>
        </w:rPr>
        <w:t>El Consejo Popular de Miraflores se divide en tres repartos (Miraflores, Atlántico, Vivienda Checa o Reparto Miramar). Según la Dirección Municipal de Planificación Física (DMPF) en Moa, el Consejo Popular Miraflores cuenta predominantemente con viviendas de tipología I, mientras el Consejo Popular Armando Mestres cuenta con viviendas de tipología III y IV.</w:t>
      </w: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796B95" w:rsidRPr="00796B95" w:rsidRDefault="00796B95" w:rsidP="00796B95">
      <w:pPr>
        <w:spacing w:after="0" w:line="360" w:lineRule="auto"/>
        <w:jc w:val="both"/>
        <w:rPr>
          <w:rFonts w:ascii="Times New Roman" w:hAnsi="Times New Roman" w:cs="Times New Roman"/>
          <w:sz w:val="24"/>
          <w:szCs w:val="24"/>
        </w:rPr>
      </w:pPr>
      <w:r w:rsidRPr="00796B95">
        <w:rPr>
          <w:rFonts w:ascii="Times New Roman" w:hAnsi="Times New Roman" w:cs="Times New Roman"/>
          <w:sz w:val="24"/>
          <w:szCs w:val="24"/>
        </w:rPr>
        <w:t xml:space="preserve">El estudio empleó un cuestionario tipo CAP (Conocimiento, Actitudes y Prácticas), adaptado de Sánchez Hernández &amp; </w:t>
      </w:r>
      <w:proofErr w:type="spellStart"/>
      <w:r w:rsidRPr="00796B95">
        <w:rPr>
          <w:rFonts w:ascii="Times New Roman" w:hAnsi="Times New Roman" w:cs="Times New Roman"/>
          <w:sz w:val="24"/>
          <w:szCs w:val="24"/>
        </w:rPr>
        <w:t>Vicuñan</w:t>
      </w:r>
      <w:proofErr w:type="spellEnd"/>
      <w:r w:rsidRPr="00796B95">
        <w:rPr>
          <w:rFonts w:ascii="Times New Roman" w:hAnsi="Times New Roman" w:cs="Times New Roman"/>
          <w:sz w:val="24"/>
          <w:szCs w:val="24"/>
        </w:rPr>
        <w:t xml:space="preserve"> Barrera (2022) y modificado por el Dr. Los datos se recolectaron mediante entrevistas presenciales entre marzo y junio de 2024, garantizando confidencialidad y consentimiento informado.  </w:t>
      </w:r>
    </w:p>
    <w:p w:rsidR="00796B95" w:rsidRPr="00796B95" w:rsidRDefault="00796B95" w:rsidP="00796B95">
      <w:pPr>
        <w:spacing w:after="0" w:line="360" w:lineRule="auto"/>
        <w:jc w:val="both"/>
        <w:rPr>
          <w:rFonts w:ascii="Times New Roman" w:hAnsi="Times New Roman" w:cs="Times New Roman"/>
          <w:sz w:val="24"/>
          <w:szCs w:val="24"/>
        </w:rPr>
      </w:pPr>
      <w:r w:rsidRPr="00796B95">
        <w:rPr>
          <w:rFonts w:ascii="Times New Roman" w:hAnsi="Times New Roman" w:cs="Times New Roman"/>
          <w:sz w:val="24"/>
          <w:szCs w:val="24"/>
        </w:rPr>
        <w:t xml:space="preserve">La encuesta se aplicó a 120 residentes de los Consejos Populares Miraflores y Armando Mestres, seleccionados por su alta vulnerabilidad según estudios de microzonificación sísmica. La muestra incluyó participantes de 15 a 65 años (52% mujeres, 48% hombres), con criterios de inclusión basados en residencia permanente y exposición histórica a eventos sísmicos en la zona. </w:t>
      </w:r>
    </w:p>
    <w:p w:rsidR="00796B95" w:rsidRPr="00796B95" w:rsidRDefault="00796B95" w:rsidP="00796B95">
      <w:pPr>
        <w:spacing w:after="0" w:line="360" w:lineRule="auto"/>
        <w:jc w:val="both"/>
        <w:rPr>
          <w:rFonts w:ascii="Times New Roman" w:hAnsi="Times New Roman" w:cs="Times New Roman"/>
          <w:sz w:val="24"/>
          <w:szCs w:val="24"/>
        </w:rPr>
      </w:pPr>
      <w:r w:rsidRPr="00796B95">
        <w:rPr>
          <w:rFonts w:ascii="Times New Roman" w:hAnsi="Times New Roman" w:cs="Times New Roman"/>
          <w:sz w:val="24"/>
          <w:szCs w:val="24"/>
        </w:rPr>
        <w:t>El cuestionario constó de 24 preguntas estructuradas para explorar tres dimensiones clave: la información personal y cognoscitiva, conocimiento, actitudes y prácticas (Cuartas-Gómez et al., 2019).</w:t>
      </w:r>
    </w:p>
    <w:p w:rsidR="00796B95" w:rsidRPr="00796B95" w:rsidRDefault="00796B95" w:rsidP="00796B95">
      <w:pPr>
        <w:spacing w:after="0" w:line="360" w:lineRule="auto"/>
        <w:jc w:val="both"/>
        <w:rPr>
          <w:rFonts w:ascii="Times New Roman" w:hAnsi="Times New Roman" w:cs="Times New Roman"/>
          <w:sz w:val="24"/>
          <w:szCs w:val="24"/>
        </w:rPr>
      </w:pPr>
      <w:r w:rsidRPr="00796B95">
        <w:rPr>
          <w:rFonts w:ascii="Times New Roman" w:hAnsi="Times New Roman" w:cs="Times New Roman"/>
          <w:sz w:val="24"/>
          <w:szCs w:val="24"/>
        </w:rPr>
        <w:lastRenderedPageBreak/>
        <w:t>Para el análisis cuantitativo, las respuestas se codificaron en escalas Likert (1-5) y se procesaron con SPSS v.28, empleando estadística descriptiva y correlaciones de Pearson para identificar patrones entre variables. Las respuestas cualitativas se categorizaron mediante análisis de contenido temático (</w:t>
      </w:r>
      <w:proofErr w:type="spellStart"/>
      <w:r w:rsidRPr="00796B95">
        <w:rPr>
          <w:rFonts w:ascii="Times New Roman" w:hAnsi="Times New Roman" w:cs="Times New Roman"/>
          <w:sz w:val="24"/>
          <w:szCs w:val="24"/>
        </w:rPr>
        <w:t>Atlas.ti</w:t>
      </w:r>
      <w:proofErr w:type="spellEnd"/>
      <w:r w:rsidRPr="00796B95">
        <w:rPr>
          <w:rFonts w:ascii="Times New Roman" w:hAnsi="Times New Roman" w:cs="Times New Roman"/>
          <w:sz w:val="24"/>
          <w:szCs w:val="24"/>
        </w:rPr>
        <w:t xml:space="preserve"> v.9). La validez del instrumento se aseguró mediante prueba piloto con 30 participantes, ajustando ambigüedades semánticas, mientras que la confiabilidad se verificó con alfa de Cronbach (α = 0.82).</w:t>
      </w: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B12D99" w:rsidRPr="00B12D99" w:rsidRDefault="00B12D99" w:rsidP="00B12D99">
      <w:pPr>
        <w:spacing w:after="0" w:line="360" w:lineRule="auto"/>
        <w:jc w:val="both"/>
        <w:rPr>
          <w:rFonts w:ascii="Times New Roman" w:hAnsi="Times New Roman" w:cs="Times New Roman"/>
          <w:sz w:val="24"/>
          <w:szCs w:val="24"/>
        </w:rPr>
      </w:pPr>
      <w:r w:rsidRPr="00B12D99">
        <w:rPr>
          <w:rFonts w:ascii="Times New Roman" w:hAnsi="Times New Roman" w:cs="Times New Roman"/>
          <w:sz w:val="24"/>
          <w:szCs w:val="24"/>
        </w:rPr>
        <w:t>A continuación, se detallan los hallazgos derivados de la encuesta CAP aplicada a los Consejos Populares Miraflores y Armando Mestre.</w:t>
      </w:r>
    </w:p>
    <w:p w:rsidR="00B12D99" w:rsidRPr="00B12D99" w:rsidRDefault="00B12D99" w:rsidP="00B12D99">
      <w:pPr>
        <w:spacing w:after="0" w:line="360" w:lineRule="auto"/>
        <w:jc w:val="both"/>
        <w:rPr>
          <w:rFonts w:ascii="Times New Roman" w:hAnsi="Times New Roman" w:cs="Times New Roman"/>
          <w:sz w:val="24"/>
          <w:szCs w:val="24"/>
        </w:rPr>
      </w:pPr>
      <w:r w:rsidRPr="00B12D99">
        <w:rPr>
          <w:rFonts w:ascii="Times New Roman" w:hAnsi="Times New Roman" w:cs="Times New Roman"/>
          <w:sz w:val="24"/>
          <w:szCs w:val="24"/>
        </w:rPr>
        <w:t>3.1. ¿Qué tiempo ha vivido en el lugar actual?</w:t>
      </w:r>
    </w:p>
    <w:p w:rsidR="00FF3346" w:rsidRDefault="00B12D99" w:rsidP="00B12D99">
      <w:pPr>
        <w:spacing w:after="0" w:line="360" w:lineRule="auto"/>
        <w:jc w:val="both"/>
        <w:rPr>
          <w:rFonts w:ascii="Times New Roman" w:hAnsi="Times New Roman" w:cs="Times New Roman"/>
          <w:sz w:val="24"/>
          <w:szCs w:val="24"/>
        </w:rPr>
      </w:pPr>
      <w:r w:rsidRPr="00B12D99">
        <w:rPr>
          <w:rFonts w:ascii="Times New Roman" w:hAnsi="Times New Roman" w:cs="Times New Roman"/>
          <w:sz w:val="24"/>
          <w:szCs w:val="24"/>
        </w:rPr>
        <w:t>Ambos consejos populares presentan una estructura poblacional similar, así como una mayor exposición histórica (por más de 20 años) a eventos sísmicos representando un 47% en Miraflores y 45% en Armando Mestre (ver Figura 2). Mientras que la menor proporción de residentes recientes (menos de 5 años: 8% en Miraflores y 15% en Armando Mestre), este grupo carece de memoria local sobre fenómenos pasados.</w:t>
      </w:r>
    </w:p>
    <w:p w:rsidR="00B12D99" w:rsidRDefault="00B12D99" w:rsidP="00BF143D">
      <w:pPr>
        <w:spacing w:after="0" w:line="360" w:lineRule="auto"/>
        <w:jc w:val="center"/>
        <w:rPr>
          <w:rFonts w:ascii="Times New Roman" w:hAnsi="Times New Roman" w:cs="Times New Roman"/>
          <w:sz w:val="24"/>
          <w:szCs w:val="24"/>
        </w:rPr>
      </w:pPr>
      <w:r>
        <w:rPr>
          <w:noProof/>
          <w:lang w:val="en-US"/>
        </w:rPr>
        <w:drawing>
          <wp:inline distT="0" distB="0" distL="0" distR="0" wp14:anchorId="46A07920" wp14:editId="1553A2EF">
            <wp:extent cx="5041127" cy="1672169"/>
            <wp:effectExtent l="0" t="0" r="762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734" cy="1674692"/>
                    </a:xfrm>
                    <a:prstGeom prst="rect">
                      <a:avLst/>
                    </a:prstGeom>
                    <a:noFill/>
                  </pic:spPr>
                </pic:pic>
              </a:graphicData>
            </a:graphic>
          </wp:inline>
        </w:drawing>
      </w:r>
    </w:p>
    <w:p w:rsidR="00B12D99" w:rsidRPr="00B12D99" w:rsidRDefault="00B12D99" w:rsidP="00B12D99">
      <w:pPr>
        <w:spacing w:after="0" w:line="360" w:lineRule="auto"/>
        <w:jc w:val="center"/>
        <w:rPr>
          <w:rFonts w:ascii="Times New Roman" w:hAnsi="Times New Roman" w:cs="Times New Roman"/>
          <w:sz w:val="20"/>
          <w:szCs w:val="24"/>
        </w:rPr>
      </w:pPr>
      <w:r w:rsidRPr="00B12D99">
        <w:rPr>
          <w:rFonts w:ascii="Times New Roman" w:hAnsi="Times New Roman" w:cs="Times New Roman"/>
          <w:sz w:val="20"/>
          <w:szCs w:val="24"/>
        </w:rPr>
        <w:t>Figura 2. Tiempo de residencia en viviendas actuales: A) Miraflores, B) Armando Mestres. (n = [total encuestados]; % por intervalo temporal).</w:t>
      </w:r>
    </w:p>
    <w:p w:rsidR="00B12D99" w:rsidRPr="00B12D99" w:rsidRDefault="00B12D99" w:rsidP="00B12D99">
      <w:pPr>
        <w:spacing w:after="0" w:line="360" w:lineRule="auto"/>
        <w:jc w:val="both"/>
        <w:rPr>
          <w:rFonts w:ascii="Times New Roman" w:hAnsi="Times New Roman" w:cs="Times New Roman"/>
          <w:sz w:val="24"/>
          <w:szCs w:val="24"/>
        </w:rPr>
      </w:pPr>
      <w:r w:rsidRPr="00B12D99">
        <w:rPr>
          <w:rFonts w:ascii="Times New Roman" w:hAnsi="Times New Roman" w:cs="Times New Roman"/>
          <w:sz w:val="24"/>
          <w:szCs w:val="24"/>
        </w:rPr>
        <w:t>3.2. Ocupación laboral</w:t>
      </w:r>
    </w:p>
    <w:p w:rsidR="00B12D99" w:rsidRDefault="00B12D99" w:rsidP="00B12D99">
      <w:pPr>
        <w:spacing w:after="0" w:line="360" w:lineRule="auto"/>
        <w:jc w:val="both"/>
        <w:rPr>
          <w:rFonts w:ascii="Times New Roman" w:hAnsi="Times New Roman" w:cs="Times New Roman"/>
          <w:sz w:val="24"/>
          <w:szCs w:val="24"/>
        </w:rPr>
      </w:pPr>
      <w:r w:rsidRPr="00B12D99">
        <w:rPr>
          <w:rFonts w:ascii="Times New Roman" w:hAnsi="Times New Roman" w:cs="Times New Roman"/>
          <w:sz w:val="24"/>
          <w:szCs w:val="24"/>
        </w:rPr>
        <w:t xml:space="preserve">La distribución ocupacional en ambos consejos populares muestra un perfil similar (ver Figura 3), con predominio de trabajadores activos (45% en Miraflores y 42% en Armando Mestre), seguido por estudiantes (30% y 28%, respectivamente), y un grupo más vulnerable clasificado como "otros" formado por amas de casa, jubilados, </w:t>
      </w:r>
      <w:proofErr w:type="spellStart"/>
      <w:r w:rsidRPr="00B12D99">
        <w:rPr>
          <w:rFonts w:ascii="Times New Roman" w:hAnsi="Times New Roman" w:cs="Times New Roman"/>
          <w:sz w:val="24"/>
          <w:szCs w:val="24"/>
        </w:rPr>
        <w:t>etc</w:t>
      </w:r>
      <w:proofErr w:type="spellEnd"/>
      <w:r w:rsidRPr="00B12D99">
        <w:rPr>
          <w:rFonts w:ascii="Times New Roman" w:hAnsi="Times New Roman" w:cs="Times New Roman"/>
          <w:sz w:val="24"/>
          <w:szCs w:val="24"/>
        </w:rPr>
        <w:t xml:space="preserve"> (25% y 30%).</w:t>
      </w:r>
    </w:p>
    <w:p w:rsidR="00DB3414" w:rsidRDefault="00DB3414" w:rsidP="00BF143D">
      <w:pPr>
        <w:spacing w:after="0" w:line="360" w:lineRule="auto"/>
        <w:jc w:val="center"/>
        <w:rPr>
          <w:rFonts w:ascii="Times New Roman" w:hAnsi="Times New Roman" w:cs="Times New Roman"/>
          <w:sz w:val="24"/>
          <w:szCs w:val="24"/>
        </w:rPr>
      </w:pPr>
      <w:r>
        <w:rPr>
          <w:noProof/>
          <w:lang w:val="en-US"/>
        </w:rPr>
        <w:lastRenderedPageBreak/>
        <w:drawing>
          <wp:inline distT="0" distB="0" distL="0" distR="0" wp14:anchorId="243A6E18" wp14:editId="709E433E">
            <wp:extent cx="5176300" cy="1797812"/>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3900" cy="1814344"/>
                    </a:xfrm>
                    <a:prstGeom prst="rect">
                      <a:avLst/>
                    </a:prstGeom>
                    <a:noFill/>
                  </pic:spPr>
                </pic:pic>
              </a:graphicData>
            </a:graphic>
          </wp:inline>
        </w:drawing>
      </w:r>
    </w:p>
    <w:p w:rsidR="00DB3414" w:rsidRPr="00DB3414" w:rsidRDefault="00DB3414" w:rsidP="00DB3414">
      <w:pPr>
        <w:spacing w:after="0" w:line="360" w:lineRule="auto"/>
        <w:jc w:val="center"/>
        <w:rPr>
          <w:rFonts w:ascii="Times New Roman" w:hAnsi="Times New Roman" w:cs="Times New Roman"/>
          <w:sz w:val="20"/>
          <w:szCs w:val="24"/>
        </w:rPr>
      </w:pPr>
      <w:r w:rsidRPr="00DB3414">
        <w:rPr>
          <w:rFonts w:ascii="Times New Roman" w:hAnsi="Times New Roman" w:cs="Times New Roman"/>
          <w:sz w:val="20"/>
          <w:szCs w:val="24"/>
        </w:rPr>
        <w:t>Figura 3. Perfil ocupacional de la población encuestada: A) Miraflores, B) Armando Mestres.</w:t>
      </w:r>
    </w:p>
    <w:p w:rsidR="00DB3414" w:rsidRPr="00DB3414" w:rsidRDefault="00DB3414" w:rsidP="00DB3414">
      <w:pPr>
        <w:spacing w:after="0" w:line="360" w:lineRule="auto"/>
        <w:jc w:val="both"/>
        <w:rPr>
          <w:rFonts w:ascii="Times New Roman" w:hAnsi="Times New Roman" w:cs="Times New Roman"/>
          <w:sz w:val="24"/>
          <w:szCs w:val="24"/>
        </w:rPr>
      </w:pPr>
      <w:r w:rsidRPr="00DB3414">
        <w:rPr>
          <w:rFonts w:ascii="Times New Roman" w:hAnsi="Times New Roman" w:cs="Times New Roman"/>
          <w:sz w:val="24"/>
          <w:szCs w:val="24"/>
        </w:rPr>
        <w:t>3.3. ¿Ha sentido un sismo en Moa?</w:t>
      </w:r>
    </w:p>
    <w:p w:rsidR="00DB3414" w:rsidRDefault="00DB3414" w:rsidP="00DB3414">
      <w:pPr>
        <w:spacing w:after="0" w:line="360" w:lineRule="auto"/>
        <w:jc w:val="both"/>
        <w:rPr>
          <w:rFonts w:ascii="Times New Roman" w:hAnsi="Times New Roman" w:cs="Times New Roman"/>
          <w:sz w:val="24"/>
          <w:szCs w:val="24"/>
        </w:rPr>
      </w:pPr>
      <w:r w:rsidRPr="00DB3414">
        <w:rPr>
          <w:rFonts w:ascii="Times New Roman" w:hAnsi="Times New Roman" w:cs="Times New Roman"/>
          <w:sz w:val="24"/>
          <w:szCs w:val="24"/>
        </w:rPr>
        <w:t>Los resultados identifican en Miraflores que el 42% de los encuestados (25/60) nunca ha percibido un sismo, mientras que en Armando Mestre este valor asciende al 45% (27/60) (ver Figura 4). Pese a que la mayoría —58% y 55%, respectivamente— reporta haber experimentado al menos un evento, dichos datos contrastan con el alto arraigo (&gt;45% con &gt;20 años de residencia). Lo anteriormente expuesto puede interpretarse como baja frecuencia de sismos intensos dado que el 50% de los residentes de larga data no recuerda estos eventos sísmicos y/o que exista normalización del riesgo por el escaso reporte de afectaciones (37%-22%).</w:t>
      </w:r>
    </w:p>
    <w:p w:rsidR="00BF143D" w:rsidRDefault="00BF143D" w:rsidP="00BF143D">
      <w:pPr>
        <w:spacing w:after="0" w:line="360" w:lineRule="auto"/>
        <w:jc w:val="center"/>
        <w:rPr>
          <w:rFonts w:ascii="Times New Roman" w:hAnsi="Times New Roman" w:cs="Times New Roman"/>
          <w:sz w:val="24"/>
          <w:szCs w:val="24"/>
        </w:rPr>
      </w:pPr>
      <w:r>
        <w:rPr>
          <w:rFonts w:ascii="Verdana" w:hAnsi="Verdana"/>
          <w:noProof/>
          <w:lang w:val="en-US"/>
        </w:rPr>
        <w:drawing>
          <wp:inline distT="0" distB="0" distL="0" distR="0" wp14:anchorId="0647AF33" wp14:editId="0718F5A6">
            <wp:extent cx="5096786" cy="176951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7094" cy="1786983"/>
                    </a:xfrm>
                    <a:prstGeom prst="rect">
                      <a:avLst/>
                    </a:prstGeom>
                    <a:noFill/>
                  </pic:spPr>
                </pic:pic>
              </a:graphicData>
            </a:graphic>
          </wp:inline>
        </w:drawing>
      </w:r>
    </w:p>
    <w:p w:rsidR="00BF143D" w:rsidRPr="00BF143D" w:rsidRDefault="00BF143D" w:rsidP="00BF143D">
      <w:pPr>
        <w:spacing w:after="0" w:line="360" w:lineRule="auto"/>
        <w:jc w:val="center"/>
        <w:rPr>
          <w:rFonts w:ascii="Times New Roman" w:hAnsi="Times New Roman" w:cs="Times New Roman"/>
          <w:sz w:val="20"/>
          <w:szCs w:val="24"/>
        </w:rPr>
      </w:pPr>
      <w:r w:rsidRPr="00BF143D">
        <w:rPr>
          <w:rFonts w:ascii="Times New Roman" w:hAnsi="Times New Roman" w:cs="Times New Roman"/>
          <w:sz w:val="20"/>
          <w:szCs w:val="24"/>
        </w:rPr>
        <w:t>Figura 4. Experiencia histórica con sismos: A) Miraflores, B) Armando Mestres (%).</w:t>
      </w:r>
    </w:p>
    <w:p w:rsidR="00BF143D" w:rsidRPr="00BF143D" w:rsidRDefault="00BF143D" w:rsidP="00BF143D">
      <w:pPr>
        <w:spacing w:after="0" w:line="360" w:lineRule="auto"/>
        <w:jc w:val="both"/>
        <w:rPr>
          <w:rFonts w:ascii="Times New Roman" w:hAnsi="Times New Roman" w:cs="Times New Roman"/>
          <w:sz w:val="24"/>
          <w:szCs w:val="24"/>
        </w:rPr>
      </w:pPr>
      <w:r w:rsidRPr="00BF143D">
        <w:rPr>
          <w:rFonts w:ascii="Times New Roman" w:hAnsi="Times New Roman" w:cs="Times New Roman"/>
          <w:sz w:val="24"/>
          <w:szCs w:val="24"/>
        </w:rPr>
        <w:t>3.4. ¿Se han presentado afectaciones por la ocurrencia de un sismo en la zona donde vive?</w:t>
      </w:r>
    </w:p>
    <w:p w:rsidR="00BF143D" w:rsidRDefault="00BF143D" w:rsidP="00BF143D">
      <w:pPr>
        <w:spacing w:after="0" w:line="360" w:lineRule="auto"/>
        <w:jc w:val="both"/>
        <w:rPr>
          <w:rFonts w:ascii="Times New Roman" w:hAnsi="Times New Roman" w:cs="Times New Roman"/>
          <w:sz w:val="24"/>
          <w:szCs w:val="24"/>
        </w:rPr>
      </w:pPr>
      <w:r w:rsidRPr="00BF143D">
        <w:rPr>
          <w:rFonts w:ascii="Times New Roman" w:hAnsi="Times New Roman" w:cs="Times New Roman"/>
          <w:sz w:val="24"/>
          <w:szCs w:val="24"/>
        </w:rPr>
        <w:t xml:space="preserve">En Miraflores, solo 37% (22/60) reporta afectaciones, mientras en Armando Mestre este indicador desciende a 22% (13/60) (ver Figura 5). La mayoría en ambos territorios niega impactos materiales (45% y 67%, respectivamente), y un segmento relevante desconoce si existen daños (18% y 11%). La predominancia de "no afectación" (&gt;45%) </w:t>
      </w:r>
      <w:r w:rsidRPr="00BF143D">
        <w:rPr>
          <w:rFonts w:ascii="Times New Roman" w:hAnsi="Times New Roman" w:cs="Times New Roman"/>
          <w:sz w:val="24"/>
          <w:szCs w:val="24"/>
        </w:rPr>
        <w:lastRenderedPageBreak/>
        <w:t>sugiere una normalización del riesgo sísmico, donde la ausencia de eventos destructivos recientes genera una falsa seguridad.</w:t>
      </w:r>
    </w:p>
    <w:p w:rsidR="00BF143D" w:rsidRDefault="00BF143D" w:rsidP="00BF143D">
      <w:pPr>
        <w:spacing w:after="0" w:line="360" w:lineRule="auto"/>
        <w:jc w:val="center"/>
        <w:rPr>
          <w:rFonts w:ascii="Times New Roman" w:hAnsi="Times New Roman" w:cs="Times New Roman"/>
          <w:sz w:val="24"/>
          <w:szCs w:val="24"/>
        </w:rPr>
      </w:pPr>
      <w:r>
        <w:rPr>
          <w:noProof/>
          <w:lang w:val="en-US"/>
        </w:rPr>
        <w:drawing>
          <wp:inline distT="0" distB="0" distL="0" distR="0" wp14:anchorId="46971905" wp14:editId="2DA7B3C1">
            <wp:extent cx="5400040" cy="176720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767205"/>
                    </a:xfrm>
                    <a:prstGeom prst="rect">
                      <a:avLst/>
                    </a:prstGeom>
                    <a:noFill/>
                  </pic:spPr>
                </pic:pic>
              </a:graphicData>
            </a:graphic>
          </wp:inline>
        </w:drawing>
      </w:r>
    </w:p>
    <w:p w:rsidR="00BF143D" w:rsidRPr="00BF143D" w:rsidRDefault="00BF143D" w:rsidP="00BF143D">
      <w:pPr>
        <w:spacing w:after="0" w:line="360" w:lineRule="auto"/>
        <w:jc w:val="center"/>
        <w:rPr>
          <w:rFonts w:ascii="Times New Roman" w:hAnsi="Times New Roman" w:cs="Times New Roman"/>
          <w:sz w:val="20"/>
          <w:szCs w:val="24"/>
        </w:rPr>
      </w:pPr>
      <w:r w:rsidRPr="00BF143D">
        <w:rPr>
          <w:rFonts w:ascii="Times New Roman" w:hAnsi="Times New Roman" w:cs="Times New Roman"/>
          <w:sz w:val="20"/>
          <w:szCs w:val="24"/>
        </w:rPr>
        <w:t>Figura 5. Daños observados atribuidos a sismos: A) Miraflores, B) Armando Mestres (%).</w:t>
      </w:r>
    </w:p>
    <w:p w:rsidR="00BF143D" w:rsidRPr="00BF143D" w:rsidRDefault="00BF143D" w:rsidP="00BF143D">
      <w:pPr>
        <w:spacing w:after="0" w:line="360" w:lineRule="auto"/>
        <w:jc w:val="both"/>
        <w:rPr>
          <w:rFonts w:ascii="Times New Roman" w:hAnsi="Times New Roman" w:cs="Times New Roman"/>
          <w:sz w:val="24"/>
          <w:szCs w:val="24"/>
        </w:rPr>
      </w:pPr>
      <w:r w:rsidRPr="00BF143D">
        <w:rPr>
          <w:rFonts w:ascii="Times New Roman" w:hAnsi="Times New Roman" w:cs="Times New Roman"/>
          <w:sz w:val="24"/>
          <w:szCs w:val="24"/>
        </w:rPr>
        <w:t>3.5. ¿Ha recibido algún tipo de información sobre qué hacer en caso de un sismo?</w:t>
      </w:r>
    </w:p>
    <w:p w:rsidR="00BF143D" w:rsidRDefault="00BF143D" w:rsidP="00BF143D">
      <w:pPr>
        <w:spacing w:after="0" w:line="360" w:lineRule="auto"/>
        <w:jc w:val="both"/>
        <w:rPr>
          <w:rFonts w:ascii="Times New Roman" w:hAnsi="Times New Roman" w:cs="Times New Roman"/>
          <w:sz w:val="24"/>
          <w:szCs w:val="24"/>
        </w:rPr>
      </w:pPr>
      <w:r w:rsidRPr="00BF143D">
        <w:rPr>
          <w:rFonts w:ascii="Times New Roman" w:hAnsi="Times New Roman" w:cs="Times New Roman"/>
          <w:sz w:val="24"/>
          <w:szCs w:val="24"/>
        </w:rPr>
        <w:t>En Miraflores, solo el 33% (20/60) recibió información sobre protocolos de actuación, mientras en Armando Mestre este indicador desciende a 20% (12/60) (ver Figura 6). La inmensa mayoría carece de capacitación (67% y 80%, respectivamente), cifra que constituye una alarma institucional. La diferencia Miraflores-Armando Mestre (33% vs 20%) sugiere disparidades en cobertura de campañas preventivas, siendo este último más vulnerable.</w:t>
      </w:r>
    </w:p>
    <w:p w:rsidR="00A916D8" w:rsidRDefault="00A916D8" w:rsidP="00BF143D">
      <w:pPr>
        <w:spacing w:after="0" w:line="360" w:lineRule="auto"/>
        <w:jc w:val="both"/>
        <w:rPr>
          <w:rFonts w:ascii="Times New Roman" w:hAnsi="Times New Roman" w:cs="Times New Roman"/>
          <w:sz w:val="24"/>
          <w:szCs w:val="24"/>
        </w:rPr>
      </w:pPr>
      <w:r>
        <w:rPr>
          <w:noProof/>
          <w:lang w:val="en-US"/>
        </w:rPr>
        <w:drawing>
          <wp:inline distT="0" distB="0" distL="0" distR="0" wp14:anchorId="72585A0C" wp14:editId="42837977">
            <wp:extent cx="5333115" cy="169164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0487" cy="1706666"/>
                    </a:xfrm>
                    <a:prstGeom prst="rect">
                      <a:avLst/>
                    </a:prstGeom>
                    <a:noFill/>
                  </pic:spPr>
                </pic:pic>
              </a:graphicData>
            </a:graphic>
          </wp:inline>
        </w:drawing>
      </w:r>
    </w:p>
    <w:p w:rsidR="00A916D8" w:rsidRPr="00A916D8" w:rsidRDefault="00A916D8" w:rsidP="00A916D8">
      <w:pPr>
        <w:spacing w:after="0" w:line="360" w:lineRule="auto"/>
        <w:jc w:val="center"/>
        <w:rPr>
          <w:rFonts w:ascii="Times New Roman" w:hAnsi="Times New Roman" w:cs="Times New Roman"/>
          <w:sz w:val="20"/>
          <w:szCs w:val="24"/>
        </w:rPr>
      </w:pPr>
      <w:r w:rsidRPr="00A916D8">
        <w:rPr>
          <w:rFonts w:ascii="Times New Roman" w:hAnsi="Times New Roman" w:cs="Times New Roman"/>
          <w:sz w:val="20"/>
          <w:szCs w:val="24"/>
        </w:rPr>
        <w:t>Figura 6. Conocimiento de protocolos de respuesta sísmica: A) Miraflores, B) Armando Mestres (%).</w:t>
      </w:r>
    </w:p>
    <w:p w:rsidR="00B70689" w:rsidRPr="00B70689" w:rsidRDefault="00B70689" w:rsidP="00B70689">
      <w:pPr>
        <w:spacing w:after="0" w:line="360" w:lineRule="auto"/>
        <w:jc w:val="both"/>
        <w:rPr>
          <w:rFonts w:ascii="Times New Roman" w:hAnsi="Times New Roman" w:cs="Times New Roman"/>
          <w:sz w:val="24"/>
          <w:szCs w:val="24"/>
        </w:rPr>
      </w:pPr>
      <w:r w:rsidRPr="00B70689">
        <w:rPr>
          <w:rFonts w:ascii="Times New Roman" w:hAnsi="Times New Roman" w:cs="Times New Roman"/>
          <w:sz w:val="24"/>
          <w:szCs w:val="24"/>
        </w:rPr>
        <w:t>3.</w:t>
      </w:r>
      <w:r w:rsidR="005001E2">
        <w:rPr>
          <w:rFonts w:ascii="Times New Roman" w:hAnsi="Times New Roman" w:cs="Times New Roman"/>
          <w:sz w:val="24"/>
          <w:szCs w:val="24"/>
        </w:rPr>
        <w:t>6</w:t>
      </w:r>
      <w:r w:rsidRPr="00B70689">
        <w:rPr>
          <w:rFonts w:ascii="Times New Roman" w:hAnsi="Times New Roman" w:cs="Times New Roman"/>
          <w:sz w:val="24"/>
          <w:szCs w:val="24"/>
        </w:rPr>
        <w:t>. ¿Cómo reaccionaría usted ante un sismo?</w:t>
      </w:r>
    </w:p>
    <w:p w:rsidR="00B70689" w:rsidRDefault="00B70689" w:rsidP="00B70689">
      <w:pPr>
        <w:spacing w:after="0" w:line="360" w:lineRule="auto"/>
        <w:jc w:val="both"/>
        <w:rPr>
          <w:rFonts w:ascii="Times New Roman" w:hAnsi="Times New Roman" w:cs="Times New Roman"/>
          <w:sz w:val="24"/>
          <w:szCs w:val="24"/>
        </w:rPr>
      </w:pPr>
      <w:r w:rsidRPr="00B70689">
        <w:rPr>
          <w:rFonts w:ascii="Times New Roman" w:hAnsi="Times New Roman" w:cs="Times New Roman"/>
          <w:sz w:val="24"/>
          <w:szCs w:val="24"/>
        </w:rPr>
        <w:t xml:space="preserve">En Miraflores, solo el 25% (15/60 encuestados) adoptaría el protocolo seguro, mientras en Armando Mestre este indicador desciende a 9% (5/60) (ver Figura </w:t>
      </w:r>
      <w:r w:rsidR="0008657B">
        <w:rPr>
          <w:rFonts w:ascii="Times New Roman" w:hAnsi="Times New Roman" w:cs="Times New Roman"/>
          <w:sz w:val="24"/>
          <w:szCs w:val="24"/>
        </w:rPr>
        <w:t>7</w:t>
      </w:r>
      <w:r w:rsidRPr="00B70689">
        <w:rPr>
          <w:rFonts w:ascii="Times New Roman" w:hAnsi="Times New Roman" w:cs="Times New Roman"/>
          <w:sz w:val="24"/>
          <w:szCs w:val="24"/>
        </w:rPr>
        <w:t>). Por el contrario, las respuestas inadecuadas son mayoritarias: 33% en Miraflores y 45% en Armando Mestre huirían corriendo. Asimismo, un 17-23% asumiría actitud pasiva, aumentando su vulnerabilidad a daños colaterales, y un 10-13% manifestaría respuestas de pánico incontrolado, mientras el componente cultural-religioso: 12-13% se encomendaría a Dios.</w:t>
      </w:r>
    </w:p>
    <w:p w:rsidR="002702D6" w:rsidRDefault="002702D6" w:rsidP="00B70689">
      <w:pPr>
        <w:spacing w:after="0" w:line="360" w:lineRule="auto"/>
        <w:jc w:val="both"/>
        <w:rPr>
          <w:rFonts w:ascii="Times New Roman" w:hAnsi="Times New Roman" w:cs="Times New Roman"/>
          <w:sz w:val="24"/>
          <w:szCs w:val="24"/>
        </w:rPr>
      </w:pPr>
      <w:r>
        <w:rPr>
          <w:noProof/>
          <w:lang w:val="en-US"/>
        </w:rPr>
        <w:lastRenderedPageBreak/>
        <w:drawing>
          <wp:inline distT="0" distB="0" distL="0" distR="0" wp14:anchorId="720C35C2" wp14:editId="597749A3">
            <wp:extent cx="5400040" cy="181799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1817999"/>
                    </a:xfrm>
                    <a:prstGeom prst="rect">
                      <a:avLst/>
                    </a:prstGeom>
                    <a:noFill/>
                  </pic:spPr>
                </pic:pic>
              </a:graphicData>
            </a:graphic>
          </wp:inline>
        </w:drawing>
      </w:r>
    </w:p>
    <w:p w:rsidR="002702D6" w:rsidRPr="00E05631" w:rsidRDefault="002702D6" w:rsidP="00E05631">
      <w:pPr>
        <w:spacing w:after="0" w:line="360" w:lineRule="auto"/>
        <w:jc w:val="center"/>
        <w:rPr>
          <w:rFonts w:ascii="Times New Roman" w:hAnsi="Times New Roman" w:cs="Times New Roman"/>
          <w:sz w:val="20"/>
          <w:szCs w:val="24"/>
        </w:rPr>
      </w:pPr>
      <w:r w:rsidRPr="00E05631">
        <w:rPr>
          <w:rFonts w:ascii="Times New Roman" w:hAnsi="Times New Roman" w:cs="Times New Roman"/>
          <w:sz w:val="20"/>
          <w:szCs w:val="24"/>
        </w:rPr>
        <w:t xml:space="preserve">Figura </w:t>
      </w:r>
      <w:r w:rsidR="005001E2">
        <w:rPr>
          <w:rFonts w:ascii="Times New Roman" w:hAnsi="Times New Roman" w:cs="Times New Roman"/>
          <w:sz w:val="20"/>
          <w:szCs w:val="24"/>
        </w:rPr>
        <w:t>7</w:t>
      </w:r>
      <w:r w:rsidRPr="00E05631">
        <w:rPr>
          <w:rFonts w:ascii="Times New Roman" w:hAnsi="Times New Roman" w:cs="Times New Roman"/>
          <w:sz w:val="20"/>
          <w:szCs w:val="24"/>
        </w:rPr>
        <w:t>. Reacciones frecuentes ante sismos: A) Miraflores, B) Armando Mestres. (%; múltiples respuestas)</w:t>
      </w:r>
    </w:p>
    <w:p w:rsidR="0008657B" w:rsidRPr="0008657B" w:rsidRDefault="0008657B" w:rsidP="00481928">
      <w:pPr>
        <w:spacing w:after="0" w:line="360" w:lineRule="auto"/>
        <w:jc w:val="both"/>
        <w:rPr>
          <w:rFonts w:ascii="Times New Roman" w:hAnsi="Times New Roman" w:cs="Times New Roman"/>
          <w:b/>
          <w:sz w:val="24"/>
          <w:szCs w:val="24"/>
        </w:rPr>
      </w:pPr>
      <w:r w:rsidRPr="0008657B">
        <w:rPr>
          <w:rFonts w:ascii="Times New Roman" w:hAnsi="Times New Roman" w:cs="Times New Roman"/>
          <w:b/>
          <w:sz w:val="24"/>
          <w:szCs w:val="24"/>
        </w:rPr>
        <w:t xml:space="preserve">4. Discusión </w:t>
      </w:r>
    </w:p>
    <w:p w:rsidR="00481928" w:rsidRPr="00481928" w:rsidRDefault="00481928" w:rsidP="00481928">
      <w:pPr>
        <w:spacing w:after="0" w:line="360" w:lineRule="auto"/>
        <w:jc w:val="both"/>
        <w:rPr>
          <w:rFonts w:ascii="Times New Roman" w:hAnsi="Times New Roman" w:cs="Times New Roman"/>
          <w:sz w:val="24"/>
          <w:szCs w:val="24"/>
        </w:rPr>
      </w:pPr>
      <w:r w:rsidRPr="00481928">
        <w:rPr>
          <w:rFonts w:ascii="Times New Roman" w:hAnsi="Times New Roman" w:cs="Times New Roman"/>
          <w:sz w:val="24"/>
          <w:szCs w:val="24"/>
        </w:rPr>
        <w:t xml:space="preserve">Si bien se registra un conocimiento moderado (nivel medio) sobre la amenaza sísmica, y una actitud proactiva en formación (100% de disposición a capacitaciones), persiste una brecha operativa alarmante: la dimensión práctica exhibe valores nulos en planes de emergencia, simulacros y medidas de mitigación económica (0% en todas las variables) (ver Figura 9). Existe una desconexión entre la realidad sísmica y la percepción social: la falta de capacitación (67%-80%) y las respuestas inadecuadas ante sismos (solo 9%-25% busca refugio seguro). </w:t>
      </w:r>
    </w:p>
    <w:p w:rsidR="00481928" w:rsidRDefault="00481928" w:rsidP="00481928">
      <w:pPr>
        <w:spacing w:after="0" w:line="360" w:lineRule="auto"/>
        <w:jc w:val="both"/>
        <w:rPr>
          <w:rFonts w:ascii="Times New Roman" w:hAnsi="Times New Roman" w:cs="Times New Roman"/>
          <w:sz w:val="24"/>
          <w:szCs w:val="24"/>
        </w:rPr>
      </w:pPr>
      <w:r w:rsidRPr="00481928">
        <w:rPr>
          <w:rFonts w:ascii="Times New Roman" w:hAnsi="Times New Roman" w:cs="Times New Roman"/>
          <w:sz w:val="24"/>
          <w:szCs w:val="24"/>
        </w:rPr>
        <w:t>La ausencia de formación masiva (&gt;67%) refleja la ineficacia de políticas públicas en prevención sísmica en el territorio. Aunque &gt;70% son trabajadores/estudiantes, no hubo transferencia efectiva de conocimiento. Se refleja una correlación directa con la capacitación recibida (33% en Miraflores vs. 20% en Armando Mestre), validando que la ausencia de entrenamiento en protección civil (67-80% sin formación) conduce a respuestas instintivas de huida.</w:t>
      </w:r>
    </w:p>
    <w:p w:rsidR="00FF3346" w:rsidRPr="00FF3346" w:rsidRDefault="0008657B"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FF3346" w:rsidRPr="00FF3346">
        <w:rPr>
          <w:rFonts w:ascii="Times New Roman" w:hAnsi="Times New Roman" w:cs="Times New Roman"/>
          <w:b/>
          <w:sz w:val="24"/>
          <w:szCs w:val="24"/>
        </w:rPr>
        <w:t>. Conclusiones</w:t>
      </w:r>
    </w:p>
    <w:p w:rsidR="00FF3346" w:rsidRDefault="00FC505A" w:rsidP="00FC505A">
      <w:pPr>
        <w:spacing w:after="0" w:line="360" w:lineRule="auto"/>
        <w:jc w:val="both"/>
        <w:rPr>
          <w:rFonts w:ascii="Times New Roman" w:hAnsi="Times New Roman" w:cs="Times New Roman"/>
          <w:sz w:val="24"/>
          <w:szCs w:val="24"/>
        </w:rPr>
      </w:pPr>
      <w:r w:rsidRPr="00FC505A">
        <w:rPr>
          <w:rFonts w:ascii="Times New Roman" w:hAnsi="Times New Roman" w:cs="Times New Roman"/>
          <w:sz w:val="24"/>
          <w:szCs w:val="24"/>
        </w:rPr>
        <w:t>El 42-45% de los residentes en Miraflores y Armando Mestre nunca ha percibido un sismo. Esto evidencia una normalización del riesgo debido a la baja intensidad de eventos recientes, generando una falsa sensación de seguridad que subestima la amenaza latente.</w:t>
      </w:r>
      <w:r w:rsidR="006B552C">
        <w:rPr>
          <w:rFonts w:ascii="Times New Roman" w:hAnsi="Times New Roman" w:cs="Times New Roman"/>
          <w:sz w:val="24"/>
          <w:szCs w:val="24"/>
        </w:rPr>
        <w:t xml:space="preserve"> </w:t>
      </w:r>
      <w:r w:rsidRPr="00FC505A">
        <w:rPr>
          <w:rFonts w:ascii="Times New Roman" w:hAnsi="Times New Roman" w:cs="Times New Roman"/>
          <w:sz w:val="24"/>
          <w:szCs w:val="24"/>
        </w:rPr>
        <w:t>Solo el 20-33% de la población recibió capacitación sobre protocolos ante sismos, a pesar de que &gt;70% está integrada en entornos laborales/educativos. Esta desinformación se traduce en conductas de alto riesgo.</w:t>
      </w:r>
      <w:r w:rsidR="006B552C">
        <w:rPr>
          <w:rFonts w:ascii="Times New Roman" w:hAnsi="Times New Roman" w:cs="Times New Roman"/>
          <w:sz w:val="24"/>
          <w:szCs w:val="24"/>
        </w:rPr>
        <w:t xml:space="preserve"> </w:t>
      </w:r>
      <w:r w:rsidRPr="00FC505A">
        <w:rPr>
          <w:rFonts w:ascii="Times New Roman" w:hAnsi="Times New Roman" w:cs="Times New Roman"/>
          <w:sz w:val="24"/>
          <w:szCs w:val="24"/>
        </w:rPr>
        <w:t xml:space="preserve">Armando Mestre presenta mayores brechas: apenas 9% adoptaría conductas seguras (vs. 25% en Miraflores), ligado a menor cobertura de capacitación (20% vs. 33%) y mayor prevalencia de </w:t>
      </w:r>
      <w:r w:rsidRPr="00FC505A">
        <w:rPr>
          <w:rFonts w:ascii="Times New Roman" w:hAnsi="Times New Roman" w:cs="Times New Roman"/>
          <w:sz w:val="24"/>
          <w:szCs w:val="24"/>
        </w:rPr>
        <w:lastRenderedPageBreak/>
        <w:t>tipologías constructivas frágiles. El análisis CAP (Conocimientos, Actitudes, Prácticas) confirma un nivel "medio" de percepción cognitiva, pero "bajo/nulo" en prácticas.</w:t>
      </w:r>
    </w:p>
    <w:p w:rsidR="00FF3346" w:rsidRPr="00FF3346" w:rsidRDefault="003B0F17"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FF3346" w:rsidRPr="00FF3346">
        <w:rPr>
          <w:rFonts w:ascii="Times New Roman" w:hAnsi="Times New Roman" w:cs="Times New Roman"/>
          <w:b/>
          <w:sz w:val="24"/>
          <w:szCs w:val="24"/>
        </w:rPr>
        <w:t>. Referencias bibliográficas</w:t>
      </w:r>
    </w:p>
    <w:p w:rsidR="00E01386" w:rsidRPr="005C7854" w:rsidRDefault="00E01386" w:rsidP="00D62A07">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E01386">
        <w:rPr>
          <w:rFonts w:ascii="Times New Roman" w:hAnsi="Times New Roman" w:cs="Times New Roman"/>
          <w:sz w:val="24"/>
        </w:rPr>
        <w:fldChar w:fldCharType="begin" w:fldLock="1"/>
      </w:r>
      <w:r w:rsidRPr="005C7854">
        <w:rPr>
          <w:rFonts w:ascii="Times New Roman" w:hAnsi="Times New Roman" w:cs="Times New Roman"/>
          <w:sz w:val="24"/>
          <w:lang w:val="pt-PT"/>
        </w:rPr>
        <w:instrText xml:space="preserve">ADDIN Mendeley Bibliography CSL_BIBLIOGRAPHY </w:instrText>
      </w:r>
      <w:r w:rsidRPr="00E01386">
        <w:rPr>
          <w:rFonts w:ascii="Times New Roman" w:hAnsi="Times New Roman" w:cs="Times New Roman"/>
          <w:sz w:val="24"/>
        </w:rPr>
        <w:fldChar w:fldCharType="separate"/>
      </w:r>
      <w:r w:rsidRPr="005C7854">
        <w:rPr>
          <w:rFonts w:ascii="Times New Roman" w:hAnsi="Times New Roman" w:cs="Times New Roman"/>
          <w:noProof/>
          <w:sz w:val="24"/>
        </w:rPr>
        <w:t xml:space="preserve">Argüelles, C. L. R., Lacaba, R. M. G., Ortega, R. A. S., &amp; de la Cruz, R. R. (2019). Importancia de la gestión de riesgos para el desarrollo local. Caso de estudio Consejo Popular Caribe, Cuba. </w:t>
      </w:r>
      <w:r w:rsidRPr="005C7854">
        <w:rPr>
          <w:rFonts w:ascii="Times New Roman" w:hAnsi="Times New Roman" w:cs="Times New Roman"/>
          <w:iCs/>
          <w:noProof/>
          <w:sz w:val="24"/>
        </w:rPr>
        <w:t>Revista Científica ECOCIENCIA</w:t>
      </w:r>
      <w:r w:rsidRPr="005C7854">
        <w:rPr>
          <w:rFonts w:ascii="Times New Roman" w:hAnsi="Times New Roman" w:cs="Times New Roman"/>
          <w:noProof/>
          <w:sz w:val="24"/>
        </w:rPr>
        <w:t xml:space="preserve">, </w:t>
      </w:r>
      <w:r w:rsidRPr="005C7854">
        <w:rPr>
          <w:rFonts w:ascii="Times New Roman" w:hAnsi="Times New Roman" w:cs="Times New Roman"/>
          <w:iCs/>
          <w:noProof/>
          <w:sz w:val="24"/>
        </w:rPr>
        <w:t>6</w:t>
      </w:r>
      <w:r w:rsidRPr="005C7854">
        <w:rPr>
          <w:rFonts w:ascii="Times New Roman" w:hAnsi="Times New Roman" w:cs="Times New Roman"/>
          <w:noProof/>
          <w:sz w:val="24"/>
        </w:rPr>
        <w:t>(5), 1–23.</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lang w:val="en-US"/>
        </w:rPr>
      </w:pPr>
      <w:r w:rsidRPr="00E01386">
        <w:rPr>
          <w:rFonts w:ascii="Times New Roman" w:hAnsi="Times New Roman" w:cs="Times New Roman"/>
          <w:noProof/>
          <w:sz w:val="24"/>
        </w:rPr>
        <w:t xml:space="preserve">Batista Samé, Y. (2019). </w:t>
      </w:r>
      <w:r w:rsidRPr="00E01386">
        <w:rPr>
          <w:rFonts w:ascii="Times New Roman" w:hAnsi="Times New Roman" w:cs="Times New Roman"/>
          <w:iCs/>
          <w:noProof/>
          <w:sz w:val="24"/>
        </w:rPr>
        <w:t>Percepción del riesgo sísmico del sector este del municipio de Moa.</w:t>
      </w:r>
      <w:r w:rsidRPr="00E01386">
        <w:rPr>
          <w:rFonts w:ascii="Times New Roman" w:hAnsi="Times New Roman" w:cs="Times New Roman"/>
          <w:noProof/>
          <w:sz w:val="24"/>
        </w:rPr>
        <w:t xml:space="preserve"> </w:t>
      </w:r>
      <w:r w:rsidRPr="00E01386">
        <w:rPr>
          <w:rFonts w:ascii="Times New Roman" w:hAnsi="Times New Roman" w:cs="Times New Roman"/>
          <w:noProof/>
          <w:sz w:val="24"/>
          <w:lang w:val="en-US"/>
        </w:rPr>
        <w:t>Departamento de Geología.</w:t>
      </w:r>
    </w:p>
    <w:p w:rsidR="00FB0970" w:rsidRDefault="00E01386" w:rsidP="00FB0970">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E01386">
        <w:rPr>
          <w:rFonts w:ascii="Times New Roman" w:hAnsi="Times New Roman" w:cs="Times New Roman"/>
          <w:noProof/>
          <w:sz w:val="24"/>
          <w:lang w:val="en-US"/>
        </w:rPr>
        <w:t xml:space="preserve">Burton, I., &amp; Kates, R. W. (1964). The floodplain and the seashore: A comparative analysis of hazard-zone occupance. </w:t>
      </w:r>
      <w:r w:rsidRPr="00E01386">
        <w:rPr>
          <w:rFonts w:ascii="Times New Roman" w:hAnsi="Times New Roman" w:cs="Times New Roman"/>
          <w:iCs/>
          <w:noProof/>
          <w:sz w:val="24"/>
        </w:rPr>
        <w:t>Geographical Review</w:t>
      </w:r>
      <w:r w:rsidRPr="00E01386">
        <w:rPr>
          <w:rFonts w:ascii="Times New Roman" w:hAnsi="Times New Roman" w:cs="Times New Roman"/>
          <w:noProof/>
          <w:sz w:val="24"/>
        </w:rPr>
        <w:t xml:space="preserve">, </w:t>
      </w:r>
      <w:r w:rsidRPr="00E01386">
        <w:rPr>
          <w:rFonts w:ascii="Times New Roman" w:hAnsi="Times New Roman" w:cs="Times New Roman"/>
          <w:iCs/>
          <w:noProof/>
          <w:sz w:val="24"/>
        </w:rPr>
        <w:t>54</w:t>
      </w:r>
      <w:r w:rsidRPr="00E01386">
        <w:rPr>
          <w:rFonts w:ascii="Times New Roman" w:hAnsi="Times New Roman" w:cs="Times New Roman"/>
          <w:noProof/>
          <w:sz w:val="24"/>
        </w:rPr>
        <w:t>(3), 366–385.</w:t>
      </w:r>
    </w:p>
    <w:p w:rsidR="00FB0970" w:rsidRDefault="00E01386" w:rsidP="00FB0970">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FB0970">
        <w:rPr>
          <w:rFonts w:ascii="Times New Roman" w:hAnsi="Times New Roman" w:cs="Times New Roman"/>
          <w:sz w:val="24"/>
        </w:rPr>
        <w:t>Centro Nacional de Investigaciones Sismológicas (CENAIS). (2015). Ciudades</w:t>
      </w:r>
      <w:r w:rsidRPr="00FB0970">
        <w:rPr>
          <w:rFonts w:ascii="Times New Roman" w:hAnsi="Times New Roman" w:cs="Times New Roman"/>
          <w:sz w:val="24"/>
        </w:rPr>
        <w:br/>
        <w:t>preparadas y Alertas ante el riesgo sísmico en el Oriente Cubano. Santiago de Cuba: Ministerio de Ciencia Tecnología y Medio Ambiente.</w:t>
      </w:r>
    </w:p>
    <w:p w:rsidR="00E01386" w:rsidRPr="00FB0970" w:rsidRDefault="00E01386" w:rsidP="00FB0970">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FB0970">
        <w:rPr>
          <w:rFonts w:ascii="Times New Roman" w:hAnsi="Times New Roman" w:cs="Times New Roman"/>
          <w:sz w:val="24"/>
        </w:rPr>
        <w:t xml:space="preserve">Centro Nacional de Investigaciones Sismológicas (CENAIS). (2020). Tabla de los terremotos más importantes de Cuba. </w:t>
      </w:r>
      <w:hyperlink r:id="rId20" w:history="1">
        <w:r w:rsidRPr="00FB0970">
          <w:rPr>
            <w:rFonts w:ascii="Times New Roman" w:hAnsi="Times New Roman" w:cs="Times New Roman"/>
            <w:sz w:val="24"/>
          </w:rPr>
          <w:t>www.cenais.cu/tabla/tabla.html</w:t>
        </w:r>
      </w:hyperlink>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lang w:val="pt-PT"/>
        </w:rPr>
      </w:pPr>
      <w:r w:rsidRPr="00E01386">
        <w:rPr>
          <w:rFonts w:ascii="Times New Roman" w:hAnsi="Times New Roman" w:cs="Times New Roman"/>
          <w:noProof/>
          <w:sz w:val="24"/>
          <w:lang w:val="en-US"/>
        </w:rPr>
        <w:t xml:space="preserve">Cred, U. (2018). Economic losses, poverty &amp; disasters 1998-2017. </w:t>
      </w:r>
      <w:r w:rsidRPr="00E01386">
        <w:rPr>
          <w:rFonts w:ascii="Times New Roman" w:hAnsi="Times New Roman" w:cs="Times New Roman"/>
          <w:iCs/>
          <w:noProof/>
          <w:sz w:val="24"/>
          <w:lang w:val="pt-PT"/>
        </w:rPr>
        <w:t>Université Catholique de Louvain (UCL), Brussels, Belgium</w:t>
      </w:r>
      <w:r w:rsidRPr="00E01386">
        <w:rPr>
          <w:rFonts w:ascii="Times New Roman" w:hAnsi="Times New Roman" w:cs="Times New Roman"/>
          <w:noProof/>
          <w:sz w:val="24"/>
          <w:lang w:val="pt-PT"/>
        </w:rPr>
        <w:t xml:space="preserve">, </w:t>
      </w:r>
      <w:r w:rsidRPr="00E01386">
        <w:rPr>
          <w:rFonts w:ascii="Times New Roman" w:hAnsi="Times New Roman" w:cs="Times New Roman"/>
          <w:iCs/>
          <w:noProof/>
          <w:sz w:val="24"/>
          <w:lang w:val="pt-PT"/>
        </w:rPr>
        <w:t>33</w:t>
      </w:r>
      <w:r w:rsidRPr="00E01386">
        <w:rPr>
          <w:rFonts w:ascii="Times New Roman" w:hAnsi="Times New Roman" w:cs="Times New Roman"/>
          <w:noProof/>
          <w:sz w:val="24"/>
          <w:lang w:val="pt-PT"/>
        </w:rPr>
        <w:t>.</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E01386">
        <w:rPr>
          <w:rFonts w:ascii="Times New Roman" w:hAnsi="Times New Roman" w:cs="Times New Roman"/>
          <w:noProof/>
          <w:sz w:val="24"/>
          <w:lang w:val="pt-PT"/>
        </w:rPr>
        <w:t xml:space="preserve">Cuartas-Gómez, E., Palacio-Duque, A., Ríos-Osorio, L. A., Cardona-Arias, J. A., &amp; Salas-Zapata, W. A. (2019). </w:t>
      </w:r>
      <w:r w:rsidRPr="00E01386">
        <w:rPr>
          <w:rFonts w:ascii="Times New Roman" w:hAnsi="Times New Roman" w:cs="Times New Roman"/>
          <w:noProof/>
          <w:sz w:val="24"/>
        </w:rPr>
        <w:t xml:space="preserve">Conocimientos, actitudes y prácticas (CAP) sobre sostenibilidad en estudiantes de una universidad pública colombiana. </w:t>
      </w:r>
      <w:r w:rsidRPr="00E01386">
        <w:rPr>
          <w:rFonts w:ascii="Times New Roman" w:hAnsi="Times New Roman" w:cs="Times New Roman"/>
          <w:iCs/>
          <w:noProof/>
          <w:sz w:val="24"/>
        </w:rPr>
        <w:t>Revista UDCA Actualidad &amp; Divulgación Científica</w:t>
      </w:r>
      <w:r w:rsidRPr="00E01386">
        <w:rPr>
          <w:rFonts w:ascii="Times New Roman" w:hAnsi="Times New Roman" w:cs="Times New Roman"/>
          <w:noProof/>
          <w:sz w:val="24"/>
        </w:rPr>
        <w:t xml:space="preserve">, </w:t>
      </w:r>
      <w:r w:rsidRPr="00E01386">
        <w:rPr>
          <w:rFonts w:ascii="Times New Roman" w:hAnsi="Times New Roman" w:cs="Times New Roman"/>
          <w:iCs/>
          <w:noProof/>
          <w:sz w:val="24"/>
        </w:rPr>
        <w:t>22</w:t>
      </w:r>
      <w:r w:rsidRPr="00E01386">
        <w:rPr>
          <w:rFonts w:ascii="Times New Roman" w:hAnsi="Times New Roman" w:cs="Times New Roman"/>
          <w:noProof/>
          <w:sz w:val="24"/>
        </w:rPr>
        <w:t>(2).</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E01386">
        <w:rPr>
          <w:rFonts w:ascii="Times New Roman" w:hAnsi="Times New Roman" w:cs="Times New Roman"/>
          <w:noProof/>
          <w:sz w:val="24"/>
        </w:rPr>
        <w:t xml:space="preserve">Dalmau Muguercia, A., Durán Pemberton, I., &amp; Mestre Lamorú, J. (2013). </w:t>
      </w:r>
      <w:r w:rsidRPr="00E01386">
        <w:rPr>
          <w:rFonts w:ascii="Times New Roman" w:hAnsi="Times New Roman" w:cs="Times New Roman"/>
          <w:iCs/>
          <w:noProof/>
          <w:sz w:val="24"/>
        </w:rPr>
        <w:t>La comunicación en la prevención del riesgo por inundaciones costeras en el Reparto La Playa en el municipio de Moa</w:t>
      </w:r>
      <w:r w:rsidRPr="00E01386">
        <w:rPr>
          <w:rFonts w:ascii="Times New Roman" w:hAnsi="Times New Roman" w:cs="Times New Roman"/>
          <w:noProof/>
          <w:sz w:val="24"/>
        </w:rPr>
        <w:t>.</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E01386">
        <w:rPr>
          <w:rFonts w:ascii="Times New Roman" w:hAnsi="Times New Roman" w:cs="Times New Roman"/>
          <w:noProof/>
          <w:sz w:val="24"/>
        </w:rPr>
        <w:t xml:space="preserve">Ernesto, R., &amp; Pupo, P. (2019). </w:t>
      </w:r>
      <w:r w:rsidRPr="00E01386">
        <w:rPr>
          <w:rFonts w:ascii="Times New Roman" w:hAnsi="Times New Roman" w:cs="Times New Roman"/>
          <w:iCs/>
          <w:noProof/>
          <w:sz w:val="24"/>
        </w:rPr>
        <w:t>La comunicación social y la gestión del riesgo de desastre sísmico al servicio de la vida humana</w:t>
      </w:r>
      <w:r w:rsidRPr="00E01386">
        <w:rPr>
          <w:rFonts w:ascii="Times New Roman" w:hAnsi="Times New Roman" w:cs="Times New Roman"/>
          <w:noProof/>
          <w:sz w:val="24"/>
        </w:rPr>
        <w:t xml:space="preserve">. </w:t>
      </w:r>
      <w:r w:rsidRPr="00E01386">
        <w:rPr>
          <w:rFonts w:ascii="Times New Roman" w:hAnsi="Times New Roman" w:cs="Times New Roman"/>
          <w:iCs/>
          <w:noProof/>
          <w:sz w:val="24"/>
        </w:rPr>
        <w:t>May 2018</w:t>
      </w:r>
      <w:r w:rsidRPr="00E01386">
        <w:rPr>
          <w:rFonts w:ascii="Times New Roman" w:hAnsi="Times New Roman" w:cs="Times New Roman"/>
          <w:noProof/>
          <w:sz w:val="24"/>
        </w:rPr>
        <w:t>.</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E01386">
        <w:rPr>
          <w:rFonts w:ascii="Times New Roman" w:hAnsi="Times New Roman" w:cs="Times New Roman"/>
          <w:noProof/>
          <w:sz w:val="24"/>
        </w:rPr>
        <w:t xml:space="preserve">Frómeta-Alfaro, M., &amp; Guardado-Lacaba, R. (2017). Percepción del riesgo: su rol ante el cambio climático, sus efectos y la adaptación. </w:t>
      </w:r>
      <w:r w:rsidRPr="00E01386">
        <w:rPr>
          <w:rFonts w:ascii="Times New Roman" w:hAnsi="Times New Roman" w:cs="Times New Roman"/>
          <w:iCs/>
          <w:noProof/>
          <w:sz w:val="24"/>
        </w:rPr>
        <w:t>Revista de Innovación Social y Desarrollo</w:t>
      </w:r>
      <w:r w:rsidRPr="00E01386">
        <w:rPr>
          <w:rFonts w:ascii="Times New Roman" w:hAnsi="Times New Roman" w:cs="Times New Roman"/>
          <w:noProof/>
          <w:sz w:val="24"/>
        </w:rPr>
        <w:t xml:space="preserve">, </w:t>
      </w:r>
      <w:r w:rsidRPr="00E01386">
        <w:rPr>
          <w:rFonts w:ascii="Times New Roman" w:hAnsi="Times New Roman" w:cs="Times New Roman"/>
          <w:iCs/>
          <w:noProof/>
          <w:sz w:val="24"/>
        </w:rPr>
        <w:t>2</w:t>
      </w:r>
      <w:r w:rsidRPr="00E01386">
        <w:rPr>
          <w:rFonts w:ascii="Times New Roman" w:hAnsi="Times New Roman" w:cs="Times New Roman"/>
          <w:noProof/>
          <w:sz w:val="24"/>
        </w:rPr>
        <w:t>(1), 96–108.</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E01386">
        <w:rPr>
          <w:rFonts w:ascii="Times New Roman" w:hAnsi="Times New Roman" w:cs="Times New Roman"/>
          <w:noProof/>
          <w:sz w:val="24"/>
        </w:rPr>
        <w:t xml:space="preserve">Frometa Alfaro, M., Reinaldo Arguelles, C. L., &amp; Guardado Lacaba, R. (2017). </w:t>
      </w:r>
      <w:r w:rsidRPr="00E01386">
        <w:rPr>
          <w:rFonts w:ascii="Times New Roman" w:hAnsi="Times New Roman" w:cs="Times New Roman"/>
          <w:iCs/>
          <w:noProof/>
          <w:sz w:val="24"/>
        </w:rPr>
        <w:lastRenderedPageBreak/>
        <w:t>Percepción del riesgo sísmico en la ciudad de Moa: Reparto Caribe</w:t>
      </w:r>
      <w:r w:rsidRPr="00E01386">
        <w:rPr>
          <w:rFonts w:ascii="Times New Roman" w:hAnsi="Times New Roman" w:cs="Times New Roman"/>
          <w:noProof/>
          <w:sz w:val="24"/>
        </w:rPr>
        <w:t>.</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E01386">
        <w:rPr>
          <w:rFonts w:ascii="Times New Roman" w:hAnsi="Times New Roman" w:cs="Times New Roman"/>
          <w:noProof/>
          <w:sz w:val="24"/>
        </w:rPr>
        <w:t xml:space="preserve">Garcell Rodríguez, O. (2014). </w:t>
      </w:r>
      <w:r w:rsidRPr="00E01386">
        <w:rPr>
          <w:rFonts w:ascii="Times New Roman" w:hAnsi="Times New Roman" w:cs="Times New Roman"/>
          <w:iCs/>
          <w:noProof/>
          <w:sz w:val="24"/>
        </w:rPr>
        <w:t>Estudio para prevenir y reducir las vulnerabilidades de la comunidad de la Melba ante los desastres naturales</w:t>
      </w:r>
      <w:r w:rsidRPr="00E01386">
        <w:rPr>
          <w:rFonts w:ascii="Times New Roman" w:hAnsi="Times New Roman" w:cs="Times New Roman"/>
          <w:noProof/>
          <w:sz w:val="24"/>
        </w:rPr>
        <w:t>. Tesis en opción al título de Máster en Desarrollo Sustentable en la ….</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lang w:val="en-US"/>
        </w:rPr>
      </w:pPr>
      <w:r w:rsidRPr="00E01386">
        <w:rPr>
          <w:rFonts w:ascii="Times New Roman" w:hAnsi="Times New Roman" w:cs="Times New Roman"/>
          <w:noProof/>
          <w:sz w:val="24"/>
        </w:rPr>
        <w:t xml:space="preserve">Hernández Columbié, &amp; Guardado Lacaba. (2023). </w:t>
      </w:r>
      <w:r w:rsidRPr="00E01386">
        <w:rPr>
          <w:rFonts w:ascii="Times New Roman" w:hAnsi="Times New Roman" w:cs="Times New Roman"/>
          <w:iCs/>
          <w:noProof/>
          <w:sz w:val="24"/>
        </w:rPr>
        <w:t xml:space="preserve">Evaluación de la vulnerabilidad global en presas de colas. </w:t>
      </w:r>
      <w:r w:rsidRPr="00E01386">
        <w:rPr>
          <w:rFonts w:ascii="Times New Roman" w:hAnsi="Times New Roman" w:cs="Times New Roman"/>
          <w:iCs/>
          <w:noProof/>
          <w:sz w:val="24"/>
          <w:lang w:val="en-US"/>
        </w:rPr>
        <w:t>Moa, Cuba Global vulnerability assessment of tailings dams. Moa, Cuba</w:t>
      </w:r>
      <w:r w:rsidRPr="00E01386">
        <w:rPr>
          <w:rFonts w:ascii="Times New Roman" w:hAnsi="Times New Roman" w:cs="Times New Roman"/>
          <w:noProof/>
          <w:sz w:val="24"/>
          <w:lang w:val="en-US"/>
        </w:rPr>
        <w:t>.</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E01386">
        <w:rPr>
          <w:rFonts w:ascii="Times New Roman" w:hAnsi="Times New Roman" w:cs="Times New Roman"/>
          <w:noProof/>
          <w:sz w:val="24"/>
        </w:rPr>
        <w:t xml:space="preserve">Hernández, O., Samtana, H., Ramón, J., &amp; Mohammed, S. (2015). </w:t>
      </w:r>
      <w:r w:rsidRPr="00E01386">
        <w:rPr>
          <w:rFonts w:ascii="Times New Roman" w:hAnsi="Times New Roman" w:cs="Times New Roman"/>
          <w:iCs/>
          <w:noProof/>
          <w:sz w:val="24"/>
        </w:rPr>
        <w:t>Redalyc.Evaluación de la vulnerabilidad sísmica para la Ciudad de San Cristóbal</w:t>
      </w:r>
      <w:r w:rsidRPr="00E01386">
        <w:rPr>
          <w:rFonts w:ascii="Times New Roman" w:hAnsi="Times New Roman" w:cs="Times New Roman"/>
          <w:noProof/>
          <w:sz w:val="24"/>
        </w:rPr>
        <w:t>.</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E01386">
        <w:rPr>
          <w:rFonts w:ascii="Times New Roman" w:hAnsi="Times New Roman" w:cs="Times New Roman"/>
          <w:noProof/>
          <w:sz w:val="24"/>
        </w:rPr>
        <w:t xml:space="preserve">Hernández Zaldívar, A. (2012). </w:t>
      </w:r>
      <w:r w:rsidRPr="00E01386">
        <w:rPr>
          <w:rFonts w:ascii="Times New Roman" w:hAnsi="Times New Roman" w:cs="Times New Roman"/>
          <w:iCs/>
          <w:noProof/>
          <w:sz w:val="24"/>
        </w:rPr>
        <w:t>Estudio sobre la vulnerabilidad y el riesgo sísmico del sector Atlántico, Miraflores y Vivienda Checa.</w:t>
      </w:r>
      <w:r w:rsidRPr="00E01386">
        <w:rPr>
          <w:rFonts w:ascii="Times New Roman" w:hAnsi="Times New Roman" w:cs="Times New Roman"/>
          <w:noProof/>
          <w:sz w:val="24"/>
        </w:rPr>
        <w:t xml:space="preserve"> Departamento de Geología.</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F25A7D">
        <w:rPr>
          <w:rFonts w:ascii="Times New Roman" w:hAnsi="Times New Roman" w:cs="Times New Roman"/>
          <w:noProof/>
          <w:sz w:val="24"/>
        </w:rPr>
        <w:t xml:space="preserve">Lavell, A. (2010). </w:t>
      </w:r>
      <w:r w:rsidRPr="00E01386">
        <w:rPr>
          <w:rFonts w:ascii="Times New Roman" w:hAnsi="Times New Roman" w:cs="Times New Roman"/>
          <w:iCs/>
          <w:noProof/>
          <w:sz w:val="24"/>
        </w:rPr>
        <w:t>Gestión ambiental y Gestión del Riesgo de Desastre en el contexto del cambio climático: Una aproximación al desarrollo de un concepto y definición integral para dirigir la intervención a través de un plan nacional de desarrollo.</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E01386">
        <w:rPr>
          <w:rFonts w:ascii="Times New Roman" w:hAnsi="Times New Roman" w:cs="Times New Roman"/>
          <w:noProof/>
          <w:sz w:val="24"/>
        </w:rPr>
        <w:t xml:space="preserve">Leyva, O. A., &amp; González, Y. S. (2023). Gestión psicosocial de riesgo sísmico en la ciudad de Santiago de Cuba: Administration psychosocial of seismic risk in the city of Santiago from Cuba. </w:t>
      </w:r>
      <w:r w:rsidRPr="00E01386">
        <w:rPr>
          <w:rFonts w:ascii="Times New Roman" w:hAnsi="Times New Roman" w:cs="Times New Roman"/>
          <w:iCs/>
          <w:noProof/>
          <w:sz w:val="24"/>
        </w:rPr>
        <w:t>Maestro y Sociedad</w:t>
      </w:r>
      <w:r w:rsidRPr="00E01386">
        <w:rPr>
          <w:rFonts w:ascii="Times New Roman" w:hAnsi="Times New Roman" w:cs="Times New Roman"/>
          <w:noProof/>
          <w:sz w:val="24"/>
        </w:rPr>
        <w:t>, 121–131.</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E01386">
        <w:rPr>
          <w:rFonts w:ascii="Times New Roman" w:hAnsi="Times New Roman" w:cs="Times New Roman"/>
          <w:noProof/>
          <w:sz w:val="24"/>
        </w:rPr>
        <w:t xml:space="preserve">Linares Acosta. (2022). </w:t>
      </w:r>
      <w:r w:rsidRPr="00E01386">
        <w:rPr>
          <w:rFonts w:ascii="Times New Roman" w:hAnsi="Times New Roman" w:cs="Times New Roman"/>
          <w:iCs/>
          <w:noProof/>
          <w:sz w:val="24"/>
        </w:rPr>
        <w:t>LA PERCEPCIÓN DEL RIESGO DE DESASTRES EN LA COMUNIDAD TUNAS DE ZAZA</w:t>
      </w:r>
      <w:r w:rsidRPr="00E01386">
        <w:rPr>
          <w:rFonts w:ascii="Times New Roman" w:hAnsi="Times New Roman" w:cs="Times New Roman"/>
          <w:noProof/>
          <w:sz w:val="24"/>
        </w:rPr>
        <w:t>. Universidad de Sancti Spíritus.</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lang w:val="en-US"/>
        </w:rPr>
      </w:pPr>
      <w:r w:rsidRPr="00E01386">
        <w:rPr>
          <w:rFonts w:ascii="Times New Roman" w:hAnsi="Times New Roman" w:cs="Times New Roman"/>
          <w:noProof/>
          <w:sz w:val="24"/>
        </w:rPr>
        <w:t xml:space="preserve">Luis, J., Palma, A., Luis, J., Palma, A., Caribe, R., Sociales, C., &amp; Claves, P. (2020). </w:t>
      </w:r>
      <w:r w:rsidRPr="00E01386">
        <w:rPr>
          <w:rFonts w:ascii="Times New Roman" w:hAnsi="Times New Roman" w:cs="Times New Roman"/>
          <w:iCs/>
          <w:noProof/>
          <w:sz w:val="24"/>
          <w:lang w:val="en-US"/>
        </w:rPr>
        <w:t>CUBA EARTHQUAKES IN THE CONTINENT : DANGEROUS , VULNERABILITIES AND RISKS FOR CUBA</w:t>
      </w:r>
      <w:r w:rsidRPr="00E01386">
        <w:rPr>
          <w:rFonts w:ascii="Times New Roman" w:hAnsi="Times New Roman" w:cs="Times New Roman"/>
          <w:noProof/>
          <w:sz w:val="24"/>
          <w:lang w:val="en-US"/>
        </w:rPr>
        <w:t>.</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E01386">
        <w:rPr>
          <w:rFonts w:ascii="Times New Roman" w:hAnsi="Times New Roman" w:cs="Times New Roman"/>
          <w:noProof/>
          <w:sz w:val="24"/>
        </w:rPr>
        <w:t xml:space="preserve">Mata, R. M. (2016). Los estudios de Peligro, Vulnerabilidad y Riesgo de desastres en Camagüey: una herramienta para el desarrollo sostenible. </w:t>
      </w:r>
      <w:r w:rsidRPr="00E01386">
        <w:rPr>
          <w:rFonts w:ascii="Times New Roman" w:hAnsi="Times New Roman" w:cs="Times New Roman"/>
          <w:iCs/>
          <w:noProof/>
          <w:sz w:val="24"/>
        </w:rPr>
        <w:t>Monteverdia</w:t>
      </w:r>
      <w:r w:rsidRPr="00E01386">
        <w:rPr>
          <w:rFonts w:ascii="Times New Roman" w:hAnsi="Times New Roman" w:cs="Times New Roman"/>
          <w:noProof/>
          <w:sz w:val="24"/>
        </w:rPr>
        <w:t xml:space="preserve">, </w:t>
      </w:r>
      <w:r w:rsidRPr="00E01386">
        <w:rPr>
          <w:rFonts w:ascii="Times New Roman" w:hAnsi="Times New Roman" w:cs="Times New Roman"/>
          <w:iCs/>
          <w:noProof/>
          <w:sz w:val="24"/>
        </w:rPr>
        <w:t>9</w:t>
      </w:r>
      <w:r w:rsidRPr="00E01386">
        <w:rPr>
          <w:rFonts w:ascii="Times New Roman" w:hAnsi="Times New Roman" w:cs="Times New Roman"/>
          <w:noProof/>
          <w:sz w:val="24"/>
        </w:rPr>
        <w:t>(1), 69–73.</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E01386">
        <w:rPr>
          <w:rFonts w:ascii="Times New Roman" w:hAnsi="Times New Roman" w:cs="Times New Roman"/>
          <w:noProof/>
          <w:sz w:val="24"/>
        </w:rPr>
        <w:t xml:space="preserve">Milián Labañino, V. (2013). </w:t>
      </w:r>
      <w:r w:rsidRPr="00E01386">
        <w:rPr>
          <w:rFonts w:ascii="Times New Roman" w:hAnsi="Times New Roman" w:cs="Times New Roman"/>
          <w:iCs/>
          <w:noProof/>
          <w:sz w:val="24"/>
        </w:rPr>
        <w:t>Influencia de las actividades aeróbicas para mejorar la calidad de vida en personas de 31 a 45 años de la circunscripción 17 de la comunidad de Armando Mestre del municipio Moa</w:t>
      </w:r>
      <w:r w:rsidRPr="00E01386">
        <w:rPr>
          <w:rFonts w:ascii="Times New Roman" w:hAnsi="Times New Roman" w:cs="Times New Roman"/>
          <w:noProof/>
          <w:sz w:val="24"/>
        </w:rPr>
        <w:t>. Departamento de Estudios Socioculturales.</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F25A7D">
        <w:rPr>
          <w:rFonts w:ascii="Times New Roman" w:hAnsi="Times New Roman" w:cs="Times New Roman"/>
          <w:noProof/>
          <w:sz w:val="24"/>
        </w:rPr>
        <w:lastRenderedPageBreak/>
        <w:t xml:space="preserve">Parrado Alvarez, O. L., Francis Archer, D. E., &amp; Carrión Cabrera, L. (2019). </w:t>
      </w:r>
      <w:r w:rsidRPr="00E01386">
        <w:rPr>
          <w:rFonts w:ascii="Times New Roman" w:hAnsi="Times New Roman" w:cs="Times New Roman"/>
          <w:noProof/>
          <w:sz w:val="24"/>
        </w:rPr>
        <w:t xml:space="preserve">Percepción del riesgo sísmico en la ciudad de Camagüey. Base para la educación ambiental comunitaria. </w:t>
      </w:r>
      <w:r w:rsidRPr="00E01386">
        <w:rPr>
          <w:rFonts w:ascii="Times New Roman" w:hAnsi="Times New Roman" w:cs="Times New Roman"/>
          <w:iCs/>
          <w:noProof/>
          <w:sz w:val="24"/>
        </w:rPr>
        <w:t>Transformación</w:t>
      </w:r>
      <w:r w:rsidRPr="00E01386">
        <w:rPr>
          <w:rFonts w:ascii="Times New Roman" w:hAnsi="Times New Roman" w:cs="Times New Roman"/>
          <w:noProof/>
          <w:sz w:val="24"/>
        </w:rPr>
        <w:t xml:space="preserve">, </w:t>
      </w:r>
      <w:r w:rsidRPr="00E01386">
        <w:rPr>
          <w:rFonts w:ascii="Times New Roman" w:hAnsi="Times New Roman" w:cs="Times New Roman"/>
          <w:iCs/>
          <w:noProof/>
          <w:sz w:val="24"/>
        </w:rPr>
        <w:t>15</w:t>
      </w:r>
      <w:r w:rsidRPr="00E01386">
        <w:rPr>
          <w:rFonts w:ascii="Times New Roman" w:hAnsi="Times New Roman" w:cs="Times New Roman"/>
          <w:noProof/>
          <w:sz w:val="24"/>
        </w:rPr>
        <w:t>(3), 398–415.</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E01386">
        <w:rPr>
          <w:rFonts w:ascii="Times New Roman" w:hAnsi="Times New Roman" w:cs="Times New Roman"/>
          <w:noProof/>
          <w:sz w:val="24"/>
        </w:rPr>
        <w:t xml:space="preserve">Pérez-Figueredo, A. S. (2019). La gestión de riesgos con enfoque inclusivo para el enfrentamiento al cambio climático en zonas costeras de la provincia de Santiago de Cuba. </w:t>
      </w:r>
      <w:r w:rsidRPr="00E01386">
        <w:rPr>
          <w:rFonts w:ascii="Times New Roman" w:hAnsi="Times New Roman" w:cs="Times New Roman"/>
          <w:iCs/>
          <w:noProof/>
          <w:sz w:val="24"/>
        </w:rPr>
        <w:t>Ciencia En Su PC</w:t>
      </w:r>
      <w:r w:rsidRPr="00E01386">
        <w:rPr>
          <w:rFonts w:ascii="Times New Roman" w:hAnsi="Times New Roman" w:cs="Times New Roman"/>
          <w:noProof/>
          <w:sz w:val="24"/>
        </w:rPr>
        <w:t xml:space="preserve">, </w:t>
      </w:r>
      <w:r w:rsidRPr="00E01386">
        <w:rPr>
          <w:rFonts w:ascii="Times New Roman" w:hAnsi="Times New Roman" w:cs="Times New Roman"/>
          <w:iCs/>
          <w:noProof/>
          <w:sz w:val="24"/>
        </w:rPr>
        <w:t>1</w:t>
      </w:r>
      <w:r w:rsidRPr="00E01386">
        <w:rPr>
          <w:rFonts w:ascii="Times New Roman" w:hAnsi="Times New Roman" w:cs="Times New Roman"/>
          <w:noProof/>
          <w:sz w:val="24"/>
        </w:rPr>
        <w:t>(4), 64–76.</w:t>
      </w:r>
    </w:p>
    <w:p w:rsidR="00B91AFD" w:rsidRDefault="00E01386" w:rsidP="00B91AFD">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E01386">
        <w:rPr>
          <w:rFonts w:ascii="Times New Roman" w:hAnsi="Times New Roman" w:cs="Times New Roman"/>
          <w:noProof/>
          <w:sz w:val="24"/>
        </w:rPr>
        <w:t xml:space="preserve">Sánchez, D. C., Melgares, G. G., Cornier, L. F. C., &amp; Álvarez, Z. C. R. (2016). Influencia del suelo en el diseño sismorresistente de puentes en Cuba. </w:t>
      </w:r>
      <w:r w:rsidRPr="00E01386">
        <w:rPr>
          <w:rFonts w:ascii="Times New Roman" w:hAnsi="Times New Roman" w:cs="Times New Roman"/>
          <w:iCs/>
          <w:noProof/>
          <w:sz w:val="24"/>
        </w:rPr>
        <w:t>Revista Cubana de Ingeniería</w:t>
      </w:r>
      <w:r w:rsidRPr="00E01386">
        <w:rPr>
          <w:rFonts w:ascii="Times New Roman" w:hAnsi="Times New Roman" w:cs="Times New Roman"/>
          <w:noProof/>
          <w:sz w:val="24"/>
        </w:rPr>
        <w:t xml:space="preserve">, </w:t>
      </w:r>
      <w:r w:rsidRPr="00E01386">
        <w:rPr>
          <w:rFonts w:ascii="Times New Roman" w:hAnsi="Times New Roman" w:cs="Times New Roman"/>
          <w:iCs/>
          <w:noProof/>
          <w:sz w:val="24"/>
        </w:rPr>
        <w:t>7</w:t>
      </w:r>
      <w:r w:rsidRPr="00E01386">
        <w:rPr>
          <w:rFonts w:ascii="Times New Roman" w:hAnsi="Times New Roman" w:cs="Times New Roman"/>
          <w:noProof/>
          <w:sz w:val="24"/>
        </w:rPr>
        <w:t>(3), 25–34.</w:t>
      </w:r>
    </w:p>
    <w:p w:rsidR="00E01386" w:rsidRPr="00B91AFD" w:rsidRDefault="00E01386" w:rsidP="00B91AFD">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B91AFD">
        <w:rPr>
          <w:rFonts w:ascii="Times New Roman" w:hAnsi="Times New Roman" w:cs="Times New Roman"/>
          <w:sz w:val="24"/>
        </w:rPr>
        <w:t>Sánchez Hernández, J. F., &amp; Vicuñan Barrera, D. (2022). Percepción del riesgo sísmico de los habitantes del Cono del Cañaveralejo y oriente de la ciudad de Cali. Santiago de Cali: Universidad del Valle, Facultad de Humanidades, Departamento de geografía.</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lang w:val="en-US"/>
        </w:rPr>
      </w:pPr>
      <w:r w:rsidRPr="00E01386">
        <w:rPr>
          <w:rFonts w:ascii="Times New Roman" w:hAnsi="Times New Roman" w:cs="Times New Roman"/>
          <w:noProof/>
          <w:sz w:val="24"/>
        </w:rPr>
        <w:t xml:space="preserve">Silva Reyes, A. (2017). </w:t>
      </w:r>
      <w:r w:rsidRPr="00E01386">
        <w:rPr>
          <w:rFonts w:ascii="Times New Roman" w:hAnsi="Times New Roman" w:cs="Times New Roman"/>
          <w:iCs/>
          <w:noProof/>
          <w:sz w:val="24"/>
        </w:rPr>
        <w:t>Análisis de la vulnerabilidad sísmica del reparto Rolando Monterrey en el municipio de Moa.</w:t>
      </w:r>
      <w:r w:rsidRPr="00E01386">
        <w:rPr>
          <w:rFonts w:ascii="Times New Roman" w:hAnsi="Times New Roman" w:cs="Times New Roman"/>
          <w:noProof/>
          <w:sz w:val="24"/>
        </w:rPr>
        <w:t xml:space="preserve"> </w:t>
      </w:r>
      <w:r w:rsidRPr="00E01386">
        <w:rPr>
          <w:rFonts w:ascii="Times New Roman" w:hAnsi="Times New Roman" w:cs="Times New Roman"/>
          <w:noProof/>
          <w:sz w:val="24"/>
          <w:lang w:val="en-US"/>
        </w:rPr>
        <w:t>Departamento de Geología.</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lang w:val="en-US"/>
        </w:rPr>
      </w:pPr>
      <w:r w:rsidRPr="00E01386">
        <w:rPr>
          <w:rFonts w:ascii="Times New Roman" w:hAnsi="Times New Roman" w:cs="Times New Roman"/>
          <w:noProof/>
          <w:sz w:val="24"/>
          <w:lang w:val="en-US"/>
        </w:rPr>
        <w:t xml:space="preserve">Sjöberg, L. (2000). Perceived risk and tampering with nature. </w:t>
      </w:r>
      <w:r w:rsidRPr="00E01386">
        <w:rPr>
          <w:rFonts w:ascii="Times New Roman" w:hAnsi="Times New Roman" w:cs="Times New Roman"/>
          <w:iCs/>
          <w:noProof/>
          <w:sz w:val="24"/>
          <w:lang w:val="en-US"/>
        </w:rPr>
        <w:t>Journal of Risk Research</w:t>
      </w:r>
      <w:r w:rsidRPr="00E01386">
        <w:rPr>
          <w:rFonts w:ascii="Times New Roman" w:hAnsi="Times New Roman" w:cs="Times New Roman"/>
          <w:noProof/>
          <w:sz w:val="24"/>
          <w:lang w:val="en-US"/>
        </w:rPr>
        <w:t xml:space="preserve">, </w:t>
      </w:r>
      <w:r w:rsidRPr="00E01386">
        <w:rPr>
          <w:rFonts w:ascii="Times New Roman" w:hAnsi="Times New Roman" w:cs="Times New Roman"/>
          <w:iCs/>
          <w:noProof/>
          <w:sz w:val="24"/>
          <w:lang w:val="en-US"/>
        </w:rPr>
        <w:t>3</w:t>
      </w:r>
      <w:r w:rsidRPr="00E01386">
        <w:rPr>
          <w:rFonts w:ascii="Times New Roman" w:hAnsi="Times New Roman" w:cs="Times New Roman"/>
          <w:noProof/>
          <w:sz w:val="24"/>
          <w:lang w:val="en-US"/>
        </w:rPr>
        <w:t>(4), 353–367.</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lang w:val="en-US"/>
        </w:rPr>
      </w:pPr>
      <w:r w:rsidRPr="00F25A7D">
        <w:rPr>
          <w:rFonts w:ascii="Times New Roman" w:hAnsi="Times New Roman" w:cs="Times New Roman"/>
          <w:noProof/>
          <w:sz w:val="24"/>
        </w:rPr>
        <w:t xml:space="preserve">Tussen-Corrioso, D., &amp; Brull-González, M. (2018). </w:t>
      </w:r>
      <w:r w:rsidRPr="00E01386">
        <w:rPr>
          <w:rFonts w:ascii="Times New Roman" w:hAnsi="Times New Roman" w:cs="Times New Roman"/>
          <w:noProof/>
          <w:sz w:val="24"/>
        </w:rPr>
        <w:t xml:space="preserve">Mapa conceptual infocomunicativo para la gestión de riesgos de desastres. </w:t>
      </w:r>
      <w:r w:rsidRPr="00E01386">
        <w:rPr>
          <w:rFonts w:ascii="Times New Roman" w:hAnsi="Times New Roman" w:cs="Times New Roman"/>
          <w:iCs/>
          <w:noProof/>
          <w:sz w:val="24"/>
          <w:lang w:val="en-US"/>
        </w:rPr>
        <w:t>Ciencia En Su PC</w:t>
      </w:r>
      <w:r w:rsidRPr="00E01386">
        <w:rPr>
          <w:rFonts w:ascii="Times New Roman" w:hAnsi="Times New Roman" w:cs="Times New Roman"/>
          <w:noProof/>
          <w:sz w:val="24"/>
          <w:lang w:val="en-US"/>
        </w:rPr>
        <w:t xml:space="preserve">, </w:t>
      </w:r>
      <w:r w:rsidRPr="00E01386">
        <w:rPr>
          <w:rFonts w:ascii="Times New Roman" w:hAnsi="Times New Roman" w:cs="Times New Roman"/>
          <w:iCs/>
          <w:noProof/>
          <w:sz w:val="24"/>
          <w:lang w:val="en-US"/>
        </w:rPr>
        <w:t>1</w:t>
      </w:r>
      <w:r w:rsidRPr="00E01386">
        <w:rPr>
          <w:rFonts w:ascii="Times New Roman" w:hAnsi="Times New Roman" w:cs="Times New Roman"/>
          <w:noProof/>
          <w:sz w:val="24"/>
          <w:lang w:val="en-US"/>
        </w:rPr>
        <w:t>(3), 33–49.</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F25A7D">
        <w:rPr>
          <w:rFonts w:ascii="Times New Roman" w:hAnsi="Times New Roman" w:cs="Times New Roman"/>
          <w:noProof/>
          <w:sz w:val="24"/>
        </w:rPr>
        <w:t xml:space="preserve">Vinardell Peña, R. (2018). </w:t>
      </w:r>
      <w:r w:rsidRPr="00E01386">
        <w:rPr>
          <w:rFonts w:ascii="Times New Roman" w:hAnsi="Times New Roman" w:cs="Times New Roman"/>
          <w:iCs/>
          <w:noProof/>
          <w:sz w:val="24"/>
        </w:rPr>
        <w:t>Microzonación sísmica del sector urbano de Moa.</w:t>
      </w:r>
      <w:r w:rsidRPr="00E01386">
        <w:rPr>
          <w:rFonts w:ascii="Times New Roman" w:hAnsi="Times New Roman" w:cs="Times New Roman"/>
          <w:noProof/>
          <w:sz w:val="24"/>
        </w:rPr>
        <w:t xml:space="preserve"> Tesis en opción al título de Máster en Geología. Mención Geología Ambiental.</w:t>
      </w:r>
    </w:p>
    <w:p w:rsidR="00E01386" w:rsidRPr="00E01386" w:rsidRDefault="00E01386" w:rsidP="00E01386">
      <w:pPr>
        <w:pStyle w:val="Prrafodelista"/>
        <w:widowControl w:val="0"/>
        <w:numPr>
          <w:ilvl w:val="0"/>
          <w:numId w:val="2"/>
        </w:numPr>
        <w:autoSpaceDE w:val="0"/>
        <w:autoSpaceDN w:val="0"/>
        <w:adjustRightInd w:val="0"/>
        <w:spacing w:line="360" w:lineRule="auto"/>
        <w:jc w:val="both"/>
        <w:rPr>
          <w:rFonts w:ascii="Times New Roman" w:hAnsi="Times New Roman" w:cs="Times New Roman"/>
          <w:noProof/>
          <w:sz w:val="24"/>
        </w:rPr>
      </w:pPr>
      <w:r w:rsidRPr="00E01386">
        <w:rPr>
          <w:rFonts w:ascii="Times New Roman" w:hAnsi="Times New Roman" w:cs="Times New Roman"/>
          <w:noProof/>
          <w:sz w:val="24"/>
        </w:rPr>
        <w:t xml:space="preserve">Zuñiga Fuentes, Y. (2019). </w:t>
      </w:r>
      <w:r w:rsidRPr="00E01386">
        <w:rPr>
          <w:rFonts w:ascii="Times New Roman" w:hAnsi="Times New Roman" w:cs="Times New Roman"/>
          <w:iCs/>
          <w:noProof/>
          <w:sz w:val="24"/>
        </w:rPr>
        <w:t>Estudio de la respuesta local del suelo en el Reparto Miraflores del municipio Moa, ante la ocurrencia de sismos.</w:t>
      </w:r>
      <w:r w:rsidRPr="00E01386">
        <w:rPr>
          <w:rFonts w:ascii="Times New Roman" w:hAnsi="Times New Roman" w:cs="Times New Roman"/>
          <w:noProof/>
          <w:sz w:val="24"/>
        </w:rPr>
        <w:t xml:space="preserve"> Departamento de Geología.</w:t>
      </w:r>
    </w:p>
    <w:p w:rsidR="00E01386" w:rsidRPr="00A75FAA" w:rsidRDefault="00E01386" w:rsidP="00E01386">
      <w:pPr>
        <w:spacing w:line="360" w:lineRule="auto"/>
        <w:jc w:val="both"/>
      </w:pPr>
      <w:r w:rsidRPr="00E01386">
        <w:rPr>
          <w:rFonts w:ascii="Times New Roman" w:hAnsi="Times New Roman" w:cs="Times New Roman"/>
          <w:sz w:val="24"/>
        </w:rPr>
        <w:fldChar w:fldCharType="end"/>
      </w:r>
    </w:p>
    <w:p w:rsidR="00D36D1C" w:rsidRPr="009D5E02" w:rsidRDefault="00D36D1C" w:rsidP="00FF3346">
      <w:pPr>
        <w:spacing w:after="0" w:line="360" w:lineRule="auto"/>
        <w:jc w:val="both"/>
        <w:rPr>
          <w:rFonts w:ascii="Times New Roman" w:hAnsi="Times New Roman" w:cs="Times New Roman"/>
          <w:sz w:val="24"/>
          <w:szCs w:val="24"/>
        </w:rPr>
      </w:pPr>
    </w:p>
    <w:sectPr w:rsidR="00D36D1C" w:rsidRPr="009D5E02" w:rsidSect="00C8585B">
      <w:headerReference w:type="default" r:id="rId21"/>
      <w:footerReference w:type="default" r:id="rId22"/>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00A7" w:rsidRDefault="000900A7" w:rsidP="00C8585B">
      <w:pPr>
        <w:spacing w:after="0" w:line="240" w:lineRule="auto"/>
      </w:pPr>
      <w:r>
        <w:separator/>
      </w:r>
    </w:p>
  </w:endnote>
  <w:endnote w:type="continuationSeparator" w:id="0">
    <w:p w:rsidR="000900A7" w:rsidRDefault="000900A7"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357A82">
          <w:rPr>
            <w:noProof/>
          </w:rPr>
          <w:t>1</w:t>
        </w:r>
        <w:r>
          <w:rPr>
            <w:noProof/>
          </w:rPr>
          <w:fldChar w:fldCharType="end"/>
        </w:r>
      </w:p>
    </w:sdtContent>
  </w:sdt>
  <w:p w:rsidR="009D5E02" w:rsidRPr="00C8585B" w:rsidRDefault="00972A58" w:rsidP="00C8585B">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w:t>
    </w:r>
    <w:r w:rsidR="00357A82">
      <w:rPr>
        <w:rFonts w:ascii="Verdana" w:hAnsi="Verdana"/>
        <w:b/>
        <w:sz w:val="16"/>
        <w:szCs w:val="16"/>
        <w:lang w:val="es-ES_tradnl"/>
      </w:rPr>
      <w:t>5</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0A6EC7"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00A7" w:rsidRDefault="000900A7" w:rsidP="00C8585B">
      <w:pPr>
        <w:spacing w:after="0" w:line="240" w:lineRule="auto"/>
      </w:pPr>
      <w:r>
        <w:separator/>
      </w:r>
    </w:p>
  </w:footnote>
  <w:footnote w:type="continuationSeparator" w:id="0">
    <w:p w:rsidR="000900A7" w:rsidRDefault="000900A7"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58240"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F31B37" w:rsidP="00F31B37">
          <w:pPr>
            <w:pStyle w:val="Encabezado"/>
            <w:jc w:val="center"/>
            <w:rPr>
              <w:rFonts w:ascii="Verdana" w:hAnsi="Verdana"/>
              <w:b/>
              <w:sz w:val="16"/>
              <w:szCs w:val="16"/>
              <w:lang w:val="es-ES_tradnl"/>
            </w:rPr>
          </w:pPr>
        </w:p>
        <w:p w:rsidR="00F31B37" w:rsidRPr="00C8585B" w:rsidRDefault="00972A58" w:rsidP="00972A58">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00357A82">
            <w:rPr>
              <w:rFonts w:ascii="Verdana" w:hAnsi="Verdana"/>
              <w:b/>
              <w:sz w:val="16"/>
              <w:szCs w:val="16"/>
              <w:lang w:val="es-ES_tradnl"/>
            </w:rPr>
            <w:t>Internacional UCLV 2025</w:t>
          </w:r>
        </w:p>
        <w:p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0A6EC7" w:rsidRDefault="000A6EC7"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9D5E02" w:rsidRDefault="009D5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295305"/>
    <w:multiLevelType w:val="hybridMultilevel"/>
    <w:tmpl w:val="4E2C6E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85B"/>
    <w:rsid w:val="0001491B"/>
    <w:rsid w:val="00025041"/>
    <w:rsid w:val="00046F14"/>
    <w:rsid w:val="0008657B"/>
    <w:rsid w:val="000900A7"/>
    <w:rsid w:val="000A6EC7"/>
    <w:rsid w:val="000C14DC"/>
    <w:rsid w:val="00122E7E"/>
    <w:rsid w:val="00147886"/>
    <w:rsid w:val="001D3729"/>
    <w:rsid w:val="002240AD"/>
    <w:rsid w:val="002702D6"/>
    <w:rsid w:val="00273877"/>
    <w:rsid w:val="002E0882"/>
    <w:rsid w:val="002E272A"/>
    <w:rsid w:val="00321095"/>
    <w:rsid w:val="00347D5B"/>
    <w:rsid w:val="00357A82"/>
    <w:rsid w:val="003A70A4"/>
    <w:rsid w:val="003B0F17"/>
    <w:rsid w:val="003D0B88"/>
    <w:rsid w:val="00403285"/>
    <w:rsid w:val="00433D6C"/>
    <w:rsid w:val="004403B7"/>
    <w:rsid w:val="00451BBF"/>
    <w:rsid w:val="00481928"/>
    <w:rsid w:val="004B4DC5"/>
    <w:rsid w:val="005001E2"/>
    <w:rsid w:val="005754D8"/>
    <w:rsid w:val="005B27F4"/>
    <w:rsid w:val="005C7854"/>
    <w:rsid w:val="0062470A"/>
    <w:rsid w:val="00625362"/>
    <w:rsid w:val="006271E4"/>
    <w:rsid w:val="00653819"/>
    <w:rsid w:val="00667F10"/>
    <w:rsid w:val="00671849"/>
    <w:rsid w:val="006B552C"/>
    <w:rsid w:val="007455FF"/>
    <w:rsid w:val="00796B95"/>
    <w:rsid w:val="007A4BE9"/>
    <w:rsid w:val="00815971"/>
    <w:rsid w:val="0083640E"/>
    <w:rsid w:val="0088159E"/>
    <w:rsid w:val="008A1C16"/>
    <w:rsid w:val="009061A5"/>
    <w:rsid w:val="0091621C"/>
    <w:rsid w:val="00934718"/>
    <w:rsid w:val="00972A58"/>
    <w:rsid w:val="009B1EF2"/>
    <w:rsid w:val="009D5E02"/>
    <w:rsid w:val="009D67CD"/>
    <w:rsid w:val="00A156A5"/>
    <w:rsid w:val="00A21A1F"/>
    <w:rsid w:val="00A62A14"/>
    <w:rsid w:val="00A7332F"/>
    <w:rsid w:val="00A916D8"/>
    <w:rsid w:val="00AE534B"/>
    <w:rsid w:val="00AF4F38"/>
    <w:rsid w:val="00B06146"/>
    <w:rsid w:val="00B12D99"/>
    <w:rsid w:val="00B2024E"/>
    <w:rsid w:val="00B70689"/>
    <w:rsid w:val="00B80E97"/>
    <w:rsid w:val="00B91AFD"/>
    <w:rsid w:val="00BC770B"/>
    <w:rsid w:val="00BF143D"/>
    <w:rsid w:val="00C02548"/>
    <w:rsid w:val="00C17100"/>
    <w:rsid w:val="00C8585B"/>
    <w:rsid w:val="00CB280F"/>
    <w:rsid w:val="00CC5D9D"/>
    <w:rsid w:val="00CD2BC3"/>
    <w:rsid w:val="00CE49B3"/>
    <w:rsid w:val="00CF23F5"/>
    <w:rsid w:val="00D36D1C"/>
    <w:rsid w:val="00D4444A"/>
    <w:rsid w:val="00D73DE9"/>
    <w:rsid w:val="00D85F09"/>
    <w:rsid w:val="00DB3414"/>
    <w:rsid w:val="00DF7F2F"/>
    <w:rsid w:val="00E01386"/>
    <w:rsid w:val="00E05631"/>
    <w:rsid w:val="00E27369"/>
    <w:rsid w:val="00E40131"/>
    <w:rsid w:val="00E912D0"/>
    <w:rsid w:val="00F25A7D"/>
    <w:rsid w:val="00F31B37"/>
    <w:rsid w:val="00F41468"/>
    <w:rsid w:val="00F9486E"/>
    <w:rsid w:val="00FA6840"/>
    <w:rsid w:val="00FB0970"/>
    <w:rsid w:val="00FB6826"/>
    <w:rsid w:val="00FC505A"/>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D801D24"/>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Mencinsinresolver">
    <w:name w:val="Unresolved Mention"/>
    <w:basedOn w:val="Fuentedeprrafopredeter"/>
    <w:uiPriority w:val="99"/>
    <w:semiHidden/>
    <w:unhideWhenUsed/>
    <w:rsid w:val="005B27F4"/>
    <w:rPr>
      <w:color w:val="808080"/>
      <w:shd w:val="clear" w:color="auto" w:fill="E6E6E6"/>
    </w:rPr>
  </w:style>
  <w:style w:type="paragraph" w:styleId="Bibliografa">
    <w:name w:val="Bibliography"/>
    <w:basedOn w:val="Normal"/>
    <w:next w:val="Normal"/>
    <w:uiPriority w:val="37"/>
    <w:semiHidden/>
    <w:unhideWhenUsed/>
    <w:rsid w:val="00E013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1622611400">
      <w:bodyDiv w:val="1"/>
      <w:marLeft w:val="0"/>
      <w:marRight w:val="0"/>
      <w:marTop w:val="0"/>
      <w:marBottom w:val="0"/>
      <w:divBdr>
        <w:top w:val="none" w:sz="0" w:space="0" w:color="auto"/>
        <w:left w:val="none" w:sz="0" w:space="0" w:color="auto"/>
        <w:bottom w:val="none" w:sz="0" w:space="0" w:color="auto"/>
        <w:right w:val="none" w:sz="0" w:space="0" w:color="auto"/>
      </w:divBdr>
    </w:div>
    <w:div w:id="180160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drodavidlabradarosabal@gmail.com"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ochechavarria@ismm.edu.cu" TargetMode="External"/><Relationship Id="rId12" Type="http://schemas.openxmlformats.org/officeDocument/2006/relationships/hyperlink" Target="mailto:afbatista@ismm.edu.cu"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cenais.cu/tabla/tabl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guardado@ismm.edu.c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damendoza@ismm.edu.cu"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n99081818625@gmail.com" TargetMode="Externa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11</Pages>
  <Words>3059</Words>
  <Characters>16829</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19849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OCLIDES</cp:lastModifiedBy>
  <cp:revision>59</cp:revision>
  <dcterms:created xsi:type="dcterms:W3CDTF">2021-05-14T03:18:00Z</dcterms:created>
  <dcterms:modified xsi:type="dcterms:W3CDTF">2025-08-08T04:39:00Z</dcterms:modified>
</cp:coreProperties>
</file>