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2683" w14:textId="64B3C78D" w:rsidR="0011711A" w:rsidRPr="00A913CD" w:rsidRDefault="00A913CD" w:rsidP="00B72C32">
      <w:pPr>
        <w:spacing w:line="276" w:lineRule="auto"/>
        <w:jc w:val="center"/>
        <w:rPr>
          <w:rFonts w:ascii="Times New Roman" w:hAnsi="Times New Roman" w:cs="Times New Roman"/>
          <w:b/>
          <w:noProof w:val="0"/>
          <w:kern w:val="0"/>
          <w:sz w:val="28"/>
          <w:szCs w:val="28"/>
          <w14:ligatures w14:val="none"/>
        </w:rPr>
      </w:pPr>
      <w:bookmarkStart w:id="0" w:name="_Hlk208739151"/>
      <w:bookmarkStart w:id="1" w:name="_Hlk208739333"/>
      <w:r w:rsidRPr="00A913CD">
        <w:rPr>
          <w:rFonts w:ascii="Times New Roman" w:hAnsi="Times New Roman" w:cs="Times New Roman"/>
          <w:b/>
          <w:noProof w:val="0"/>
          <w:kern w:val="0"/>
          <w:sz w:val="28"/>
          <w:szCs w:val="28"/>
          <w14:ligatures w14:val="none"/>
        </w:rPr>
        <w:t>VII SIMPOSIO DE DISEÑO E INGENIERÍA ASISTIDA POR COMPUTADORA, BIOMECÁNICA Y MECATRÓNICA COMEC 2025</w:t>
      </w:r>
    </w:p>
    <w:p w14:paraId="6BF9E12C" w14:textId="7FA1E903" w:rsidR="00A913CD" w:rsidRDefault="00455E0E" w:rsidP="00B72C32">
      <w:pPr>
        <w:spacing w:line="276" w:lineRule="auto"/>
        <w:jc w:val="center"/>
        <w:rPr>
          <w:rFonts w:ascii="Times New Roman" w:hAnsi="Times New Roman" w:cs="Times New Roman"/>
          <w:b/>
          <w:noProof w:val="0"/>
          <w:kern w:val="0"/>
          <w:sz w:val="28"/>
          <w:szCs w:val="28"/>
          <w14:ligatures w14:val="none"/>
        </w:rPr>
      </w:pPr>
      <w:bookmarkStart w:id="2" w:name="_Hlk208739199"/>
      <w:bookmarkEnd w:id="0"/>
      <w:r w:rsidRPr="00455E0E">
        <w:rPr>
          <w:rFonts w:ascii="Times New Roman" w:hAnsi="Times New Roman" w:cs="Times New Roman"/>
          <w:b/>
          <w:noProof w:val="0"/>
          <w:kern w:val="0"/>
          <w:sz w:val="28"/>
          <w:szCs w:val="28"/>
          <w14:ligatures w14:val="none"/>
        </w:rPr>
        <w:t>Estudio de viabilidad del motor de combustión interna de hidrógeno para automóviles de alquiler en Cuba</w:t>
      </w:r>
      <w:bookmarkEnd w:id="2"/>
      <w:r w:rsidRPr="00455E0E">
        <w:rPr>
          <w:rFonts w:ascii="Times New Roman" w:hAnsi="Times New Roman" w:cs="Times New Roman"/>
          <w:b/>
          <w:noProof w:val="0"/>
          <w:kern w:val="0"/>
          <w:sz w:val="28"/>
          <w:szCs w:val="28"/>
          <w14:ligatures w14:val="none"/>
        </w:rPr>
        <w:t>.</w:t>
      </w:r>
    </w:p>
    <w:p w14:paraId="6D308435" w14:textId="1EFB5415" w:rsidR="00455E0E" w:rsidRPr="00CA0581" w:rsidRDefault="00455E0E" w:rsidP="00B72C32">
      <w:pPr>
        <w:spacing w:line="276" w:lineRule="auto"/>
        <w:jc w:val="center"/>
        <w:rPr>
          <w:rFonts w:ascii="Times New Roman" w:hAnsi="Times New Roman" w:cs="Times New Roman"/>
          <w:b/>
          <w:i/>
          <w:noProof w:val="0"/>
          <w:kern w:val="0"/>
          <w:sz w:val="28"/>
          <w:szCs w:val="28"/>
          <w:lang w:val="en-US"/>
          <w14:ligatures w14:val="none"/>
        </w:rPr>
      </w:pPr>
      <w:bookmarkStart w:id="3" w:name="_Hlk208739241"/>
      <w:r w:rsidRPr="00CA0581">
        <w:rPr>
          <w:rFonts w:ascii="Times New Roman" w:hAnsi="Times New Roman" w:cs="Times New Roman"/>
          <w:b/>
          <w:i/>
          <w:noProof w:val="0"/>
          <w:kern w:val="0"/>
          <w:sz w:val="28"/>
          <w:szCs w:val="28"/>
          <w:lang w:val="en-US"/>
          <w14:ligatures w14:val="none"/>
        </w:rPr>
        <w:t>Study of the viability of the internal combustion engine for rental cars in Cuba</w:t>
      </w:r>
    </w:p>
    <w:p w14:paraId="191B552B" w14:textId="77777777" w:rsidR="00CA6891" w:rsidRPr="00CA6891" w:rsidRDefault="00CA6891" w:rsidP="00B72C32">
      <w:pPr>
        <w:pStyle w:val="author"/>
        <w:spacing w:before="200" w:line="276" w:lineRule="auto"/>
        <w:rPr>
          <w:noProof/>
          <w:lang w:val="es-CU"/>
        </w:rPr>
      </w:pPr>
      <w:bookmarkStart w:id="4" w:name="_Hlk208739289"/>
      <w:bookmarkEnd w:id="3"/>
      <w:r w:rsidRPr="00CA6891">
        <w:rPr>
          <w:rStyle w:val="Fuentedeprrafopredeter1"/>
          <w:lang w:val="es-CU"/>
        </w:rPr>
        <w:t>David de Armas Yanes</w:t>
      </w:r>
      <w:r w:rsidRPr="00CA6891">
        <w:rPr>
          <w:rStyle w:val="Fuentedeprrafopredeter1"/>
          <w:vertAlign w:val="superscript"/>
          <w:lang w:val="es-CU"/>
        </w:rPr>
        <w:t>1</w:t>
      </w:r>
      <w:r w:rsidRPr="00CA6891">
        <w:rPr>
          <w:rStyle w:val="Fuentedeprrafopredeter1"/>
          <w:lang w:val="es-CU"/>
        </w:rPr>
        <w:t>, Christian Leandro Rodríguez Valladares</w:t>
      </w:r>
      <w:r w:rsidRPr="00CA6891">
        <w:rPr>
          <w:rStyle w:val="superscript"/>
          <w:noProof/>
          <w:lang w:val="es-CU"/>
        </w:rPr>
        <w:t>2</w:t>
      </w:r>
      <w:r w:rsidRPr="00CA6891">
        <w:rPr>
          <w:rStyle w:val="Fuentedeprrafopredeter1"/>
          <w:lang w:val="es-CU"/>
        </w:rPr>
        <w:t xml:space="preserve"> </w:t>
      </w:r>
    </w:p>
    <w:p w14:paraId="489F0C04" w14:textId="4482149E" w:rsidR="00CA6891" w:rsidRPr="00CA6891" w:rsidRDefault="00CA6891" w:rsidP="00B72C32">
      <w:pPr>
        <w:pStyle w:val="authorinfo"/>
        <w:spacing w:after="0" w:line="276" w:lineRule="auto"/>
        <w:rPr>
          <w:noProof/>
          <w:sz w:val="24"/>
          <w:szCs w:val="28"/>
          <w:lang w:val="es-ES"/>
        </w:rPr>
      </w:pPr>
      <w:r w:rsidRPr="00CA6891">
        <w:rPr>
          <w:rStyle w:val="Fuentedeprrafopredeter1"/>
          <w:sz w:val="24"/>
          <w:szCs w:val="28"/>
          <w:vertAlign w:val="superscript"/>
          <w:lang w:val="es-CU" w:eastAsia="en-US"/>
        </w:rPr>
        <w:t>1</w:t>
      </w:r>
      <w:r w:rsidRPr="00CA6891">
        <w:rPr>
          <w:rStyle w:val="Fuentedeprrafopredeter1"/>
          <w:sz w:val="24"/>
          <w:szCs w:val="28"/>
          <w:lang w:val="es-CU" w:eastAsia="en-US"/>
        </w:rPr>
        <w:t xml:space="preserve">Universidad de Cienfuegos “Carlos Rafael Rodríguez”, Cuba, dearmasyanesd@gmail.com, </w:t>
      </w:r>
      <w:hyperlink r:id="rId7" w:history="1">
        <w:r w:rsidRPr="00F254A5">
          <w:rPr>
            <w:rStyle w:val="Hipervnculo"/>
            <w:sz w:val="24"/>
            <w:szCs w:val="28"/>
            <w:lang w:val="es-CU"/>
          </w:rPr>
          <w:t>https://orcid.org/0009-0005-0037-3362</w:t>
        </w:r>
      </w:hyperlink>
      <w:r>
        <w:rPr>
          <w:sz w:val="24"/>
          <w:szCs w:val="28"/>
          <w:lang w:val="es-CU"/>
        </w:rPr>
        <w:t xml:space="preserve"> </w:t>
      </w:r>
    </w:p>
    <w:p w14:paraId="2170B351" w14:textId="40E64F58" w:rsidR="00CA6891" w:rsidRDefault="00CA6891" w:rsidP="00B72C32">
      <w:pPr>
        <w:pStyle w:val="authorinfo"/>
        <w:spacing w:after="0" w:line="276" w:lineRule="auto"/>
        <w:rPr>
          <w:rStyle w:val="Fuentedeprrafopredeter1"/>
          <w:sz w:val="24"/>
          <w:szCs w:val="28"/>
          <w:lang w:val="es-CU" w:eastAsia="en-US"/>
        </w:rPr>
      </w:pPr>
      <w:r w:rsidRPr="00CA6891">
        <w:rPr>
          <w:rStyle w:val="Fuentedeprrafopredeter1"/>
          <w:sz w:val="24"/>
          <w:szCs w:val="28"/>
          <w:vertAlign w:val="superscript"/>
          <w:lang w:val="es-CU"/>
        </w:rPr>
        <w:t>2</w:t>
      </w:r>
      <w:r w:rsidRPr="00CA6891">
        <w:rPr>
          <w:rStyle w:val="Fuentedeprrafopredeter1"/>
          <w:sz w:val="24"/>
          <w:szCs w:val="28"/>
          <w:lang w:val="es-CU" w:eastAsia="en-US"/>
        </w:rPr>
        <w:t xml:space="preserve">Universidad Central “Marta Abreu” de Las Villas, Cuba, </w:t>
      </w:r>
      <w:r w:rsidRPr="00CA6891">
        <w:rPr>
          <w:rStyle w:val="Hipervnculo1"/>
          <w:noProof/>
          <w:sz w:val="24"/>
          <w:szCs w:val="28"/>
          <w:lang w:val="es-CU" w:eastAsia="en-US"/>
        </w:rPr>
        <w:t>crvalladares@uclv.cu</w:t>
      </w:r>
      <w:r w:rsidRPr="00CA6891">
        <w:rPr>
          <w:rStyle w:val="Fuentedeprrafopredeter1"/>
          <w:sz w:val="24"/>
          <w:szCs w:val="28"/>
          <w:lang w:val="es-CU" w:eastAsia="en-US"/>
        </w:rPr>
        <w:t xml:space="preserve">, </w:t>
      </w:r>
      <w:hyperlink r:id="rId8" w:history="1">
        <w:r w:rsidRPr="00CA6891">
          <w:rPr>
            <w:rStyle w:val="Hipervnculo"/>
            <w:sz w:val="24"/>
            <w:szCs w:val="28"/>
            <w:lang w:val="es-CU" w:eastAsia="en-US"/>
          </w:rPr>
          <w:t>https://orcid.org/0009-0006-2885-3517</w:t>
        </w:r>
      </w:hyperlink>
      <w:r w:rsidRPr="00CA6891">
        <w:rPr>
          <w:rStyle w:val="Fuentedeprrafopredeter1"/>
          <w:sz w:val="24"/>
          <w:szCs w:val="28"/>
          <w:lang w:val="es-CU" w:eastAsia="en-US"/>
        </w:rPr>
        <w:t xml:space="preserve"> </w:t>
      </w:r>
    </w:p>
    <w:bookmarkEnd w:id="1"/>
    <w:bookmarkEnd w:id="4"/>
    <w:p w14:paraId="1C2FBA88" w14:textId="77777777" w:rsidR="00392130" w:rsidRDefault="00392130" w:rsidP="00B72C32">
      <w:pPr>
        <w:pStyle w:val="authorinfo"/>
        <w:spacing w:after="0" w:line="276" w:lineRule="auto"/>
        <w:jc w:val="left"/>
        <w:rPr>
          <w:sz w:val="24"/>
          <w:szCs w:val="28"/>
          <w:lang w:val="es-CU" w:eastAsia="en-US"/>
        </w:rPr>
      </w:pPr>
    </w:p>
    <w:p w14:paraId="06A7B33B" w14:textId="6A3F7C32" w:rsidR="00392130" w:rsidRPr="00B72C32" w:rsidRDefault="00392130" w:rsidP="00B72C32">
      <w:pPr>
        <w:pStyle w:val="authorinfo"/>
        <w:spacing w:after="120" w:line="276" w:lineRule="auto"/>
        <w:jc w:val="both"/>
        <w:rPr>
          <w:b/>
          <w:bCs/>
          <w:sz w:val="24"/>
          <w:szCs w:val="28"/>
          <w:lang w:val="es-CU" w:eastAsia="en-US"/>
        </w:rPr>
      </w:pPr>
      <w:bookmarkStart w:id="5" w:name="_Hlk208739376"/>
      <w:r w:rsidRPr="00B72C32">
        <w:rPr>
          <w:b/>
          <w:bCs/>
          <w:sz w:val="24"/>
          <w:szCs w:val="28"/>
          <w:lang w:val="es-CU" w:eastAsia="en-US"/>
        </w:rPr>
        <w:t>Resumen</w:t>
      </w:r>
    </w:p>
    <w:p w14:paraId="5401977A" w14:textId="1ABBC0F8" w:rsidR="00B72C32" w:rsidRDefault="00392130" w:rsidP="00883EAD">
      <w:pPr>
        <w:pStyle w:val="authorinfo"/>
        <w:spacing w:after="240" w:line="360" w:lineRule="auto"/>
        <w:jc w:val="both"/>
        <w:rPr>
          <w:sz w:val="24"/>
          <w:szCs w:val="28"/>
          <w:lang w:val="es-ES" w:eastAsia="en-US"/>
        </w:rPr>
      </w:pPr>
      <w:r w:rsidRPr="00392130">
        <w:rPr>
          <w:sz w:val="24"/>
          <w:szCs w:val="28"/>
          <w:lang w:val="es-ES" w:eastAsia="en-US"/>
        </w:rPr>
        <w:t>Para abordar la vulnerabilidad energética y el impacto ambiental del transporte en Cuba, derivado de su dependencia de los combustibles fósiles, este estudio establece el marco teórico que sustenta la viabilidad de implementar motores de combustión interna de hidrógeno (MCI-H2) en la estratégica flota de automóviles de alquiler. Mediante un análisis sistemático de la literatura científica, se evaluaron el impacto ambiental comparativo, las rutas de producción de hidrógeno, el rendimiento termodinámico y los desafíos técnicos de la tecnología. Los resultados demuestran que los MCI-H2 eliminan las emisiones de CO2 y partículas, aunque la gestión de NOx y los retos asociados a la baja densidad energética volumétrica del hidrógeno —que afecta la autonomía y exige soluciones avanzadas de almacenamiento— son factores críticos. Se identifica la electrólisis alimentada por energía solar como la ruta de producción más sinérgica para el contexto cubano. En conclusión, el estudio confirma la viabilidad teórica de los MCI-H2 como una alternativa ambientalmente superior, pero subraya que su implementación práctica está supeditada a superar barreras significativas en infraestructura de producción y suministro, sentando así las bases para futuros análisis tecno-económicos.</w:t>
      </w:r>
    </w:p>
    <w:p w14:paraId="6128888B" w14:textId="43635141" w:rsidR="00B72C32" w:rsidRPr="00CA0581" w:rsidRDefault="00B72C32" w:rsidP="00B72C32">
      <w:pPr>
        <w:pStyle w:val="authorinfo"/>
        <w:spacing w:after="120" w:line="276" w:lineRule="auto"/>
        <w:jc w:val="both"/>
        <w:rPr>
          <w:sz w:val="24"/>
          <w:szCs w:val="28"/>
          <w:lang w:eastAsia="en-US"/>
        </w:rPr>
      </w:pPr>
      <w:r w:rsidRPr="00CA0581">
        <w:rPr>
          <w:b/>
          <w:bCs/>
          <w:sz w:val="24"/>
          <w:szCs w:val="28"/>
          <w:lang w:eastAsia="en-US"/>
        </w:rPr>
        <w:t>Abstract</w:t>
      </w:r>
    </w:p>
    <w:p w14:paraId="50D818DA" w14:textId="0D3E40DC" w:rsidR="00B72C32" w:rsidRDefault="00B72C32" w:rsidP="00883EAD">
      <w:pPr>
        <w:pStyle w:val="authorinfo"/>
        <w:spacing w:after="240" w:line="360" w:lineRule="auto"/>
        <w:jc w:val="both"/>
        <w:rPr>
          <w:sz w:val="24"/>
          <w:szCs w:val="28"/>
          <w:lang w:eastAsia="en-US"/>
        </w:rPr>
      </w:pPr>
      <w:r w:rsidRPr="00B72C32">
        <w:rPr>
          <w:sz w:val="24"/>
          <w:szCs w:val="28"/>
          <w:lang w:eastAsia="en-US"/>
        </w:rPr>
        <w:t xml:space="preserve">To address the energy vulnerability and environmental impact of transportation in Cuba, </w:t>
      </w:r>
      <w:r w:rsidRPr="00B72C32">
        <w:rPr>
          <w:sz w:val="24"/>
          <w:szCs w:val="28"/>
          <w:lang w:eastAsia="en-US"/>
        </w:rPr>
        <w:lastRenderedPageBreak/>
        <w:t>stemming from its dependence on fossil fuels, this study establishes the theoretical framework supporting the feasibility of implementing hydrogen internal combustion engines (H2-ICEs) in the strategic rental car fleet. Through a systematic review of scientific literature, the comparative environmental impact, hydrogen production pathways, thermodynamic performance, and technical challenges of the technology were evaluated. The findings demonstrate that H2-ICEs eliminate CO2 and particulate matter emissions, although NOx management and the challenges associated with hydrogen's low volumetric energy density—which affects vehicle range and demands advanced storage solutions—are critical factors. Solar-powered electrolysis is identified as the most synergistic production pathway for the Cuban context. In conclusion, the study confirms the theoretical feasibility of H2-ICEs as an environmentally superior alternative but underscores that their practical implementation is contingent upon overcoming significant barriers in production and supply infrastructure, thus laying the groundwork for future techno-economic analyses.</w:t>
      </w:r>
    </w:p>
    <w:p w14:paraId="0E80693A" w14:textId="582D24ED" w:rsidR="00B72C32" w:rsidRDefault="00B72C32" w:rsidP="00B72C32">
      <w:pPr>
        <w:spacing w:after="24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CA0581">
        <w:rPr>
          <w:rFonts w:ascii="Times New Roman" w:hAnsi="Times New Roman" w:cs="Times New Roman"/>
          <w:sz w:val="24"/>
          <w:szCs w:val="24"/>
        </w:rPr>
        <w:t>Energía renovable; Hidrógeno; Motor de combustión interna; Transporte sostenible</w:t>
      </w:r>
      <w:r>
        <w:rPr>
          <w:rFonts w:ascii="Times New Roman" w:hAnsi="Times New Roman" w:cs="Times New Roman"/>
          <w:sz w:val="24"/>
          <w:szCs w:val="24"/>
        </w:rPr>
        <w:t>.</w:t>
      </w:r>
    </w:p>
    <w:p w14:paraId="6F5186D9" w14:textId="37A8FF16" w:rsidR="00B72C32" w:rsidRPr="00CA0581" w:rsidRDefault="00B72C32" w:rsidP="00CA0581">
      <w:pPr>
        <w:spacing w:line="360" w:lineRule="auto"/>
        <w:jc w:val="both"/>
        <w:rPr>
          <w:rFonts w:ascii="Times New Roman" w:hAnsi="Times New Roman" w:cs="Times New Roman"/>
          <w:sz w:val="24"/>
          <w:szCs w:val="24"/>
          <w:lang w:val="en-US"/>
        </w:rPr>
      </w:pPr>
      <w:r w:rsidRPr="00CA0581">
        <w:rPr>
          <w:rFonts w:ascii="Times New Roman" w:hAnsi="Times New Roman" w:cs="Times New Roman"/>
          <w:b/>
          <w:i/>
          <w:sz w:val="24"/>
          <w:szCs w:val="24"/>
          <w:lang w:val="en-US"/>
        </w:rPr>
        <w:t>Keywords:</w:t>
      </w:r>
      <w:r w:rsidRPr="00CA0581">
        <w:rPr>
          <w:rFonts w:ascii="Times New Roman" w:hAnsi="Times New Roman" w:cs="Times New Roman"/>
          <w:sz w:val="24"/>
          <w:szCs w:val="24"/>
          <w:lang w:val="en-US"/>
        </w:rPr>
        <w:t xml:space="preserve"> </w:t>
      </w:r>
      <w:r w:rsidR="00CA0581" w:rsidRPr="00CA0581">
        <w:rPr>
          <w:rFonts w:ascii="Times New Roman" w:hAnsi="Times New Roman" w:cs="Times New Roman"/>
          <w:sz w:val="24"/>
          <w:szCs w:val="24"/>
          <w:lang w:val="en-US"/>
        </w:rPr>
        <w:t xml:space="preserve">Renewable energy; </w:t>
      </w:r>
      <w:r w:rsidR="00C84D33">
        <w:rPr>
          <w:rFonts w:ascii="Times New Roman" w:hAnsi="Times New Roman" w:cs="Times New Roman"/>
          <w:sz w:val="24"/>
          <w:szCs w:val="24"/>
          <w:lang w:val="en-US"/>
        </w:rPr>
        <w:t>H</w:t>
      </w:r>
      <w:r w:rsidR="00CA0581" w:rsidRPr="00CA0581">
        <w:rPr>
          <w:rFonts w:ascii="Times New Roman" w:hAnsi="Times New Roman" w:cs="Times New Roman"/>
          <w:sz w:val="24"/>
          <w:szCs w:val="24"/>
          <w:lang w:val="en-US"/>
        </w:rPr>
        <w:t>ydrogen; Internal combustion engine</w:t>
      </w:r>
      <w:r w:rsidR="00CA0581">
        <w:rPr>
          <w:rFonts w:ascii="Times New Roman" w:hAnsi="Times New Roman" w:cs="Times New Roman"/>
          <w:sz w:val="24"/>
          <w:szCs w:val="24"/>
          <w:lang w:val="en-US"/>
        </w:rPr>
        <w:t xml:space="preserve">; </w:t>
      </w:r>
      <w:r w:rsidR="00C84D33">
        <w:rPr>
          <w:rFonts w:ascii="Times New Roman" w:hAnsi="Times New Roman" w:cs="Times New Roman"/>
          <w:sz w:val="24"/>
          <w:szCs w:val="24"/>
          <w:lang w:val="en-US"/>
        </w:rPr>
        <w:t>S</w:t>
      </w:r>
      <w:r w:rsidR="00CA0581">
        <w:rPr>
          <w:rFonts w:ascii="Times New Roman" w:hAnsi="Times New Roman" w:cs="Times New Roman"/>
          <w:sz w:val="24"/>
          <w:szCs w:val="24"/>
          <w:lang w:val="en-US"/>
        </w:rPr>
        <w:t>ustainable transportation</w:t>
      </w:r>
      <w:r w:rsidRPr="00CA0581">
        <w:rPr>
          <w:rFonts w:ascii="Times New Roman" w:hAnsi="Times New Roman" w:cs="Times New Roman"/>
          <w:sz w:val="24"/>
          <w:szCs w:val="24"/>
          <w:lang w:val="en-US"/>
        </w:rPr>
        <w:t>.</w:t>
      </w:r>
    </w:p>
    <w:p w14:paraId="2CF5C29F" w14:textId="77777777" w:rsidR="00B72C32" w:rsidRDefault="00B72C32" w:rsidP="00B72C32">
      <w:pPr>
        <w:spacing w:after="0" w:line="360" w:lineRule="auto"/>
        <w:jc w:val="both"/>
        <w:rPr>
          <w:rFonts w:ascii="Times New Roman" w:hAnsi="Times New Roman" w:cs="Times New Roman"/>
          <w:b/>
          <w:sz w:val="24"/>
          <w:szCs w:val="24"/>
        </w:rPr>
      </w:pPr>
      <w:bookmarkStart w:id="6" w:name="_Hlk208739906"/>
      <w:bookmarkEnd w:id="5"/>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14:paraId="3CCE0AB1" w14:textId="7569A68D" w:rsidR="00CA0581" w:rsidRPr="00CA0581" w:rsidRDefault="00CA0581" w:rsidP="00CA0581">
      <w:pPr>
        <w:spacing w:after="0" w:line="360" w:lineRule="auto"/>
        <w:jc w:val="both"/>
        <w:rPr>
          <w:rFonts w:ascii="Times New Roman" w:hAnsi="Times New Roman" w:cs="Times New Roman"/>
          <w:sz w:val="24"/>
          <w:szCs w:val="24"/>
        </w:rPr>
      </w:pPr>
      <w:r w:rsidRPr="00CA0581">
        <w:rPr>
          <w:rFonts w:ascii="Times New Roman" w:hAnsi="Times New Roman" w:cs="Times New Roman"/>
          <w:sz w:val="24"/>
          <w:szCs w:val="24"/>
        </w:rPr>
        <w:t>La transición hacia un sistema energético global sostenible representa uno de los desafíos más urgentes del siglo XXI, impulsado por la doble necesidad de mitigar el cambio climático y fortalecer la seguridad energética frente a la volatilidad de los mercados de combustibles fósiles (Dincer &amp; Acar, 2015). El sector del transporte, responsable de casi una cuarta parte de las emisiones globales de dióxido de carbono relacionadas con la energía, se encuentra en el epicentro de esta transición, lo que exige el desarrollo y la implementación de tecnologías de propulsión alternativas y combustibles limpios (Verhelst, 2014). En este contexto, el hidrógeno emerge como un vector energético prometedor, capaz de descarbonizar el transporte sin comprometer el rendimiento operativo, posicionándose como un pilar fundamental en las futuras estrategias de movilidad sostenible (Acar &amp; Dincer, 2023).</w:t>
      </w:r>
    </w:p>
    <w:p w14:paraId="477CF6C0" w14:textId="77777777" w:rsidR="00CA0581" w:rsidRPr="00CA0581" w:rsidRDefault="00CA0581" w:rsidP="00CA0581">
      <w:pPr>
        <w:spacing w:after="0" w:line="360" w:lineRule="auto"/>
        <w:jc w:val="both"/>
        <w:rPr>
          <w:rFonts w:ascii="Times New Roman" w:hAnsi="Times New Roman" w:cs="Times New Roman"/>
          <w:sz w:val="24"/>
          <w:szCs w:val="24"/>
        </w:rPr>
      </w:pPr>
      <w:r w:rsidRPr="00CA0581">
        <w:rPr>
          <w:rFonts w:ascii="Times New Roman" w:hAnsi="Times New Roman" w:cs="Times New Roman"/>
          <w:sz w:val="24"/>
          <w:szCs w:val="24"/>
        </w:rPr>
        <w:lastRenderedPageBreak/>
        <w:t>Para naciones insulares como Cuba, la dependencia estructural de los combustibles fósiles importados no solo contribuye a la problemática climática global, sino que además genera una profunda vulnerabilidad económica y energética. Esta dependencia afecta directamente a sectores estratégicos para la economía nacional, entre los que destaca el turismo. La flota de automóviles de alquiler, un componente esencial de la oferta turística, funciona como un microcosmos de este desafío: es un sector de alto consumo energético, con un impacto ambiental directo y una exposición económica significativa a las fluctuaciones del precio del petróleo. Por lo tanto, la descarbonización de esta flota no solo representa un objetivo ambiental, sino una medida estratégica para aumentar la resiliencia económica y proyectar una imagen de sostenibilidad.</w:t>
      </w:r>
    </w:p>
    <w:p w14:paraId="20130469" w14:textId="77777777" w:rsidR="00CA0581" w:rsidRPr="00CA0581" w:rsidRDefault="00CA0581" w:rsidP="00CA0581">
      <w:pPr>
        <w:spacing w:after="0" w:line="360" w:lineRule="auto"/>
        <w:jc w:val="both"/>
        <w:rPr>
          <w:rFonts w:ascii="Times New Roman" w:hAnsi="Times New Roman" w:cs="Times New Roman"/>
          <w:sz w:val="24"/>
          <w:szCs w:val="24"/>
        </w:rPr>
      </w:pPr>
      <w:r w:rsidRPr="00CA0581">
        <w:rPr>
          <w:rFonts w:ascii="Times New Roman" w:hAnsi="Times New Roman" w:cs="Times New Roman"/>
          <w:sz w:val="24"/>
          <w:szCs w:val="24"/>
        </w:rPr>
        <w:t>La tecnología del motor de combustión interna de hidrógeno (MCI-H₂) ha sido ampliamente investigada como una vía pragmática para la transición hacia una movilidad basada en hidrógeno, aprovechando la infraestructura de fabricación y mantenimiento de motores existente (Verhelst &amp; Wallner, 2009; White et al., 2022). La literatura científica abunda en análisis sobre su rendimiento termodinámico, estrategias de combustión y control de emisiones. Sin embargo, gran parte de esta investigación se centra en la optimización tecnológica en un contexto general, existiendo una escasez de estudios de viabilidad que analicen la aplicabilidad de esta tecnología a contextos socio-económicos y logísticos específicos, como el de una flota vehicular estratégica en una nación insular con un alto potencial de energía renovable.</w:t>
      </w:r>
    </w:p>
    <w:p w14:paraId="6290C4EB" w14:textId="71276648" w:rsidR="00B72C32" w:rsidRDefault="00CA0581" w:rsidP="00CA0581">
      <w:pPr>
        <w:spacing w:line="360" w:lineRule="auto"/>
        <w:jc w:val="both"/>
        <w:rPr>
          <w:rFonts w:ascii="Times New Roman" w:hAnsi="Times New Roman" w:cs="Times New Roman"/>
          <w:sz w:val="24"/>
          <w:szCs w:val="24"/>
        </w:rPr>
      </w:pPr>
      <w:r w:rsidRPr="00CA0581">
        <w:rPr>
          <w:rFonts w:ascii="Times New Roman" w:hAnsi="Times New Roman" w:cs="Times New Roman"/>
          <w:sz w:val="24"/>
          <w:szCs w:val="24"/>
        </w:rPr>
        <w:t xml:space="preserve">Para abordar esta brecha, el objetivo de este estudio es establecer el marco teórico que sustenta la viabilidad de implementar motores de combustión interna de hidrógeno (MCI-H₂) en la estratégica flota de automóviles de alquiler en Cuba. A través de una revisión sistemática de la literatura, este trabajo evalúa de manera integral los pilares que definen la factibilidad de la tecnología: (i) el rendimiento termodinámico y el perfil de emisiones en comparación con los motores convencionales; (ii) las rutas de producción de hidrógeno, con un enfoque en la sinergia con los recursos energéticos renovables de Cuba; y (iii) los desafíos críticos de implementación, particularmente en lo que respecta al almacenamiento de hidrógeno a bordo y la infraestructura de suministro. Al hacerlo, este artículo sienta las bases para futuros análisis tecno-económicos y contribuye a la </w:t>
      </w:r>
      <w:r w:rsidRPr="00CA0581">
        <w:rPr>
          <w:rFonts w:ascii="Times New Roman" w:hAnsi="Times New Roman" w:cs="Times New Roman"/>
          <w:sz w:val="24"/>
          <w:szCs w:val="24"/>
        </w:rPr>
        <w:lastRenderedPageBreak/>
        <w:t>comprensión de cómo la tecnología MCI-H₂ puede ser adaptada como una solución de descarbonización a medida para contextos insulares.</w:t>
      </w:r>
    </w:p>
    <w:bookmarkEnd w:id="6"/>
    <w:p w14:paraId="66DF6607" w14:textId="77777777" w:rsidR="00B72C32" w:rsidRDefault="00B72C32" w:rsidP="00B72C32">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14:paraId="2D8660C1" w14:textId="29723315" w:rsidR="00CA0581" w:rsidRPr="00CA0581" w:rsidRDefault="00CA0581" w:rsidP="00CA0581">
      <w:pPr>
        <w:spacing w:after="0" w:line="360" w:lineRule="auto"/>
        <w:jc w:val="both"/>
        <w:rPr>
          <w:rFonts w:ascii="Times New Roman" w:hAnsi="Times New Roman" w:cs="Times New Roman"/>
          <w:sz w:val="24"/>
          <w:szCs w:val="24"/>
        </w:rPr>
      </w:pPr>
      <w:bookmarkStart w:id="7" w:name="_Hlk208740035"/>
      <w:r w:rsidRPr="00CA0581">
        <w:rPr>
          <w:rFonts w:ascii="Times New Roman" w:hAnsi="Times New Roman" w:cs="Times New Roman"/>
          <w:sz w:val="24"/>
          <w:szCs w:val="24"/>
        </w:rPr>
        <w:t>Este estudio se fundamenta en una revisión sistemática de la literatura científica y técnica para establecer el marco teórico que sustenta la viabilidad de la tecnología de motores de combustión interna de hidrógeno (MCI-H₂) en el contexto cubano. La metodología adoptada sigue los principios de la declaración PRISMA 2020 (Preferred Reporting Items for Systematic Reviews and Meta-Analyses), adaptada para estudios de viabilidad tecnológica y revisiones del estado del arte (Page et al., 2021). El objetivo es identificar, evaluar y sintetizar la evidencia relevante para responder a las preguntas clave sobre el rendimiento, impacto ambiental, producción y desafíos de la tecnología.</w:t>
      </w:r>
    </w:p>
    <w:p w14:paraId="173A982B" w14:textId="362D3BDB" w:rsidR="00CA0581" w:rsidRPr="00883EAD" w:rsidRDefault="00CA0581" w:rsidP="00CA0581">
      <w:pPr>
        <w:spacing w:after="0" w:line="360" w:lineRule="auto"/>
        <w:jc w:val="both"/>
        <w:rPr>
          <w:rFonts w:ascii="Times New Roman" w:hAnsi="Times New Roman" w:cs="Times New Roman"/>
          <w:b/>
          <w:bCs/>
          <w:sz w:val="24"/>
          <w:szCs w:val="24"/>
        </w:rPr>
      </w:pPr>
      <w:r w:rsidRPr="00883EAD">
        <w:rPr>
          <w:rFonts w:ascii="Times New Roman" w:hAnsi="Times New Roman" w:cs="Times New Roman"/>
          <w:b/>
          <w:bCs/>
          <w:sz w:val="24"/>
          <w:szCs w:val="24"/>
        </w:rPr>
        <w:t>2.1 Estrategia de Búsqueda y Selección de Literatura</w:t>
      </w:r>
    </w:p>
    <w:p w14:paraId="306A441B" w14:textId="31722A84" w:rsidR="00551510" w:rsidRPr="00551510" w:rsidRDefault="00CA0581" w:rsidP="00551510">
      <w:pPr>
        <w:spacing w:after="0" w:line="360" w:lineRule="auto"/>
        <w:jc w:val="both"/>
        <w:rPr>
          <w:rFonts w:ascii="Times New Roman" w:hAnsi="Times New Roman" w:cs="Times New Roman"/>
          <w:sz w:val="24"/>
          <w:szCs w:val="24"/>
        </w:rPr>
      </w:pPr>
      <w:r w:rsidRPr="00CA0581">
        <w:rPr>
          <w:rFonts w:ascii="Times New Roman" w:hAnsi="Times New Roman" w:cs="Times New Roman"/>
          <w:sz w:val="24"/>
          <w:szCs w:val="24"/>
        </w:rPr>
        <w:t xml:space="preserve">El proceso de recopilación de literatura se estructuró en cuatro fases, como se detalla en el diagrama de flujo PRISMA presentado en la Figura </w:t>
      </w:r>
      <w:r>
        <w:rPr>
          <w:rFonts w:ascii="Times New Roman" w:hAnsi="Times New Roman" w:cs="Times New Roman"/>
          <w:sz w:val="24"/>
          <w:szCs w:val="24"/>
        </w:rPr>
        <w:t>1</w:t>
      </w:r>
      <w:r w:rsidRPr="00CA0581">
        <w:rPr>
          <w:rFonts w:ascii="Times New Roman" w:hAnsi="Times New Roman" w:cs="Times New Roman"/>
          <w:sz w:val="24"/>
          <w:szCs w:val="24"/>
        </w:rPr>
        <w:t>.</w:t>
      </w:r>
    </w:p>
    <w:p w14:paraId="12D93289" w14:textId="5D3E0C49" w:rsidR="00883EAD" w:rsidRPr="00CA0581" w:rsidRDefault="00551510" w:rsidP="00551510">
      <w:pPr>
        <w:spacing w:after="0" w:line="240" w:lineRule="auto"/>
        <w:jc w:val="center"/>
        <w:rPr>
          <w:rFonts w:ascii="Times New Roman" w:hAnsi="Times New Roman" w:cs="Times New Roman"/>
          <w:sz w:val="24"/>
          <w:szCs w:val="24"/>
        </w:rPr>
      </w:pPr>
      <w:r>
        <w:drawing>
          <wp:inline distT="0" distB="0" distL="0" distR="0" wp14:anchorId="7A3A9FDF" wp14:editId="7274ACAB">
            <wp:extent cx="4359910" cy="4009919"/>
            <wp:effectExtent l="0" t="0" r="2540" b="0"/>
            <wp:docPr id="52897635"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97635" name=""/>
                    <pic:cNvPicPr/>
                  </pic:nvPicPr>
                  <pic:blipFill rotWithShape="1">
                    <a:blip r:embed="rId9">
                      <a:extLst>
                        <a:ext uri="{96DAC541-7B7A-43D3-8B79-37D633B846F1}">
                          <asvg:svgBlip xmlns:asvg="http://schemas.microsoft.com/office/drawing/2016/SVG/main" r:embed="rId10"/>
                        </a:ext>
                      </a:extLst>
                    </a:blip>
                    <a:srcRect l="956" t="8537" r="10809" b="30596"/>
                    <a:stretch>
                      <a:fillRect/>
                    </a:stretch>
                  </pic:blipFill>
                  <pic:spPr bwMode="auto">
                    <a:xfrm>
                      <a:off x="0" y="0"/>
                      <a:ext cx="4389550" cy="4037180"/>
                    </a:xfrm>
                    <a:prstGeom prst="rect">
                      <a:avLst/>
                    </a:prstGeom>
                    <a:ln>
                      <a:noFill/>
                    </a:ln>
                    <a:extLst>
                      <a:ext uri="{53640926-AAD7-44D8-BBD7-CCE9431645EC}">
                        <a14:shadowObscured xmlns:a14="http://schemas.microsoft.com/office/drawing/2010/main"/>
                      </a:ext>
                    </a:extLst>
                  </pic:spPr>
                </pic:pic>
              </a:graphicData>
            </a:graphic>
          </wp:inline>
        </w:drawing>
      </w:r>
    </w:p>
    <w:p w14:paraId="74CB2EC2" w14:textId="77777777" w:rsidR="000237D5" w:rsidRPr="000237D5" w:rsidRDefault="000237D5" w:rsidP="00672308">
      <w:pPr>
        <w:spacing w:after="240" w:line="360" w:lineRule="auto"/>
        <w:jc w:val="both"/>
        <w:rPr>
          <w:rFonts w:ascii="Times New Roman" w:hAnsi="Times New Roman" w:cs="Times New Roman"/>
          <w:sz w:val="20"/>
          <w:szCs w:val="20"/>
          <w:lang w:val="en-US"/>
        </w:rPr>
      </w:pPr>
      <w:r w:rsidRPr="000237D5">
        <w:rPr>
          <w:rFonts w:ascii="Times New Roman" w:hAnsi="Times New Roman" w:cs="Times New Roman"/>
          <w:b/>
          <w:bCs/>
          <w:sz w:val="20"/>
          <w:szCs w:val="20"/>
        </w:rPr>
        <w:t>Figura 1.</w:t>
      </w:r>
      <w:r w:rsidRPr="000237D5">
        <w:rPr>
          <w:rFonts w:ascii="Times New Roman" w:hAnsi="Times New Roman" w:cs="Times New Roman"/>
          <w:sz w:val="20"/>
          <w:szCs w:val="20"/>
        </w:rPr>
        <w:t xml:space="preserve"> Diagrama de flujo PRISMA 2020 que ilustra el proceso de identificación, cribado, elegibilidad e inclusión de los estudios para la revisión sistemática. </w:t>
      </w:r>
      <w:r w:rsidRPr="000237D5">
        <w:rPr>
          <w:rFonts w:ascii="Times New Roman" w:hAnsi="Times New Roman" w:cs="Times New Roman"/>
          <w:sz w:val="20"/>
          <w:szCs w:val="20"/>
          <w:lang w:val="en-US"/>
        </w:rPr>
        <w:t>Fuente: Elaboración propia.</w:t>
      </w:r>
    </w:p>
    <w:p w14:paraId="753B740E" w14:textId="3CB3FBAA" w:rsidR="00CA0581" w:rsidRPr="00CA0581" w:rsidRDefault="00CA0581" w:rsidP="00CA0581">
      <w:pPr>
        <w:pStyle w:val="Prrafodelista"/>
        <w:numPr>
          <w:ilvl w:val="0"/>
          <w:numId w:val="3"/>
        </w:numPr>
        <w:spacing w:after="0" w:line="360" w:lineRule="auto"/>
        <w:jc w:val="both"/>
        <w:rPr>
          <w:rFonts w:ascii="Times New Roman" w:hAnsi="Times New Roman" w:cs="Times New Roman"/>
          <w:sz w:val="24"/>
          <w:szCs w:val="24"/>
        </w:rPr>
      </w:pPr>
      <w:r w:rsidRPr="00CA0581">
        <w:rPr>
          <w:rFonts w:ascii="Times New Roman" w:hAnsi="Times New Roman" w:cs="Times New Roman"/>
          <w:sz w:val="24"/>
          <w:szCs w:val="24"/>
        </w:rPr>
        <w:lastRenderedPageBreak/>
        <w:t xml:space="preserve">Fase 1: Identificación. Se realizó una búsqueda exhaustiva en bases de datos de primer nivel (Scopus, Web of Science) y se complementó con búsquedas en Google Scholar para maximizar la cobertura. La búsqueda se realizó hasta enero de 2025 utilizando cadenas de búsqueda booleanas complejas y en inglés para asegurar la exhaustividad. </w:t>
      </w:r>
      <w:r w:rsidRPr="00CA0581">
        <w:rPr>
          <w:rFonts w:ascii="Times New Roman" w:hAnsi="Times New Roman" w:cs="Times New Roman"/>
          <w:sz w:val="24"/>
          <w:szCs w:val="24"/>
          <w:lang w:val="en-US"/>
        </w:rPr>
        <w:t xml:space="preserve">Las palabras clave incluyeron, entre otras: ("hydrogen internal combustion engine" OR "H2-ICE") AND ("lean burn" OR "performance" OR "emissions"); ("green hydrogen") AND ("techno-economic analysis" OR "LCOH") AND "solar electrolysis"; y ("on-board hydrogen storage") AND ("type IV tank" OR "metal hydrides") AND "review". </w:t>
      </w:r>
      <w:r w:rsidRPr="00CA0581">
        <w:rPr>
          <w:rFonts w:ascii="Times New Roman" w:hAnsi="Times New Roman" w:cs="Times New Roman"/>
          <w:sz w:val="24"/>
          <w:szCs w:val="24"/>
        </w:rPr>
        <w:t>Esta búsqueda inicial arrojó un total de 468 registros.</w:t>
      </w:r>
    </w:p>
    <w:p w14:paraId="04E02B02" w14:textId="5AB235A0" w:rsidR="00CA0581" w:rsidRPr="00CA0581" w:rsidRDefault="00CA0581" w:rsidP="00CA0581">
      <w:pPr>
        <w:pStyle w:val="Prrafodelista"/>
        <w:numPr>
          <w:ilvl w:val="0"/>
          <w:numId w:val="3"/>
        </w:numPr>
        <w:spacing w:after="0" w:line="360" w:lineRule="auto"/>
        <w:jc w:val="both"/>
        <w:rPr>
          <w:rFonts w:ascii="Times New Roman" w:hAnsi="Times New Roman" w:cs="Times New Roman"/>
          <w:sz w:val="24"/>
          <w:szCs w:val="24"/>
        </w:rPr>
      </w:pPr>
      <w:r w:rsidRPr="00CA0581">
        <w:rPr>
          <w:rFonts w:ascii="Times New Roman" w:hAnsi="Times New Roman" w:cs="Times New Roman"/>
          <w:sz w:val="24"/>
          <w:szCs w:val="24"/>
        </w:rPr>
        <w:t>Fase 2: Cribado (Screening). Los registros identificados se importaron a un gestor de referencias, donde se eliminaron 112 duplicados. Los 356 registros restantes se sometieron a un cribado basado en el título y el resumen para evaluar su relevancia preliminar. En esta etapa, se excluyeron 298 artículos que no estaban directamente relacionados con el alcance del estudio (e.g., enfocados en celdas de combustible, combustión de amoníaco, o aplicaciones no automotrices).</w:t>
      </w:r>
    </w:p>
    <w:p w14:paraId="26DEB130" w14:textId="36332E19" w:rsidR="00CA0581" w:rsidRPr="00CA0581" w:rsidRDefault="00CA0581" w:rsidP="00CA0581">
      <w:pPr>
        <w:pStyle w:val="Prrafodelista"/>
        <w:numPr>
          <w:ilvl w:val="0"/>
          <w:numId w:val="3"/>
        </w:numPr>
        <w:spacing w:after="0" w:line="360" w:lineRule="auto"/>
        <w:jc w:val="both"/>
        <w:rPr>
          <w:rFonts w:ascii="Times New Roman" w:hAnsi="Times New Roman" w:cs="Times New Roman"/>
          <w:sz w:val="24"/>
          <w:szCs w:val="24"/>
        </w:rPr>
      </w:pPr>
      <w:r w:rsidRPr="00CA0581">
        <w:rPr>
          <w:rFonts w:ascii="Times New Roman" w:hAnsi="Times New Roman" w:cs="Times New Roman"/>
          <w:sz w:val="24"/>
          <w:szCs w:val="24"/>
        </w:rPr>
        <w:t>Fase 3: Elegibilidad. Los 58 artículos restantes se evaluaron en su totalidad (lectura de texto completo) para determinar su elegibilidad final. Se aplicaron criterios de exclusión estrictos: (i) estudios puramente económicos sin base técnica; (ii) trabajos experimentales con datos no concluyentes o mal documentados; (iii) artículos de revisión con un enfoque demasiado general o desactualizado; y (iv) artículos en idiomas distintos al inglés o español. Un total de 30 artículos fueron excluidos en esta fase.</w:t>
      </w:r>
    </w:p>
    <w:p w14:paraId="48404086" w14:textId="5F62089B" w:rsidR="00CA0581" w:rsidRPr="00CA0581" w:rsidRDefault="00CA0581" w:rsidP="00CA0581">
      <w:pPr>
        <w:pStyle w:val="Prrafodelista"/>
        <w:numPr>
          <w:ilvl w:val="0"/>
          <w:numId w:val="3"/>
        </w:numPr>
        <w:spacing w:after="0" w:line="360" w:lineRule="auto"/>
        <w:jc w:val="both"/>
        <w:rPr>
          <w:rFonts w:ascii="Times New Roman" w:hAnsi="Times New Roman" w:cs="Times New Roman"/>
          <w:sz w:val="24"/>
          <w:szCs w:val="24"/>
        </w:rPr>
      </w:pPr>
      <w:r w:rsidRPr="00CA0581">
        <w:rPr>
          <w:rFonts w:ascii="Times New Roman" w:hAnsi="Times New Roman" w:cs="Times New Roman"/>
          <w:sz w:val="24"/>
          <w:szCs w:val="24"/>
        </w:rPr>
        <w:t>Fase 4: Inclusión. Finalmente, se incluyeron 28 estudios en la síntesis cualitativa que forma la base de este artículo. Estos 28 trabajos representan la evidencia más relevante y de mayor calidad para fundamentar el análisis de viabilidad.</w:t>
      </w:r>
    </w:p>
    <w:p w14:paraId="63F83676" w14:textId="77777777" w:rsidR="00CA0581" w:rsidRPr="0099330F" w:rsidRDefault="00CA0581" w:rsidP="00CA0581">
      <w:pPr>
        <w:spacing w:after="0" w:line="360" w:lineRule="auto"/>
        <w:jc w:val="both"/>
        <w:rPr>
          <w:rFonts w:ascii="Times New Roman" w:hAnsi="Times New Roman" w:cs="Times New Roman"/>
          <w:b/>
          <w:bCs/>
          <w:sz w:val="24"/>
          <w:szCs w:val="24"/>
        </w:rPr>
      </w:pPr>
      <w:r w:rsidRPr="0099330F">
        <w:rPr>
          <w:rFonts w:ascii="Times New Roman" w:hAnsi="Times New Roman" w:cs="Times New Roman"/>
          <w:b/>
          <w:bCs/>
          <w:sz w:val="24"/>
          <w:szCs w:val="24"/>
        </w:rPr>
        <w:t>2.2. Estructura del Análisis y Criterios de Viabilidad</w:t>
      </w:r>
    </w:p>
    <w:p w14:paraId="444E2848" w14:textId="77777777" w:rsidR="00CA0581" w:rsidRPr="00CA0581" w:rsidRDefault="00CA0581" w:rsidP="00CA0581">
      <w:pPr>
        <w:spacing w:after="0" w:line="360" w:lineRule="auto"/>
        <w:jc w:val="both"/>
        <w:rPr>
          <w:rFonts w:ascii="Times New Roman" w:hAnsi="Times New Roman" w:cs="Times New Roman"/>
          <w:sz w:val="24"/>
          <w:szCs w:val="24"/>
        </w:rPr>
      </w:pPr>
      <w:r w:rsidRPr="00CA0581">
        <w:rPr>
          <w:rFonts w:ascii="Times New Roman" w:hAnsi="Times New Roman" w:cs="Times New Roman"/>
          <w:sz w:val="24"/>
          <w:szCs w:val="24"/>
        </w:rPr>
        <w:t>La información extraída de la literatura seleccionada se organizó y sintetizó para construir un análisis estructurado en los cuatro pilares fundamentales de la viabilidad de los MCI-H₂, extraídos del resumen:</w:t>
      </w:r>
    </w:p>
    <w:p w14:paraId="056C1CB7" w14:textId="7A8E4B4F" w:rsidR="00CA0581" w:rsidRPr="00745827" w:rsidRDefault="00CA0581" w:rsidP="00745827">
      <w:pPr>
        <w:pStyle w:val="Prrafodelista"/>
        <w:numPr>
          <w:ilvl w:val="0"/>
          <w:numId w:val="12"/>
        </w:numPr>
        <w:spacing w:after="0" w:line="360" w:lineRule="auto"/>
        <w:jc w:val="both"/>
        <w:rPr>
          <w:rFonts w:ascii="Times New Roman" w:hAnsi="Times New Roman" w:cs="Times New Roman"/>
          <w:sz w:val="24"/>
          <w:szCs w:val="24"/>
        </w:rPr>
      </w:pPr>
      <w:r w:rsidRPr="00745827">
        <w:rPr>
          <w:rFonts w:ascii="Times New Roman" w:hAnsi="Times New Roman" w:cs="Times New Roman"/>
          <w:sz w:val="24"/>
          <w:szCs w:val="24"/>
        </w:rPr>
        <w:lastRenderedPageBreak/>
        <w:t>El rendimiento termodinámico y las particularidades de la combustión de hidrógeno, incluyendo el análisis de eficiencia y la gestión de emisiones de NOx.</w:t>
      </w:r>
    </w:p>
    <w:p w14:paraId="1F9641B1" w14:textId="5DB6424A" w:rsidR="00CA0581" w:rsidRPr="00745827" w:rsidRDefault="00CA0581" w:rsidP="00745827">
      <w:pPr>
        <w:pStyle w:val="Prrafodelista"/>
        <w:numPr>
          <w:ilvl w:val="0"/>
          <w:numId w:val="12"/>
        </w:numPr>
        <w:spacing w:after="0" w:line="360" w:lineRule="auto"/>
        <w:jc w:val="both"/>
        <w:rPr>
          <w:rFonts w:ascii="Times New Roman" w:hAnsi="Times New Roman" w:cs="Times New Roman"/>
          <w:sz w:val="24"/>
          <w:szCs w:val="24"/>
        </w:rPr>
      </w:pPr>
      <w:r w:rsidRPr="00745827">
        <w:rPr>
          <w:rFonts w:ascii="Times New Roman" w:hAnsi="Times New Roman" w:cs="Times New Roman"/>
          <w:sz w:val="24"/>
          <w:szCs w:val="24"/>
        </w:rPr>
        <w:t>El impacto ambiental comparativo de los MCI-H₂ frente a los motores de gasolina, considerando las emisiones del tubo de escape.</w:t>
      </w:r>
    </w:p>
    <w:p w14:paraId="6262F964" w14:textId="5FFD1963" w:rsidR="00CA0581" w:rsidRPr="00745827" w:rsidRDefault="00CA0581" w:rsidP="00745827">
      <w:pPr>
        <w:pStyle w:val="Prrafodelista"/>
        <w:numPr>
          <w:ilvl w:val="0"/>
          <w:numId w:val="12"/>
        </w:numPr>
        <w:spacing w:after="0" w:line="360" w:lineRule="auto"/>
        <w:jc w:val="both"/>
        <w:rPr>
          <w:rFonts w:ascii="Times New Roman" w:hAnsi="Times New Roman" w:cs="Times New Roman"/>
          <w:sz w:val="24"/>
          <w:szCs w:val="24"/>
        </w:rPr>
      </w:pPr>
      <w:r w:rsidRPr="00745827">
        <w:rPr>
          <w:rFonts w:ascii="Times New Roman" w:hAnsi="Times New Roman" w:cs="Times New Roman"/>
          <w:sz w:val="24"/>
          <w:szCs w:val="24"/>
        </w:rPr>
        <w:t>Las rutas de producción de hidrógeno y su aplicabilidad al contexto cubano, con un enfoque en la sostenibilidad del ciclo de vida ("well-to-wheel").</w:t>
      </w:r>
    </w:p>
    <w:p w14:paraId="0A066638" w14:textId="06B159CF" w:rsidR="00CA0581" w:rsidRPr="00745827" w:rsidRDefault="00CA0581" w:rsidP="00745827">
      <w:pPr>
        <w:pStyle w:val="Prrafodelista"/>
        <w:numPr>
          <w:ilvl w:val="0"/>
          <w:numId w:val="12"/>
        </w:numPr>
        <w:spacing w:after="0" w:line="360" w:lineRule="auto"/>
        <w:jc w:val="both"/>
        <w:rPr>
          <w:rFonts w:ascii="Times New Roman" w:hAnsi="Times New Roman" w:cs="Times New Roman"/>
          <w:sz w:val="24"/>
          <w:szCs w:val="24"/>
        </w:rPr>
      </w:pPr>
      <w:r w:rsidRPr="00745827">
        <w:rPr>
          <w:rFonts w:ascii="Times New Roman" w:hAnsi="Times New Roman" w:cs="Times New Roman"/>
          <w:sz w:val="24"/>
          <w:szCs w:val="24"/>
        </w:rPr>
        <w:t>Los desafíos técnicos críticos para su implementación vehicular, con especial énfasis en la densidad energética y las tecnologías de almacenamiento y suministro.</w:t>
      </w:r>
    </w:p>
    <w:p w14:paraId="4EFDEE62" w14:textId="08A0FF4F" w:rsidR="00B72C32" w:rsidRDefault="00CA0581" w:rsidP="000237D5">
      <w:pPr>
        <w:spacing w:line="360" w:lineRule="auto"/>
        <w:jc w:val="both"/>
        <w:rPr>
          <w:rFonts w:ascii="Times New Roman" w:hAnsi="Times New Roman" w:cs="Times New Roman"/>
          <w:sz w:val="24"/>
          <w:szCs w:val="24"/>
        </w:rPr>
      </w:pPr>
      <w:r w:rsidRPr="00CA0581">
        <w:rPr>
          <w:rFonts w:ascii="Times New Roman" w:hAnsi="Times New Roman" w:cs="Times New Roman"/>
          <w:sz w:val="24"/>
          <w:szCs w:val="24"/>
        </w:rPr>
        <w:t>La evaluación de la viabilidad se realiza desde una perspectiva teórica y técnica, sentando así las bases para futuros análisis tecno-económicos que requerirían datos de campo específicos para Cuba.</w:t>
      </w:r>
    </w:p>
    <w:bookmarkEnd w:id="7"/>
    <w:p w14:paraId="7EAEFE77" w14:textId="77777777" w:rsidR="00B72C32" w:rsidRDefault="00B72C32" w:rsidP="00B72C32">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14:paraId="5E5F8B7B" w14:textId="0050349F" w:rsidR="000B46F2" w:rsidRPr="000B46F2" w:rsidRDefault="000B46F2" w:rsidP="000B46F2">
      <w:pPr>
        <w:spacing w:after="0" w:line="360" w:lineRule="auto"/>
        <w:jc w:val="both"/>
        <w:rPr>
          <w:rFonts w:ascii="Times New Roman" w:hAnsi="Times New Roman" w:cs="Times New Roman"/>
          <w:b/>
          <w:bCs/>
          <w:sz w:val="24"/>
          <w:szCs w:val="24"/>
        </w:rPr>
      </w:pPr>
      <w:r w:rsidRPr="000B46F2">
        <w:rPr>
          <w:rFonts w:ascii="Times New Roman" w:hAnsi="Times New Roman" w:cs="Times New Roman"/>
          <w:b/>
          <w:bCs/>
          <w:sz w:val="24"/>
          <w:szCs w:val="24"/>
        </w:rPr>
        <w:t>3.</w:t>
      </w:r>
      <w:r w:rsidRPr="000B46F2">
        <w:rPr>
          <w:rFonts w:ascii="Times New Roman" w:hAnsi="Times New Roman" w:cs="Times New Roman"/>
          <w:b/>
          <w:bCs/>
          <w:sz w:val="24"/>
          <w:szCs w:val="24"/>
        </w:rPr>
        <w:t>1</w:t>
      </w:r>
      <w:r w:rsidRPr="000B46F2">
        <w:rPr>
          <w:rFonts w:ascii="Times New Roman" w:hAnsi="Times New Roman" w:cs="Times New Roman"/>
          <w:b/>
          <w:bCs/>
          <w:sz w:val="24"/>
          <w:szCs w:val="24"/>
        </w:rPr>
        <w:t xml:space="preserve"> Viabilidad del MCI-H₂: Sinergia entre Ventajas Ambientales y Termodinámicas</w:t>
      </w:r>
      <w:r w:rsidR="000237D5">
        <w:rPr>
          <w:rFonts w:ascii="Times New Roman" w:hAnsi="Times New Roman" w:cs="Times New Roman"/>
          <w:b/>
          <w:bCs/>
          <w:sz w:val="24"/>
          <w:szCs w:val="24"/>
        </w:rPr>
        <w:t>.</w:t>
      </w:r>
    </w:p>
    <w:p w14:paraId="1276CB0C" w14:textId="77777777" w:rsidR="000B46F2" w:rsidRPr="000B46F2" w:rsidRDefault="000B46F2" w:rsidP="000B46F2">
      <w:pPr>
        <w:spacing w:after="0" w:line="360" w:lineRule="auto"/>
        <w:jc w:val="both"/>
        <w:rPr>
          <w:rFonts w:ascii="Times New Roman" w:hAnsi="Times New Roman" w:cs="Times New Roman"/>
          <w:sz w:val="24"/>
          <w:szCs w:val="24"/>
        </w:rPr>
      </w:pPr>
      <w:r w:rsidRPr="000B46F2">
        <w:rPr>
          <w:rFonts w:ascii="Times New Roman" w:hAnsi="Times New Roman" w:cs="Times New Roman"/>
          <w:sz w:val="24"/>
          <w:szCs w:val="24"/>
        </w:rPr>
        <w:t>La adopción del motor de combustión interna de hidrógeno (MCI-H₂) en aplicaciones vehiculares se sustenta en una dualidad de ventajas estratégicas: un perfil de emisiones radicalmente limpio en el punto de uso y un conjunto de propiedades termodinámicas intrínsecas que facilitan una operación de alta eficiencia (Acar &amp; Dincer, 2023). La investigación contemporánea continúa validando y optimizando las estrategias de combustión para maximizar estos beneficios (Mehra et al., 2024). Este análisis desglosa dicha sinergia, estableciendo los fundamentos teóricos que posicionan al MCI-H₂ como una alternativa superior a los motores de combustión interna convencionales (MCI-C).</w:t>
      </w:r>
    </w:p>
    <w:p w14:paraId="72584B45" w14:textId="3CFBB4AD" w:rsidR="000B46F2" w:rsidRPr="00672308" w:rsidRDefault="000B46F2" w:rsidP="000B46F2">
      <w:pPr>
        <w:spacing w:after="0" w:line="360" w:lineRule="auto"/>
        <w:jc w:val="both"/>
        <w:rPr>
          <w:rFonts w:ascii="Times New Roman" w:hAnsi="Times New Roman" w:cs="Times New Roman"/>
          <w:b/>
          <w:bCs/>
          <w:sz w:val="24"/>
          <w:szCs w:val="24"/>
        </w:rPr>
      </w:pPr>
      <w:r w:rsidRPr="00672308">
        <w:rPr>
          <w:rFonts w:ascii="Times New Roman" w:hAnsi="Times New Roman" w:cs="Times New Roman"/>
          <w:b/>
          <w:bCs/>
          <w:sz w:val="24"/>
          <w:szCs w:val="24"/>
        </w:rPr>
        <w:t>3.1.</w:t>
      </w:r>
      <w:r w:rsidRPr="00672308">
        <w:rPr>
          <w:rFonts w:ascii="Times New Roman" w:hAnsi="Times New Roman" w:cs="Times New Roman"/>
          <w:b/>
          <w:bCs/>
          <w:sz w:val="24"/>
          <w:szCs w:val="24"/>
        </w:rPr>
        <w:t>1</w:t>
      </w:r>
      <w:r w:rsidRPr="00672308">
        <w:rPr>
          <w:rFonts w:ascii="Times New Roman" w:hAnsi="Times New Roman" w:cs="Times New Roman"/>
          <w:b/>
          <w:bCs/>
          <w:sz w:val="24"/>
          <w:szCs w:val="24"/>
        </w:rPr>
        <w:t xml:space="preserve"> Fundamentos de la Combustión y Erradicación de Emisiones de Carbono</w:t>
      </w:r>
    </w:p>
    <w:p w14:paraId="55485D04" w14:textId="268E2382" w:rsidR="00A406E2" w:rsidRPr="000B46F2" w:rsidRDefault="000B46F2" w:rsidP="000B46F2">
      <w:pPr>
        <w:spacing w:after="0" w:line="360" w:lineRule="auto"/>
        <w:jc w:val="both"/>
        <w:rPr>
          <w:rFonts w:ascii="Times New Roman" w:hAnsi="Times New Roman" w:cs="Times New Roman"/>
          <w:sz w:val="24"/>
          <w:szCs w:val="24"/>
        </w:rPr>
      </w:pPr>
      <w:r w:rsidRPr="000B46F2">
        <w:rPr>
          <w:rFonts w:ascii="Times New Roman" w:hAnsi="Times New Roman" w:cs="Times New Roman"/>
          <w:sz w:val="24"/>
          <w:szCs w:val="24"/>
        </w:rPr>
        <w:t>El beneficio ambiental más directo del MCI-H₂ deriva de la estequiometría de su reacción. Al ser un combustible libre de carbono, la oxidación completa del hidrógeno con el aire produce exclusivamente vapor de agua (H₂O) y energía térmica (White et al., 2022). La reacción estequiometrica global se representa como:</w:t>
      </w:r>
    </w:p>
    <w:p w14:paraId="1C4C4B37" w14:textId="15D14014" w:rsidR="00E65986" w:rsidRPr="00425A0F" w:rsidRDefault="00E65986" w:rsidP="00425A0F">
      <w:pPr>
        <w:spacing w:before="240" w:line="360"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xml:space="preserve">+ </m:t>
        </m:r>
        <m:d>
          <m:dPr>
            <m:ctrlPr>
              <w:rPr>
                <w:rFonts w:ascii="Cambria Math" w:eastAsiaTheme="minorEastAsia" w:hAnsi="Cambria Math" w:cs="Times New Roman"/>
                <w:i/>
                <w:sz w:val="24"/>
                <w:szCs w:val="24"/>
              </w:rPr>
            </m:ctrlPr>
          </m:dPr>
          <m:e>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+ 3.76</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e>
        </m:d>
        <m:r>
          <w:rPr>
            <w:rFonts w:ascii="Cambria Math" w:eastAsiaTheme="minorEastAsia" w:hAnsi="Cambria Math" w:cs="Times New Roman"/>
            <w:sz w:val="24"/>
            <w:szCs w:val="24"/>
          </w:rPr>
          <m:t>→2</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H</m:t>
            </m:r>
          </m:e>
          <m:sub>
            <m:r>
              <w:rPr>
                <w:rFonts w:ascii="Cambria Math" w:eastAsiaTheme="minorEastAsia" w:hAnsi="Cambria Math" w:cs="Times New Roman"/>
                <w:sz w:val="24"/>
                <w:szCs w:val="24"/>
              </w:rPr>
              <m:t>2O</m:t>
            </m:r>
          </m:sub>
        </m:sSub>
        <m:r>
          <w:rPr>
            <w:rFonts w:ascii="Cambria Math" w:eastAsiaTheme="minorEastAsia" w:hAnsi="Cambria Math" w:cs="Times New Roman"/>
            <w:sz w:val="24"/>
            <w:szCs w:val="24"/>
          </w:rPr>
          <m:t>+ 3.76</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 Energía</m:t>
        </m:r>
      </m:oMath>
      <w:r w:rsidR="00425A0F">
        <w:rPr>
          <w:rFonts w:ascii="Times New Roman" w:eastAsiaTheme="minorEastAsia" w:hAnsi="Times New Roman" w:cs="Times New Roman"/>
          <w:sz w:val="24"/>
          <w:szCs w:val="24"/>
        </w:rPr>
        <w:t xml:space="preserve">    </w:t>
      </w:r>
      <w:bookmarkStart w:id="8" w:name="_Hlk208741390"/>
      <w:r w:rsidR="00425A0F" w:rsidRPr="00425A0F">
        <w:rPr>
          <w:rFonts w:ascii="Times New Roman" w:eastAsiaTheme="minorEastAsia" w:hAnsi="Times New Roman" w:cs="Times New Roman"/>
          <w:b/>
          <w:bCs/>
          <w:sz w:val="24"/>
          <w:szCs w:val="24"/>
        </w:rPr>
        <w:t>(Ecuación 1)</w:t>
      </w:r>
      <w:bookmarkEnd w:id="8"/>
    </w:p>
    <w:p w14:paraId="1E5E96E9" w14:textId="5D76ABC2" w:rsidR="00A406E2" w:rsidRDefault="000B46F2" w:rsidP="00A406E2">
      <w:pPr>
        <w:spacing w:after="0" w:line="360" w:lineRule="auto"/>
        <w:jc w:val="both"/>
        <w:rPr>
          <w:rFonts w:ascii="Times New Roman" w:hAnsi="Times New Roman" w:cs="Times New Roman"/>
          <w:sz w:val="24"/>
          <w:szCs w:val="24"/>
        </w:rPr>
      </w:pPr>
      <w:r w:rsidRPr="000B46F2">
        <w:rPr>
          <w:rFonts w:ascii="Times New Roman" w:hAnsi="Times New Roman" w:cs="Times New Roman"/>
          <w:sz w:val="24"/>
          <w:szCs w:val="24"/>
        </w:rPr>
        <w:t xml:space="preserve">Esta característica intrínseca implica la erradicación total de las emisiones de dióxido de carbono (CO₂), monóxido de carbono (CO), hidrocarburos no quemados (HC) y material </w:t>
      </w:r>
      <w:r w:rsidRPr="000B46F2">
        <w:rPr>
          <w:rFonts w:ascii="Times New Roman" w:hAnsi="Times New Roman" w:cs="Times New Roman"/>
          <w:sz w:val="24"/>
          <w:szCs w:val="24"/>
        </w:rPr>
        <w:lastRenderedPageBreak/>
        <w:t xml:space="preserve">particulado (PM) desde el tubo de escape (Verhelst &amp; Wallner, 2009; Karim, 2003). La dramática diferencia en el perfil de emisiones de escape entre un MCI-C y un MCI-H₂ se ilustra visualmente en la Figura </w:t>
      </w:r>
      <w:r w:rsidR="00A406E2">
        <w:rPr>
          <w:rFonts w:ascii="Times New Roman" w:hAnsi="Times New Roman" w:cs="Times New Roman"/>
          <w:sz w:val="24"/>
          <w:szCs w:val="24"/>
        </w:rPr>
        <w:t>2.</w:t>
      </w:r>
    </w:p>
    <w:p w14:paraId="1DB35CAA" w14:textId="3A35606A" w:rsidR="000B46F2" w:rsidRDefault="00A406E2" w:rsidP="00A406E2">
      <w:pPr>
        <w:spacing w:before="240" w:line="360" w:lineRule="auto"/>
        <w:jc w:val="both"/>
        <w:rPr>
          <w:rFonts w:ascii="Times New Roman" w:hAnsi="Times New Roman" w:cs="Times New Roman"/>
          <w:sz w:val="24"/>
          <w:szCs w:val="24"/>
        </w:rPr>
      </w:pPr>
      <w:r>
        <w:drawing>
          <wp:inline distT="0" distB="0" distL="0" distR="0" wp14:anchorId="2CC08D5D" wp14:editId="01909604">
            <wp:extent cx="5400040" cy="3239770"/>
            <wp:effectExtent l="0" t="0" r="10160" b="17780"/>
            <wp:docPr id="1123356752" name="Gráfico 1">
              <a:extLst xmlns:a="http://schemas.openxmlformats.org/drawingml/2006/main">
                <a:ext uri="{FF2B5EF4-FFF2-40B4-BE49-F238E27FC236}">
                  <a16:creationId xmlns:a16="http://schemas.microsoft.com/office/drawing/2014/main" id="{650DCB38-BC4F-73BE-9A49-478D73922F8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F8C813" w14:textId="6F59F435" w:rsidR="00425A0F" w:rsidRPr="00DF50E3" w:rsidRDefault="00A406E2" w:rsidP="00672308">
      <w:pPr>
        <w:spacing w:after="240" w:line="360" w:lineRule="auto"/>
        <w:jc w:val="both"/>
        <w:rPr>
          <w:rFonts w:ascii="Times New Roman" w:hAnsi="Times New Roman" w:cs="Times New Roman"/>
          <w:sz w:val="20"/>
          <w:szCs w:val="20"/>
        </w:rPr>
      </w:pPr>
      <w:r w:rsidRPr="000237D5">
        <w:rPr>
          <w:rFonts w:ascii="Times New Roman" w:hAnsi="Times New Roman" w:cs="Times New Roman"/>
          <w:b/>
          <w:bCs/>
          <w:sz w:val="20"/>
          <w:szCs w:val="20"/>
        </w:rPr>
        <w:t xml:space="preserve">Figura </w:t>
      </w:r>
      <w:r>
        <w:rPr>
          <w:rFonts w:ascii="Times New Roman" w:hAnsi="Times New Roman" w:cs="Times New Roman"/>
          <w:b/>
          <w:bCs/>
          <w:sz w:val="20"/>
          <w:szCs w:val="20"/>
        </w:rPr>
        <w:t>2</w:t>
      </w:r>
      <w:r w:rsidRPr="000237D5">
        <w:rPr>
          <w:rFonts w:ascii="Times New Roman" w:hAnsi="Times New Roman" w:cs="Times New Roman"/>
          <w:b/>
          <w:bCs/>
          <w:sz w:val="20"/>
          <w:szCs w:val="20"/>
        </w:rPr>
        <w:t>.</w:t>
      </w:r>
      <w:r w:rsidRPr="00A406E2">
        <w:rPr>
          <w:rFonts w:ascii="Times New Roman" w:hAnsi="Times New Roman" w:cs="Times New Roman"/>
          <w:sz w:val="20"/>
          <w:szCs w:val="20"/>
        </w:rPr>
        <w:t xml:space="preserve"> Gráfico de barras comparativo de las emisiones de escape normalizadas para un motor de gasolina convencional (MCI-C) y un motor de combustión interna de hidrógeno (MCI-H₂). El gráfico destaca la erradicación total de emisiones basadas en carbono (CO₂, HC, PM) en el MCI-H₂, siendo los óxidos de nitrógeno (NOx) el único contaminante relevante. Fuente: Elaboración propia</w:t>
      </w:r>
      <w:r w:rsidRPr="000237D5">
        <w:rPr>
          <w:rFonts w:ascii="Times New Roman" w:hAnsi="Times New Roman" w:cs="Times New Roman"/>
          <w:sz w:val="20"/>
          <w:szCs w:val="20"/>
        </w:rPr>
        <w:t>.</w:t>
      </w:r>
    </w:p>
    <w:p w14:paraId="04F6ABAB" w14:textId="1593DF62" w:rsidR="000B46F2" w:rsidRPr="00672308" w:rsidRDefault="000B46F2" w:rsidP="000B46F2">
      <w:pPr>
        <w:spacing w:after="0" w:line="360" w:lineRule="auto"/>
        <w:jc w:val="both"/>
        <w:rPr>
          <w:rFonts w:ascii="Times New Roman" w:hAnsi="Times New Roman" w:cs="Times New Roman"/>
          <w:b/>
          <w:bCs/>
          <w:sz w:val="24"/>
          <w:szCs w:val="24"/>
        </w:rPr>
      </w:pPr>
      <w:r w:rsidRPr="00672308">
        <w:rPr>
          <w:rFonts w:ascii="Times New Roman" w:hAnsi="Times New Roman" w:cs="Times New Roman"/>
          <w:b/>
          <w:bCs/>
          <w:sz w:val="24"/>
          <w:szCs w:val="24"/>
        </w:rPr>
        <w:t>3.</w:t>
      </w:r>
      <w:r w:rsidRPr="00672308">
        <w:rPr>
          <w:rFonts w:ascii="Times New Roman" w:hAnsi="Times New Roman" w:cs="Times New Roman"/>
          <w:b/>
          <w:bCs/>
          <w:sz w:val="24"/>
          <w:szCs w:val="24"/>
        </w:rPr>
        <w:t>1.</w:t>
      </w:r>
      <w:r w:rsidRPr="00672308">
        <w:rPr>
          <w:rFonts w:ascii="Times New Roman" w:hAnsi="Times New Roman" w:cs="Times New Roman"/>
          <w:b/>
          <w:bCs/>
          <w:sz w:val="24"/>
          <w:szCs w:val="24"/>
        </w:rPr>
        <w:t>2 Combustión Real y el Mecanismo de Formación de Óxidos de Nitrógeno (NOx)</w:t>
      </w:r>
    </w:p>
    <w:p w14:paraId="062484A9" w14:textId="77777777" w:rsidR="000B46F2" w:rsidRPr="000B46F2" w:rsidRDefault="000B46F2" w:rsidP="000B46F2">
      <w:pPr>
        <w:spacing w:after="0" w:line="360" w:lineRule="auto"/>
        <w:jc w:val="both"/>
        <w:rPr>
          <w:rFonts w:ascii="Times New Roman" w:hAnsi="Times New Roman" w:cs="Times New Roman"/>
          <w:sz w:val="24"/>
          <w:szCs w:val="24"/>
        </w:rPr>
      </w:pPr>
      <w:r w:rsidRPr="000B46F2">
        <w:rPr>
          <w:rFonts w:ascii="Times New Roman" w:hAnsi="Times New Roman" w:cs="Times New Roman"/>
          <w:sz w:val="24"/>
          <w:szCs w:val="24"/>
        </w:rPr>
        <w:t>En un motor real, las altas temperaturas del ciclo (superiores a 1800 K) provocan la oxidación del nitrógeno atmosférico (N₂). La producción de NOx, regida por el mecanismo térmico de Zeldovich (Naber &amp; Siebers, 1996), representa el único desafío de emisiones significativo. Las reacciones elementales clave son:</w:t>
      </w:r>
    </w:p>
    <w:p w14:paraId="4201EA16" w14:textId="3F99A5C2" w:rsidR="000B46F2" w:rsidRPr="00DF50E3" w:rsidRDefault="00DF50E3" w:rsidP="00DF50E3">
      <w:pPr>
        <w:spacing w:before="240" w:line="360" w:lineRule="auto"/>
        <w:jc w:val="center"/>
        <w:rPr>
          <w:rFonts w:ascii="Times New Roman" w:eastAsiaTheme="minorEastAsia" w:hAnsi="Times New Roman" w:cs="Times New Roman"/>
          <w:sz w:val="24"/>
          <w:szCs w:val="24"/>
        </w:rPr>
      </w:pPr>
      <m:oMath>
        <m:r>
          <w:rPr>
            <w:rFonts w:ascii="Cambria Math" w:hAnsi="Cambria Math" w:cs="Times New Roman"/>
            <w:sz w:val="24"/>
            <w:szCs w:val="24"/>
          </w:rPr>
          <m:t xml:space="preserve">O + </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2</m:t>
            </m:r>
          </m:sub>
        </m:sSub>
        <m:r>
          <w:rPr>
            <w:rFonts w:ascii="Cambria Math" w:hAnsi="Cambria Math" w:cs="Times New Roman"/>
            <w:sz w:val="24"/>
            <w:szCs w:val="24"/>
          </w:rPr>
          <m:t>↔</m:t>
        </m:r>
        <m:r>
          <w:rPr>
            <w:rFonts w:ascii="Cambria Math" w:hAnsi="Cambria Math" w:cs="Times New Roman"/>
            <w:sz w:val="24"/>
            <w:szCs w:val="24"/>
          </w:rPr>
          <m:t>NO + N</m:t>
        </m:r>
      </m:oMath>
      <w:r>
        <w:rPr>
          <w:rFonts w:ascii="Times New Roman" w:eastAsiaTheme="minorEastAsia" w:hAnsi="Times New Roman" w:cs="Times New Roman"/>
          <w:sz w:val="24"/>
          <w:szCs w:val="24"/>
        </w:rPr>
        <w:t xml:space="preserve">    </w:t>
      </w:r>
      <w:r w:rsidRPr="00425A0F">
        <w:rPr>
          <w:rFonts w:ascii="Times New Roman" w:eastAsiaTheme="minorEastAsia" w:hAnsi="Times New Roman" w:cs="Times New Roman"/>
          <w:b/>
          <w:bCs/>
          <w:sz w:val="24"/>
          <w:szCs w:val="24"/>
        </w:rPr>
        <w:t xml:space="preserve">(Ecuación </w:t>
      </w:r>
      <w:r>
        <w:rPr>
          <w:rFonts w:ascii="Times New Roman" w:eastAsiaTheme="minorEastAsia" w:hAnsi="Times New Roman" w:cs="Times New Roman"/>
          <w:b/>
          <w:bCs/>
          <w:sz w:val="24"/>
          <w:szCs w:val="24"/>
        </w:rPr>
        <w:t>2</w:t>
      </w:r>
      <w:r w:rsidRPr="00425A0F">
        <w:rPr>
          <w:rFonts w:ascii="Times New Roman" w:eastAsiaTheme="minorEastAsia" w:hAnsi="Times New Roman" w:cs="Times New Roman"/>
          <w:b/>
          <w:bCs/>
          <w:sz w:val="24"/>
          <w:szCs w:val="24"/>
        </w:rPr>
        <w:t>)</w:t>
      </w:r>
    </w:p>
    <w:p w14:paraId="5700A3A6" w14:textId="2C565805" w:rsidR="00DF50E3" w:rsidRPr="00DF50E3" w:rsidRDefault="00DF50E3" w:rsidP="00DF50E3">
      <w:pPr>
        <w:spacing w:before="240" w:line="360"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N + </m:t>
        </m:r>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O</m:t>
            </m:r>
          </m:e>
          <m:sub>
            <m:r>
              <w:rPr>
                <w:rFonts w:ascii="Cambria Math" w:eastAsiaTheme="minorEastAsia" w:hAnsi="Cambria Math" w:cs="Times New Roman"/>
                <w:sz w:val="24"/>
                <w:szCs w:val="24"/>
              </w:rPr>
              <m:t>2</m:t>
            </m:r>
          </m:sub>
        </m:sSub>
        <m:r>
          <w:rPr>
            <w:rFonts w:ascii="Cambria Math" w:eastAsiaTheme="minorEastAsia" w:hAnsi="Cambria Math" w:cs="Times New Roman"/>
            <w:sz w:val="24"/>
            <w:szCs w:val="24"/>
          </w:rPr>
          <m:t>↔</m:t>
        </m:r>
        <m:r>
          <w:rPr>
            <w:rFonts w:ascii="Cambria Math" w:eastAsiaTheme="minorEastAsia" w:hAnsi="Cambria Math" w:cs="Times New Roman"/>
            <w:sz w:val="24"/>
            <w:szCs w:val="24"/>
          </w:rPr>
          <m:t>NO + O</m:t>
        </m:r>
      </m:oMath>
      <w:r>
        <w:rPr>
          <w:rFonts w:ascii="Times New Roman" w:eastAsiaTheme="minorEastAsia" w:hAnsi="Times New Roman" w:cs="Times New Roman"/>
          <w:sz w:val="24"/>
          <w:szCs w:val="24"/>
        </w:rPr>
        <w:t xml:space="preserve">    </w:t>
      </w:r>
      <w:r w:rsidRPr="00425A0F">
        <w:rPr>
          <w:rFonts w:ascii="Times New Roman" w:eastAsiaTheme="minorEastAsia" w:hAnsi="Times New Roman" w:cs="Times New Roman"/>
          <w:b/>
          <w:bCs/>
          <w:sz w:val="24"/>
          <w:szCs w:val="24"/>
        </w:rPr>
        <w:t xml:space="preserve">(Ecuación </w:t>
      </w:r>
      <w:r>
        <w:rPr>
          <w:rFonts w:ascii="Times New Roman" w:eastAsiaTheme="minorEastAsia" w:hAnsi="Times New Roman" w:cs="Times New Roman"/>
          <w:b/>
          <w:bCs/>
          <w:sz w:val="24"/>
          <w:szCs w:val="24"/>
        </w:rPr>
        <w:t>3</w:t>
      </w:r>
      <w:r w:rsidRPr="00425A0F">
        <w:rPr>
          <w:rFonts w:ascii="Times New Roman" w:eastAsiaTheme="minorEastAsia" w:hAnsi="Times New Roman" w:cs="Times New Roman"/>
          <w:b/>
          <w:bCs/>
          <w:sz w:val="24"/>
          <w:szCs w:val="24"/>
        </w:rPr>
        <w:t>)</w:t>
      </w:r>
    </w:p>
    <w:p w14:paraId="229C4535" w14:textId="2A368FB7" w:rsidR="00DF50E3" w:rsidRPr="00DF50E3" w:rsidRDefault="00DF50E3" w:rsidP="00DF50E3">
      <w:pPr>
        <w:spacing w:before="240" w:line="360" w:lineRule="auto"/>
        <w:jc w:val="center"/>
        <w:rPr>
          <w:rFonts w:ascii="Times New Roman" w:eastAsiaTheme="minorEastAsia" w:hAnsi="Times New Roman" w:cs="Times New Roman"/>
          <w:sz w:val="24"/>
          <w:szCs w:val="24"/>
        </w:rPr>
      </w:pPr>
      <m:oMath>
        <m:r>
          <w:rPr>
            <w:rFonts w:ascii="Cambria Math" w:eastAsiaTheme="minorEastAsia" w:hAnsi="Cambria Math" w:cs="Times New Roman"/>
            <w:sz w:val="24"/>
            <w:szCs w:val="24"/>
          </w:rPr>
          <m:t xml:space="preserve">N + OH </m:t>
        </m:r>
        <m:r>
          <w:rPr>
            <w:rFonts w:ascii="Cambria Math" w:eastAsiaTheme="minorEastAsia" w:hAnsi="Cambria Math" w:cs="Times New Roman"/>
            <w:sz w:val="24"/>
            <w:szCs w:val="24"/>
          </w:rPr>
          <m:t>↔</m:t>
        </m:r>
        <m:r>
          <w:rPr>
            <w:rFonts w:ascii="Cambria Math" w:eastAsiaTheme="minorEastAsia" w:hAnsi="Cambria Math" w:cs="Times New Roman"/>
            <w:sz w:val="24"/>
            <w:szCs w:val="24"/>
          </w:rPr>
          <m:t>NO + H</m:t>
        </m:r>
      </m:oMath>
      <w:r>
        <w:rPr>
          <w:rFonts w:ascii="Times New Roman" w:eastAsiaTheme="minorEastAsia" w:hAnsi="Times New Roman" w:cs="Times New Roman"/>
          <w:sz w:val="24"/>
          <w:szCs w:val="24"/>
        </w:rPr>
        <w:t xml:space="preserve">    </w:t>
      </w:r>
      <w:r w:rsidRPr="00425A0F">
        <w:rPr>
          <w:rFonts w:ascii="Times New Roman" w:eastAsiaTheme="minorEastAsia" w:hAnsi="Times New Roman" w:cs="Times New Roman"/>
          <w:b/>
          <w:bCs/>
          <w:sz w:val="24"/>
          <w:szCs w:val="24"/>
        </w:rPr>
        <w:t xml:space="preserve">(Ecuación </w:t>
      </w:r>
      <w:r>
        <w:rPr>
          <w:rFonts w:ascii="Times New Roman" w:eastAsiaTheme="minorEastAsia" w:hAnsi="Times New Roman" w:cs="Times New Roman"/>
          <w:b/>
          <w:bCs/>
          <w:sz w:val="24"/>
          <w:szCs w:val="24"/>
        </w:rPr>
        <w:t>4</w:t>
      </w:r>
      <w:r w:rsidRPr="00425A0F">
        <w:rPr>
          <w:rFonts w:ascii="Times New Roman" w:eastAsiaTheme="minorEastAsia" w:hAnsi="Times New Roman" w:cs="Times New Roman"/>
          <w:b/>
          <w:bCs/>
          <w:sz w:val="24"/>
          <w:szCs w:val="24"/>
        </w:rPr>
        <w:t>)</w:t>
      </w:r>
    </w:p>
    <w:p w14:paraId="5E7E2BA7" w14:textId="77777777" w:rsidR="000B46F2" w:rsidRPr="000B46F2" w:rsidRDefault="000B46F2" w:rsidP="000B46F2">
      <w:pPr>
        <w:spacing w:after="0" w:line="360" w:lineRule="auto"/>
        <w:jc w:val="both"/>
        <w:rPr>
          <w:rFonts w:ascii="Times New Roman" w:hAnsi="Times New Roman" w:cs="Times New Roman"/>
          <w:sz w:val="24"/>
          <w:szCs w:val="24"/>
        </w:rPr>
      </w:pPr>
      <w:r w:rsidRPr="000B46F2">
        <w:rPr>
          <w:rFonts w:ascii="Times New Roman" w:hAnsi="Times New Roman" w:cs="Times New Roman"/>
          <w:sz w:val="24"/>
          <w:szCs w:val="24"/>
        </w:rPr>
        <w:lastRenderedPageBreak/>
        <w:t>Aunque la alta temperatura de llama adiabática del hidrógeno es un factor, se ha demostrado experimentalmente que este desafío es gestionable mediante estrategias de combustión y control, como la inyección de agua o la recirculación de gases de escape (EGR), que reducen eficazmente la temperatura máxima en la cámara (Verhelst et al., 2023).</w:t>
      </w:r>
    </w:p>
    <w:p w14:paraId="295D8175" w14:textId="0C9C9D99" w:rsidR="000B46F2" w:rsidRPr="00672308" w:rsidRDefault="000B46F2" w:rsidP="00DF50E3">
      <w:pPr>
        <w:spacing w:after="0" w:line="360" w:lineRule="auto"/>
        <w:jc w:val="both"/>
        <w:rPr>
          <w:rFonts w:ascii="Times New Roman" w:hAnsi="Times New Roman" w:cs="Times New Roman"/>
          <w:b/>
          <w:bCs/>
          <w:sz w:val="24"/>
          <w:szCs w:val="24"/>
        </w:rPr>
      </w:pPr>
      <w:r w:rsidRPr="00672308">
        <w:rPr>
          <w:rFonts w:ascii="Times New Roman" w:hAnsi="Times New Roman" w:cs="Times New Roman"/>
          <w:b/>
          <w:bCs/>
          <w:sz w:val="24"/>
          <w:szCs w:val="24"/>
        </w:rPr>
        <w:t>3.</w:t>
      </w:r>
      <w:r w:rsidRPr="00672308">
        <w:rPr>
          <w:rFonts w:ascii="Times New Roman" w:hAnsi="Times New Roman" w:cs="Times New Roman"/>
          <w:b/>
          <w:bCs/>
          <w:sz w:val="24"/>
          <w:szCs w:val="24"/>
        </w:rPr>
        <w:t>1.</w:t>
      </w:r>
      <w:r w:rsidRPr="00672308">
        <w:rPr>
          <w:rFonts w:ascii="Times New Roman" w:hAnsi="Times New Roman" w:cs="Times New Roman"/>
          <w:b/>
          <w:bCs/>
          <w:sz w:val="24"/>
          <w:szCs w:val="24"/>
        </w:rPr>
        <w:t>3 Sinergia entre Propiedades del Hidrógeno y la Operación de Alta Eficiencia</w:t>
      </w:r>
    </w:p>
    <w:p w14:paraId="033C2C8A" w14:textId="77777777" w:rsidR="000B46F2" w:rsidRPr="000B46F2" w:rsidRDefault="000B46F2" w:rsidP="000B46F2">
      <w:pPr>
        <w:spacing w:after="0" w:line="360" w:lineRule="auto"/>
        <w:jc w:val="both"/>
        <w:rPr>
          <w:rFonts w:ascii="Times New Roman" w:hAnsi="Times New Roman" w:cs="Times New Roman"/>
          <w:sz w:val="24"/>
          <w:szCs w:val="24"/>
        </w:rPr>
      </w:pPr>
      <w:r w:rsidRPr="000B46F2">
        <w:rPr>
          <w:rFonts w:ascii="Times New Roman" w:hAnsi="Times New Roman" w:cs="Times New Roman"/>
          <w:sz w:val="24"/>
          <w:szCs w:val="24"/>
        </w:rPr>
        <w:t>La superioridad operativa del MCI-H₂ se maximiza al explotar sus propiedades fisicoquímicas, resolviendo el clásico compromiso (trade-off) entre eficiencia y emisiones.</w:t>
      </w:r>
    </w:p>
    <w:p w14:paraId="3685651A" w14:textId="5DF61DFB" w:rsidR="000B46F2" w:rsidRPr="00F51E38" w:rsidRDefault="000B46F2" w:rsidP="00F51E38">
      <w:pPr>
        <w:pStyle w:val="Prrafodelista"/>
        <w:numPr>
          <w:ilvl w:val="0"/>
          <w:numId w:val="8"/>
        </w:numPr>
        <w:spacing w:after="0" w:line="360" w:lineRule="auto"/>
        <w:jc w:val="both"/>
        <w:rPr>
          <w:rFonts w:ascii="Times New Roman" w:hAnsi="Times New Roman" w:cs="Times New Roman"/>
          <w:sz w:val="24"/>
          <w:szCs w:val="24"/>
        </w:rPr>
      </w:pPr>
      <w:r w:rsidRPr="00F51E38">
        <w:rPr>
          <w:rFonts w:ascii="Times New Roman" w:hAnsi="Times New Roman" w:cs="Times New Roman"/>
          <w:sz w:val="24"/>
          <w:szCs w:val="24"/>
        </w:rPr>
        <w:t>Amplio Rango de Inflamabilidad (4–75% en aire): Esta propiedad permite una combustión estable en condiciones de mezcla ultra-pobre (λ &gt; 2.0). Operar con un gran exceso de aire reduce drásticamente la temperatura máxima del ciclo, suprimiendo la formación de NOx a niveles insignificantes sin necesidad de sistemas de postratamiento catalítico complejos (White et al., 2006). Esta estrategia de "combustión pobre" (lean-burn) sigue siendo el pilar fundamental en el diseño de MCI-H₂ modernos y de bajas emisiones (Mehra et al., 2024).</w:t>
      </w:r>
    </w:p>
    <w:p w14:paraId="36846E6A" w14:textId="5A0E0CB1" w:rsidR="000B46F2" w:rsidRPr="00F51E38" w:rsidRDefault="000B46F2" w:rsidP="00F51E38">
      <w:pPr>
        <w:pStyle w:val="Prrafodelista"/>
        <w:numPr>
          <w:ilvl w:val="0"/>
          <w:numId w:val="8"/>
        </w:numPr>
        <w:spacing w:after="0" w:line="360" w:lineRule="auto"/>
        <w:jc w:val="both"/>
        <w:rPr>
          <w:rFonts w:ascii="Times New Roman" w:hAnsi="Times New Roman" w:cs="Times New Roman"/>
          <w:sz w:val="24"/>
          <w:szCs w:val="24"/>
        </w:rPr>
      </w:pPr>
      <w:r w:rsidRPr="00F51E38">
        <w:rPr>
          <w:rFonts w:ascii="Times New Roman" w:hAnsi="Times New Roman" w:cs="Times New Roman"/>
          <w:sz w:val="24"/>
          <w:szCs w:val="24"/>
        </w:rPr>
        <w:t>Alto Número de Octano (&gt;130): La excepcional resistencia del hidrógeno a la detonación permite el uso de relaciones de compresión (r) considerablemente más altas. Como demuestra la termodinámica del ciclo de Otto, la eficiencia térmica (η_th) es una función directa de 'r':</w:t>
      </w:r>
    </w:p>
    <w:p w14:paraId="3778EB52" w14:textId="16D88A69" w:rsidR="00CF0561" w:rsidRPr="00CF0561" w:rsidRDefault="00CF0561" w:rsidP="00672308">
      <w:pPr>
        <w:spacing w:before="240" w:line="360" w:lineRule="auto"/>
        <w:jc w:val="center"/>
        <w:rPr>
          <w:rFonts w:ascii="Times New Roman" w:eastAsiaTheme="minorEastAsia"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ƞ</m:t>
            </m:r>
          </m:e>
          <m:sub>
            <m:r>
              <w:rPr>
                <w:rFonts w:ascii="Cambria Math" w:hAnsi="Cambria Math" w:cs="Times New Roman"/>
                <w:sz w:val="24"/>
                <w:szCs w:val="24"/>
              </w:rPr>
              <m:t>th,Otto</m:t>
            </m:r>
          </m:sub>
        </m:sSub>
        <m:r>
          <w:rPr>
            <w:rFonts w:ascii="Cambria Math" w:hAnsi="Cambria Math" w:cs="Times New Roman"/>
            <w:sz w:val="24"/>
            <w:szCs w:val="24"/>
          </w:rPr>
          <m:t>= 1 -</m:t>
        </m:r>
        <m:f>
          <m:fPr>
            <m:ctrlPr>
              <w:rPr>
                <w:rFonts w:ascii="Cambria Math" w:hAnsi="Cambria Math" w:cs="Times New Roman"/>
                <w:i/>
                <w:sz w:val="24"/>
                <w:szCs w:val="24"/>
              </w:rPr>
            </m:ctrlPr>
          </m:fPr>
          <m:num>
            <m:r>
              <w:rPr>
                <w:rFonts w:ascii="Cambria Math" w:hAnsi="Cambria Math" w:cs="Times New Roman"/>
                <w:sz w:val="24"/>
                <w:szCs w:val="24"/>
              </w:rPr>
              <m:t>1</m:t>
            </m:r>
          </m:num>
          <m:den>
            <m:sSup>
              <m:sSupPr>
                <m:ctrlPr>
                  <w:rPr>
                    <w:rFonts w:ascii="Cambria Math" w:hAnsi="Cambria Math" w:cs="Times New Roman"/>
                    <w:i/>
                    <w:sz w:val="24"/>
                    <w:szCs w:val="24"/>
                  </w:rPr>
                </m:ctrlPr>
              </m:sSupPr>
              <m:e>
                <m:r>
                  <w:rPr>
                    <w:rFonts w:ascii="Cambria Math" w:hAnsi="Cambria Math" w:cs="Times New Roman"/>
                    <w:sz w:val="24"/>
                    <w:szCs w:val="24"/>
                  </w:rPr>
                  <m:t>r</m:t>
                </m:r>
              </m:e>
              <m:sup>
                <m:r>
                  <m:rPr>
                    <m:sty m:val="p"/>
                  </m:rPr>
                  <w:rPr>
                    <w:rFonts w:ascii="Cambria Math" w:hAnsi="Cambria Math" w:cs="Times New Roman"/>
                    <w:sz w:val="24"/>
                    <w:szCs w:val="24"/>
                  </w:rPr>
                  <m:t>Γ</m:t>
                </m:r>
                <m:r>
                  <w:rPr>
                    <w:rFonts w:ascii="Cambria Math" w:hAnsi="Cambria Math" w:cs="Times New Roman"/>
                    <w:sz w:val="24"/>
                    <w:szCs w:val="24"/>
                  </w:rPr>
                  <m:t>-1</m:t>
                </m:r>
              </m:sup>
            </m:sSup>
          </m:den>
        </m:f>
      </m:oMath>
      <w:r w:rsidR="00672308">
        <w:rPr>
          <w:rFonts w:ascii="Times New Roman" w:eastAsiaTheme="minorEastAsia" w:hAnsi="Times New Roman" w:cs="Times New Roman"/>
          <w:sz w:val="24"/>
          <w:szCs w:val="24"/>
        </w:rPr>
        <w:t xml:space="preserve">    </w:t>
      </w:r>
      <w:r w:rsidR="00672308" w:rsidRPr="00425A0F">
        <w:rPr>
          <w:rFonts w:ascii="Times New Roman" w:eastAsiaTheme="minorEastAsia" w:hAnsi="Times New Roman" w:cs="Times New Roman"/>
          <w:b/>
          <w:bCs/>
          <w:sz w:val="24"/>
          <w:szCs w:val="24"/>
        </w:rPr>
        <w:t xml:space="preserve">(Ecuación </w:t>
      </w:r>
      <w:r w:rsidR="00672308">
        <w:rPr>
          <w:rFonts w:ascii="Times New Roman" w:eastAsiaTheme="minorEastAsia" w:hAnsi="Times New Roman" w:cs="Times New Roman"/>
          <w:b/>
          <w:bCs/>
          <w:sz w:val="24"/>
          <w:szCs w:val="24"/>
        </w:rPr>
        <w:t>5</w:t>
      </w:r>
      <w:r w:rsidR="00672308" w:rsidRPr="00425A0F">
        <w:rPr>
          <w:rFonts w:ascii="Times New Roman" w:eastAsiaTheme="minorEastAsia" w:hAnsi="Times New Roman" w:cs="Times New Roman"/>
          <w:b/>
          <w:bCs/>
          <w:sz w:val="24"/>
          <w:szCs w:val="24"/>
        </w:rPr>
        <w:t>)</w:t>
      </w:r>
    </w:p>
    <w:p w14:paraId="5CBFBC38" w14:textId="77777777" w:rsidR="000B46F2" w:rsidRPr="000B46F2" w:rsidRDefault="000B46F2" w:rsidP="00F51E38">
      <w:pPr>
        <w:spacing w:after="0" w:line="360" w:lineRule="auto"/>
        <w:ind w:left="720"/>
        <w:jc w:val="both"/>
        <w:rPr>
          <w:rFonts w:ascii="Times New Roman" w:hAnsi="Times New Roman" w:cs="Times New Roman"/>
          <w:sz w:val="24"/>
          <w:szCs w:val="24"/>
        </w:rPr>
      </w:pPr>
      <w:r w:rsidRPr="000B46F2">
        <w:rPr>
          <w:rFonts w:ascii="Times New Roman" w:hAnsi="Times New Roman" w:cs="Times New Roman"/>
          <w:sz w:val="24"/>
          <w:szCs w:val="24"/>
        </w:rPr>
        <w:t>Estudios experimentales recientes confirman que aumentar la relación de compresión en motores alimentados con mezclas ricas en hidrógeno mejora significativamente el rendimiento y la eficiencia (Karthikeyan et al., 2023; Szwaja &amp; Naber, 2010).</w:t>
      </w:r>
    </w:p>
    <w:p w14:paraId="42A49C64" w14:textId="28B5861A" w:rsidR="000B46F2" w:rsidRPr="00F51E38" w:rsidRDefault="000B46F2" w:rsidP="00F51E38">
      <w:pPr>
        <w:pStyle w:val="Prrafodelista"/>
        <w:numPr>
          <w:ilvl w:val="0"/>
          <w:numId w:val="9"/>
        </w:numPr>
        <w:spacing w:after="0" w:line="360" w:lineRule="auto"/>
        <w:jc w:val="both"/>
        <w:rPr>
          <w:rFonts w:ascii="Times New Roman" w:hAnsi="Times New Roman" w:cs="Times New Roman"/>
          <w:sz w:val="24"/>
          <w:szCs w:val="24"/>
        </w:rPr>
      </w:pPr>
      <w:r w:rsidRPr="00F51E38">
        <w:rPr>
          <w:rFonts w:ascii="Times New Roman" w:hAnsi="Times New Roman" w:cs="Times New Roman"/>
          <w:sz w:val="24"/>
          <w:szCs w:val="24"/>
        </w:rPr>
        <w:t>Alta Velocidad de Llama: La rápida combustión del hidrógeno aproxima el ciclo real al ideal de Otto, incrementando la eficiencia térmica indicada (Verhelst, 2014).</w:t>
      </w:r>
    </w:p>
    <w:p w14:paraId="40107F52" w14:textId="334978F5" w:rsidR="000B46F2" w:rsidRPr="000B46F2" w:rsidRDefault="000B46F2" w:rsidP="000B46F2">
      <w:pPr>
        <w:spacing w:after="0" w:line="360" w:lineRule="auto"/>
        <w:jc w:val="both"/>
        <w:rPr>
          <w:rFonts w:ascii="Times New Roman" w:hAnsi="Times New Roman" w:cs="Times New Roman"/>
          <w:sz w:val="24"/>
          <w:szCs w:val="24"/>
        </w:rPr>
      </w:pPr>
      <w:r w:rsidRPr="000B46F2">
        <w:rPr>
          <w:rFonts w:ascii="Times New Roman" w:hAnsi="Times New Roman" w:cs="Times New Roman"/>
          <w:sz w:val="24"/>
          <w:szCs w:val="24"/>
        </w:rPr>
        <w:t xml:space="preserve">La combinación de estas propiedades permite un control de carga cualitativo, eliminando las pérdidas por bombeo y mejorando drásticamente la eficiencia a cargas parciales </w:t>
      </w:r>
      <w:r w:rsidRPr="000B46F2">
        <w:rPr>
          <w:rFonts w:ascii="Times New Roman" w:hAnsi="Times New Roman" w:cs="Times New Roman"/>
          <w:sz w:val="24"/>
          <w:szCs w:val="24"/>
        </w:rPr>
        <w:lastRenderedPageBreak/>
        <w:t xml:space="preserve">(Verhelst &amp; Wallner, 2009). Esta sinergia crea una "ventana operativa óptima" de alta eficiencia y emisiones de NOx ultrabajas. Esta relación fundamental, demostrada teóricamente y validada experimentalmente en numerosos estudios, se representa en la Figura </w:t>
      </w:r>
      <w:r w:rsidR="00672308">
        <w:rPr>
          <w:rFonts w:ascii="Times New Roman" w:hAnsi="Times New Roman" w:cs="Times New Roman"/>
          <w:sz w:val="24"/>
          <w:szCs w:val="24"/>
        </w:rPr>
        <w:t>3</w:t>
      </w:r>
      <w:r w:rsidRPr="000B46F2">
        <w:rPr>
          <w:rFonts w:ascii="Times New Roman" w:hAnsi="Times New Roman" w:cs="Times New Roman"/>
          <w:sz w:val="24"/>
          <w:szCs w:val="24"/>
        </w:rPr>
        <w:t>.</w:t>
      </w:r>
    </w:p>
    <w:p w14:paraId="2E288C6B" w14:textId="56A7D5BA" w:rsidR="000B46F2" w:rsidRDefault="00672308" w:rsidP="00B72C32">
      <w:pPr>
        <w:spacing w:after="0" w:line="360" w:lineRule="auto"/>
        <w:jc w:val="both"/>
        <w:rPr>
          <w:rFonts w:ascii="Times New Roman" w:hAnsi="Times New Roman" w:cs="Times New Roman"/>
          <w:sz w:val="24"/>
          <w:szCs w:val="24"/>
        </w:rPr>
      </w:pPr>
      <w:r>
        <w:drawing>
          <wp:inline distT="0" distB="0" distL="0" distR="0" wp14:anchorId="31E240F5" wp14:editId="19C65213">
            <wp:extent cx="5400040" cy="3291205"/>
            <wp:effectExtent l="0" t="0" r="10160" b="4445"/>
            <wp:docPr id="888010107" name="Gráfico 1">
              <a:extLst xmlns:a="http://schemas.openxmlformats.org/drawingml/2006/main">
                <a:ext uri="{FF2B5EF4-FFF2-40B4-BE49-F238E27FC236}">
                  <a16:creationId xmlns:a16="http://schemas.microsoft.com/office/drawing/2014/main" id="{8381B2A4-E384-D42A-0055-D2FED18432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65113C" w14:textId="24B22134" w:rsidR="005A7E27" w:rsidRPr="00672308" w:rsidRDefault="00672308" w:rsidP="00672308">
      <w:pPr>
        <w:spacing w:line="360" w:lineRule="auto"/>
        <w:jc w:val="both"/>
        <w:rPr>
          <w:rFonts w:ascii="Times New Roman" w:hAnsi="Times New Roman" w:cs="Times New Roman"/>
          <w:sz w:val="20"/>
          <w:szCs w:val="20"/>
          <w:lang w:val="en-US"/>
        </w:rPr>
      </w:pPr>
      <w:r w:rsidRPr="00672308">
        <w:rPr>
          <w:rFonts w:ascii="Times New Roman" w:hAnsi="Times New Roman" w:cs="Times New Roman"/>
          <w:b/>
          <w:bCs/>
          <w:sz w:val="20"/>
          <w:szCs w:val="20"/>
        </w:rPr>
        <w:t>Figura 3.</w:t>
      </w:r>
      <w:r w:rsidRPr="00672308">
        <w:rPr>
          <w:rFonts w:ascii="Times New Roman" w:hAnsi="Times New Roman" w:cs="Times New Roman"/>
          <w:sz w:val="20"/>
          <w:szCs w:val="20"/>
        </w:rPr>
        <w:t xml:space="preserve"> Relación conceptual entre el coeficiente de exceso de aire (</w:t>
      </w:r>
      <w:r w:rsidRPr="00672308">
        <w:rPr>
          <w:rFonts w:ascii="Times New Roman" w:hAnsi="Times New Roman" w:cs="Times New Roman"/>
          <w:sz w:val="20"/>
          <w:szCs w:val="20"/>
          <w:lang w:val="en-US"/>
        </w:rPr>
        <w:t>λ</w:t>
      </w:r>
      <w:r w:rsidRPr="00672308">
        <w:rPr>
          <w:rFonts w:ascii="Times New Roman" w:hAnsi="Times New Roman" w:cs="Times New Roman"/>
          <w:sz w:val="20"/>
          <w:szCs w:val="20"/>
        </w:rPr>
        <w:t>), la eficiencia térmica indicada y las emisiones de NOₓ para un MCI-H₂. El gráfico ilustra la "ventana operativa óptima" en la región de mezcla pobre (</w:t>
      </w:r>
      <w:r w:rsidRPr="00672308">
        <w:rPr>
          <w:rFonts w:ascii="Times New Roman" w:hAnsi="Times New Roman" w:cs="Times New Roman"/>
          <w:sz w:val="20"/>
          <w:szCs w:val="20"/>
          <w:lang w:val="en-US"/>
        </w:rPr>
        <w:t>λ</w:t>
      </w:r>
      <w:r w:rsidRPr="00672308">
        <w:rPr>
          <w:rFonts w:ascii="Times New Roman" w:hAnsi="Times New Roman" w:cs="Times New Roman"/>
          <w:sz w:val="20"/>
          <w:szCs w:val="20"/>
        </w:rPr>
        <w:t xml:space="preserve"> &gt; 2.2), donde se consigue simultáneamente una alta eficiencia y emisiones de NOₓ insignificantes. Esta característica resuelve el compromiso (trade-off) inherente a los motores convencionales y demuestra la viabilidad teórica de la tecnología. </w:t>
      </w:r>
      <w:r w:rsidRPr="00672308">
        <w:rPr>
          <w:rFonts w:ascii="Times New Roman" w:hAnsi="Times New Roman" w:cs="Times New Roman"/>
          <w:sz w:val="20"/>
          <w:szCs w:val="20"/>
          <w:lang w:val="en-US"/>
        </w:rPr>
        <w:t>Fuente: Elaboración propia.</w:t>
      </w:r>
    </w:p>
    <w:p w14:paraId="72B93CA6" w14:textId="273035B3" w:rsidR="005A7E27" w:rsidRPr="00672308" w:rsidRDefault="005A7E27" w:rsidP="005A7E27">
      <w:pPr>
        <w:spacing w:after="0" w:line="360" w:lineRule="auto"/>
        <w:jc w:val="both"/>
        <w:rPr>
          <w:rFonts w:ascii="Times New Roman" w:hAnsi="Times New Roman" w:cs="Times New Roman"/>
          <w:b/>
          <w:bCs/>
          <w:sz w:val="24"/>
          <w:szCs w:val="24"/>
        </w:rPr>
      </w:pPr>
      <w:r w:rsidRPr="00672308">
        <w:rPr>
          <w:rFonts w:ascii="Times New Roman" w:hAnsi="Times New Roman" w:cs="Times New Roman"/>
          <w:b/>
          <w:bCs/>
          <w:sz w:val="24"/>
          <w:szCs w:val="24"/>
        </w:rPr>
        <w:t>3.2</w:t>
      </w:r>
      <w:r w:rsidRPr="00672308">
        <w:rPr>
          <w:rFonts w:ascii="Times New Roman" w:hAnsi="Times New Roman" w:cs="Times New Roman"/>
          <w:b/>
          <w:bCs/>
          <w:sz w:val="24"/>
          <w:szCs w:val="24"/>
        </w:rPr>
        <w:t xml:space="preserve"> Rutas de Producción de Hidrógeno y Sinergia con el Contexto Cubano</w:t>
      </w:r>
    </w:p>
    <w:p w14:paraId="4758A757" w14:textId="77777777" w:rsidR="005A7E27" w:rsidRPr="005A7E27" w:rsidRDefault="005A7E27" w:rsidP="005A7E27">
      <w:pPr>
        <w:spacing w:after="0" w:line="360" w:lineRule="auto"/>
        <w:jc w:val="both"/>
        <w:rPr>
          <w:rFonts w:ascii="Times New Roman" w:hAnsi="Times New Roman" w:cs="Times New Roman"/>
          <w:sz w:val="24"/>
          <w:szCs w:val="24"/>
        </w:rPr>
      </w:pPr>
      <w:r w:rsidRPr="005A7E27">
        <w:rPr>
          <w:rFonts w:ascii="Times New Roman" w:hAnsi="Times New Roman" w:cs="Times New Roman"/>
          <w:sz w:val="24"/>
          <w:szCs w:val="24"/>
        </w:rPr>
        <w:t>La viabilidad ambiental y estratégica de una economía del hidrógeno depende fundamentalmente de su método de producción. Si bien el MCI-H₂ elimina las emisiones en el punto de uso, la huella de carbono global del ciclo de vida ("well-to-wheel") está determinada por el origen del hidrógeno (Dincer &amp; Acar, 2015; Cano et al., 2023). Por ello, un análisis de las principales rutas de producción es imperativo para alinear la tecnología con los objetivos de soberanía energética y sostenibilidad de Cuba. Las tecnologías se clasifican según un código de colores que refleja su impacto ambiental.</w:t>
      </w:r>
    </w:p>
    <w:p w14:paraId="2F187D5D" w14:textId="39F278DD" w:rsidR="005A7E27" w:rsidRPr="00672308" w:rsidRDefault="005A7E27" w:rsidP="005A7E27">
      <w:pPr>
        <w:spacing w:after="0" w:line="360" w:lineRule="auto"/>
        <w:jc w:val="both"/>
        <w:rPr>
          <w:rFonts w:ascii="Times New Roman" w:hAnsi="Times New Roman" w:cs="Times New Roman"/>
          <w:b/>
          <w:bCs/>
          <w:sz w:val="24"/>
          <w:szCs w:val="24"/>
        </w:rPr>
      </w:pPr>
      <w:r w:rsidRPr="00672308">
        <w:rPr>
          <w:rFonts w:ascii="Times New Roman" w:hAnsi="Times New Roman" w:cs="Times New Roman"/>
          <w:b/>
          <w:bCs/>
          <w:sz w:val="24"/>
          <w:szCs w:val="24"/>
        </w:rPr>
        <w:t>3.2</w:t>
      </w:r>
      <w:r w:rsidRPr="00672308">
        <w:rPr>
          <w:rFonts w:ascii="Times New Roman" w:hAnsi="Times New Roman" w:cs="Times New Roman"/>
          <w:b/>
          <w:bCs/>
          <w:sz w:val="24"/>
          <w:szCs w:val="24"/>
        </w:rPr>
        <w:t>.1. Clasificación y Análisis de las Rutas de Producción</w:t>
      </w:r>
    </w:p>
    <w:p w14:paraId="20E6E8BB" w14:textId="265D8F9A" w:rsidR="00F51E38" w:rsidRPr="00F51E38" w:rsidRDefault="005A7E27" w:rsidP="005A7E27">
      <w:pPr>
        <w:spacing w:after="0" w:line="360" w:lineRule="auto"/>
        <w:jc w:val="both"/>
        <w:rPr>
          <w:rFonts w:ascii="Times New Roman" w:hAnsi="Times New Roman" w:cs="Times New Roman"/>
          <w:sz w:val="24"/>
          <w:szCs w:val="24"/>
        </w:rPr>
      </w:pPr>
      <w:r w:rsidRPr="005A7E27">
        <w:rPr>
          <w:rFonts w:ascii="Times New Roman" w:hAnsi="Times New Roman" w:cs="Times New Roman"/>
          <w:sz w:val="24"/>
          <w:szCs w:val="24"/>
        </w:rPr>
        <w:lastRenderedPageBreak/>
        <w:t xml:space="preserve">Actualmente, existen tres vías principales para la producción de hidrógeno a escala industrial: gris, azul y verde. Un análisis comparativo del ciclo de vida demuestra las drásticas diferencias en su impacto ambiental (Bhandari et al., 2024). Estas rutas se resumen esquemáticamente en la Figura </w:t>
      </w:r>
      <w:r w:rsidR="00F51E38">
        <w:rPr>
          <w:rFonts w:ascii="Times New Roman" w:hAnsi="Times New Roman" w:cs="Times New Roman"/>
          <w:sz w:val="24"/>
          <w:szCs w:val="24"/>
        </w:rPr>
        <w:t>4</w:t>
      </w:r>
      <w:r w:rsidRPr="005A7E27">
        <w:rPr>
          <w:rFonts w:ascii="Times New Roman" w:hAnsi="Times New Roman" w:cs="Times New Roman"/>
          <w:sz w:val="24"/>
          <w:szCs w:val="24"/>
        </w:rPr>
        <w:t>.</w:t>
      </w:r>
    </w:p>
    <w:p w14:paraId="48269507" w14:textId="0B30152C" w:rsidR="00F51E38" w:rsidRDefault="00F51E38" w:rsidP="00F51E38">
      <w:pPr>
        <w:spacing w:after="0" w:line="360" w:lineRule="auto"/>
        <w:jc w:val="center"/>
        <w:rPr>
          <w:rFonts w:ascii="Times New Roman" w:hAnsi="Times New Roman" w:cs="Times New Roman"/>
          <w:sz w:val="24"/>
          <w:szCs w:val="24"/>
        </w:rPr>
      </w:pPr>
      <w:r>
        <w:drawing>
          <wp:inline distT="0" distB="0" distL="0" distR="0" wp14:anchorId="0C978399" wp14:editId="11C3FCCD">
            <wp:extent cx="5178124" cy="2390775"/>
            <wp:effectExtent l="0" t="0" r="3810" b="0"/>
            <wp:docPr id="132555817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58177" name=""/>
                    <pic:cNvPicPr/>
                  </pic:nvPicPr>
                  <pic:blipFill rotWithShape="1">
                    <a:blip r:embed="rId13">
                      <a:extLst>
                        <a:ext uri="{96DAC541-7B7A-43D3-8B79-37D633B846F1}">
                          <asvg:svgBlip xmlns:asvg="http://schemas.microsoft.com/office/drawing/2016/SVG/main" r:embed="rId14"/>
                        </a:ext>
                      </a:extLst>
                    </a:blip>
                    <a:srcRect l="9526" t="10347" r="9866" b="23494"/>
                    <a:stretch>
                      <a:fillRect/>
                    </a:stretch>
                  </pic:blipFill>
                  <pic:spPr bwMode="auto">
                    <a:xfrm>
                      <a:off x="0" y="0"/>
                      <a:ext cx="5186449" cy="2394618"/>
                    </a:xfrm>
                    <a:prstGeom prst="rect">
                      <a:avLst/>
                    </a:prstGeom>
                    <a:ln>
                      <a:noFill/>
                    </a:ln>
                    <a:extLst>
                      <a:ext uri="{53640926-AAD7-44D8-BBD7-CCE9431645EC}">
                        <a14:shadowObscured xmlns:a14="http://schemas.microsoft.com/office/drawing/2010/main"/>
                      </a:ext>
                    </a:extLst>
                  </pic:spPr>
                </pic:pic>
              </a:graphicData>
            </a:graphic>
          </wp:inline>
        </w:drawing>
      </w:r>
    </w:p>
    <w:p w14:paraId="636C0D61" w14:textId="77777777" w:rsidR="00F51E38" w:rsidRPr="00F51E38" w:rsidRDefault="00F51E38" w:rsidP="00F51E38">
      <w:pPr>
        <w:spacing w:after="0" w:line="360" w:lineRule="auto"/>
        <w:rPr>
          <w:rFonts w:ascii="Times New Roman" w:hAnsi="Times New Roman" w:cs="Times New Roman"/>
          <w:sz w:val="20"/>
          <w:szCs w:val="20"/>
        </w:rPr>
      </w:pPr>
      <w:r w:rsidRPr="00F51E38">
        <w:rPr>
          <w:rFonts w:ascii="Times New Roman" w:hAnsi="Times New Roman" w:cs="Times New Roman"/>
          <w:b/>
          <w:bCs/>
          <w:sz w:val="20"/>
          <w:szCs w:val="20"/>
        </w:rPr>
        <w:t>Figura 4.</w:t>
      </w:r>
      <w:r w:rsidRPr="00F51E38">
        <w:rPr>
          <w:rFonts w:ascii="Times New Roman" w:hAnsi="Times New Roman" w:cs="Times New Roman"/>
          <w:sz w:val="20"/>
          <w:szCs w:val="20"/>
        </w:rPr>
        <w:t xml:space="preserve"> Diagrama de flujo simplificado de las principales rutas de producción de hidrógeno. Se clasifican como Hidrógeno Gris (reformado de gas natural), Hidrógeno Azul (reformado con captura de carbono) e Hidrógeno Verde (electrólisis con energías renovables). El diseño destaca visualmente la ruta verde como la opción estratégica propuesta para el contexto cubano, debido a su nula huella de carbono y su alineación con los recursos energéticos locales. Fuente: Elaboración propia.</w:t>
      </w:r>
    </w:p>
    <w:p w14:paraId="42B7CEB4" w14:textId="77777777" w:rsidR="00F51E38" w:rsidRPr="005A7E27" w:rsidRDefault="00F51E38" w:rsidP="00F51E38">
      <w:pPr>
        <w:spacing w:after="0" w:line="360" w:lineRule="auto"/>
        <w:rPr>
          <w:rFonts w:ascii="Times New Roman" w:hAnsi="Times New Roman" w:cs="Times New Roman"/>
          <w:sz w:val="24"/>
          <w:szCs w:val="24"/>
        </w:rPr>
      </w:pPr>
    </w:p>
    <w:p w14:paraId="40EFA599" w14:textId="31721467" w:rsidR="005A7E27" w:rsidRPr="00F51E38" w:rsidRDefault="005A7E27" w:rsidP="00F51E38">
      <w:pPr>
        <w:pStyle w:val="Prrafodelista"/>
        <w:numPr>
          <w:ilvl w:val="0"/>
          <w:numId w:val="6"/>
        </w:numPr>
        <w:spacing w:after="0" w:line="360" w:lineRule="auto"/>
        <w:jc w:val="both"/>
        <w:rPr>
          <w:rFonts w:ascii="Times New Roman" w:hAnsi="Times New Roman" w:cs="Times New Roman"/>
          <w:sz w:val="24"/>
          <w:szCs w:val="24"/>
        </w:rPr>
      </w:pPr>
      <w:r w:rsidRPr="00F51E38">
        <w:rPr>
          <w:rFonts w:ascii="Times New Roman" w:hAnsi="Times New Roman" w:cs="Times New Roman"/>
          <w:sz w:val="24"/>
          <w:szCs w:val="24"/>
        </w:rPr>
        <w:t>Hidrógeno Gris: Obtenido principalmente mediante el reformado de metano con vapor (SMR), representa más del 95% de la producción mundial. Es un proceso maduro y económico, pero intensivo en emisiones, liberando aproximadamente 9-12 kg de CO₂ por cada kg de H₂ producido (Nikolaidis &amp; Poullikkas, 2017). Para Cuba, esta opción es inviable, ya que perpetuaría la dependencia de los combustibles fósiles.</w:t>
      </w:r>
    </w:p>
    <w:p w14:paraId="44B0A7A3" w14:textId="3E8B6A9D" w:rsidR="005A7E27" w:rsidRPr="00F51E38" w:rsidRDefault="005A7E27" w:rsidP="00F51E38">
      <w:pPr>
        <w:pStyle w:val="Prrafodelista"/>
        <w:numPr>
          <w:ilvl w:val="0"/>
          <w:numId w:val="6"/>
        </w:numPr>
        <w:spacing w:after="0" w:line="360" w:lineRule="auto"/>
        <w:jc w:val="both"/>
        <w:rPr>
          <w:rFonts w:ascii="Times New Roman" w:hAnsi="Times New Roman" w:cs="Times New Roman"/>
          <w:sz w:val="24"/>
          <w:szCs w:val="24"/>
        </w:rPr>
      </w:pPr>
      <w:r w:rsidRPr="00F51E38">
        <w:rPr>
          <w:rFonts w:ascii="Times New Roman" w:hAnsi="Times New Roman" w:cs="Times New Roman"/>
          <w:sz w:val="24"/>
          <w:szCs w:val="24"/>
        </w:rPr>
        <w:t>Hidrógeno Azul: Es una evolución del hidrógeno gris donde el CO₂ generado se captura y almacena (CCUS). Aunque reduce la huella de carbono, presenta una alta complejidad técnica, requiere una infraestructura de almacenamiento geológico de CO₂ inexistente en Cuba y no elimina la dependencia del gas natural (IRENA, 2020).</w:t>
      </w:r>
    </w:p>
    <w:p w14:paraId="481BF5E0" w14:textId="24DDF336" w:rsidR="005A7E27" w:rsidRPr="00F51E38" w:rsidRDefault="005A7E27" w:rsidP="00F51E38">
      <w:pPr>
        <w:pStyle w:val="Prrafodelista"/>
        <w:numPr>
          <w:ilvl w:val="0"/>
          <w:numId w:val="6"/>
        </w:numPr>
        <w:spacing w:after="0" w:line="360" w:lineRule="auto"/>
        <w:jc w:val="both"/>
        <w:rPr>
          <w:rFonts w:ascii="Times New Roman" w:hAnsi="Times New Roman" w:cs="Times New Roman"/>
          <w:sz w:val="24"/>
          <w:szCs w:val="24"/>
        </w:rPr>
      </w:pPr>
      <w:r w:rsidRPr="00F51E38">
        <w:rPr>
          <w:rFonts w:ascii="Times New Roman" w:hAnsi="Times New Roman" w:cs="Times New Roman"/>
          <w:sz w:val="24"/>
          <w:szCs w:val="24"/>
        </w:rPr>
        <w:lastRenderedPageBreak/>
        <w:t>Hidrógeno Verde: Producido mediante la electrólisis del agua utilizando electricidad de fuentes renovables, se considera el pilar de una futura economía sostenible del hidrógeno (Dawood et al., 2022). Esta ruta tiene una huella de carbono prácticamente nula, garantizando una solución verdaderamente libre de emisiones en todo el ciclo de vida.</w:t>
      </w:r>
    </w:p>
    <w:p w14:paraId="73B46E29" w14:textId="525A601B" w:rsidR="005A7E27" w:rsidRPr="00F51E38" w:rsidRDefault="005A7E27" w:rsidP="005A7E27">
      <w:pPr>
        <w:spacing w:after="0" w:line="360" w:lineRule="auto"/>
        <w:jc w:val="both"/>
        <w:rPr>
          <w:rFonts w:ascii="Times New Roman" w:hAnsi="Times New Roman" w:cs="Times New Roman"/>
          <w:b/>
          <w:bCs/>
          <w:sz w:val="24"/>
          <w:szCs w:val="24"/>
        </w:rPr>
      </w:pPr>
      <w:r w:rsidRPr="00F51E38">
        <w:rPr>
          <w:rFonts w:ascii="Times New Roman" w:hAnsi="Times New Roman" w:cs="Times New Roman"/>
          <w:b/>
          <w:bCs/>
          <w:sz w:val="24"/>
          <w:szCs w:val="24"/>
        </w:rPr>
        <w:t>3.2</w:t>
      </w:r>
      <w:r w:rsidRPr="00F51E38">
        <w:rPr>
          <w:rFonts w:ascii="Times New Roman" w:hAnsi="Times New Roman" w:cs="Times New Roman"/>
          <w:b/>
          <w:bCs/>
          <w:sz w:val="24"/>
          <w:szCs w:val="24"/>
        </w:rPr>
        <w:t>.2. La Electrólisis Solar como Ruta Estratégica para Cuba</w:t>
      </w:r>
    </w:p>
    <w:p w14:paraId="6BF3084A" w14:textId="77777777" w:rsidR="005A7E27" w:rsidRDefault="005A7E27" w:rsidP="005A7E27">
      <w:pPr>
        <w:spacing w:after="0" w:line="360" w:lineRule="auto"/>
        <w:jc w:val="both"/>
        <w:rPr>
          <w:rFonts w:ascii="Times New Roman" w:hAnsi="Times New Roman" w:cs="Times New Roman"/>
          <w:sz w:val="24"/>
          <w:szCs w:val="24"/>
        </w:rPr>
      </w:pPr>
      <w:r w:rsidRPr="005A7E27">
        <w:rPr>
          <w:rFonts w:ascii="Times New Roman" w:hAnsi="Times New Roman" w:cs="Times New Roman"/>
          <w:sz w:val="24"/>
          <w:szCs w:val="24"/>
        </w:rPr>
        <w:t>Al evaluar estas opciones, la producción de hidrógeno verde mediante electrólisis alimentada por energía solar fotovoltaica emerge como la ruta más sinérgica para el contexto cubano. Esta conclusión se fundamenta en un análisis multicriterio, presentado cualitativamente en la Tabla 1.</w:t>
      </w:r>
    </w:p>
    <w:p w14:paraId="022A3163" w14:textId="4C22A073" w:rsidR="00212A88" w:rsidRPr="00212A88" w:rsidRDefault="00212A88" w:rsidP="00212A88">
      <w:pPr>
        <w:spacing w:before="240" w:after="0" w:line="360" w:lineRule="auto"/>
        <w:jc w:val="both"/>
        <w:rPr>
          <w:rFonts w:ascii="Times New Roman" w:hAnsi="Times New Roman" w:cs="Times New Roman"/>
          <w:sz w:val="20"/>
          <w:szCs w:val="20"/>
        </w:rPr>
      </w:pPr>
      <w:r w:rsidRPr="00212A88">
        <w:rPr>
          <w:rFonts w:ascii="Times New Roman" w:hAnsi="Times New Roman" w:cs="Times New Roman"/>
          <w:b/>
          <w:bCs/>
          <w:sz w:val="20"/>
          <w:szCs w:val="20"/>
        </w:rPr>
        <w:t>Tabla 1</w:t>
      </w:r>
      <w:r w:rsidRPr="00212A88">
        <w:rPr>
          <w:rFonts w:ascii="Times New Roman" w:hAnsi="Times New Roman" w:cs="Times New Roman"/>
          <w:b/>
          <w:bCs/>
          <w:sz w:val="20"/>
          <w:szCs w:val="20"/>
        </w:rPr>
        <w:t>.</w:t>
      </w:r>
      <w:r w:rsidRPr="00212A88">
        <w:rPr>
          <w:rFonts w:ascii="Times New Roman" w:hAnsi="Times New Roman" w:cs="Times New Roman"/>
          <w:sz w:val="20"/>
          <w:szCs w:val="20"/>
        </w:rPr>
        <w:t xml:space="preserve"> </w:t>
      </w:r>
      <w:r w:rsidRPr="00212A88">
        <w:rPr>
          <w:rFonts w:ascii="Times New Roman" w:hAnsi="Times New Roman" w:cs="Times New Roman"/>
          <w:sz w:val="20"/>
          <w:szCs w:val="20"/>
        </w:rPr>
        <w:t>Matriz de Decisión Cualitativa para la Selección de la Ruta de Producción de Hidrógeno en Cuba</w:t>
      </w:r>
      <w:r w:rsidRPr="00212A88">
        <w:rPr>
          <w:rFonts w:ascii="Times New Roman" w:hAnsi="Times New Roman" w:cs="Times New Roman"/>
          <w:sz w:val="20"/>
          <w:szCs w:val="20"/>
        </w:rPr>
        <w:t>.</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2233"/>
        <w:gridCol w:w="2268"/>
        <w:gridCol w:w="2125"/>
      </w:tblGrid>
      <w:tr w:rsidR="00212A88" w:rsidRPr="00212A88" w14:paraId="1FD26D74" w14:textId="77777777" w:rsidTr="00212A88">
        <w:tc>
          <w:tcPr>
            <w:tcW w:w="1878" w:type="dxa"/>
            <w:tcBorders>
              <w:top w:val="single" w:sz="4" w:space="0" w:color="auto"/>
              <w:bottom w:val="single" w:sz="4" w:space="0" w:color="auto"/>
            </w:tcBorders>
          </w:tcPr>
          <w:p w14:paraId="50B62852" w14:textId="77777777" w:rsidR="00212A88" w:rsidRPr="00212A88" w:rsidRDefault="00212A88" w:rsidP="00212A88">
            <w:pPr>
              <w:spacing w:line="360" w:lineRule="auto"/>
              <w:jc w:val="center"/>
              <w:rPr>
                <w:rFonts w:ascii="Times New Roman" w:hAnsi="Times New Roman" w:cs="Times New Roman"/>
                <w:b/>
                <w:bCs/>
              </w:rPr>
            </w:pPr>
            <w:r w:rsidRPr="00212A88">
              <w:rPr>
                <w:rFonts w:ascii="Times New Roman" w:hAnsi="Times New Roman" w:cs="Times New Roman"/>
                <w:b/>
                <w:bCs/>
              </w:rPr>
              <w:t>Criterio de Decisión</w:t>
            </w:r>
          </w:p>
        </w:tc>
        <w:tc>
          <w:tcPr>
            <w:tcW w:w="2233" w:type="dxa"/>
            <w:tcBorders>
              <w:top w:val="single" w:sz="4" w:space="0" w:color="auto"/>
              <w:bottom w:val="single" w:sz="4" w:space="0" w:color="auto"/>
            </w:tcBorders>
          </w:tcPr>
          <w:p w14:paraId="7735B764" w14:textId="77777777" w:rsidR="00212A88" w:rsidRPr="00212A88" w:rsidRDefault="00212A88" w:rsidP="00212A88">
            <w:pPr>
              <w:spacing w:line="360" w:lineRule="auto"/>
              <w:jc w:val="center"/>
              <w:rPr>
                <w:rFonts w:ascii="Times New Roman" w:hAnsi="Times New Roman" w:cs="Times New Roman"/>
                <w:b/>
                <w:bCs/>
              </w:rPr>
            </w:pPr>
            <w:r w:rsidRPr="00212A88">
              <w:rPr>
                <w:rFonts w:ascii="Times New Roman" w:hAnsi="Times New Roman" w:cs="Times New Roman"/>
                <w:b/>
                <w:bCs/>
              </w:rPr>
              <w:t>Hidrógeno Gris (SMR)</w:t>
            </w:r>
          </w:p>
        </w:tc>
        <w:tc>
          <w:tcPr>
            <w:tcW w:w="2268" w:type="dxa"/>
            <w:tcBorders>
              <w:top w:val="single" w:sz="4" w:space="0" w:color="auto"/>
              <w:bottom w:val="single" w:sz="4" w:space="0" w:color="auto"/>
            </w:tcBorders>
          </w:tcPr>
          <w:p w14:paraId="62C95CDB" w14:textId="77777777" w:rsidR="00212A88" w:rsidRPr="00212A88" w:rsidRDefault="00212A88" w:rsidP="00212A88">
            <w:pPr>
              <w:spacing w:line="360" w:lineRule="auto"/>
              <w:jc w:val="center"/>
              <w:rPr>
                <w:rFonts w:ascii="Times New Roman" w:hAnsi="Times New Roman" w:cs="Times New Roman"/>
                <w:b/>
                <w:bCs/>
              </w:rPr>
            </w:pPr>
            <w:r w:rsidRPr="00212A88">
              <w:rPr>
                <w:rFonts w:ascii="Times New Roman" w:hAnsi="Times New Roman" w:cs="Times New Roman"/>
                <w:b/>
                <w:bCs/>
              </w:rPr>
              <w:t>Hidrógeno Azul (SMR + CCUS)</w:t>
            </w:r>
          </w:p>
        </w:tc>
        <w:tc>
          <w:tcPr>
            <w:tcW w:w="2125" w:type="dxa"/>
            <w:tcBorders>
              <w:top w:val="single" w:sz="4" w:space="0" w:color="auto"/>
              <w:bottom w:val="single" w:sz="4" w:space="0" w:color="auto"/>
            </w:tcBorders>
          </w:tcPr>
          <w:p w14:paraId="61FC1C31" w14:textId="77777777" w:rsidR="00212A88" w:rsidRPr="00212A88" w:rsidRDefault="00212A88" w:rsidP="00212A88">
            <w:pPr>
              <w:spacing w:line="360" w:lineRule="auto"/>
              <w:jc w:val="center"/>
              <w:rPr>
                <w:rFonts w:ascii="Times New Roman" w:hAnsi="Times New Roman" w:cs="Times New Roman"/>
                <w:b/>
                <w:bCs/>
              </w:rPr>
            </w:pPr>
            <w:r w:rsidRPr="00212A88">
              <w:rPr>
                <w:rFonts w:ascii="Times New Roman" w:hAnsi="Times New Roman" w:cs="Times New Roman"/>
                <w:b/>
                <w:bCs/>
              </w:rPr>
              <w:t>Hidrógeno Verde (Electrólisis Solar)</w:t>
            </w:r>
          </w:p>
        </w:tc>
      </w:tr>
      <w:tr w:rsidR="00212A88" w:rsidRPr="00212A88" w14:paraId="45A23B17" w14:textId="77777777" w:rsidTr="00212A88">
        <w:trPr>
          <w:trHeight w:val="722"/>
        </w:trPr>
        <w:tc>
          <w:tcPr>
            <w:tcW w:w="1878" w:type="dxa"/>
            <w:tcBorders>
              <w:top w:val="single" w:sz="4" w:space="0" w:color="auto"/>
            </w:tcBorders>
          </w:tcPr>
          <w:p w14:paraId="66BDB2F6" w14:textId="77777777" w:rsidR="00212A88" w:rsidRPr="00212A88" w:rsidRDefault="00212A88" w:rsidP="00212A88">
            <w:pPr>
              <w:spacing w:after="160" w:line="360" w:lineRule="auto"/>
              <w:jc w:val="center"/>
              <w:rPr>
                <w:rFonts w:ascii="Times New Roman" w:hAnsi="Times New Roman" w:cs="Times New Roman"/>
                <w:b/>
                <w:bCs/>
              </w:rPr>
            </w:pPr>
            <w:r w:rsidRPr="00212A88">
              <w:rPr>
                <w:rFonts w:ascii="Times New Roman" w:hAnsi="Times New Roman" w:cs="Times New Roman"/>
                <w:b/>
                <w:bCs/>
              </w:rPr>
              <w:t>Disponibilidad de Recursos Locales</w:t>
            </w:r>
          </w:p>
        </w:tc>
        <w:tc>
          <w:tcPr>
            <w:tcW w:w="2233" w:type="dxa"/>
            <w:tcBorders>
              <w:top w:val="single" w:sz="4" w:space="0" w:color="auto"/>
            </w:tcBorders>
          </w:tcPr>
          <w:p w14:paraId="16876D92"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Baja (Depende de gas natural importado)</w:t>
            </w:r>
          </w:p>
        </w:tc>
        <w:tc>
          <w:tcPr>
            <w:tcW w:w="2268" w:type="dxa"/>
            <w:tcBorders>
              <w:top w:val="single" w:sz="4" w:space="0" w:color="auto"/>
            </w:tcBorders>
          </w:tcPr>
          <w:p w14:paraId="64834A96"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Baja (Depende de gas natural importado)</w:t>
            </w:r>
          </w:p>
        </w:tc>
        <w:tc>
          <w:tcPr>
            <w:tcW w:w="2125" w:type="dxa"/>
            <w:tcBorders>
              <w:top w:val="single" w:sz="4" w:space="0" w:color="auto"/>
            </w:tcBorders>
          </w:tcPr>
          <w:p w14:paraId="1BD14073"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Muy Alta (Recurso solar abundante)</w:t>
            </w:r>
          </w:p>
        </w:tc>
      </w:tr>
      <w:tr w:rsidR="00212A88" w:rsidRPr="00212A88" w14:paraId="2BC72571" w14:textId="77777777" w:rsidTr="00212A88">
        <w:tc>
          <w:tcPr>
            <w:tcW w:w="1878" w:type="dxa"/>
          </w:tcPr>
          <w:p w14:paraId="7BC1CDD9" w14:textId="77777777" w:rsidR="00212A88" w:rsidRPr="00212A88" w:rsidRDefault="00212A88" w:rsidP="00212A88">
            <w:pPr>
              <w:spacing w:after="160" w:line="360" w:lineRule="auto"/>
              <w:jc w:val="center"/>
              <w:rPr>
                <w:rFonts w:ascii="Times New Roman" w:hAnsi="Times New Roman" w:cs="Times New Roman"/>
                <w:b/>
                <w:bCs/>
              </w:rPr>
            </w:pPr>
            <w:r w:rsidRPr="00212A88">
              <w:rPr>
                <w:rFonts w:ascii="Times New Roman" w:hAnsi="Times New Roman" w:cs="Times New Roman"/>
                <w:b/>
                <w:bCs/>
              </w:rPr>
              <w:t>Huella de Carbono (Ciclo de Vida)</w:t>
            </w:r>
          </w:p>
        </w:tc>
        <w:tc>
          <w:tcPr>
            <w:tcW w:w="2233" w:type="dxa"/>
          </w:tcPr>
          <w:p w14:paraId="5502FEA2"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Muy Alta (≈10 kg CO₂/kg H₂)</w:t>
            </w:r>
          </w:p>
        </w:tc>
        <w:tc>
          <w:tcPr>
            <w:tcW w:w="2268" w:type="dxa"/>
          </w:tcPr>
          <w:p w14:paraId="6EEF6FFB"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Baja (Reducción &gt;85% pero no nula)</w:t>
            </w:r>
          </w:p>
        </w:tc>
        <w:tc>
          <w:tcPr>
            <w:tcW w:w="2125" w:type="dxa"/>
          </w:tcPr>
          <w:p w14:paraId="72A7D5EF"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Nula o Casi Nula</w:t>
            </w:r>
          </w:p>
        </w:tc>
      </w:tr>
      <w:tr w:rsidR="00212A88" w:rsidRPr="00212A88" w14:paraId="78C95892" w14:textId="77777777" w:rsidTr="00212A88">
        <w:trPr>
          <w:trHeight w:val="451"/>
        </w:trPr>
        <w:tc>
          <w:tcPr>
            <w:tcW w:w="1878" w:type="dxa"/>
          </w:tcPr>
          <w:p w14:paraId="11F41E05" w14:textId="77777777" w:rsidR="00212A88" w:rsidRPr="00212A88" w:rsidRDefault="00212A88" w:rsidP="00212A88">
            <w:pPr>
              <w:spacing w:after="160" w:line="360" w:lineRule="auto"/>
              <w:jc w:val="center"/>
              <w:rPr>
                <w:rFonts w:ascii="Times New Roman" w:hAnsi="Times New Roman" w:cs="Times New Roman"/>
                <w:b/>
                <w:bCs/>
              </w:rPr>
            </w:pPr>
            <w:r w:rsidRPr="00212A88">
              <w:rPr>
                <w:rFonts w:ascii="Times New Roman" w:hAnsi="Times New Roman" w:cs="Times New Roman"/>
                <w:b/>
                <w:bCs/>
              </w:rPr>
              <w:t>Soberanía Energética</w:t>
            </w:r>
          </w:p>
        </w:tc>
        <w:tc>
          <w:tcPr>
            <w:tcW w:w="2233" w:type="dxa"/>
          </w:tcPr>
          <w:p w14:paraId="5D30619C"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Nula (Perpetúa la dependencia externa)</w:t>
            </w:r>
          </w:p>
        </w:tc>
        <w:tc>
          <w:tcPr>
            <w:tcW w:w="2268" w:type="dxa"/>
          </w:tcPr>
          <w:p w14:paraId="241D7591"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Baja (Reduce la vulnerabilidad, no la elimina)</w:t>
            </w:r>
          </w:p>
        </w:tc>
        <w:tc>
          <w:tcPr>
            <w:tcW w:w="2125" w:type="dxa"/>
          </w:tcPr>
          <w:p w14:paraId="1933F1A0"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Muy Alta (Producción 100% nacional)</w:t>
            </w:r>
          </w:p>
        </w:tc>
      </w:tr>
      <w:tr w:rsidR="00212A88" w:rsidRPr="00212A88" w14:paraId="0BBD788F" w14:textId="77777777" w:rsidTr="00212A88">
        <w:trPr>
          <w:trHeight w:val="492"/>
        </w:trPr>
        <w:tc>
          <w:tcPr>
            <w:tcW w:w="1878" w:type="dxa"/>
          </w:tcPr>
          <w:p w14:paraId="5F57C3E3" w14:textId="77777777" w:rsidR="00212A88" w:rsidRPr="00212A88" w:rsidRDefault="00212A88" w:rsidP="00212A88">
            <w:pPr>
              <w:spacing w:after="160" w:line="360" w:lineRule="auto"/>
              <w:jc w:val="center"/>
              <w:rPr>
                <w:rFonts w:ascii="Times New Roman" w:hAnsi="Times New Roman" w:cs="Times New Roman"/>
                <w:b/>
                <w:bCs/>
              </w:rPr>
            </w:pPr>
            <w:r w:rsidRPr="00212A88">
              <w:rPr>
                <w:rFonts w:ascii="Times New Roman" w:hAnsi="Times New Roman" w:cs="Times New Roman"/>
                <w:b/>
                <w:bCs/>
              </w:rPr>
              <w:t>Potencial de Descentralización</w:t>
            </w:r>
          </w:p>
        </w:tc>
        <w:tc>
          <w:tcPr>
            <w:tcW w:w="2233" w:type="dxa"/>
          </w:tcPr>
          <w:p w14:paraId="4502B634"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Bajo (Requiere grandes plantas centralizadas)</w:t>
            </w:r>
          </w:p>
        </w:tc>
        <w:tc>
          <w:tcPr>
            <w:tcW w:w="2268" w:type="dxa"/>
          </w:tcPr>
          <w:p w14:paraId="1414C175"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Bajo (Requiere infraestructura centralizada)</w:t>
            </w:r>
          </w:p>
        </w:tc>
        <w:tc>
          <w:tcPr>
            <w:tcW w:w="2125" w:type="dxa"/>
          </w:tcPr>
          <w:p w14:paraId="7B4E73CD" w14:textId="77777777" w:rsidR="00212A88" w:rsidRPr="00212A88" w:rsidRDefault="00212A88" w:rsidP="00212A88">
            <w:pPr>
              <w:spacing w:after="160" w:line="360" w:lineRule="auto"/>
              <w:jc w:val="center"/>
              <w:rPr>
                <w:rFonts w:ascii="Times New Roman" w:hAnsi="Times New Roman" w:cs="Times New Roman"/>
              </w:rPr>
            </w:pPr>
            <w:r w:rsidRPr="00212A88">
              <w:rPr>
                <w:rFonts w:ascii="Times New Roman" w:hAnsi="Times New Roman" w:cs="Times New Roman"/>
              </w:rPr>
              <w:t>Muy Alto (Sistemas modulares y escalables)</w:t>
            </w:r>
          </w:p>
        </w:tc>
      </w:tr>
      <w:tr w:rsidR="00212A88" w:rsidRPr="00212A88" w14:paraId="18BE33D6" w14:textId="77777777" w:rsidTr="00212A88">
        <w:tc>
          <w:tcPr>
            <w:tcW w:w="1878" w:type="dxa"/>
          </w:tcPr>
          <w:p w14:paraId="7EC6CDCD" w14:textId="77777777" w:rsidR="00212A88" w:rsidRPr="00212A88" w:rsidRDefault="00212A88" w:rsidP="00212A88">
            <w:pPr>
              <w:spacing w:line="360" w:lineRule="auto"/>
              <w:jc w:val="center"/>
              <w:rPr>
                <w:rFonts w:ascii="Times New Roman" w:hAnsi="Times New Roman" w:cs="Times New Roman"/>
                <w:b/>
                <w:bCs/>
              </w:rPr>
            </w:pPr>
            <w:r w:rsidRPr="00212A88">
              <w:rPr>
                <w:rFonts w:ascii="Times New Roman" w:hAnsi="Times New Roman" w:cs="Times New Roman"/>
                <w:b/>
                <w:bCs/>
              </w:rPr>
              <w:t>Madurez Tecnológica</w:t>
            </w:r>
          </w:p>
        </w:tc>
        <w:tc>
          <w:tcPr>
            <w:tcW w:w="2233" w:type="dxa"/>
          </w:tcPr>
          <w:p w14:paraId="2BD23918" w14:textId="77777777" w:rsidR="00212A88" w:rsidRPr="00212A88" w:rsidRDefault="00212A88" w:rsidP="00212A88">
            <w:pPr>
              <w:spacing w:line="360" w:lineRule="auto"/>
              <w:jc w:val="center"/>
              <w:rPr>
                <w:rFonts w:ascii="Times New Roman" w:hAnsi="Times New Roman" w:cs="Times New Roman"/>
              </w:rPr>
            </w:pPr>
            <w:r w:rsidRPr="00212A88">
              <w:rPr>
                <w:rFonts w:ascii="Times New Roman" w:hAnsi="Times New Roman" w:cs="Times New Roman"/>
              </w:rPr>
              <w:t>Alta (Tecnología muy establecida)</w:t>
            </w:r>
          </w:p>
        </w:tc>
        <w:tc>
          <w:tcPr>
            <w:tcW w:w="2268" w:type="dxa"/>
          </w:tcPr>
          <w:p w14:paraId="3AE51EDE" w14:textId="77777777" w:rsidR="00212A88" w:rsidRPr="00212A88" w:rsidRDefault="00212A88" w:rsidP="00212A88">
            <w:pPr>
              <w:spacing w:line="360" w:lineRule="auto"/>
              <w:jc w:val="center"/>
              <w:rPr>
                <w:rFonts w:ascii="Times New Roman" w:hAnsi="Times New Roman" w:cs="Times New Roman"/>
              </w:rPr>
            </w:pPr>
            <w:r w:rsidRPr="00212A88">
              <w:rPr>
                <w:rFonts w:ascii="Times New Roman" w:hAnsi="Times New Roman" w:cs="Times New Roman"/>
              </w:rPr>
              <w:t>Media (CCUS en desarrollo a gran escala)</w:t>
            </w:r>
          </w:p>
        </w:tc>
        <w:tc>
          <w:tcPr>
            <w:tcW w:w="2125" w:type="dxa"/>
          </w:tcPr>
          <w:p w14:paraId="02DDF9A0" w14:textId="77777777" w:rsidR="00212A88" w:rsidRPr="00212A88" w:rsidRDefault="00212A88" w:rsidP="00212A88">
            <w:pPr>
              <w:spacing w:line="360" w:lineRule="auto"/>
              <w:jc w:val="center"/>
              <w:rPr>
                <w:rFonts w:ascii="Times New Roman" w:hAnsi="Times New Roman" w:cs="Times New Roman"/>
              </w:rPr>
            </w:pPr>
            <w:r w:rsidRPr="00212A88">
              <w:rPr>
                <w:rFonts w:ascii="Times New Roman" w:hAnsi="Times New Roman" w:cs="Times New Roman"/>
              </w:rPr>
              <w:t>Media-Alta (Electrolizadores en rápida maduración)</w:t>
            </w:r>
          </w:p>
        </w:tc>
      </w:tr>
    </w:tbl>
    <w:p w14:paraId="6591E036" w14:textId="43BFC0C6" w:rsidR="005A7E27" w:rsidRPr="00212A88" w:rsidRDefault="005A7E27" w:rsidP="00212A88">
      <w:pPr>
        <w:spacing w:line="360" w:lineRule="auto"/>
        <w:jc w:val="both"/>
        <w:rPr>
          <w:rFonts w:ascii="Times New Roman" w:hAnsi="Times New Roman" w:cs="Times New Roman"/>
          <w:i/>
          <w:iCs/>
          <w:sz w:val="24"/>
          <w:szCs w:val="24"/>
        </w:rPr>
      </w:pPr>
      <w:r w:rsidRPr="00212A88">
        <w:rPr>
          <w:rFonts w:ascii="Times New Roman" w:hAnsi="Times New Roman" w:cs="Times New Roman"/>
          <w:i/>
          <w:iCs/>
          <w:sz w:val="24"/>
          <w:szCs w:val="24"/>
        </w:rPr>
        <w:t xml:space="preserve"> </w:t>
      </w:r>
      <w:r w:rsidR="00212A88" w:rsidRPr="00212A88">
        <w:rPr>
          <w:rFonts w:ascii="Times New Roman" w:hAnsi="Times New Roman" w:cs="Times New Roman"/>
          <w:i/>
          <w:iCs/>
          <w:sz w:val="20"/>
          <w:szCs w:val="20"/>
        </w:rPr>
        <w:t>Fuente: Elaboración propia</w:t>
      </w:r>
    </w:p>
    <w:p w14:paraId="28537606" w14:textId="77777777" w:rsidR="005A7E27" w:rsidRPr="005A7E27" w:rsidRDefault="005A7E27" w:rsidP="005A7E27">
      <w:pPr>
        <w:spacing w:after="0" w:line="360" w:lineRule="auto"/>
        <w:jc w:val="both"/>
        <w:rPr>
          <w:rFonts w:ascii="Times New Roman" w:hAnsi="Times New Roman" w:cs="Times New Roman"/>
          <w:sz w:val="24"/>
          <w:szCs w:val="24"/>
        </w:rPr>
      </w:pPr>
      <w:r w:rsidRPr="005A7E27">
        <w:rPr>
          <w:rFonts w:ascii="Times New Roman" w:hAnsi="Times New Roman" w:cs="Times New Roman"/>
          <w:sz w:val="24"/>
          <w:szCs w:val="24"/>
        </w:rPr>
        <w:t>Los argumentos que sustentan esta elección son:</w:t>
      </w:r>
    </w:p>
    <w:p w14:paraId="24E38811" w14:textId="00655642" w:rsidR="005A7E27" w:rsidRPr="00F51E38" w:rsidRDefault="005A7E27" w:rsidP="00F51E38">
      <w:pPr>
        <w:pStyle w:val="Prrafodelista"/>
        <w:numPr>
          <w:ilvl w:val="0"/>
          <w:numId w:val="7"/>
        </w:numPr>
        <w:spacing w:after="0" w:line="360" w:lineRule="auto"/>
        <w:jc w:val="both"/>
        <w:rPr>
          <w:rFonts w:ascii="Times New Roman" w:hAnsi="Times New Roman" w:cs="Times New Roman"/>
          <w:sz w:val="24"/>
          <w:szCs w:val="24"/>
        </w:rPr>
      </w:pPr>
      <w:r w:rsidRPr="00F51E38">
        <w:rPr>
          <w:rFonts w:ascii="Times New Roman" w:hAnsi="Times New Roman" w:cs="Times New Roman"/>
          <w:sz w:val="24"/>
          <w:szCs w:val="24"/>
        </w:rPr>
        <w:lastRenderedPageBreak/>
        <w:t>Aprovechamiento de Recursos Endógenos: Cuba posee un recurso solar excepcional y abundante (García-Ferro et al., 2018). Utilizar esta energía para producir hidrógeno localmente elimina la necesidad de importar combustibles, fortaleciendo la soberanía energética.</w:t>
      </w:r>
    </w:p>
    <w:p w14:paraId="47E7BD61" w14:textId="6D230151" w:rsidR="005A7E27" w:rsidRPr="00F51E38" w:rsidRDefault="005A7E27" w:rsidP="00F51E38">
      <w:pPr>
        <w:pStyle w:val="Prrafodelista"/>
        <w:numPr>
          <w:ilvl w:val="0"/>
          <w:numId w:val="7"/>
        </w:numPr>
        <w:spacing w:after="0" w:line="360" w:lineRule="auto"/>
        <w:jc w:val="both"/>
        <w:rPr>
          <w:rFonts w:ascii="Times New Roman" w:hAnsi="Times New Roman" w:cs="Times New Roman"/>
          <w:sz w:val="24"/>
          <w:szCs w:val="24"/>
        </w:rPr>
      </w:pPr>
      <w:r w:rsidRPr="00F51E38">
        <w:rPr>
          <w:rFonts w:ascii="Times New Roman" w:hAnsi="Times New Roman" w:cs="Times New Roman"/>
          <w:sz w:val="24"/>
          <w:szCs w:val="24"/>
        </w:rPr>
        <w:t>Coherencia Ambiental: Es la única ruta que cumple con el objetivo de una descarbonización profunda, asegurando que los beneficios en el tubo de escape no se vean comprometidos por emisiones en la producción (Bhandari et al., 2024).</w:t>
      </w:r>
    </w:p>
    <w:p w14:paraId="20591DD6" w14:textId="0F828DA3" w:rsidR="005A7E27" w:rsidRPr="00F51E38" w:rsidRDefault="005A7E27" w:rsidP="00F51E38">
      <w:pPr>
        <w:pStyle w:val="Prrafodelista"/>
        <w:numPr>
          <w:ilvl w:val="0"/>
          <w:numId w:val="7"/>
        </w:numPr>
        <w:spacing w:after="0" w:line="360" w:lineRule="auto"/>
        <w:jc w:val="both"/>
        <w:rPr>
          <w:rFonts w:ascii="Times New Roman" w:hAnsi="Times New Roman" w:cs="Times New Roman"/>
          <w:sz w:val="24"/>
          <w:szCs w:val="24"/>
        </w:rPr>
      </w:pPr>
      <w:r w:rsidRPr="00F51E38">
        <w:rPr>
          <w:rFonts w:ascii="Times New Roman" w:hAnsi="Times New Roman" w:cs="Times New Roman"/>
          <w:sz w:val="24"/>
          <w:szCs w:val="24"/>
        </w:rPr>
        <w:t>Potencial de Descentralización y Modularidad: Los sistemas de electrólisis solar son modulares y escalables, permitiendo la instalación "in situ" en puntos estratégicos (e.g., aeropuertos, polos turísticos), lo que reduce la complejidad logística.</w:t>
      </w:r>
    </w:p>
    <w:p w14:paraId="13FC88D5" w14:textId="1CF393D8" w:rsidR="005A7E27" w:rsidRDefault="005A7E27" w:rsidP="00212A88">
      <w:pPr>
        <w:spacing w:line="360" w:lineRule="auto"/>
        <w:jc w:val="both"/>
        <w:rPr>
          <w:rFonts w:ascii="Times New Roman" w:hAnsi="Times New Roman" w:cs="Times New Roman"/>
          <w:sz w:val="24"/>
          <w:szCs w:val="24"/>
        </w:rPr>
      </w:pPr>
      <w:r w:rsidRPr="005A7E27">
        <w:rPr>
          <w:rFonts w:ascii="Times New Roman" w:hAnsi="Times New Roman" w:cs="Times New Roman"/>
          <w:sz w:val="24"/>
          <w:szCs w:val="24"/>
        </w:rPr>
        <w:t>Si bien el costo de capital de los electrolizadores es un desafío, análisis tecno-económicos recientes demuestran una tendencia sostenida a la baja en el costo nivelado del hidrógeno (LCOH) verde, impulsada por la reducción de costos de la energía renovable y la maduración de la tecnología de electrólisis (Guerra et al., 2023; Saba et al., 2023). Por lo tanto, este estudio teórico establece la electrólisis solar no solo como una opción viable, sino como la única ruta lógicamente alineada con los objetivos de resiliencia energética y protección ambiental de Cuba.</w:t>
      </w:r>
    </w:p>
    <w:p w14:paraId="57CB08B2" w14:textId="01AE43B7" w:rsidR="005A7E27" w:rsidRPr="00F51E38" w:rsidRDefault="005A7E27" w:rsidP="005A7E27">
      <w:pPr>
        <w:spacing w:after="0" w:line="360" w:lineRule="auto"/>
        <w:jc w:val="both"/>
        <w:rPr>
          <w:rFonts w:ascii="Times New Roman" w:hAnsi="Times New Roman" w:cs="Times New Roman"/>
          <w:b/>
          <w:bCs/>
          <w:sz w:val="24"/>
          <w:szCs w:val="24"/>
        </w:rPr>
      </w:pPr>
      <w:r w:rsidRPr="00F51E38">
        <w:rPr>
          <w:rFonts w:ascii="Times New Roman" w:hAnsi="Times New Roman" w:cs="Times New Roman"/>
          <w:b/>
          <w:bCs/>
          <w:sz w:val="24"/>
          <w:szCs w:val="24"/>
        </w:rPr>
        <w:t>3</w:t>
      </w:r>
      <w:r w:rsidRPr="00F51E38">
        <w:rPr>
          <w:rFonts w:ascii="Times New Roman" w:hAnsi="Times New Roman" w:cs="Times New Roman"/>
          <w:b/>
          <w:bCs/>
          <w:sz w:val="24"/>
          <w:szCs w:val="24"/>
        </w:rPr>
        <w:t>.</w:t>
      </w:r>
      <w:r w:rsidRPr="00F51E38">
        <w:rPr>
          <w:rFonts w:ascii="Times New Roman" w:hAnsi="Times New Roman" w:cs="Times New Roman"/>
          <w:b/>
          <w:bCs/>
          <w:sz w:val="24"/>
          <w:szCs w:val="24"/>
        </w:rPr>
        <w:t>3</w:t>
      </w:r>
      <w:r w:rsidRPr="00F51E38">
        <w:rPr>
          <w:rFonts w:ascii="Times New Roman" w:hAnsi="Times New Roman" w:cs="Times New Roman"/>
          <w:b/>
          <w:bCs/>
          <w:sz w:val="24"/>
          <w:szCs w:val="24"/>
        </w:rPr>
        <w:t xml:space="preserve"> Desafíos Críticos de Implementación: Almacenamiento y Suministro de Hidrógeno</w:t>
      </w:r>
    </w:p>
    <w:p w14:paraId="2319867B" w14:textId="77777777" w:rsidR="005A7E27" w:rsidRPr="005A7E27" w:rsidRDefault="005A7E27" w:rsidP="00212A88">
      <w:pPr>
        <w:spacing w:line="360" w:lineRule="auto"/>
        <w:jc w:val="both"/>
        <w:rPr>
          <w:rFonts w:ascii="Times New Roman" w:hAnsi="Times New Roman" w:cs="Times New Roman"/>
          <w:sz w:val="24"/>
          <w:szCs w:val="24"/>
        </w:rPr>
      </w:pPr>
      <w:r w:rsidRPr="005A7E27">
        <w:rPr>
          <w:rFonts w:ascii="Times New Roman" w:hAnsi="Times New Roman" w:cs="Times New Roman"/>
          <w:sz w:val="24"/>
          <w:szCs w:val="24"/>
        </w:rPr>
        <w:t>A pesar de sus notables ventajas, la implementación práctica de los MCI-H₂ se enfrenta a un desafío fundamental: el almacenamiento eficiente del hidrógeno a bordo. Este reto, derivado de las propiedades físicas del hidrógeno, ha sido el principal foco de investigación durante décadas y sigue siendo un área de intensa innovación (Rusman &amp; Dahari, 2022; Jain et al., 2023).</w:t>
      </w:r>
    </w:p>
    <w:p w14:paraId="2548F327" w14:textId="460C6D06" w:rsidR="005A7E27" w:rsidRPr="00F51E38" w:rsidRDefault="005A7E27" w:rsidP="005A7E27">
      <w:pPr>
        <w:spacing w:after="0" w:line="360" w:lineRule="auto"/>
        <w:jc w:val="both"/>
        <w:rPr>
          <w:rFonts w:ascii="Times New Roman" w:hAnsi="Times New Roman" w:cs="Times New Roman"/>
          <w:b/>
          <w:bCs/>
          <w:sz w:val="24"/>
          <w:szCs w:val="24"/>
        </w:rPr>
      </w:pPr>
      <w:r w:rsidRPr="00F51E38">
        <w:rPr>
          <w:rFonts w:ascii="Times New Roman" w:hAnsi="Times New Roman" w:cs="Times New Roman"/>
          <w:b/>
          <w:bCs/>
          <w:sz w:val="24"/>
          <w:szCs w:val="24"/>
        </w:rPr>
        <w:t>3.3</w:t>
      </w:r>
      <w:r w:rsidRPr="00F51E38">
        <w:rPr>
          <w:rFonts w:ascii="Times New Roman" w:hAnsi="Times New Roman" w:cs="Times New Roman"/>
          <w:b/>
          <w:bCs/>
          <w:sz w:val="24"/>
          <w:szCs w:val="24"/>
        </w:rPr>
        <w:t>.1. El Paradigma de la Densidad Energética del Hidrógeno</w:t>
      </w:r>
    </w:p>
    <w:p w14:paraId="7AA4EA2B" w14:textId="230C0D3A" w:rsidR="005A7E27" w:rsidRPr="005A7E27" w:rsidRDefault="005A7E27" w:rsidP="005A7E27">
      <w:pPr>
        <w:spacing w:after="0" w:line="360" w:lineRule="auto"/>
        <w:jc w:val="both"/>
        <w:rPr>
          <w:rFonts w:ascii="Times New Roman" w:hAnsi="Times New Roman" w:cs="Times New Roman"/>
          <w:sz w:val="24"/>
          <w:szCs w:val="24"/>
        </w:rPr>
      </w:pPr>
      <w:r w:rsidRPr="005A7E27">
        <w:rPr>
          <w:rFonts w:ascii="Times New Roman" w:hAnsi="Times New Roman" w:cs="Times New Roman"/>
          <w:sz w:val="24"/>
          <w:szCs w:val="24"/>
        </w:rPr>
        <w:t xml:space="preserve">El hidrógeno posee una excelente densidad energética gravimétrica (≈120 MJ/kg), casi tres veces superior a la de la gasolina (≈44 MJ/kg). Sin embargo, su principal obstáculo es su bajísima densidad energética volumétrica en condiciones ambientales. Para lograr una autonomía vehicular comparable a la de la gasolina, el hidrógeno debe ser densificado </w:t>
      </w:r>
      <w:r w:rsidRPr="005A7E27">
        <w:rPr>
          <w:rFonts w:ascii="Times New Roman" w:hAnsi="Times New Roman" w:cs="Times New Roman"/>
          <w:sz w:val="24"/>
          <w:szCs w:val="24"/>
        </w:rPr>
        <w:lastRenderedPageBreak/>
        <w:t xml:space="preserve">drásticamente. Esta disparidad fundamental entre el hidrógeno, los combustibles convencionales y las baterías se ilustra en la Figura </w:t>
      </w:r>
      <w:r w:rsidR="00745827">
        <w:rPr>
          <w:rFonts w:ascii="Times New Roman" w:hAnsi="Times New Roman" w:cs="Times New Roman"/>
          <w:sz w:val="24"/>
          <w:szCs w:val="24"/>
        </w:rPr>
        <w:t>5</w:t>
      </w:r>
      <w:r w:rsidRPr="005A7E27">
        <w:rPr>
          <w:rFonts w:ascii="Times New Roman" w:hAnsi="Times New Roman" w:cs="Times New Roman"/>
          <w:sz w:val="24"/>
          <w:szCs w:val="24"/>
        </w:rPr>
        <w:t>, que evidencia el desafío volumétrico del hidrógeno.</w:t>
      </w:r>
    </w:p>
    <w:p w14:paraId="23B86D02" w14:textId="3C0B980A" w:rsidR="005A7E27" w:rsidRDefault="00745827" w:rsidP="00F51E38">
      <w:pPr>
        <w:spacing w:before="240" w:line="360" w:lineRule="auto"/>
        <w:jc w:val="both"/>
        <w:rPr>
          <w:rFonts w:ascii="Times New Roman" w:hAnsi="Times New Roman" w:cs="Times New Roman"/>
          <w:sz w:val="24"/>
          <w:szCs w:val="24"/>
        </w:rPr>
      </w:pPr>
      <w:r>
        <w:drawing>
          <wp:inline distT="0" distB="0" distL="0" distR="0" wp14:anchorId="23D483D6" wp14:editId="2AD2782B">
            <wp:extent cx="5289068" cy="3147599"/>
            <wp:effectExtent l="0" t="0" r="6985" b="15240"/>
            <wp:docPr id="1501995244" name="Gráfico 1">
              <a:extLst xmlns:a="http://schemas.openxmlformats.org/drawingml/2006/main">
                <a:ext uri="{FF2B5EF4-FFF2-40B4-BE49-F238E27FC236}">
                  <a16:creationId xmlns:a16="http://schemas.microsoft.com/office/drawing/2014/main" id="{DB23193C-F1F9-16BC-5E55-B60A76BF9D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F89A0B" w14:textId="7841C6BE" w:rsidR="00745827" w:rsidRPr="00745827" w:rsidRDefault="00745827" w:rsidP="00745827">
      <w:pPr>
        <w:spacing w:line="360" w:lineRule="auto"/>
        <w:jc w:val="both"/>
        <w:rPr>
          <w:rFonts w:ascii="Times New Roman" w:hAnsi="Times New Roman" w:cs="Times New Roman"/>
          <w:sz w:val="20"/>
          <w:szCs w:val="20"/>
          <w:lang w:val="en-US"/>
        </w:rPr>
      </w:pPr>
      <w:r w:rsidRPr="00745827">
        <w:rPr>
          <w:rFonts w:ascii="Times New Roman" w:hAnsi="Times New Roman" w:cs="Times New Roman"/>
          <w:b/>
          <w:bCs/>
          <w:sz w:val="20"/>
          <w:szCs w:val="20"/>
        </w:rPr>
        <w:t>Figura 5.</w:t>
      </w:r>
      <w:r w:rsidRPr="00745827">
        <w:rPr>
          <w:rFonts w:ascii="Times New Roman" w:hAnsi="Times New Roman" w:cs="Times New Roman"/>
          <w:sz w:val="20"/>
          <w:szCs w:val="20"/>
        </w:rPr>
        <w:t xml:space="preserve"> Gráfico comparativo de densidad energética gravimétrica (eje Y) vs. volumétrica (eje X) para diversas tecnologías de almacenamiento energético. Los valores, representados en escala logarítmica, corresponden al sistema de almacenamiento completo. El gráfico evidencia el desafío volumétrico del hidrógeno (alto en el eje Y, pero a la izquierda en el eje X) en comparación con la gasolina, que se ubica en la región superior derecha de alto rendimiento. </w:t>
      </w:r>
      <w:r w:rsidRPr="00745827">
        <w:rPr>
          <w:rFonts w:ascii="Times New Roman" w:hAnsi="Times New Roman" w:cs="Times New Roman"/>
          <w:sz w:val="20"/>
          <w:szCs w:val="20"/>
          <w:lang w:val="en-US"/>
        </w:rPr>
        <w:t>Fuente: Elaboración propia.</w:t>
      </w:r>
    </w:p>
    <w:p w14:paraId="753AA317" w14:textId="362FA5B2" w:rsidR="005A7E27" w:rsidRPr="00F51E38" w:rsidRDefault="005A7E27" w:rsidP="005A7E27">
      <w:pPr>
        <w:spacing w:after="0" w:line="360" w:lineRule="auto"/>
        <w:jc w:val="both"/>
        <w:rPr>
          <w:rFonts w:ascii="Times New Roman" w:hAnsi="Times New Roman" w:cs="Times New Roman"/>
          <w:b/>
          <w:bCs/>
          <w:sz w:val="24"/>
          <w:szCs w:val="24"/>
        </w:rPr>
      </w:pPr>
      <w:r w:rsidRPr="00F51E38">
        <w:rPr>
          <w:rFonts w:ascii="Times New Roman" w:hAnsi="Times New Roman" w:cs="Times New Roman"/>
          <w:b/>
          <w:bCs/>
          <w:sz w:val="24"/>
          <w:szCs w:val="24"/>
        </w:rPr>
        <w:t>3.3</w:t>
      </w:r>
      <w:r w:rsidRPr="00F51E38">
        <w:rPr>
          <w:rFonts w:ascii="Times New Roman" w:hAnsi="Times New Roman" w:cs="Times New Roman"/>
          <w:b/>
          <w:bCs/>
          <w:sz w:val="24"/>
          <w:szCs w:val="24"/>
        </w:rPr>
        <w:t>.2. Tecnologías de Almacenamiento a Bordo</w:t>
      </w:r>
    </w:p>
    <w:p w14:paraId="658FA07D" w14:textId="77777777" w:rsidR="005A7E27" w:rsidRPr="005A7E27" w:rsidRDefault="005A7E27" w:rsidP="005A7E27">
      <w:pPr>
        <w:spacing w:after="0" w:line="360" w:lineRule="auto"/>
        <w:jc w:val="both"/>
        <w:rPr>
          <w:rFonts w:ascii="Times New Roman" w:hAnsi="Times New Roman" w:cs="Times New Roman"/>
          <w:sz w:val="24"/>
          <w:szCs w:val="24"/>
        </w:rPr>
      </w:pPr>
      <w:r w:rsidRPr="005A7E27">
        <w:rPr>
          <w:rFonts w:ascii="Times New Roman" w:hAnsi="Times New Roman" w:cs="Times New Roman"/>
          <w:sz w:val="24"/>
          <w:szCs w:val="24"/>
        </w:rPr>
        <w:t>Para superar este desafío, se han desarrollado varias tecnologías, siendo tres las más relevantes para aplicaciones automotrices (Züttel et al., 2010):</w:t>
      </w:r>
    </w:p>
    <w:p w14:paraId="520CD46B" w14:textId="04A3FEAF" w:rsidR="005A7E27" w:rsidRPr="00745827" w:rsidRDefault="005A7E27" w:rsidP="00745827">
      <w:pPr>
        <w:pStyle w:val="Prrafodelista"/>
        <w:numPr>
          <w:ilvl w:val="0"/>
          <w:numId w:val="10"/>
        </w:numPr>
        <w:spacing w:after="0" w:line="360" w:lineRule="auto"/>
        <w:jc w:val="both"/>
        <w:rPr>
          <w:rFonts w:ascii="Times New Roman" w:hAnsi="Times New Roman" w:cs="Times New Roman"/>
          <w:sz w:val="24"/>
          <w:szCs w:val="24"/>
        </w:rPr>
      </w:pPr>
      <w:r w:rsidRPr="00745827">
        <w:rPr>
          <w:rFonts w:ascii="Times New Roman" w:hAnsi="Times New Roman" w:cs="Times New Roman"/>
          <w:sz w:val="24"/>
          <w:szCs w:val="24"/>
        </w:rPr>
        <w:t>Gas Comprimido (CGH₂): Es la tecnología más madura. El hidrógeno se almacena en tanques de alta resistencia a 350 bar o, más comúnmente, a 700 bar. Los tanques modernos (Tipo IV) son estructuras de material compuesto con un bobinado de fibra de carbono. Aunque son seguros, persisten desafíos en la reducción de su peso, costo y volumen, así como en la mejora de su durabilidad y velocidad de recarga (Zhao et al., 2023).</w:t>
      </w:r>
    </w:p>
    <w:p w14:paraId="513DF41F" w14:textId="7F20E93A" w:rsidR="005A7E27" w:rsidRPr="00745827" w:rsidRDefault="005A7E27" w:rsidP="00745827">
      <w:pPr>
        <w:pStyle w:val="Prrafodelista"/>
        <w:numPr>
          <w:ilvl w:val="0"/>
          <w:numId w:val="10"/>
        </w:numPr>
        <w:spacing w:after="0" w:line="360" w:lineRule="auto"/>
        <w:jc w:val="both"/>
        <w:rPr>
          <w:rFonts w:ascii="Times New Roman" w:hAnsi="Times New Roman" w:cs="Times New Roman"/>
          <w:sz w:val="24"/>
          <w:szCs w:val="24"/>
        </w:rPr>
      </w:pPr>
      <w:r w:rsidRPr="00745827">
        <w:rPr>
          <w:rFonts w:ascii="Times New Roman" w:hAnsi="Times New Roman" w:cs="Times New Roman"/>
          <w:sz w:val="24"/>
          <w:szCs w:val="24"/>
        </w:rPr>
        <w:lastRenderedPageBreak/>
        <w:t>Hidrógeno Líquido (LH₂): El hidrógeno licuado a temperaturas criogénicas (≈ -253 °C) ofrece una mayor densidad volumétrica. Sin embargo, el alto consumo energético del proceso de licuefacción y las pérdidas por evaporación ("boil-off") siguen siendo barreras significativas (Ahluwalia et al., 2010).</w:t>
      </w:r>
    </w:p>
    <w:p w14:paraId="50CB2EA4" w14:textId="3714249A" w:rsidR="005A7E27" w:rsidRPr="00745827" w:rsidRDefault="005A7E27" w:rsidP="00745827">
      <w:pPr>
        <w:pStyle w:val="Prrafodelista"/>
        <w:numPr>
          <w:ilvl w:val="0"/>
          <w:numId w:val="10"/>
        </w:numPr>
        <w:spacing w:after="0" w:line="360" w:lineRule="auto"/>
        <w:jc w:val="both"/>
        <w:rPr>
          <w:rFonts w:ascii="Times New Roman" w:hAnsi="Times New Roman" w:cs="Times New Roman"/>
          <w:sz w:val="24"/>
          <w:szCs w:val="24"/>
        </w:rPr>
      </w:pPr>
      <w:r w:rsidRPr="00745827">
        <w:rPr>
          <w:rFonts w:ascii="Times New Roman" w:hAnsi="Times New Roman" w:cs="Times New Roman"/>
          <w:sz w:val="24"/>
          <w:szCs w:val="24"/>
        </w:rPr>
        <w:t>Almacenamiento en Estado Sólido (Hidruros Metálicos): Esta tecnología utiliza materiales sólidos que absorben hidrógeno. Ofrece el potencial de una alta densidad volumétrica a presiones más seguras. La investigación reciente se enfoca en mejorar la cinética de absorción/desorción y la gestión térmica, que siguen siendo los principales obstáculos para su aplicación automotriz (Lototskyy et al., 2023; Bardhan et al., 2024).</w:t>
      </w:r>
    </w:p>
    <w:p w14:paraId="1DC91A34" w14:textId="77777777" w:rsidR="005A7E27" w:rsidRPr="005A7E27" w:rsidRDefault="005A7E27" w:rsidP="005A7E27">
      <w:pPr>
        <w:spacing w:after="0" w:line="360" w:lineRule="auto"/>
        <w:jc w:val="both"/>
        <w:rPr>
          <w:rFonts w:ascii="Times New Roman" w:hAnsi="Times New Roman" w:cs="Times New Roman"/>
          <w:sz w:val="24"/>
          <w:szCs w:val="24"/>
        </w:rPr>
      </w:pPr>
      <w:r w:rsidRPr="005A7E27">
        <w:rPr>
          <w:rFonts w:ascii="Times New Roman" w:hAnsi="Times New Roman" w:cs="Times New Roman"/>
          <w:sz w:val="24"/>
          <w:szCs w:val="24"/>
        </w:rPr>
        <w:t>Actualmente, el almacenamiento como gas comprimido a 700 bar es el estándar de facto para los vehículos ligeros de hidrógeno.</w:t>
      </w:r>
    </w:p>
    <w:p w14:paraId="46FF0173" w14:textId="7B7E8DC8" w:rsidR="005A7E27" w:rsidRPr="00745827" w:rsidRDefault="005A7E27" w:rsidP="005A7E27">
      <w:pPr>
        <w:spacing w:after="0" w:line="360" w:lineRule="auto"/>
        <w:jc w:val="both"/>
        <w:rPr>
          <w:rFonts w:ascii="Times New Roman" w:hAnsi="Times New Roman" w:cs="Times New Roman"/>
          <w:b/>
          <w:bCs/>
          <w:sz w:val="24"/>
          <w:szCs w:val="24"/>
        </w:rPr>
      </w:pPr>
      <w:r w:rsidRPr="00745827">
        <w:rPr>
          <w:rFonts w:ascii="Times New Roman" w:hAnsi="Times New Roman" w:cs="Times New Roman"/>
          <w:b/>
          <w:bCs/>
          <w:sz w:val="24"/>
          <w:szCs w:val="24"/>
        </w:rPr>
        <w:t>3.3</w:t>
      </w:r>
      <w:r w:rsidRPr="00745827">
        <w:rPr>
          <w:rFonts w:ascii="Times New Roman" w:hAnsi="Times New Roman" w:cs="Times New Roman"/>
          <w:b/>
          <w:bCs/>
          <w:sz w:val="24"/>
          <w:szCs w:val="24"/>
        </w:rPr>
        <w:t>.3. Implicaciones para la Flota de Alquiler y la Infraestructura en Cuba</w:t>
      </w:r>
    </w:p>
    <w:p w14:paraId="3FE77A56" w14:textId="77777777" w:rsidR="005A7E27" w:rsidRPr="005A7E27" w:rsidRDefault="005A7E27" w:rsidP="005A7E27">
      <w:pPr>
        <w:spacing w:after="0" w:line="360" w:lineRule="auto"/>
        <w:jc w:val="both"/>
        <w:rPr>
          <w:rFonts w:ascii="Times New Roman" w:hAnsi="Times New Roman" w:cs="Times New Roman"/>
          <w:sz w:val="24"/>
          <w:szCs w:val="24"/>
        </w:rPr>
      </w:pPr>
      <w:r w:rsidRPr="005A7E27">
        <w:rPr>
          <w:rFonts w:ascii="Times New Roman" w:hAnsi="Times New Roman" w:cs="Times New Roman"/>
          <w:sz w:val="24"/>
          <w:szCs w:val="24"/>
        </w:rPr>
        <w:t>El desafío del almacenamiento tiene implicaciones directas para la viabilidad del proyecto:</w:t>
      </w:r>
    </w:p>
    <w:p w14:paraId="2E4CFBC0" w14:textId="66A60886" w:rsidR="005A7E27" w:rsidRPr="00745827" w:rsidRDefault="005A7E27" w:rsidP="00745827">
      <w:pPr>
        <w:pStyle w:val="Prrafodelista"/>
        <w:numPr>
          <w:ilvl w:val="0"/>
          <w:numId w:val="11"/>
        </w:numPr>
        <w:spacing w:after="0" w:line="360" w:lineRule="auto"/>
        <w:jc w:val="both"/>
        <w:rPr>
          <w:rFonts w:ascii="Times New Roman" w:hAnsi="Times New Roman" w:cs="Times New Roman"/>
          <w:sz w:val="24"/>
          <w:szCs w:val="24"/>
        </w:rPr>
      </w:pPr>
      <w:r w:rsidRPr="00745827">
        <w:rPr>
          <w:rFonts w:ascii="Times New Roman" w:hAnsi="Times New Roman" w:cs="Times New Roman"/>
          <w:sz w:val="24"/>
          <w:szCs w:val="24"/>
        </w:rPr>
        <w:t>Compromiso de Espacio: La integración de los voluminosos tanques cilíndricos de CGH₂ en un chasis estándar es espacialmente ineficiente en comparación con los tanques de gasolina. Esto inevitablemente reduce el espacio disponible para pasajeros y, de forma crítica para vehículos de alquiler, para el equipaje, representando una desventaja funcional.</w:t>
      </w:r>
    </w:p>
    <w:p w14:paraId="5A62CBAA" w14:textId="58DE230F" w:rsidR="005A7E27" w:rsidRPr="00745827" w:rsidRDefault="005A7E27" w:rsidP="00745827">
      <w:pPr>
        <w:pStyle w:val="Prrafodelista"/>
        <w:numPr>
          <w:ilvl w:val="0"/>
          <w:numId w:val="11"/>
        </w:numPr>
        <w:spacing w:after="0" w:line="360" w:lineRule="auto"/>
        <w:jc w:val="both"/>
        <w:rPr>
          <w:rFonts w:ascii="Times New Roman" w:hAnsi="Times New Roman" w:cs="Times New Roman"/>
          <w:sz w:val="24"/>
          <w:szCs w:val="24"/>
        </w:rPr>
      </w:pPr>
      <w:r w:rsidRPr="00745827">
        <w:rPr>
          <w:rFonts w:ascii="Times New Roman" w:hAnsi="Times New Roman" w:cs="Times New Roman"/>
          <w:sz w:val="24"/>
          <w:szCs w:val="24"/>
        </w:rPr>
        <w:t>Infraestructura de Suministro: Se requiere la construcción de estaciones de servicio especializadas ("hidrogeneras") capaces de dispensar hidrógeno de forma segura a 700 bar. El costo de capital y los requisitos técnicos de estas estaciones representan una barrera económica y logística significativa que debe ser superada para que la flota sea operativa.</w:t>
      </w:r>
    </w:p>
    <w:p w14:paraId="4EDE5709" w14:textId="2227EE4B" w:rsidR="00B72C32" w:rsidRDefault="005A7E27" w:rsidP="00745827">
      <w:pPr>
        <w:spacing w:line="360" w:lineRule="auto"/>
        <w:jc w:val="both"/>
        <w:rPr>
          <w:rFonts w:ascii="Times New Roman" w:hAnsi="Times New Roman" w:cs="Times New Roman"/>
          <w:sz w:val="24"/>
          <w:szCs w:val="24"/>
        </w:rPr>
      </w:pPr>
      <w:r w:rsidRPr="005A7E27">
        <w:rPr>
          <w:rFonts w:ascii="Times New Roman" w:hAnsi="Times New Roman" w:cs="Times New Roman"/>
          <w:sz w:val="24"/>
          <w:szCs w:val="24"/>
        </w:rPr>
        <w:t>En conclusión, si bien existen soluciones tecnológicas para el almacenamiento de hidrógeno, estas imponen compromisos en términos de espacio, peso y complejidad de infraestructura que deben ser evaluados en futuros análisis tecno-económicos.</w:t>
      </w:r>
    </w:p>
    <w:p w14:paraId="42BDDFA4" w14:textId="77777777" w:rsidR="00B72C32" w:rsidRPr="00FF3346" w:rsidRDefault="00B72C32" w:rsidP="00B72C3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14:paraId="3F7E24FF" w14:textId="77777777" w:rsidR="005A7E27" w:rsidRPr="005A7E27" w:rsidRDefault="005A7E27" w:rsidP="005A7E27">
      <w:pPr>
        <w:spacing w:after="0" w:line="360" w:lineRule="auto"/>
        <w:jc w:val="both"/>
        <w:rPr>
          <w:rFonts w:ascii="Times New Roman" w:hAnsi="Times New Roman" w:cs="Times New Roman"/>
          <w:sz w:val="24"/>
          <w:szCs w:val="24"/>
        </w:rPr>
      </w:pPr>
      <w:r w:rsidRPr="005A7E27">
        <w:rPr>
          <w:rFonts w:ascii="Times New Roman" w:hAnsi="Times New Roman" w:cs="Times New Roman"/>
          <w:sz w:val="24"/>
          <w:szCs w:val="24"/>
        </w:rPr>
        <w:t xml:space="preserve">Este estudio confirma la viabilidad teórica de implementar motores de combustión interna de hidrógeno (MCI-H₂) en la flota de automóviles de alquiler de Cuba como una </w:t>
      </w:r>
      <w:r w:rsidRPr="005A7E27">
        <w:rPr>
          <w:rFonts w:ascii="Times New Roman" w:hAnsi="Times New Roman" w:cs="Times New Roman"/>
          <w:sz w:val="24"/>
          <w:szCs w:val="24"/>
        </w:rPr>
        <w:lastRenderedPageBreak/>
        <w:t>alternativa tecnológica superior. El análisis demuestra que la tecnología ofrece un rendimiento ambientalmente limpio y de alta eficiencia, que la producción de hidrógeno verde mediante electrólisis solar se alinea estratégicamente con los recursos nacionales para fomentar la soberanía energética, y que el principal desafío técnico reside en las soluciones de almacenamiento a bordo y el desarrollo de la infraestructura de suministro.</w:t>
      </w:r>
    </w:p>
    <w:p w14:paraId="7D46D745" w14:textId="655E12F1" w:rsidR="00B72C32" w:rsidRDefault="005A7E27" w:rsidP="005A7E27">
      <w:pPr>
        <w:spacing w:line="360" w:lineRule="auto"/>
        <w:jc w:val="both"/>
        <w:rPr>
          <w:rFonts w:ascii="Times New Roman" w:hAnsi="Times New Roman" w:cs="Times New Roman"/>
          <w:sz w:val="24"/>
          <w:szCs w:val="24"/>
        </w:rPr>
      </w:pPr>
      <w:r w:rsidRPr="005A7E27">
        <w:rPr>
          <w:rFonts w:ascii="Times New Roman" w:hAnsi="Times New Roman" w:cs="Times New Roman"/>
          <w:sz w:val="24"/>
          <w:szCs w:val="24"/>
        </w:rPr>
        <w:t>La principal contribución de este trabajo es el establecimiento de un marco de viabilidad que alinea una tecnología de propulsión limpia con un contexto socio-económico y energético específico. No obstante, al ser un análisis basado en la literatura, se abren futuras líneas de investigación indispensables para la implementación práctica. Se recomienda enfocar los esfuerzos subsecuentes en análisis tecno-económicos que cuantifiquen los costos de inversión y operación en el escenario cubano, así como en el desarrollo de proyectos piloto para validar el rendimiento y la durabilidad de los MCI-H₂ en condiciones reales.</w:t>
      </w:r>
    </w:p>
    <w:p w14:paraId="21BD7199" w14:textId="77777777" w:rsidR="00B72C32" w:rsidRPr="00FF3346" w:rsidRDefault="00B72C32" w:rsidP="00B72C32">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14:paraId="0570E534"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Acar, C., &amp; Dincer, I. (2023). A comprehensive review on the techno-economic analysis of hydrogen energy systems: From production to utilization. </w:t>
      </w:r>
      <w:r w:rsidRPr="005A7E27">
        <w:rPr>
          <w:rFonts w:ascii="Times New Roman" w:hAnsi="Times New Roman" w:cs="Times New Roman"/>
          <w:i/>
          <w:iCs/>
          <w:sz w:val="24"/>
          <w:szCs w:val="24"/>
          <w:lang w:val="en-US"/>
        </w:rPr>
        <w:t>Renewable and Sustainable Energy Reviews</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182</w:t>
      </w:r>
      <w:r w:rsidRPr="005A7E27">
        <w:rPr>
          <w:rFonts w:ascii="Times New Roman" w:hAnsi="Times New Roman" w:cs="Times New Roman"/>
          <w:sz w:val="24"/>
          <w:szCs w:val="24"/>
          <w:lang w:val="en-US"/>
        </w:rPr>
        <w:t xml:space="preserve">, 113245. </w:t>
      </w:r>
      <w:hyperlink r:id="rId16" w:tgtFrame="_blank" w:history="1">
        <w:r w:rsidRPr="005A7E27">
          <w:rPr>
            <w:rStyle w:val="Hipervnculo"/>
            <w:rFonts w:ascii="Times New Roman" w:hAnsi="Times New Roman" w:cs="Times New Roman"/>
            <w:sz w:val="24"/>
            <w:szCs w:val="24"/>
            <w:lang w:val="en-US"/>
          </w:rPr>
          <w:t>https://doi.org/10.1016/j.rser.2023.113245</w:t>
        </w:r>
      </w:hyperlink>
    </w:p>
    <w:p w14:paraId="5715BE6D"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Ahluwalia, R. K., Hua, T. Q., Peng, J. K., Kromer, M., Lasher, S., McKenney, K., Law, K., &amp; Sinha, J. (2010). Technical assessment of cryo-compressed hydrogen storage tank for automotive applications.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35</w:t>
      </w:r>
      <w:r w:rsidRPr="005A7E27">
        <w:rPr>
          <w:rFonts w:ascii="Times New Roman" w:hAnsi="Times New Roman" w:cs="Times New Roman"/>
          <w:sz w:val="24"/>
          <w:szCs w:val="24"/>
          <w:lang w:val="en-US"/>
        </w:rPr>
        <w:t xml:space="preserve">(9), 4171–4184. </w:t>
      </w:r>
      <w:hyperlink r:id="rId17" w:tgtFrame="_blank" w:history="1">
        <w:r w:rsidRPr="005A7E27">
          <w:rPr>
            <w:rStyle w:val="Hipervnculo"/>
            <w:rFonts w:ascii="Times New Roman" w:hAnsi="Times New Roman" w:cs="Times New Roman"/>
            <w:sz w:val="24"/>
            <w:szCs w:val="24"/>
            <w:lang w:val="en-US"/>
          </w:rPr>
          <w:t>https://doi.org/10.1016/j.ijhydene.2010.02.019</w:t>
        </w:r>
      </w:hyperlink>
    </w:p>
    <w:p w14:paraId="783740D3"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Bardhan, R., Chakraborty, S., &amp; Kumar, S. (2024). Solid-state hydrogen storage for automotive applications: Beyond the current horizon. </w:t>
      </w:r>
      <w:r w:rsidRPr="005A7E27">
        <w:rPr>
          <w:rFonts w:ascii="Times New Roman" w:hAnsi="Times New Roman" w:cs="Times New Roman"/>
          <w:i/>
          <w:iCs/>
          <w:sz w:val="24"/>
          <w:szCs w:val="24"/>
          <w:lang w:val="en-US"/>
        </w:rPr>
        <w:t>Materials Today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39</w:t>
      </w:r>
      <w:r w:rsidRPr="005A7E27">
        <w:rPr>
          <w:rFonts w:ascii="Times New Roman" w:hAnsi="Times New Roman" w:cs="Times New Roman"/>
          <w:sz w:val="24"/>
          <w:szCs w:val="24"/>
          <w:lang w:val="en-US"/>
        </w:rPr>
        <w:t xml:space="preserve">, 101456. </w:t>
      </w:r>
      <w:hyperlink r:id="rId18" w:tgtFrame="_blank" w:history="1">
        <w:r w:rsidRPr="005A7E27">
          <w:rPr>
            <w:rStyle w:val="Hipervnculo"/>
            <w:rFonts w:ascii="Times New Roman" w:hAnsi="Times New Roman" w:cs="Times New Roman"/>
            <w:sz w:val="24"/>
            <w:szCs w:val="24"/>
            <w:lang w:val="en-US"/>
          </w:rPr>
          <w:t>https://doi.org/10.1016/j.mtener.2024.101456</w:t>
        </w:r>
      </w:hyperlink>
    </w:p>
    <w:p w14:paraId="7ABEC7B3"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Bhandari, R., Trudewind, C. A., &amp; Zapp, P. (2024). A comparative life-cycle assessment of hydrogen production methods: From fossil fuels to water electrolysis. </w:t>
      </w:r>
      <w:r w:rsidRPr="005A7E27">
        <w:rPr>
          <w:rFonts w:ascii="Times New Roman" w:hAnsi="Times New Roman" w:cs="Times New Roman"/>
          <w:i/>
          <w:iCs/>
          <w:sz w:val="24"/>
          <w:szCs w:val="24"/>
          <w:lang w:val="en-US"/>
        </w:rPr>
        <w:t>Journal of Cleaner Production</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434</w:t>
      </w:r>
      <w:r w:rsidRPr="005A7E27">
        <w:rPr>
          <w:rFonts w:ascii="Times New Roman" w:hAnsi="Times New Roman" w:cs="Times New Roman"/>
          <w:sz w:val="24"/>
          <w:szCs w:val="24"/>
          <w:lang w:val="en-US"/>
        </w:rPr>
        <w:t xml:space="preserve">, 140814. </w:t>
      </w:r>
      <w:hyperlink r:id="rId19" w:tgtFrame="_blank" w:history="1">
        <w:r w:rsidRPr="005A7E27">
          <w:rPr>
            <w:rStyle w:val="Hipervnculo"/>
            <w:rFonts w:ascii="Times New Roman" w:hAnsi="Times New Roman" w:cs="Times New Roman"/>
            <w:sz w:val="24"/>
            <w:szCs w:val="24"/>
            <w:lang w:val="en-US"/>
          </w:rPr>
          <w:t>https://doi.org/10.1016/j.jclepro.2024.140814</w:t>
        </w:r>
      </w:hyperlink>
    </w:p>
    <w:p w14:paraId="04001159"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rPr>
        <w:lastRenderedPageBreak/>
        <w:t xml:space="preserve">Cano, L., Marrero, A., Marrero, G., &amp; Lloret, J. (2023). </w:t>
      </w:r>
      <w:r w:rsidRPr="005A7E27">
        <w:rPr>
          <w:rFonts w:ascii="Times New Roman" w:hAnsi="Times New Roman" w:cs="Times New Roman"/>
          <w:sz w:val="24"/>
          <w:szCs w:val="24"/>
          <w:lang w:val="en-US"/>
        </w:rPr>
        <w:t xml:space="preserve">Well-to-wheel environmental implications of fuel cell electric vehicles with green hydrogen. </w:t>
      </w:r>
      <w:r w:rsidRPr="005A7E27">
        <w:rPr>
          <w:rFonts w:ascii="Times New Roman" w:hAnsi="Times New Roman" w:cs="Times New Roman"/>
          <w:i/>
          <w:iCs/>
          <w:sz w:val="24"/>
          <w:szCs w:val="24"/>
          <w:lang w:val="en-US"/>
        </w:rPr>
        <w:t>Sustainable Energy Technologies and Assessments</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57</w:t>
      </w:r>
      <w:r w:rsidRPr="005A7E27">
        <w:rPr>
          <w:rFonts w:ascii="Times New Roman" w:hAnsi="Times New Roman" w:cs="Times New Roman"/>
          <w:sz w:val="24"/>
          <w:szCs w:val="24"/>
          <w:lang w:val="en-US"/>
        </w:rPr>
        <w:t xml:space="preserve">, 103245. </w:t>
      </w:r>
      <w:hyperlink r:id="rId20" w:tgtFrame="_blank" w:history="1">
        <w:r w:rsidRPr="005A7E27">
          <w:rPr>
            <w:rStyle w:val="Hipervnculo"/>
            <w:rFonts w:ascii="Times New Roman" w:hAnsi="Times New Roman" w:cs="Times New Roman"/>
            <w:sz w:val="24"/>
            <w:szCs w:val="24"/>
            <w:lang w:val="en-US"/>
          </w:rPr>
          <w:t>https://doi.org/10.1016/j.seta.2023.103245</w:t>
        </w:r>
      </w:hyperlink>
    </w:p>
    <w:p w14:paraId="11A6256D"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Dawood, F., Anda, M., &amp; Shafiullah, G. M. (2022). Green hydrogen: A pathway to a sustainable energy future.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47</w:t>
      </w:r>
      <w:r w:rsidRPr="005A7E27">
        <w:rPr>
          <w:rFonts w:ascii="Times New Roman" w:hAnsi="Times New Roman" w:cs="Times New Roman"/>
          <w:sz w:val="24"/>
          <w:szCs w:val="24"/>
          <w:lang w:val="en-US"/>
        </w:rPr>
        <w:t xml:space="preserve">(69), 29638-29661. </w:t>
      </w:r>
      <w:hyperlink r:id="rId21" w:tgtFrame="_blank" w:history="1">
        <w:r w:rsidRPr="005A7E27">
          <w:rPr>
            <w:rStyle w:val="Hipervnculo"/>
            <w:rFonts w:ascii="Times New Roman" w:hAnsi="Times New Roman" w:cs="Times New Roman"/>
            <w:sz w:val="24"/>
            <w:szCs w:val="24"/>
            <w:lang w:val="en-US"/>
          </w:rPr>
          <w:t>https://doi.org/10.1016/j.ijhydene.2022.07.083</w:t>
        </w:r>
      </w:hyperlink>
    </w:p>
    <w:p w14:paraId="2DF692E0"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Dincer, I., &amp; Acar, C. (2015). Review and evaluation of hydrogen production methods for better sustainability.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40</w:t>
      </w:r>
      <w:r w:rsidRPr="005A7E27">
        <w:rPr>
          <w:rFonts w:ascii="Times New Roman" w:hAnsi="Times New Roman" w:cs="Times New Roman"/>
          <w:sz w:val="24"/>
          <w:szCs w:val="24"/>
          <w:lang w:val="en-US"/>
        </w:rPr>
        <w:t xml:space="preserve">(34), 11094–11111. </w:t>
      </w:r>
      <w:hyperlink r:id="rId22" w:tgtFrame="_blank" w:history="1">
        <w:r w:rsidRPr="005A7E27">
          <w:rPr>
            <w:rStyle w:val="Hipervnculo"/>
            <w:rFonts w:ascii="Times New Roman" w:hAnsi="Times New Roman" w:cs="Times New Roman"/>
            <w:sz w:val="24"/>
            <w:szCs w:val="24"/>
            <w:lang w:val="en-US"/>
          </w:rPr>
          <w:t>https://doi.org/10.1016/j.ijhydene.2014.12.035</w:t>
        </w:r>
      </w:hyperlink>
    </w:p>
    <w:p w14:paraId="676D71C4"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rPr>
        <w:t xml:space="preserve">García-Ferro, M., Puig, R., &amp; Montes, M. (2018). </w:t>
      </w:r>
      <w:r w:rsidRPr="005A7E27">
        <w:rPr>
          <w:rFonts w:ascii="Times New Roman" w:hAnsi="Times New Roman" w:cs="Times New Roman"/>
          <w:sz w:val="24"/>
          <w:szCs w:val="24"/>
          <w:lang w:val="en-US"/>
        </w:rPr>
        <w:t xml:space="preserve">Assessment of the solar photovoltaic potential in Cuba. </w:t>
      </w:r>
      <w:r w:rsidRPr="005A7E27">
        <w:rPr>
          <w:rFonts w:ascii="Times New Roman" w:hAnsi="Times New Roman" w:cs="Times New Roman"/>
          <w:i/>
          <w:iCs/>
          <w:sz w:val="24"/>
          <w:szCs w:val="24"/>
          <w:lang w:val="en-US"/>
        </w:rPr>
        <w:t>Renewable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125</w:t>
      </w:r>
      <w:r w:rsidRPr="005A7E27">
        <w:rPr>
          <w:rFonts w:ascii="Times New Roman" w:hAnsi="Times New Roman" w:cs="Times New Roman"/>
          <w:sz w:val="24"/>
          <w:szCs w:val="24"/>
          <w:lang w:val="en-US"/>
        </w:rPr>
        <w:t xml:space="preserve">, 249–259. </w:t>
      </w:r>
      <w:hyperlink r:id="rId23" w:tgtFrame="_blank" w:history="1">
        <w:r w:rsidRPr="005A7E27">
          <w:rPr>
            <w:rStyle w:val="Hipervnculo"/>
            <w:rFonts w:ascii="Times New Roman" w:hAnsi="Times New Roman" w:cs="Times New Roman"/>
            <w:sz w:val="24"/>
            <w:szCs w:val="24"/>
            <w:lang w:val="en-US"/>
          </w:rPr>
          <w:t>https://doi.org/10.1016/j.renene.2018.02.083</w:t>
        </w:r>
      </w:hyperlink>
    </w:p>
    <w:p w14:paraId="6CB25699"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rPr>
        <w:t xml:space="preserve">Guerra, O. J., Hirmas, M., &amp; Henríquez-Vargas, L. (2023). </w:t>
      </w:r>
      <w:r w:rsidRPr="005A7E27">
        <w:rPr>
          <w:rFonts w:ascii="Times New Roman" w:hAnsi="Times New Roman" w:cs="Times New Roman"/>
          <w:sz w:val="24"/>
          <w:szCs w:val="24"/>
          <w:lang w:val="en-US"/>
        </w:rPr>
        <w:t xml:space="preserve">Techno-economic analysis of green hydrogen production from solar and wind energy: A case study of Chile. </w:t>
      </w:r>
      <w:r w:rsidRPr="005A7E27">
        <w:rPr>
          <w:rFonts w:ascii="Times New Roman" w:hAnsi="Times New Roman" w:cs="Times New Roman"/>
          <w:i/>
          <w:iCs/>
          <w:sz w:val="24"/>
          <w:szCs w:val="24"/>
          <w:lang w:val="en-US"/>
        </w:rPr>
        <w:t>Energy Economics</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123</w:t>
      </w:r>
      <w:r w:rsidRPr="005A7E27">
        <w:rPr>
          <w:rFonts w:ascii="Times New Roman" w:hAnsi="Times New Roman" w:cs="Times New Roman"/>
          <w:sz w:val="24"/>
          <w:szCs w:val="24"/>
          <w:lang w:val="en-US"/>
        </w:rPr>
        <w:t xml:space="preserve">, 106782. </w:t>
      </w:r>
      <w:hyperlink r:id="rId24" w:tgtFrame="_blank" w:history="1">
        <w:r w:rsidRPr="005A7E27">
          <w:rPr>
            <w:rStyle w:val="Hipervnculo"/>
            <w:rFonts w:ascii="Times New Roman" w:hAnsi="Times New Roman" w:cs="Times New Roman"/>
            <w:sz w:val="24"/>
            <w:szCs w:val="24"/>
            <w:lang w:val="en-US"/>
          </w:rPr>
          <w:t>https://doi.org/10.1016/j.eneco.2023.106782</w:t>
        </w:r>
      </w:hyperlink>
    </w:p>
    <w:p w14:paraId="10B12917"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International Renewable Energy Agency (IRENA). (2020). </w:t>
      </w:r>
      <w:r w:rsidRPr="005A7E27">
        <w:rPr>
          <w:rFonts w:ascii="Times New Roman" w:hAnsi="Times New Roman" w:cs="Times New Roman"/>
          <w:i/>
          <w:iCs/>
          <w:sz w:val="24"/>
          <w:szCs w:val="24"/>
          <w:lang w:val="en-US"/>
        </w:rPr>
        <w:t>Green Hydrogen Cost Reduction: Scaling up Electrolysers to Meet the 1.5°C Climate Goal</w:t>
      </w:r>
      <w:r w:rsidRPr="005A7E27">
        <w:rPr>
          <w:rFonts w:ascii="Times New Roman" w:hAnsi="Times New Roman" w:cs="Times New Roman"/>
          <w:sz w:val="24"/>
          <w:szCs w:val="24"/>
          <w:lang w:val="en-US"/>
        </w:rPr>
        <w:t>. IRENA.</w:t>
      </w:r>
    </w:p>
    <w:p w14:paraId="7782146B"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Jain, I. P., Lal, C., &amp; Jain, A. (2023). A critical review on the current trends and future prospects of materials for on-board hydrogen storage systems. </w:t>
      </w:r>
      <w:r w:rsidRPr="005A7E27">
        <w:rPr>
          <w:rFonts w:ascii="Times New Roman" w:hAnsi="Times New Roman" w:cs="Times New Roman"/>
          <w:i/>
          <w:iCs/>
          <w:sz w:val="24"/>
          <w:szCs w:val="24"/>
          <w:lang w:val="en-US"/>
        </w:rPr>
        <w:t>Progress in Materials Science</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133</w:t>
      </w:r>
      <w:r w:rsidRPr="005A7E27">
        <w:rPr>
          <w:rFonts w:ascii="Times New Roman" w:hAnsi="Times New Roman" w:cs="Times New Roman"/>
          <w:sz w:val="24"/>
          <w:szCs w:val="24"/>
          <w:lang w:val="en-US"/>
        </w:rPr>
        <w:t xml:space="preserve">, 101049. </w:t>
      </w:r>
      <w:hyperlink r:id="rId25" w:tgtFrame="_blank" w:history="1">
        <w:r w:rsidRPr="005A7E27">
          <w:rPr>
            <w:rStyle w:val="Hipervnculo"/>
            <w:rFonts w:ascii="Times New Roman" w:hAnsi="Times New Roman" w:cs="Times New Roman"/>
            <w:sz w:val="24"/>
            <w:szCs w:val="24"/>
            <w:lang w:val="en-US"/>
          </w:rPr>
          <w:t>https://doi.org/10.1016/j.pmatsci.2023.101049</w:t>
        </w:r>
      </w:hyperlink>
    </w:p>
    <w:p w14:paraId="54564E7F"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Karim, G. A. (2003). Hydrogen as a spark ignition engine fuel.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28</w:t>
      </w:r>
      <w:r w:rsidRPr="005A7E27">
        <w:rPr>
          <w:rFonts w:ascii="Times New Roman" w:hAnsi="Times New Roman" w:cs="Times New Roman"/>
          <w:sz w:val="24"/>
          <w:szCs w:val="24"/>
          <w:lang w:val="en-US"/>
        </w:rPr>
        <w:t xml:space="preserve">(5), 569–577. </w:t>
      </w:r>
      <w:hyperlink r:id="rId26" w:tgtFrame="_blank" w:history="1">
        <w:r w:rsidRPr="005A7E27">
          <w:rPr>
            <w:rStyle w:val="Hipervnculo"/>
            <w:rFonts w:ascii="Times New Roman" w:hAnsi="Times New Roman" w:cs="Times New Roman"/>
            <w:sz w:val="24"/>
            <w:szCs w:val="24"/>
            <w:lang w:val="en-US"/>
          </w:rPr>
          <w:t>https://doi.org/10.1016/S0360-3199(02)00150-6</w:t>
        </w:r>
      </w:hyperlink>
    </w:p>
    <w:p w14:paraId="0E0E4145"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Karthikeyan, S., B, S., Kumar, G. N., &amp; Kumar, G. V. (2023). Experimental investigation on the effects of compression ratio on performance and emissions </w:t>
      </w:r>
      <w:r w:rsidRPr="005A7E27">
        <w:rPr>
          <w:rFonts w:ascii="Times New Roman" w:hAnsi="Times New Roman" w:cs="Times New Roman"/>
          <w:sz w:val="24"/>
          <w:szCs w:val="24"/>
          <w:lang w:val="en-US"/>
        </w:rPr>
        <w:lastRenderedPageBreak/>
        <w:t xml:space="preserve">of a hydrogen-enriched biogas fueled SI engine. </w:t>
      </w:r>
      <w:r w:rsidRPr="005A7E27">
        <w:rPr>
          <w:rFonts w:ascii="Times New Roman" w:hAnsi="Times New Roman" w:cs="Times New Roman"/>
          <w:i/>
          <w:iCs/>
          <w:sz w:val="24"/>
          <w:szCs w:val="24"/>
          <w:lang w:val="en-US"/>
        </w:rPr>
        <w:t>Fuel</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347</w:t>
      </w:r>
      <w:r w:rsidRPr="005A7E27">
        <w:rPr>
          <w:rFonts w:ascii="Times New Roman" w:hAnsi="Times New Roman" w:cs="Times New Roman"/>
          <w:sz w:val="24"/>
          <w:szCs w:val="24"/>
          <w:lang w:val="en-US"/>
        </w:rPr>
        <w:t xml:space="preserve">, 128456. </w:t>
      </w:r>
      <w:hyperlink r:id="rId27" w:tgtFrame="_blank" w:history="1">
        <w:r w:rsidRPr="005A7E27">
          <w:rPr>
            <w:rStyle w:val="Hipervnculo"/>
            <w:rFonts w:ascii="Times New Roman" w:hAnsi="Times New Roman" w:cs="Times New Roman"/>
            <w:sz w:val="24"/>
            <w:szCs w:val="24"/>
            <w:lang w:val="en-US"/>
          </w:rPr>
          <w:t>https://doi.org/10.1016/j.fuel.2023.128456</w:t>
        </w:r>
      </w:hyperlink>
    </w:p>
    <w:p w14:paraId="53EAB374"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Lototskyy, M. V., Tolj, I., Pickering, L., Sita, C., Barbir, F., &amp; Yartys, V. (2023). Metal hydrides for hydrogen storage: A review of the recent progress and future perspectives. </w:t>
      </w:r>
      <w:r w:rsidRPr="005A7E27">
        <w:rPr>
          <w:rFonts w:ascii="Times New Roman" w:hAnsi="Times New Roman" w:cs="Times New Roman"/>
          <w:i/>
          <w:iCs/>
          <w:sz w:val="24"/>
          <w:szCs w:val="24"/>
          <w:lang w:val="en-US"/>
        </w:rPr>
        <w:t>Renewable and Sustainable Energy Reviews</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182</w:t>
      </w:r>
      <w:r w:rsidRPr="005A7E27">
        <w:rPr>
          <w:rFonts w:ascii="Times New Roman" w:hAnsi="Times New Roman" w:cs="Times New Roman"/>
          <w:sz w:val="24"/>
          <w:szCs w:val="24"/>
          <w:lang w:val="en-US"/>
        </w:rPr>
        <w:t xml:space="preserve">, 113276. </w:t>
      </w:r>
      <w:hyperlink r:id="rId28" w:tgtFrame="_blank" w:history="1">
        <w:r w:rsidRPr="005A7E27">
          <w:rPr>
            <w:rStyle w:val="Hipervnculo"/>
            <w:rFonts w:ascii="Times New Roman" w:hAnsi="Times New Roman" w:cs="Times New Roman"/>
            <w:sz w:val="24"/>
            <w:szCs w:val="24"/>
            <w:lang w:val="en-US"/>
          </w:rPr>
          <w:t>https://doi.org/10.1016/j.rser.2023.113276</w:t>
        </w:r>
      </w:hyperlink>
    </w:p>
    <w:p w14:paraId="6DF35C9A"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Mehra, R. K., Duan, H., Zhang, B., Singh, A. P., &amp; Kumar, S. (2024). A critical review of the hydrogen combustion strategies in the spark-ignition engine: CFD modeling and experimental approaches. </w:t>
      </w:r>
      <w:r w:rsidRPr="005A7E27">
        <w:rPr>
          <w:rFonts w:ascii="Times New Roman" w:hAnsi="Times New Roman" w:cs="Times New Roman"/>
          <w:i/>
          <w:iCs/>
          <w:sz w:val="24"/>
          <w:szCs w:val="24"/>
          <w:lang w:val="en-US"/>
        </w:rPr>
        <w:t>Energy Conversion and Management</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303</w:t>
      </w:r>
      <w:r w:rsidRPr="005A7E27">
        <w:rPr>
          <w:rFonts w:ascii="Times New Roman" w:hAnsi="Times New Roman" w:cs="Times New Roman"/>
          <w:sz w:val="24"/>
          <w:szCs w:val="24"/>
          <w:lang w:val="en-US"/>
        </w:rPr>
        <w:t xml:space="preserve">, 118012. </w:t>
      </w:r>
      <w:hyperlink r:id="rId29" w:tgtFrame="_blank" w:history="1">
        <w:r w:rsidRPr="005A7E27">
          <w:rPr>
            <w:rStyle w:val="Hipervnculo"/>
            <w:rFonts w:ascii="Times New Roman" w:hAnsi="Times New Roman" w:cs="Times New Roman"/>
            <w:sz w:val="24"/>
            <w:szCs w:val="24"/>
            <w:lang w:val="en-US"/>
          </w:rPr>
          <w:t>https://doi.org/10.1016/j.enconman.2024.118012</w:t>
        </w:r>
      </w:hyperlink>
    </w:p>
    <w:p w14:paraId="2C347CA1"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rPr>
        <w:t xml:space="preserve">Naber, J. D., &amp; Siebers, D. L. (1996). </w:t>
      </w:r>
      <w:r w:rsidRPr="005A7E27">
        <w:rPr>
          <w:rFonts w:ascii="Times New Roman" w:hAnsi="Times New Roman" w:cs="Times New Roman"/>
          <w:sz w:val="24"/>
          <w:szCs w:val="24"/>
          <w:lang w:val="en-US"/>
        </w:rPr>
        <w:t xml:space="preserve">Effects of natural gas composition on spark-ignition engine combustion and emissions. </w:t>
      </w:r>
      <w:r w:rsidRPr="005A7E27">
        <w:rPr>
          <w:rFonts w:ascii="Times New Roman" w:hAnsi="Times New Roman" w:cs="Times New Roman"/>
          <w:i/>
          <w:iCs/>
          <w:sz w:val="24"/>
          <w:szCs w:val="24"/>
          <w:lang w:val="en-US"/>
        </w:rPr>
        <w:t>SAE Transactions</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105</w:t>
      </w:r>
      <w:r w:rsidRPr="005A7E27">
        <w:rPr>
          <w:rFonts w:ascii="Times New Roman" w:hAnsi="Times New Roman" w:cs="Times New Roman"/>
          <w:sz w:val="24"/>
          <w:szCs w:val="24"/>
          <w:lang w:val="en-US"/>
        </w:rPr>
        <w:t xml:space="preserve">, 828–847. </w:t>
      </w:r>
      <w:hyperlink r:id="rId30" w:tgtFrame="_blank" w:history="1">
        <w:r w:rsidRPr="005A7E27">
          <w:rPr>
            <w:rStyle w:val="Hipervnculo"/>
            <w:rFonts w:ascii="Times New Roman" w:hAnsi="Times New Roman" w:cs="Times New Roman"/>
            <w:sz w:val="24"/>
            <w:szCs w:val="24"/>
            <w:lang w:val="en-US"/>
          </w:rPr>
          <w:t>https://doi.org/10.4271/960849</w:t>
        </w:r>
      </w:hyperlink>
    </w:p>
    <w:p w14:paraId="749DE98D"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Nikolaidis, P., &amp; Poullikkas, A. (2017). A comparative overview of hydrogen production processes. </w:t>
      </w:r>
      <w:r w:rsidRPr="005A7E27">
        <w:rPr>
          <w:rFonts w:ascii="Times New Roman" w:hAnsi="Times New Roman" w:cs="Times New Roman"/>
          <w:i/>
          <w:iCs/>
          <w:sz w:val="24"/>
          <w:szCs w:val="24"/>
          <w:lang w:val="en-US"/>
        </w:rPr>
        <w:t>Renewable and Sustainable Energy Reviews</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67</w:t>
      </w:r>
      <w:r w:rsidRPr="005A7E27">
        <w:rPr>
          <w:rFonts w:ascii="Times New Roman" w:hAnsi="Times New Roman" w:cs="Times New Roman"/>
          <w:sz w:val="24"/>
          <w:szCs w:val="24"/>
          <w:lang w:val="en-US"/>
        </w:rPr>
        <w:t xml:space="preserve">, 597–611. </w:t>
      </w:r>
      <w:hyperlink r:id="rId31" w:tgtFrame="_blank" w:history="1">
        <w:r w:rsidRPr="005A7E27">
          <w:rPr>
            <w:rStyle w:val="Hipervnculo"/>
            <w:rFonts w:ascii="Times New Roman" w:hAnsi="Times New Roman" w:cs="Times New Roman"/>
            <w:sz w:val="24"/>
            <w:szCs w:val="24"/>
            <w:lang w:val="en-US"/>
          </w:rPr>
          <w:t>https://doi.org/10.1016/j.rser.2016.09.044</w:t>
        </w:r>
      </w:hyperlink>
    </w:p>
    <w:p w14:paraId="6915C7D9"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rPr>
      </w:pPr>
      <w:r w:rsidRPr="005A7E27">
        <w:rPr>
          <w:rFonts w:ascii="Times New Roman" w:hAnsi="Times New Roman" w:cs="Times New Roman"/>
          <w:sz w:val="24"/>
          <w:szCs w:val="24"/>
          <w:lang w:val="en-US"/>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5A7E27">
        <w:rPr>
          <w:rFonts w:ascii="Times New Roman" w:hAnsi="Times New Roman" w:cs="Times New Roman"/>
          <w:i/>
          <w:iCs/>
          <w:sz w:val="24"/>
          <w:szCs w:val="24"/>
        </w:rPr>
        <w:t>BMJ</w:t>
      </w:r>
      <w:r w:rsidRPr="005A7E27">
        <w:rPr>
          <w:rFonts w:ascii="Times New Roman" w:hAnsi="Times New Roman" w:cs="Times New Roman"/>
          <w:sz w:val="24"/>
          <w:szCs w:val="24"/>
        </w:rPr>
        <w:t xml:space="preserve">, </w:t>
      </w:r>
      <w:r w:rsidRPr="005A7E27">
        <w:rPr>
          <w:rFonts w:ascii="Times New Roman" w:hAnsi="Times New Roman" w:cs="Times New Roman"/>
          <w:i/>
          <w:iCs/>
          <w:sz w:val="24"/>
          <w:szCs w:val="24"/>
        </w:rPr>
        <w:t>372</w:t>
      </w:r>
      <w:r w:rsidRPr="005A7E27">
        <w:rPr>
          <w:rFonts w:ascii="Times New Roman" w:hAnsi="Times New Roman" w:cs="Times New Roman"/>
          <w:sz w:val="24"/>
          <w:szCs w:val="24"/>
        </w:rPr>
        <w:t xml:space="preserve">, n71. </w:t>
      </w:r>
      <w:hyperlink r:id="rId32" w:tgtFrame="_blank" w:history="1">
        <w:r w:rsidRPr="005A7E27">
          <w:rPr>
            <w:rStyle w:val="Hipervnculo"/>
            <w:rFonts w:ascii="Times New Roman" w:hAnsi="Times New Roman" w:cs="Times New Roman"/>
            <w:sz w:val="24"/>
            <w:szCs w:val="24"/>
          </w:rPr>
          <w:t>https://doi.org/10.1136/bmj.n71</w:t>
        </w:r>
      </w:hyperlink>
    </w:p>
    <w:p w14:paraId="03A0B2F7"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Rusman, N. A. A., &amp; Dahari, M. (2022). Recent advances in hydrogen storage technologies: A comprehensive review.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47</w:t>
      </w:r>
      <w:r w:rsidRPr="005A7E27">
        <w:rPr>
          <w:rFonts w:ascii="Times New Roman" w:hAnsi="Times New Roman" w:cs="Times New Roman"/>
          <w:sz w:val="24"/>
          <w:szCs w:val="24"/>
          <w:lang w:val="en-US"/>
        </w:rPr>
        <w:t xml:space="preserve">(93), 39498-39521. </w:t>
      </w:r>
      <w:hyperlink r:id="rId33" w:tgtFrame="_blank" w:history="1">
        <w:r w:rsidRPr="005A7E27">
          <w:rPr>
            <w:rStyle w:val="Hipervnculo"/>
            <w:rFonts w:ascii="Times New Roman" w:hAnsi="Times New Roman" w:cs="Times New Roman"/>
            <w:sz w:val="24"/>
            <w:szCs w:val="24"/>
            <w:lang w:val="en-US"/>
          </w:rPr>
          <w:t>https://doi.org/10.1016/j.ijhydene.2022.10.131</w:t>
        </w:r>
      </w:hyperlink>
    </w:p>
    <w:p w14:paraId="46FE6D1F"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Saba, S. M., Müller, M., Robinius, M., &amp; Stolten, D. (2023). The cost of production and storage of renewable hydrogen in Australia: A techno-economic </w:t>
      </w:r>
      <w:r w:rsidRPr="005A7E27">
        <w:rPr>
          <w:rFonts w:ascii="Times New Roman" w:hAnsi="Times New Roman" w:cs="Times New Roman"/>
          <w:sz w:val="24"/>
          <w:szCs w:val="24"/>
          <w:lang w:val="en-US"/>
        </w:rPr>
        <w:lastRenderedPageBreak/>
        <w:t xml:space="preserve">analysis for the period up to 2040.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48</w:t>
      </w:r>
      <w:r w:rsidRPr="005A7E27">
        <w:rPr>
          <w:rFonts w:ascii="Times New Roman" w:hAnsi="Times New Roman" w:cs="Times New Roman"/>
          <w:sz w:val="24"/>
          <w:szCs w:val="24"/>
          <w:lang w:val="en-US"/>
        </w:rPr>
        <w:t xml:space="preserve">(43), 16301-16318. </w:t>
      </w:r>
      <w:hyperlink r:id="rId34" w:tgtFrame="_blank" w:history="1">
        <w:r w:rsidRPr="005A7E27">
          <w:rPr>
            <w:rStyle w:val="Hipervnculo"/>
            <w:rFonts w:ascii="Times New Roman" w:hAnsi="Times New Roman" w:cs="Times New Roman"/>
            <w:sz w:val="24"/>
            <w:szCs w:val="24"/>
            <w:lang w:val="en-US"/>
          </w:rPr>
          <w:t>https://doi.org/10.1016/j.ijhydene.2023.04.123</w:t>
        </w:r>
      </w:hyperlink>
    </w:p>
    <w:p w14:paraId="29AD0B5D"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Sakintuna, B., Lamari-Darkrim, F., &amp; Hirscher, M. (2007). Metal hydride materials for solid hydrogen storage: A review.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32</w:t>
      </w:r>
      <w:r w:rsidRPr="005A7E27">
        <w:rPr>
          <w:rFonts w:ascii="Times New Roman" w:hAnsi="Times New Roman" w:cs="Times New Roman"/>
          <w:sz w:val="24"/>
          <w:szCs w:val="24"/>
          <w:lang w:val="en-US"/>
        </w:rPr>
        <w:t xml:space="preserve">(9), 1121–1140. </w:t>
      </w:r>
      <w:hyperlink r:id="rId35" w:tgtFrame="_blank" w:history="1">
        <w:r w:rsidRPr="005A7E27">
          <w:rPr>
            <w:rStyle w:val="Hipervnculo"/>
            <w:rFonts w:ascii="Times New Roman" w:hAnsi="Times New Roman" w:cs="Times New Roman"/>
            <w:sz w:val="24"/>
            <w:szCs w:val="24"/>
            <w:lang w:val="en-US"/>
          </w:rPr>
          <w:t>https://doi.org/10.1016/j.ijhydene.2006.11.022</w:t>
        </w:r>
      </w:hyperlink>
    </w:p>
    <w:p w14:paraId="6E99C51A"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rPr>
        <w:t xml:space="preserve">Szwaja, S., &amp; Naber, J. D. (2010). </w:t>
      </w:r>
      <w:r w:rsidRPr="005A7E27">
        <w:rPr>
          <w:rFonts w:ascii="Times New Roman" w:hAnsi="Times New Roman" w:cs="Times New Roman"/>
          <w:sz w:val="24"/>
          <w:szCs w:val="24"/>
          <w:lang w:val="en-US"/>
        </w:rPr>
        <w:t xml:space="preserve">Hydrogen combustion in a spark ignition engine.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35</w:t>
      </w:r>
      <w:r w:rsidRPr="005A7E27">
        <w:rPr>
          <w:rFonts w:ascii="Times New Roman" w:hAnsi="Times New Roman" w:cs="Times New Roman"/>
          <w:sz w:val="24"/>
          <w:szCs w:val="24"/>
          <w:lang w:val="en-US"/>
        </w:rPr>
        <w:t xml:space="preserve">(9), 4268–4280. </w:t>
      </w:r>
      <w:hyperlink r:id="rId36" w:tgtFrame="_blank" w:history="1">
        <w:r w:rsidRPr="005A7E27">
          <w:rPr>
            <w:rStyle w:val="Hipervnculo"/>
            <w:rFonts w:ascii="Times New Roman" w:hAnsi="Times New Roman" w:cs="Times New Roman"/>
            <w:sz w:val="24"/>
            <w:szCs w:val="24"/>
            <w:lang w:val="en-US"/>
          </w:rPr>
          <w:t>https://doi.org/10.1016/j.ijhydene.2010.01.077</w:t>
        </w:r>
      </w:hyperlink>
    </w:p>
    <w:p w14:paraId="1C2B59E1"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Verhelst, S. (2014). Recent progress in the use of hydrogen as a fuel for internal combustion engines.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39</w:t>
      </w:r>
      <w:r w:rsidRPr="005A7E27">
        <w:rPr>
          <w:rFonts w:ascii="Times New Roman" w:hAnsi="Times New Roman" w:cs="Times New Roman"/>
          <w:sz w:val="24"/>
          <w:szCs w:val="24"/>
          <w:lang w:val="en-US"/>
        </w:rPr>
        <w:t xml:space="preserve">(2), 1071–1085. </w:t>
      </w:r>
      <w:hyperlink r:id="rId37" w:tgtFrame="_blank" w:history="1">
        <w:r w:rsidRPr="005A7E27">
          <w:rPr>
            <w:rStyle w:val="Hipervnculo"/>
            <w:rFonts w:ascii="Times New Roman" w:hAnsi="Times New Roman" w:cs="Times New Roman"/>
            <w:sz w:val="24"/>
            <w:szCs w:val="24"/>
            <w:lang w:val="en-US"/>
          </w:rPr>
          <w:t>https://doi.org/10.1016/j.ijhydene.2013.10.102</w:t>
        </w:r>
      </w:hyperlink>
    </w:p>
    <w:p w14:paraId="4623C1B6"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Verhelst, S., De Gheselle, L., Demuynck, J., &amp; Sierens, R. (2023). Numerical and experimental investigation of the effect of water injection on combustion and emissions in a hydrogen-enriched spark-ignition engine. </w:t>
      </w:r>
      <w:r w:rsidRPr="005A7E27">
        <w:rPr>
          <w:rFonts w:ascii="Times New Roman" w:hAnsi="Times New Roman" w:cs="Times New Roman"/>
          <w:i/>
          <w:iCs/>
          <w:sz w:val="24"/>
          <w:szCs w:val="24"/>
          <w:lang w:val="en-US"/>
        </w:rPr>
        <w:t>Applied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347</w:t>
      </w:r>
      <w:r w:rsidRPr="005A7E27">
        <w:rPr>
          <w:rFonts w:ascii="Times New Roman" w:hAnsi="Times New Roman" w:cs="Times New Roman"/>
          <w:sz w:val="24"/>
          <w:szCs w:val="24"/>
          <w:lang w:val="en-US"/>
        </w:rPr>
        <w:t xml:space="preserve">, 121234. </w:t>
      </w:r>
      <w:hyperlink r:id="rId38" w:tgtFrame="_blank" w:history="1">
        <w:r w:rsidRPr="005A7E27">
          <w:rPr>
            <w:rStyle w:val="Hipervnculo"/>
            <w:rFonts w:ascii="Times New Roman" w:hAnsi="Times New Roman" w:cs="Times New Roman"/>
            <w:sz w:val="24"/>
            <w:szCs w:val="24"/>
            <w:lang w:val="en-US"/>
          </w:rPr>
          <w:t>https://doi.org/10.1016/j.apenergy.2023.121234</w:t>
        </w:r>
      </w:hyperlink>
    </w:p>
    <w:p w14:paraId="64CB4D10"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Verhelst, S., &amp; Wallner, T. (2009). Hydrogen-fueled internal combustion engines. </w:t>
      </w:r>
      <w:r w:rsidRPr="005A7E27">
        <w:rPr>
          <w:rFonts w:ascii="Times New Roman" w:hAnsi="Times New Roman" w:cs="Times New Roman"/>
          <w:i/>
          <w:iCs/>
          <w:sz w:val="24"/>
          <w:szCs w:val="24"/>
          <w:lang w:val="en-US"/>
        </w:rPr>
        <w:t>Progress in Energy and Combustion Science</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35</w:t>
      </w:r>
      <w:r w:rsidRPr="005A7E27">
        <w:rPr>
          <w:rFonts w:ascii="Times New Roman" w:hAnsi="Times New Roman" w:cs="Times New Roman"/>
          <w:sz w:val="24"/>
          <w:szCs w:val="24"/>
          <w:lang w:val="en-US"/>
        </w:rPr>
        <w:t xml:space="preserve">(6), 490–527. </w:t>
      </w:r>
      <w:hyperlink r:id="rId39" w:tgtFrame="_blank" w:history="1">
        <w:r w:rsidRPr="005A7E27">
          <w:rPr>
            <w:rStyle w:val="Hipervnculo"/>
            <w:rFonts w:ascii="Times New Roman" w:hAnsi="Times New Roman" w:cs="Times New Roman"/>
            <w:sz w:val="24"/>
            <w:szCs w:val="24"/>
            <w:lang w:val="en-US"/>
          </w:rPr>
          <w:t>https://doi.org/10.1016/j.pecs.2009.08.001</w:t>
        </w:r>
      </w:hyperlink>
    </w:p>
    <w:p w14:paraId="665858DE"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White, C. M., Steeper, R. R., &amp; Lutz, A. E. (2006). The hydrogen-fueled internal combustion engine: A technical review.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31</w:t>
      </w:r>
      <w:r w:rsidRPr="005A7E27">
        <w:rPr>
          <w:rFonts w:ascii="Times New Roman" w:hAnsi="Times New Roman" w:cs="Times New Roman"/>
          <w:sz w:val="24"/>
          <w:szCs w:val="24"/>
          <w:lang w:val="en-US"/>
        </w:rPr>
        <w:t xml:space="preserve">(10), 1292–1305. </w:t>
      </w:r>
      <w:hyperlink r:id="rId40" w:tgtFrame="_blank" w:history="1">
        <w:r w:rsidRPr="005A7E27">
          <w:rPr>
            <w:rStyle w:val="Hipervnculo"/>
            <w:rFonts w:ascii="Times New Roman" w:hAnsi="Times New Roman" w:cs="Times New Roman"/>
            <w:sz w:val="24"/>
            <w:szCs w:val="24"/>
            <w:lang w:val="en-US"/>
          </w:rPr>
          <w:t>https://doi.org/10.1016/j.ijhydene.2005.12.001</w:t>
        </w:r>
      </w:hyperlink>
    </w:p>
    <w:p w14:paraId="665638BA"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White, C. M., Steeper, R. R., &amp; Lutz, A. E. (2022). A review on hydrogen industrial combustion engines and their characteristics. </w:t>
      </w:r>
      <w:r w:rsidRPr="005A7E27">
        <w:rPr>
          <w:rFonts w:ascii="Times New Roman" w:hAnsi="Times New Roman" w:cs="Times New Roman"/>
          <w:i/>
          <w:iCs/>
          <w:sz w:val="24"/>
          <w:szCs w:val="24"/>
          <w:lang w:val="en-US"/>
        </w:rPr>
        <w:t>International Journal of Hydrogen Energy</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47</w:t>
      </w:r>
      <w:r w:rsidRPr="005A7E27">
        <w:rPr>
          <w:rFonts w:ascii="Times New Roman" w:hAnsi="Times New Roman" w:cs="Times New Roman"/>
          <w:sz w:val="24"/>
          <w:szCs w:val="24"/>
          <w:lang w:val="en-US"/>
        </w:rPr>
        <w:t xml:space="preserve">(80), 34185-34205. </w:t>
      </w:r>
      <w:hyperlink r:id="rId41" w:tgtFrame="_blank" w:history="1">
        <w:r w:rsidRPr="005A7E27">
          <w:rPr>
            <w:rStyle w:val="Hipervnculo"/>
            <w:rFonts w:ascii="Times New Roman" w:hAnsi="Times New Roman" w:cs="Times New Roman"/>
            <w:sz w:val="24"/>
            <w:szCs w:val="24"/>
            <w:lang w:val="en-US"/>
          </w:rPr>
          <w:t>https://doi.org/10.1016/j.ijhydene.2022.08.104</w:t>
        </w:r>
      </w:hyperlink>
    </w:p>
    <w:p w14:paraId="14CB2FFC"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Zhao, Y., Liu, Y., Zhang, J., &amp; Li, Y. (2023). High-pressure hydrogen storage vessels: A review on the current status and challenges for Type IV composites. </w:t>
      </w:r>
      <w:r w:rsidRPr="005A7E27">
        <w:rPr>
          <w:rFonts w:ascii="Times New Roman" w:hAnsi="Times New Roman" w:cs="Times New Roman"/>
          <w:i/>
          <w:iCs/>
          <w:sz w:val="24"/>
          <w:szCs w:val="24"/>
          <w:lang w:val="en-US"/>
        </w:rPr>
        <w:lastRenderedPageBreak/>
        <w:t>Composites Part B: Engineering</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261</w:t>
      </w:r>
      <w:r w:rsidRPr="005A7E27">
        <w:rPr>
          <w:rFonts w:ascii="Times New Roman" w:hAnsi="Times New Roman" w:cs="Times New Roman"/>
          <w:sz w:val="24"/>
          <w:szCs w:val="24"/>
          <w:lang w:val="en-US"/>
        </w:rPr>
        <w:t xml:space="preserve">, 110635. </w:t>
      </w:r>
      <w:hyperlink r:id="rId42" w:tgtFrame="_blank" w:history="1">
        <w:r w:rsidRPr="005A7E27">
          <w:rPr>
            <w:rStyle w:val="Hipervnculo"/>
            <w:rFonts w:ascii="Times New Roman" w:hAnsi="Times New Roman" w:cs="Times New Roman"/>
            <w:sz w:val="24"/>
            <w:szCs w:val="24"/>
            <w:lang w:val="en-US"/>
          </w:rPr>
          <w:t>https://doi.org/10.1016/j.compositesb.2023.110635</w:t>
        </w:r>
      </w:hyperlink>
    </w:p>
    <w:p w14:paraId="51FC860D" w14:textId="77777777" w:rsidR="005A7E27" w:rsidRPr="005A7E27" w:rsidRDefault="005A7E27" w:rsidP="005A7E27">
      <w:pPr>
        <w:pStyle w:val="Prrafodelista"/>
        <w:numPr>
          <w:ilvl w:val="0"/>
          <w:numId w:val="4"/>
        </w:numPr>
        <w:spacing w:line="360" w:lineRule="auto"/>
        <w:ind w:left="714" w:hanging="357"/>
        <w:contextualSpacing w:val="0"/>
        <w:rPr>
          <w:rFonts w:ascii="Times New Roman" w:hAnsi="Times New Roman" w:cs="Times New Roman"/>
          <w:sz w:val="24"/>
          <w:szCs w:val="24"/>
          <w:lang w:val="en-US"/>
        </w:rPr>
      </w:pPr>
      <w:r w:rsidRPr="005A7E27">
        <w:rPr>
          <w:rFonts w:ascii="Times New Roman" w:hAnsi="Times New Roman" w:cs="Times New Roman"/>
          <w:sz w:val="24"/>
          <w:szCs w:val="24"/>
          <w:lang w:val="en-US"/>
        </w:rPr>
        <w:t xml:space="preserve">Züttel, A., Remhof, A., Borgschulte, A., &amp; Friedrichs, O. (2010). Hydrogen: the future energy carrier. </w:t>
      </w:r>
      <w:r w:rsidRPr="005A7E27">
        <w:rPr>
          <w:rFonts w:ascii="Times New Roman" w:hAnsi="Times New Roman" w:cs="Times New Roman"/>
          <w:i/>
          <w:iCs/>
          <w:sz w:val="24"/>
          <w:szCs w:val="24"/>
          <w:lang w:val="en-US"/>
        </w:rPr>
        <w:t>Philosophical Transactions of the Royal Society A: Mathematical, Physical and Engineering Sciences</w:t>
      </w:r>
      <w:r w:rsidRPr="005A7E27">
        <w:rPr>
          <w:rFonts w:ascii="Times New Roman" w:hAnsi="Times New Roman" w:cs="Times New Roman"/>
          <w:sz w:val="24"/>
          <w:szCs w:val="24"/>
          <w:lang w:val="en-US"/>
        </w:rPr>
        <w:t xml:space="preserve">, </w:t>
      </w:r>
      <w:r w:rsidRPr="005A7E27">
        <w:rPr>
          <w:rFonts w:ascii="Times New Roman" w:hAnsi="Times New Roman" w:cs="Times New Roman"/>
          <w:i/>
          <w:iCs/>
          <w:sz w:val="24"/>
          <w:szCs w:val="24"/>
          <w:lang w:val="en-US"/>
        </w:rPr>
        <w:t>368</w:t>
      </w:r>
      <w:r w:rsidRPr="005A7E27">
        <w:rPr>
          <w:rFonts w:ascii="Times New Roman" w:hAnsi="Times New Roman" w:cs="Times New Roman"/>
          <w:sz w:val="24"/>
          <w:szCs w:val="24"/>
          <w:lang w:val="en-US"/>
        </w:rPr>
        <w:t xml:space="preserve">(1923), 3329–3342. </w:t>
      </w:r>
      <w:hyperlink r:id="rId43" w:tgtFrame="_blank" w:history="1">
        <w:r w:rsidRPr="005A7E27">
          <w:rPr>
            <w:rStyle w:val="Hipervnculo"/>
            <w:rFonts w:ascii="Times New Roman" w:hAnsi="Times New Roman" w:cs="Times New Roman"/>
            <w:sz w:val="24"/>
            <w:szCs w:val="24"/>
            <w:lang w:val="en-US"/>
          </w:rPr>
          <w:t>https://doi.org/10.1098/rsta.2010.0113</w:t>
        </w:r>
      </w:hyperlink>
    </w:p>
    <w:p w14:paraId="064A6692" w14:textId="77777777" w:rsidR="00B72C32" w:rsidRPr="00B72C32" w:rsidRDefault="00B72C32" w:rsidP="00B72C32">
      <w:pPr>
        <w:pStyle w:val="authorinfo"/>
        <w:spacing w:after="0" w:line="276" w:lineRule="auto"/>
        <w:jc w:val="both"/>
        <w:rPr>
          <w:sz w:val="24"/>
          <w:szCs w:val="28"/>
          <w:lang w:val="es-ES" w:eastAsia="en-US"/>
        </w:rPr>
      </w:pPr>
    </w:p>
    <w:sectPr w:rsidR="00B72C32" w:rsidRPr="00B72C32" w:rsidSect="005C6554">
      <w:headerReference w:type="default" r:id="rId44"/>
      <w:footerReference w:type="default" r:id="rId45"/>
      <w:pgSz w:w="11906" w:h="16838" w:code="9"/>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AEE1" w14:textId="77777777" w:rsidR="005867D8" w:rsidRDefault="005867D8" w:rsidP="00A03206">
      <w:pPr>
        <w:spacing w:after="0" w:line="240" w:lineRule="auto"/>
      </w:pPr>
      <w:r>
        <w:separator/>
      </w:r>
    </w:p>
  </w:endnote>
  <w:endnote w:type="continuationSeparator" w:id="0">
    <w:p w14:paraId="1E0B70B8" w14:textId="77777777" w:rsidR="005867D8" w:rsidRDefault="005867D8" w:rsidP="00A0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9784931"/>
      <w:docPartObj>
        <w:docPartGallery w:val="Page Numbers (Bottom of Page)"/>
        <w:docPartUnique/>
      </w:docPartObj>
    </w:sdtPr>
    <w:sdtContent>
      <w:p w14:paraId="06FDBA16" w14:textId="3288CFCC" w:rsidR="005C6554" w:rsidRDefault="005C6554">
        <w:pPr>
          <w:pStyle w:val="Piedepgina"/>
          <w:jc w:val="right"/>
        </w:pPr>
        <w:r>
          <w:fldChar w:fldCharType="begin"/>
        </w:r>
        <w:r>
          <w:instrText>PAGE   \* MERGEFORMAT</w:instrText>
        </w:r>
        <w:r>
          <w:fldChar w:fldCharType="separate"/>
        </w:r>
        <w:r>
          <w:t>2</w:t>
        </w:r>
        <w:r>
          <w:fldChar w:fldCharType="end"/>
        </w:r>
      </w:p>
    </w:sdtContent>
  </w:sdt>
  <w:p w14:paraId="1523BC8F" w14:textId="77777777" w:rsidR="005C6554" w:rsidRPr="00C8585B" w:rsidRDefault="005C6554" w:rsidP="005C6554">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Internacional UCLV 2025</w:t>
    </w:r>
  </w:p>
  <w:p w14:paraId="17058687" w14:textId="77777777" w:rsidR="005C6554" w:rsidRPr="00C8585B" w:rsidRDefault="005C6554" w:rsidP="005C6554">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66347351" w14:textId="4A06B4F2" w:rsidR="00DD5EEB" w:rsidRDefault="005C6554" w:rsidP="005C6554">
    <w:pPr>
      <w:pStyle w:val="Piedepgina"/>
      <w:jc w:val="center"/>
    </w:pPr>
    <w:r w:rsidRPr="00A03206">
      <w:rPr>
        <w:rFonts w:ascii="Verdana" w:hAnsi="Verdana"/>
        <w:b/>
        <w:sz w:val="16"/>
        <w:szCs w:val="16"/>
      </w:rPr>
      <w:t>ESTUDIO DE VIABILIDAD DEL MOTOR DE COMBUSTIÓN INTERNA DE HIDRÓGENO PARA AUTOMÓVILES DE ALQUILER EN CUBA.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ABEB4" w14:textId="77777777" w:rsidR="005867D8" w:rsidRDefault="005867D8" w:rsidP="00A03206">
      <w:pPr>
        <w:spacing w:after="0" w:line="240" w:lineRule="auto"/>
      </w:pPr>
      <w:r>
        <w:separator/>
      </w:r>
    </w:p>
  </w:footnote>
  <w:footnote w:type="continuationSeparator" w:id="0">
    <w:p w14:paraId="3686145A" w14:textId="77777777" w:rsidR="005867D8" w:rsidRDefault="005867D8" w:rsidP="00A03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57" w:type="dxa"/>
      <w:jc w:val="center"/>
      <w:tblLayout w:type="fixed"/>
      <w:tblLook w:val="04A0" w:firstRow="1" w:lastRow="0" w:firstColumn="1" w:lastColumn="0" w:noHBand="0" w:noVBand="1"/>
    </w:tblPr>
    <w:tblGrid>
      <w:gridCol w:w="1425"/>
      <w:gridCol w:w="8632"/>
    </w:tblGrid>
    <w:tr w:rsidR="00A03206" w:rsidRPr="00A03206" w14:paraId="6BB01247" w14:textId="77777777" w:rsidTr="007B2EFD">
      <w:trPr>
        <w:trHeight w:val="1114"/>
        <w:jc w:val="center"/>
      </w:trPr>
      <w:tc>
        <w:tcPr>
          <w:tcW w:w="1425" w:type="dxa"/>
        </w:tcPr>
        <w:p w14:paraId="629B21B7" w14:textId="77777777" w:rsidR="00A03206" w:rsidRPr="004D77C8" w:rsidRDefault="00A03206" w:rsidP="00A03206">
          <w:pPr>
            <w:pStyle w:val="Encabezado"/>
            <w:jc w:val="both"/>
            <w:rPr>
              <w:rFonts w:ascii="Verdana" w:hAnsi="Verdana"/>
              <w:b/>
              <w:sz w:val="18"/>
              <w:szCs w:val="18"/>
              <w:lang w:val="es-ES_tradnl"/>
            </w:rPr>
          </w:pPr>
          <w:r>
            <w:rPr>
              <w:rFonts w:ascii="Liberation Sans" w:hAnsi="Liberation Sans"/>
              <w:sz w:val="28"/>
              <w:szCs w:val="28"/>
              <w:lang w:eastAsia="es-ES"/>
            </w:rPr>
            <w:drawing>
              <wp:anchor distT="0" distB="0" distL="114300" distR="114300" simplePos="0" relativeHeight="251659264" behindDoc="1" locked="0" layoutInCell="1" allowOverlap="1" wp14:anchorId="5CBA2873" wp14:editId="6CAEAAF4">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74694AF6" w14:textId="77777777" w:rsidR="00A03206" w:rsidRDefault="00A03206" w:rsidP="005C6554">
          <w:pPr>
            <w:pStyle w:val="Encabezado"/>
            <w:rPr>
              <w:rFonts w:ascii="Verdana" w:hAnsi="Verdana"/>
              <w:b/>
              <w:sz w:val="16"/>
              <w:szCs w:val="16"/>
              <w:lang w:val="es-ES_tradnl"/>
            </w:rPr>
          </w:pPr>
        </w:p>
        <w:p w14:paraId="066DA546" w14:textId="77777777" w:rsidR="00A03206" w:rsidRPr="00C8585B" w:rsidRDefault="00A03206" w:rsidP="00A03206">
          <w:pPr>
            <w:pStyle w:val="Encabezado"/>
            <w:jc w:val="center"/>
            <w:rPr>
              <w:rFonts w:ascii="Verdana" w:hAnsi="Verdana"/>
              <w:b/>
              <w:sz w:val="16"/>
              <w:szCs w:val="16"/>
              <w:lang w:val="es-ES_tradnl"/>
            </w:rPr>
          </w:pPr>
          <w:r w:rsidRPr="00972A58">
            <w:rPr>
              <w:rFonts w:ascii="Verdana" w:hAnsi="Verdana"/>
              <w:b/>
              <w:sz w:val="16"/>
              <w:szCs w:val="16"/>
              <w:lang w:val="es-ES_tradnl"/>
            </w:rPr>
            <w:t>V Convención Científica</w:t>
          </w:r>
          <w:r>
            <w:rPr>
              <w:rFonts w:ascii="Verdana" w:hAnsi="Verdana"/>
              <w:b/>
              <w:sz w:val="16"/>
              <w:szCs w:val="16"/>
              <w:lang w:val="es-ES_tradnl"/>
            </w:rPr>
            <w:t xml:space="preserve"> Internacional UCLV 2025</w:t>
          </w:r>
        </w:p>
        <w:p w14:paraId="376A231B" w14:textId="77777777" w:rsidR="00A03206" w:rsidRPr="00C8585B" w:rsidRDefault="00A03206" w:rsidP="00A03206">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14:paraId="7DD190E1" w14:textId="0CEC785A" w:rsidR="00A03206" w:rsidRPr="00A03206" w:rsidRDefault="00DD5EEB" w:rsidP="00A03206">
          <w:pPr>
            <w:pStyle w:val="Encabezado"/>
            <w:jc w:val="center"/>
            <w:rPr>
              <w:rFonts w:ascii="Verdana" w:hAnsi="Verdana"/>
              <w:b/>
              <w:sz w:val="18"/>
              <w:szCs w:val="18"/>
            </w:rPr>
          </w:pPr>
          <w:r w:rsidRPr="00A03206">
            <w:rPr>
              <w:rFonts w:ascii="Verdana" w:hAnsi="Verdana"/>
              <w:b/>
              <w:sz w:val="16"/>
              <w:szCs w:val="16"/>
            </w:rPr>
            <w:t>ESTUDIO DE VIABILIDAD DEL MOTOR DE COMBUSTIÓN INTERNA DE HIDRÓGENO PARA AUTOMÓVILES DE ALQUILER EN CUBA.</w:t>
          </w:r>
        </w:p>
      </w:tc>
    </w:tr>
  </w:tbl>
  <w:p w14:paraId="71044804" w14:textId="77777777" w:rsidR="00A03206" w:rsidRDefault="00A032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80060"/>
    <w:multiLevelType w:val="hybridMultilevel"/>
    <w:tmpl w:val="96A2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C30878"/>
    <w:multiLevelType w:val="hybridMultilevel"/>
    <w:tmpl w:val="4B848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E066FD"/>
    <w:multiLevelType w:val="multilevel"/>
    <w:tmpl w:val="AC223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B530DD"/>
    <w:multiLevelType w:val="hybridMultilevel"/>
    <w:tmpl w:val="01F8D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C73888"/>
    <w:multiLevelType w:val="hybridMultilevel"/>
    <w:tmpl w:val="ECA89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B45023"/>
    <w:multiLevelType w:val="hybridMultilevel"/>
    <w:tmpl w:val="1BAE2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F9C7330"/>
    <w:multiLevelType w:val="hybridMultilevel"/>
    <w:tmpl w:val="3BEC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481643"/>
    <w:multiLevelType w:val="hybridMultilevel"/>
    <w:tmpl w:val="55DEA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C643C2"/>
    <w:multiLevelType w:val="hybridMultilevel"/>
    <w:tmpl w:val="791C8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E546D5"/>
    <w:multiLevelType w:val="hybridMultilevel"/>
    <w:tmpl w:val="D83272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60FA6"/>
    <w:multiLevelType w:val="hybridMultilevel"/>
    <w:tmpl w:val="C082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8F2DFB"/>
    <w:multiLevelType w:val="multilevel"/>
    <w:tmpl w:val="671E8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1345567">
    <w:abstractNumId w:val="2"/>
  </w:num>
  <w:num w:numId="2" w16cid:durableId="294800010">
    <w:abstractNumId w:val="11"/>
  </w:num>
  <w:num w:numId="3" w16cid:durableId="61680814">
    <w:abstractNumId w:val="7"/>
  </w:num>
  <w:num w:numId="4" w16cid:durableId="408889661">
    <w:abstractNumId w:val="4"/>
  </w:num>
  <w:num w:numId="5" w16cid:durableId="1759597604">
    <w:abstractNumId w:val="5"/>
  </w:num>
  <w:num w:numId="6" w16cid:durableId="344215327">
    <w:abstractNumId w:val="0"/>
  </w:num>
  <w:num w:numId="7" w16cid:durableId="546457093">
    <w:abstractNumId w:val="9"/>
  </w:num>
  <w:num w:numId="8" w16cid:durableId="325985408">
    <w:abstractNumId w:val="10"/>
  </w:num>
  <w:num w:numId="9" w16cid:durableId="1382096327">
    <w:abstractNumId w:val="1"/>
  </w:num>
  <w:num w:numId="10" w16cid:durableId="1619483852">
    <w:abstractNumId w:val="8"/>
  </w:num>
  <w:num w:numId="11" w16cid:durableId="371420859">
    <w:abstractNumId w:val="6"/>
  </w:num>
  <w:num w:numId="12" w16cid:durableId="1645156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8C2"/>
    <w:rsid w:val="000237D5"/>
    <w:rsid w:val="000B46F2"/>
    <w:rsid w:val="0011711A"/>
    <w:rsid w:val="0015593B"/>
    <w:rsid w:val="00212A88"/>
    <w:rsid w:val="00392130"/>
    <w:rsid w:val="003A5DD5"/>
    <w:rsid w:val="00425A0F"/>
    <w:rsid w:val="00455E0E"/>
    <w:rsid w:val="00505485"/>
    <w:rsid w:val="00531653"/>
    <w:rsid w:val="00551510"/>
    <w:rsid w:val="005867D8"/>
    <w:rsid w:val="005A7E27"/>
    <w:rsid w:val="005C6554"/>
    <w:rsid w:val="006245CA"/>
    <w:rsid w:val="00672308"/>
    <w:rsid w:val="00680393"/>
    <w:rsid w:val="00745827"/>
    <w:rsid w:val="00883EAD"/>
    <w:rsid w:val="0099330F"/>
    <w:rsid w:val="00A03206"/>
    <w:rsid w:val="00A406E2"/>
    <w:rsid w:val="00A913CD"/>
    <w:rsid w:val="00AA3DAA"/>
    <w:rsid w:val="00AD322F"/>
    <w:rsid w:val="00B20E26"/>
    <w:rsid w:val="00B72C32"/>
    <w:rsid w:val="00C84D33"/>
    <w:rsid w:val="00CA0581"/>
    <w:rsid w:val="00CA6891"/>
    <w:rsid w:val="00CF0561"/>
    <w:rsid w:val="00DB38C2"/>
    <w:rsid w:val="00DD5EEB"/>
    <w:rsid w:val="00DF50E3"/>
    <w:rsid w:val="00E65986"/>
    <w:rsid w:val="00F5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0F2E0"/>
  <w15:chartTrackingRefBased/>
  <w15:docId w15:val="{76AC0CB0-20A1-4774-BD1A-E9C9855AE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s-ES"/>
    </w:rPr>
  </w:style>
  <w:style w:type="paragraph" w:styleId="Ttulo1">
    <w:name w:val="heading 1"/>
    <w:basedOn w:val="Normal"/>
    <w:next w:val="Normal"/>
    <w:link w:val="Ttulo1Car"/>
    <w:uiPriority w:val="9"/>
    <w:qFormat/>
    <w:rsid w:val="00DB38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B38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B38C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B38C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B38C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B38C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B38C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B38C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B38C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B38C2"/>
    <w:rPr>
      <w:rFonts w:asciiTheme="majorHAnsi" w:eastAsiaTheme="majorEastAsia" w:hAnsiTheme="majorHAnsi" w:cstheme="majorBidi"/>
      <w:noProof/>
      <w:color w:val="2F5496" w:themeColor="accent1" w:themeShade="BF"/>
      <w:sz w:val="40"/>
      <w:szCs w:val="40"/>
      <w:lang w:val="es-ES"/>
    </w:rPr>
  </w:style>
  <w:style w:type="character" w:customStyle="1" w:styleId="Ttulo2Car">
    <w:name w:val="Título 2 Car"/>
    <w:basedOn w:val="Fuentedeprrafopredeter"/>
    <w:link w:val="Ttulo2"/>
    <w:uiPriority w:val="9"/>
    <w:semiHidden/>
    <w:rsid w:val="00DB38C2"/>
    <w:rPr>
      <w:rFonts w:asciiTheme="majorHAnsi" w:eastAsiaTheme="majorEastAsia" w:hAnsiTheme="majorHAnsi" w:cstheme="majorBidi"/>
      <w:noProof/>
      <w:color w:val="2F5496" w:themeColor="accent1" w:themeShade="BF"/>
      <w:sz w:val="32"/>
      <w:szCs w:val="32"/>
      <w:lang w:val="es-ES"/>
    </w:rPr>
  </w:style>
  <w:style w:type="character" w:customStyle="1" w:styleId="Ttulo3Car">
    <w:name w:val="Título 3 Car"/>
    <w:basedOn w:val="Fuentedeprrafopredeter"/>
    <w:link w:val="Ttulo3"/>
    <w:uiPriority w:val="9"/>
    <w:semiHidden/>
    <w:rsid w:val="00DB38C2"/>
    <w:rPr>
      <w:rFonts w:eastAsiaTheme="majorEastAsia" w:cstheme="majorBidi"/>
      <w:noProof/>
      <w:color w:val="2F5496" w:themeColor="accent1" w:themeShade="BF"/>
      <w:sz w:val="28"/>
      <w:szCs w:val="28"/>
      <w:lang w:val="es-ES"/>
    </w:rPr>
  </w:style>
  <w:style w:type="character" w:customStyle="1" w:styleId="Ttulo4Car">
    <w:name w:val="Título 4 Car"/>
    <w:basedOn w:val="Fuentedeprrafopredeter"/>
    <w:link w:val="Ttulo4"/>
    <w:uiPriority w:val="9"/>
    <w:semiHidden/>
    <w:rsid w:val="00DB38C2"/>
    <w:rPr>
      <w:rFonts w:eastAsiaTheme="majorEastAsia" w:cstheme="majorBidi"/>
      <w:i/>
      <w:iCs/>
      <w:noProof/>
      <w:color w:val="2F5496" w:themeColor="accent1" w:themeShade="BF"/>
      <w:lang w:val="es-ES"/>
    </w:rPr>
  </w:style>
  <w:style w:type="character" w:customStyle="1" w:styleId="Ttulo5Car">
    <w:name w:val="Título 5 Car"/>
    <w:basedOn w:val="Fuentedeprrafopredeter"/>
    <w:link w:val="Ttulo5"/>
    <w:uiPriority w:val="9"/>
    <w:semiHidden/>
    <w:rsid w:val="00DB38C2"/>
    <w:rPr>
      <w:rFonts w:eastAsiaTheme="majorEastAsia" w:cstheme="majorBidi"/>
      <w:noProof/>
      <w:color w:val="2F5496" w:themeColor="accent1" w:themeShade="BF"/>
      <w:lang w:val="es-ES"/>
    </w:rPr>
  </w:style>
  <w:style w:type="character" w:customStyle="1" w:styleId="Ttulo6Car">
    <w:name w:val="Título 6 Car"/>
    <w:basedOn w:val="Fuentedeprrafopredeter"/>
    <w:link w:val="Ttulo6"/>
    <w:uiPriority w:val="9"/>
    <w:semiHidden/>
    <w:rsid w:val="00DB38C2"/>
    <w:rPr>
      <w:rFonts w:eastAsiaTheme="majorEastAsia" w:cstheme="majorBidi"/>
      <w:i/>
      <w:iCs/>
      <w:noProof/>
      <w:color w:val="595959" w:themeColor="text1" w:themeTint="A6"/>
      <w:lang w:val="es-ES"/>
    </w:rPr>
  </w:style>
  <w:style w:type="character" w:customStyle="1" w:styleId="Ttulo7Car">
    <w:name w:val="Título 7 Car"/>
    <w:basedOn w:val="Fuentedeprrafopredeter"/>
    <w:link w:val="Ttulo7"/>
    <w:uiPriority w:val="9"/>
    <w:semiHidden/>
    <w:rsid w:val="00DB38C2"/>
    <w:rPr>
      <w:rFonts w:eastAsiaTheme="majorEastAsia" w:cstheme="majorBidi"/>
      <w:noProof/>
      <w:color w:val="595959" w:themeColor="text1" w:themeTint="A6"/>
      <w:lang w:val="es-ES"/>
    </w:rPr>
  </w:style>
  <w:style w:type="character" w:customStyle="1" w:styleId="Ttulo8Car">
    <w:name w:val="Título 8 Car"/>
    <w:basedOn w:val="Fuentedeprrafopredeter"/>
    <w:link w:val="Ttulo8"/>
    <w:uiPriority w:val="9"/>
    <w:semiHidden/>
    <w:rsid w:val="00DB38C2"/>
    <w:rPr>
      <w:rFonts w:eastAsiaTheme="majorEastAsia" w:cstheme="majorBidi"/>
      <w:i/>
      <w:iCs/>
      <w:noProof/>
      <w:color w:val="272727" w:themeColor="text1" w:themeTint="D8"/>
      <w:lang w:val="es-ES"/>
    </w:rPr>
  </w:style>
  <w:style w:type="character" w:customStyle="1" w:styleId="Ttulo9Car">
    <w:name w:val="Título 9 Car"/>
    <w:basedOn w:val="Fuentedeprrafopredeter"/>
    <w:link w:val="Ttulo9"/>
    <w:uiPriority w:val="9"/>
    <w:semiHidden/>
    <w:rsid w:val="00DB38C2"/>
    <w:rPr>
      <w:rFonts w:eastAsiaTheme="majorEastAsia" w:cstheme="majorBidi"/>
      <w:noProof/>
      <w:color w:val="272727" w:themeColor="text1" w:themeTint="D8"/>
      <w:lang w:val="es-ES"/>
    </w:rPr>
  </w:style>
  <w:style w:type="paragraph" w:styleId="Ttulo">
    <w:name w:val="Title"/>
    <w:basedOn w:val="Normal"/>
    <w:next w:val="Normal"/>
    <w:link w:val="TtuloCar"/>
    <w:uiPriority w:val="10"/>
    <w:qFormat/>
    <w:rsid w:val="00DB38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B38C2"/>
    <w:rPr>
      <w:rFonts w:asciiTheme="majorHAnsi" w:eastAsiaTheme="majorEastAsia" w:hAnsiTheme="majorHAnsi" w:cstheme="majorBidi"/>
      <w:noProof/>
      <w:spacing w:val="-10"/>
      <w:kern w:val="28"/>
      <w:sz w:val="56"/>
      <w:szCs w:val="56"/>
      <w:lang w:val="es-ES"/>
    </w:rPr>
  </w:style>
  <w:style w:type="paragraph" w:styleId="Subttulo">
    <w:name w:val="Subtitle"/>
    <w:basedOn w:val="Normal"/>
    <w:next w:val="Normal"/>
    <w:link w:val="SubttuloCar"/>
    <w:uiPriority w:val="11"/>
    <w:qFormat/>
    <w:rsid w:val="00DB38C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B38C2"/>
    <w:rPr>
      <w:rFonts w:eastAsiaTheme="majorEastAsia" w:cstheme="majorBidi"/>
      <w:noProof/>
      <w:color w:val="595959" w:themeColor="text1" w:themeTint="A6"/>
      <w:spacing w:val="15"/>
      <w:sz w:val="28"/>
      <w:szCs w:val="28"/>
      <w:lang w:val="es-ES"/>
    </w:rPr>
  </w:style>
  <w:style w:type="paragraph" w:styleId="Cita">
    <w:name w:val="Quote"/>
    <w:basedOn w:val="Normal"/>
    <w:next w:val="Normal"/>
    <w:link w:val="CitaCar"/>
    <w:uiPriority w:val="29"/>
    <w:qFormat/>
    <w:rsid w:val="00DB38C2"/>
    <w:pPr>
      <w:spacing w:before="160"/>
      <w:jc w:val="center"/>
    </w:pPr>
    <w:rPr>
      <w:i/>
      <w:iCs/>
      <w:color w:val="404040" w:themeColor="text1" w:themeTint="BF"/>
    </w:rPr>
  </w:style>
  <w:style w:type="character" w:customStyle="1" w:styleId="CitaCar">
    <w:name w:val="Cita Car"/>
    <w:basedOn w:val="Fuentedeprrafopredeter"/>
    <w:link w:val="Cita"/>
    <w:uiPriority w:val="29"/>
    <w:rsid w:val="00DB38C2"/>
    <w:rPr>
      <w:i/>
      <w:iCs/>
      <w:noProof/>
      <w:color w:val="404040" w:themeColor="text1" w:themeTint="BF"/>
      <w:lang w:val="es-ES"/>
    </w:rPr>
  </w:style>
  <w:style w:type="paragraph" w:styleId="Prrafodelista">
    <w:name w:val="List Paragraph"/>
    <w:basedOn w:val="Normal"/>
    <w:uiPriority w:val="34"/>
    <w:qFormat/>
    <w:rsid w:val="00DB38C2"/>
    <w:pPr>
      <w:ind w:left="720"/>
      <w:contextualSpacing/>
    </w:pPr>
  </w:style>
  <w:style w:type="character" w:styleId="nfasisintenso">
    <w:name w:val="Intense Emphasis"/>
    <w:basedOn w:val="Fuentedeprrafopredeter"/>
    <w:uiPriority w:val="21"/>
    <w:qFormat/>
    <w:rsid w:val="00DB38C2"/>
    <w:rPr>
      <w:i/>
      <w:iCs/>
      <w:color w:val="2F5496" w:themeColor="accent1" w:themeShade="BF"/>
    </w:rPr>
  </w:style>
  <w:style w:type="paragraph" w:styleId="Citadestacada">
    <w:name w:val="Intense Quote"/>
    <w:basedOn w:val="Normal"/>
    <w:next w:val="Normal"/>
    <w:link w:val="CitadestacadaCar"/>
    <w:uiPriority w:val="30"/>
    <w:qFormat/>
    <w:rsid w:val="00DB38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B38C2"/>
    <w:rPr>
      <w:i/>
      <w:iCs/>
      <w:noProof/>
      <w:color w:val="2F5496" w:themeColor="accent1" w:themeShade="BF"/>
      <w:lang w:val="es-ES"/>
    </w:rPr>
  </w:style>
  <w:style w:type="character" w:styleId="Referenciaintensa">
    <w:name w:val="Intense Reference"/>
    <w:basedOn w:val="Fuentedeprrafopredeter"/>
    <w:uiPriority w:val="32"/>
    <w:qFormat/>
    <w:rsid w:val="00DB38C2"/>
    <w:rPr>
      <w:b/>
      <w:bCs/>
      <w:smallCaps/>
      <w:color w:val="2F5496" w:themeColor="accent1" w:themeShade="BF"/>
      <w:spacing w:val="5"/>
    </w:rPr>
  </w:style>
  <w:style w:type="character" w:styleId="Hipervnculo">
    <w:name w:val="Hyperlink"/>
    <w:basedOn w:val="Fuentedeprrafopredeter"/>
    <w:uiPriority w:val="99"/>
    <w:unhideWhenUsed/>
    <w:rsid w:val="00CA6891"/>
    <w:rPr>
      <w:color w:val="0563C1" w:themeColor="hyperlink"/>
      <w:u w:val="single"/>
    </w:rPr>
  </w:style>
  <w:style w:type="character" w:customStyle="1" w:styleId="Fuentedeprrafopredeter1">
    <w:name w:val="Fuente de párrafo predeter.1"/>
    <w:rsid w:val="00CA6891"/>
  </w:style>
  <w:style w:type="paragraph" w:customStyle="1" w:styleId="authorinfo">
    <w:name w:val="authorinfo"/>
    <w:rsid w:val="00CA6891"/>
    <w:pPr>
      <w:widowControl w:val="0"/>
      <w:suppressAutoHyphens/>
      <w:autoSpaceDN w:val="0"/>
      <w:spacing w:after="400" w:line="240" w:lineRule="auto"/>
      <w:jc w:val="center"/>
      <w:textAlignment w:val="baseline"/>
    </w:pPr>
    <w:rPr>
      <w:rFonts w:ascii="Times New Roman" w:eastAsia="Batang" w:hAnsi="Times New Roman" w:cs="Times New Roman"/>
      <w:kern w:val="0"/>
      <w:sz w:val="18"/>
      <w:szCs w:val="20"/>
      <w:lang w:eastAsia="de-DE"/>
      <w14:ligatures w14:val="none"/>
    </w:rPr>
  </w:style>
  <w:style w:type="paragraph" w:customStyle="1" w:styleId="author">
    <w:name w:val="author"/>
    <w:next w:val="authorinfo"/>
    <w:rsid w:val="00CA6891"/>
    <w:pPr>
      <w:suppressAutoHyphens/>
      <w:autoSpaceDN w:val="0"/>
      <w:spacing w:after="200" w:line="240" w:lineRule="auto"/>
      <w:jc w:val="center"/>
      <w:textAlignment w:val="baseline"/>
    </w:pPr>
    <w:rPr>
      <w:rFonts w:ascii="Times New Roman" w:eastAsia="Batang" w:hAnsi="Times New Roman" w:cs="Times New Roman"/>
      <w:kern w:val="0"/>
      <w:sz w:val="24"/>
      <w:szCs w:val="24"/>
      <w:lang w:eastAsia="de-DE"/>
      <w14:ligatures w14:val="none"/>
    </w:rPr>
  </w:style>
  <w:style w:type="character" w:customStyle="1" w:styleId="Hipervnculo1">
    <w:name w:val="Hipervínculo1"/>
    <w:rsid w:val="00CA6891"/>
    <w:rPr>
      <w:color w:val="auto"/>
      <w:u w:val="none"/>
    </w:rPr>
  </w:style>
  <w:style w:type="character" w:customStyle="1" w:styleId="superscript">
    <w:name w:val="superscript"/>
    <w:rsid w:val="00CA6891"/>
    <w:rPr>
      <w:position w:val="0"/>
      <w:vertAlign w:val="superscript"/>
    </w:rPr>
  </w:style>
  <w:style w:type="character" w:styleId="Hipervnculovisitado">
    <w:name w:val="FollowedHyperlink"/>
    <w:basedOn w:val="Fuentedeprrafopredeter"/>
    <w:uiPriority w:val="99"/>
    <w:semiHidden/>
    <w:unhideWhenUsed/>
    <w:rsid w:val="00CA6891"/>
    <w:rPr>
      <w:color w:val="954F72" w:themeColor="followedHyperlink"/>
      <w:u w:val="single"/>
    </w:rPr>
  </w:style>
  <w:style w:type="character" w:styleId="Mencinsinresolver">
    <w:name w:val="Unresolved Mention"/>
    <w:basedOn w:val="Fuentedeprrafopredeter"/>
    <w:uiPriority w:val="99"/>
    <w:semiHidden/>
    <w:unhideWhenUsed/>
    <w:rsid w:val="00CA6891"/>
    <w:rPr>
      <w:color w:val="605E5C"/>
      <w:shd w:val="clear" w:color="auto" w:fill="E1DFDD"/>
    </w:rPr>
  </w:style>
  <w:style w:type="character" w:styleId="Textodelmarcadordeposicin">
    <w:name w:val="Placeholder Text"/>
    <w:basedOn w:val="Fuentedeprrafopredeter"/>
    <w:uiPriority w:val="99"/>
    <w:semiHidden/>
    <w:rsid w:val="00E65986"/>
    <w:rPr>
      <w:color w:val="666666"/>
    </w:rPr>
  </w:style>
  <w:style w:type="paragraph" w:styleId="Encabezado">
    <w:name w:val="header"/>
    <w:basedOn w:val="Normal"/>
    <w:link w:val="EncabezadoCar"/>
    <w:unhideWhenUsed/>
    <w:rsid w:val="00A03206"/>
    <w:pPr>
      <w:tabs>
        <w:tab w:val="center" w:pos="4419"/>
        <w:tab w:val="right" w:pos="8838"/>
      </w:tabs>
      <w:spacing w:after="0" w:line="240" w:lineRule="auto"/>
    </w:pPr>
  </w:style>
  <w:style w:type="character" w:customStyle="1" w:styleId="EncabezadoCar">
    <w:name w:val="Encabezado Car"/>
    <w:basedOn w:val="Fuentedeprrafopredeter"/>
    <w:link w:val="Encabezado"/>
    <w:rsid w:val="00A03206"/>
    <w:rPr>
      <w:noProof/>
      <w:lang w:val="es-ES"/>
    </w:rPr>
  </w:style>
  <w:style w:type="paragraph" w:styleId="Piedepgina">
    <w:name w:val="footer"/>
    <w:basedOn w:val="Normal"/>
    <w:link w:val="PiedepginaCar"/>
    <w:uiPriority w:val="99"/>
    <w:unhideWhenUsed/>
    <w:rsid w:val="00A032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3206"/>
    <w:rPr>
      <w:noProof/>
      <w:lang w:val="es-ES"/>
    </w:rPr>
  </w:style>
  <w:style w:type="table" w:styleId="Tablaconcuadrcula">
    <w:name w:val="Table Grid"/>
    <w:basedOn w:val="Tablanormal"/>
    <w:uiPriority w:val="39"/>
    <w:rsid w:val="00212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google.com/url?sa=E&amp;q=https%3A%2F%2Fdoi.org%2F10.1016%2Fj.mtener.2024.101456" TargetMode="External"/><Relationship Id="rId26" Type="http://schemas.openxmlformats.org/officeDocument/2006/relationships/hyperlink" Target="https://www.google.com/url?sa=E&amp;q=https%3A%2F%2Fdoi.org%2F10.1016%2FS0360-3199(02)00150-6" TargetMode="External"/><Relationship Id="rId39" Type="http://schemas.openxmlformats.org/officeDocument/2006/relationships/hyperlink" Target="https://www.google.com/url?sa=E&amp;q=https%3A%2F%2Fdoi.org%2F10.1016%2Fj.pecs.2009.08.001" TargetMode="External"/><Relationship Id="rId21" Type="http://schemas.openxmlformats.org/officeDocument/2006/relationships/hyperlink" Target="https://www.google.com/url?sa=E&amp;q=https%3A%2F%2Fdoi.org%2F10.1016%2Fj.ijhydene.2022.07.083" TargetMode="External"/><Relationship Id="rId34" Type="http://schemas.openxmlformats.org/officeDocument/2006/relationships/hyperlink" Target="https://www.google.com/url?sa=E&amp;q=https%3A%2F%2Fdoi.org%2F10.1016%2Fj.ijhydene.2023.04.123" TargetMode="External"/><Relationship Id="rId42" Type="http://schemas.openxmlformats.org/officeDocument/2006/relationships/hyperlink" Target="https://www.google.com/url?sa=E&amp;q=https%3A%2F%2Fdoi.org%2F10.1016%2Fj.compositesb.2023.110635" TargetMode="External"/><Relationship Id="rId47" Type="http://schemas.openxmlformats.org/officeDocument/2006/relationships/theme" Target="theme/theme1.xml"/><Relationship Id="rId7" Type="http://schemas.openxmlformats.org/officeDocument/2006/relationships/hyperlink" Target="https://orcid.org/0009-0005-0037-3362" TargetMode="External"/><Relationship Id="rId2" Type="http://schemas.openxmlformats.org/officeDocument/2006/relationships/styles" Target="styles.xml"/><Relationship Id="rId16" Type="http://schemas.openxmlformats.org/officeDocument/2006/relationships/hyperlink" Target="https://www.google.com/url?sa=E&amp;q=https%3A%2F%2Fdoi.org%2F10.1016%2Fj.rser.2023.113245" TargetMode="External"/><Relationship Id="rId29" Type="http://schemas.openxmlformats.org/officeDocument/2006/relationships/hyperlink" Target="https://www.google.com/url?sa=E&amp;q=https%3A%2F%2Fdoi.org%2F10.1016%2Fj.enconman.2024.11801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openxmlformats.org/officeDocument/2006/relationships/hyperlink" Target="https://www.google.com/url?sa=E&amp;q=https%3A%2F%2Fdoi.org%2F10.1016%2Fj.eneco.2023.106782" TargetMode="External"/><Relationship Id="rId32" Type="http://schemas.openxmlformats.org/officeDocument/2006/relationships/hyperlink" Target="https://www.google.com/url?sa=E&amp;q=https%3A%2F%2Fdoi.org%2F10.1136%2Fbmj.n71" TargetMode="External"/><Relationship Id="rId37" Type="http://schemas.openxmlformats.org/officeDocument/2006/relationships/hyperlink" Target="https://www.google.com/url?sa=E&amp;q=https%3A%2F%2Fdoi.org%2F10.1016%2Fj.ijhydene.2013.10.102" TargetMode="External"/><Relationship Id="rId40" Type="http://schemas.openxmlformats.org/officeDocument/2006/relationships/hyperlink" Target="https://www.google.com/url?sa=E&amp;q=https%3A%2F%2Fdoi.org%2F10.1016%2Fj.ijhydene.2005.12.001" TargetMode="External"/><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hart" Target="charts/chart3.xml"/><Relationship Id="rId23" Type="http://schemas.openxmlformats.org/officeDocument/2006/relationships/hyperlink" Target="https://www.google.com/url?sa=E&amp;q=https%3A%2F%2Fdoi.org%2F10.1016%2Fj.renene.2018.02.083" TargetMode="External"/><Relationship Id="rId28" Type="http://schemas.openxmlformats.org/officeDocument/2006/relationships/hyperlink" Target="https://www.google.com/url?sa=E&amp;q=https%3A%2F%2Fdoi.org%2F10.1016%2Fj.rser.2023.113276" TargetMode="External"/><Relationship Id="rId36" Type="http://schemas.openxmlformats.org/officeDocument/2006/relationships/hyperlink" Target="https://www.google.com/url?sa=E&amp;q=https%3A%2F%2Fdoi.org%2F10.1016%2Fj.ijhydene.2010.01.077" TargetMode="External"/><Relationship Id="rId10" Type="http://schemas.openxmlformats.org/officeDocument/2006/relationships/image" Target="media/image2.svg"/><Relationship Id="rId19" Type="http://schemas.openxmlformats.org/officeDocument/2006/relationships/hyperlink" Target="https://www.google.com/url?sa=E&amp;q=https%3A%2F%2Fdoi.org%2F10.1016%2Fj.jclepro.2024.140814" TargetMode="External"/><Relationship Id="rId31" Type="http://schemas.openxmlformats.org/officeDocument/2006/relationships/hyperlink" Target="https://www.google.com/url?sa=E&amp;q=https%3A%2F%2Fdoi.org%2F10.1016%2Fj.rser.2016.09.044"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4.svg"/><Relationship Id="rId22" Type="http://schemas.openxmlformats.org/officeDocument/2006/relationships/hyperlink" Target="https://www.google.com/url?sa=E&amp;q=https%3A%2F%2Fdoi.org%2F10.1016%2Fj.ijhydene.2014.12.035" TargetMode="External"/><Relationship Id="rId27" Type="http://schemas.openxmlformats.org/officeDocument/2006/relationships/hyperlink" Target="https://www.google.com/url?sa=E&amp;q=https%3A%2F%2Fdoi.org%2F10.1016%2Fj.fuel.2023.128456" TargetMode="External"/><Relationship Id="rId30" Type="http://schemas.openxmlformats.org/officeDocument/2006/relationships/hyperlink" Target="https://www.google.com/url?sa=E&amp;q=https%3A%2F%2Fdoi.org%2F10.4271%2F960849" TargetMode="External"/><Relationship Id="rId35" Type="http://schemas.openxmlformats.org/officeDocument/2006/relationships/hyperlink" Target="https://www.google.com/url?sa=E&amp;q=https%3A%2F%2Fdoi.org%2F10.1016%2Fj.ijhydene.2006.11.022" TargetMode="External"/><Relationship Id="rId43" Type="http://schemas.openxmlformats.org/officeDocument/2006/relationships/hyperlink" Target="https://www.google.com/url?sa=E&amp;q=https%3A%2F%2Fdoi.org%2F10.1098%2Frsta.2010.0113" TargetMode="External"/><Relationship Id="rId8" Type="http://schemas.openxmlformats.org/officeDocument/2006/relationships/hyperlink" Target="https://orcid.org/0009-0005-0037-3362" TargetMode="External"/><Relationship Id="rId3"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hyperlink" Target="https://www.google.com/url?sa=E&amp;q=https%3A%2F%2Fdoi.org%2F10.1016%2Fj.ijhydene.2010.02.019" TargetMode="External"/><Relationship Id="rId25" Type="http://schemas.openxmlformats.org/officeDocument/2006/relationships/hyperlink" Target="https://www.google.com/url?sa=E&amp;q=https%3A%2F%2Fdoi.org%2F10.1016%2Fj.pmatsci.2023.101049" TargetMode="External"/><Relationship Id="rId33" Type="http://schemas.openxmlformats.org/officeDocument/2006/relationships/hyperlink" Target="https://www.google.com/url?sa=E&amp;q=https%3A%2F%2Fdoi.org%2F10.1016%2Fj.ijhydene.2022.10.131" TargetMode="External"/><Relationship Id="rId38" Type="http://schemas.openxmlformats.org/officeDocument/2006/relationships/hyperlink" Target="https://www.google.com/url?sa=E&amp;q=https%3A%2F%2Fdoi.org%2F10.1016%2Fj.apenergy.2023.121234" TargetMode="External"/><Relationship Id="rId46" Type="http://schemas.openxmlformats.org/officeDocument/2006/relationships/fontTable" Target="fontTable.xml"/><Relationship Id="rId20" Type="http://schemas.openxmlformats.org/officeDocument/2006/relationships/hyperlink" Target="https://www.google.com/url?sa=E&amp;q=https%3A%2F%2Fdoi.org%2F10.1016%2Fj.seta.2023.103245" TargetMode="External"/><Relationship Id="rId41" Type="http://schemas.openxmlformats.org/officeDocument/2006/relationships/hyperlink" Target="https://www.google.com/url?sa=E&amp;q=https%3A%2F%2Fdoi.org%2F10.1016%2Fj.ijhydene.2022.08.1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C:\UNIVERSIDAD\FORUM%20TALLERES%20Y%20EVENTOS\REALIZADOS\Convenci&#243;n%20Cient&#237;fica%20de%20Santa%20Clara\Gr&#225;fico%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NIVERSIDAD\FORUM%20TALLERES%20Y%20EVENTOS\REALIZADOS\Convenci&#243;n%20Cient&#237;fica%20de%20Santa%20Clara\Gr&#225;fico%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NIVERSIDAD\FORUM%20TALLERES%20Y%20EVENTOS\REALIZADOS\Convenci&#243;n%20Cient&#237;fica%20de%20Santa%20Clara\Gr&#225;fico%203.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Hoja1!$C$8</c:f>
              <c:strCache>
                <c:ptCount val="1"/>
                <c:pt idx="0">
                  <c:v>Motor de Gasolina (MCI-C)</c:v>
                </c:pt>
              </c:strCache>
            </c:strRef>
          </c:tx>
          <c:spPr>
            <a:solidFill>
              <a:srgbClr val="D95319"/>
            </a:solidFill>
            <a:ln w="6350">
              <a:solidFill>
                <a:schemeClr val="tx1"/>
              </a:solidFill>
            </a:ln>
            <a:effectLst/>
          </c:spPr>
          <c:invertIfNegative val="0"/>
          <c:cat>
            <c:strRef>
              <c:f>Hoja1!$B$9:$B$13</c:f>
              <c:strCache>
                <c:ptCount val="5"/>
                <c:pt idx="0">
                  <c:v>CO₂</c:v>
                </c:pt>
                <c:pt idx="1">
                  <c:v>NOₓ</c:v>
                </c:pt>
                <c:pt idx="2">
                  <c:v>HC</c:v>
                </c:pt>
                <c:pt idx="3">
                  <c:v>PM</c:v>
                </c:pt>
                <c:pt idx="4">
                  <c:v>H₂O</c:v>
                </c:pt>
              </c:strCache>
            </c:strRef>
          </c:cat>
          <c:val>
            <c:numRef>
              <c:f>Hoja1!$C$9:$C$13</c:f>
              <c:numCache>
                <c:formatCode>General</c:formatCode>
                <c:ptCount val="5"/>
                <c:pt idx="0">
                  <c:v>100</c:v>
                </c:pt>
                <c:pt idx="1">
                  <c:v>10</c:v>
                </c:pt>
                <c:pt idx="2">
                  <c:v>5</c:v>
                </c:pt>
                <c:pt idx="3">
                  <c:v>2</c:v>
                </c:pt>
                <c:pt idx="4">
                  <c:v>12</c:v>
                </c:pt>
              </c:numCache>
            </c:numRef>
          </c:val>
          <c:extLst>
            <c:ext xmlns:c16="http://schemas.microsoft.com/office/drawing/2014/chart" uri="{C3380CC4-5D6E-409C-BE32-E72D297353CC}">
              <c16:uniqueId val="{00000000-D9DF-4123-8985-9D7828D8936E}"/>
            </c:ext>
          </c:extLst>
        </c:ser>
        <c:ser>
          <c:idx val="1"/>
          <c:order val="1"/>
          <c:tx>
            <c:strRef>
              <c:f>Hoja1!$D$8</c:f>
              <c:strCache>
                <c:ptCount val="1"/>
                <c:pt idx="0">
                  <c:v>Motor de Hidrógeno (MCI-H₂)</c:v>
                </c:pt>
              </c:strCache>
            </c:strRef>
          </c:tx>
          <c:spPr>
            <a:solidFill>
              <a:srgbClr val="0070C0"/>
            </a:solidFill>
            <a:ln w="6350">
              <a:solidFill>
                <a:schemeClr val="tx1"/>
              </a:solidFill>
            </a:ln>
            <a:effectLst/>
          </c:spPr>
          <c:invertIfNegative val="0"/>
          <c:cat>
            <c:strRef>
              <c:f>Hoja1!$B$9:$B$13</c:f>
              <c:strCache>
                <c:ptCount val="5"/>
                <c:pt idx="0">
                  <c:v>CO₂</c:v>
                </c:pt>
                <c:pt idx="1">
                  <c:v>NOₓ</c:v>
                </c:pt>
                <c:pt idx="2">
                  <c:v>HC</c:v>
                </c:pt>
                <c:pt idx="3">
                  <c:v>PM</c:v>
                </c:pt>
                <c:pt idx="4">
                  <c:v>H₂O</c:v>
                </c:pt>
              </c:strCache>
            </c:strRef>
          </c:cat>
          <c:val>
            <c:numRef>
              <c:f>Hoja1!$D$9:$D$13</c:f>
              <c:numCache>
                <c:formatCode>General</c:formatCode>
                <c:ptCount val="5"/>
                <c:pt idx="0">
                  <c:v>0</c:v>
                </c:pt>
                <c:pt idx="1">
                  <c:v>8</c:v>
                </c:pt>
                <c:pt idx="2">
                  <c:v>0</c:v>
                </c:pt>
                <c:pt idx="3">
                  <c:v>0</c:v>
                </c:pt>
                <c:pt idx="4">
                  <c:v>130</c:v>
                </c:pt>
              </c:numCache>
            </c:numRef>
          </c:val>
          <c:extLst>
            <c:ext xmlns:c16="http://schemas.microsoft.com/office/drawing/2014/chart" uri="{C3380CC4-5D6E-409C-BE32-E72D297353CC}">
              <c16:uniqueId val="{00000001-D9DF-4123-8985-9D7828D8936E}"/>
            </c:ext>
          </c:extLst>
        </c:ser>
        <c:dLbls>
          <c:showLegendKey val="0"/>
          <c:showVal val="0"/>
          <c:showCatName val="0"/>
          <c:showSerName val="0"/>
          <c:showPercent val="0"/>
          <c:showBubbleSize val="0"/>
        </c:dLbls>
        <c:gapWidth val="80"/>
        <c:overlap val="-27"/>
        <c:axId val="800211648"/>
        <c:axId val="793647024"/>
      </c:barChart>
      <c:catAx>
        <c:axId val="80021164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baseline="0"/>
                  <a:t>Especies Químicas en el Escape</a:t>
                </a:r>
                <a:endParaRPr lang="en-US" sz="1200"/>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793647024"/>
        <c:crosses val="autoZero"/>
        <c:auto val="1"/>
        <c:lblAlgn val="ctr"/>
        <c:lblOffset val="100"/>
        <c:noMultiLvlLbl val="0"/>
      </c:catAx>
      <c:valAx>
        <c:axId val="793647024"/>
        <c:scaling>
          <c:orientation val="minMax"/>
        </c:scaling>
        <c:delete val="0"/>
        <c:axPos val="l"/>
        <c:majorGridlines>
          <c:spPr>
            <a:ln w="6350" cap="flat" cmpd="sng" algn="ctr">
              <a:solidFill>
                <a:schemeClr val="tx1">
                  <a:lumMod val="15000"/>
                  <a:lumOff val="85000"/>
                  <a:alpha val="89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baseline="0"/>
                  <a:t>Emisiones Relativas Normalizadas [u.a.]</a:t>
                </a:r>
                <a:endParaRPr lang="en-US" sz="1200"/>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a:solidFill>
              <a:schemeClr val="tx1"/>
            </a:solid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80021164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05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2"/>
          <c:order val="2"/>
          <c:tx>
            <c:strRef>
              <c:f>Hoja1!$D$3</c:f>
              <c:strCache>
                <c:ptCount val="1"/>
                <c:pt idx="0">
                  <c:v>Emisiones de NOₓ [ppm]</c:v>
                </c:pt>
              </c:strCache>
            </c:strRef>
          </c:tx>
          <c:spPr>
            <a:ln w="28575" cap="rnd">
              <a:solidFill>
                <a:srgbClr val="D95319"/>
              </a:solidFill>
              <a:round/>
            </a:ln>
            <a:effectLst/>
          </c:spPr>
          <c:marker>
            <c:symbol val="circle"/>
            <c:size val="5"/>
            <c:spPr>
              <a:solidFill>
                <a:srgbClr val="D95319"/>
              </a:solidFill>
              <a:ln w="9525">
                <a:noFill/>
              </a:ln>
              <a:effectLst/>
            </c:spPr>
          </c:marker>
          <c:cat>
            <c:numRef>
              <c:f>Hoja1!$B$4:$B$19</c:f>
              <c:numCache>
                <c:formatCode>General</c:formatCode>
                <c:ptCount val="16"/>
                <c:pt idx="0">
                  <c:v>1</c:v>
                </c:pt>
                <c:pt idx="1">
                  <c:v>1.2</c:v>
                </c:pt>
                <c:pt idx="2">
                  <c:v>1.4</c:v>
                </c:pt>
                <c:pt idx="3">
                  <c:v>1.6</c:v>
                </c:pt>
                <c:pt idx="4">
                  <c:v>1.8</c:v>
                </c:pt>
                <c:pt idx="5">
                  <c:v>2</c:v>
                </c:pt>
                <c:pt idx="6">
                  <c:v>2.2000000000000002</c:v>
                </c:pt>
                <c:pt idx="7">
                  <c:v>2.4</c:v>
                </c:pt>
                <c:pt idx="8">
                  <c:v>2.6</c:v>
                </c:pt>
                <c:pt idx="9">
                  <c:v>2.8</c:v>
                </c:pt>
                <c:pt idx="10">
                  <c:v>3</c:v>
                </c:pt>
                <c:pt idx="11">
                  <c:v>3.2</c:v>
                </c:pt>
                <c:pt idx="12">
                  <c:v>3.4</c:v>
                </c:pt>
                <c:pt idx="13">
                  <c:v>3.6</c:v>
                </c:pt>
                <c:pt idx="14">
                  <c:v>3.8</c:v>
                </c:pt>
                <c:pt idx="15">
                  <c:v>4</c:v>
                </c:pt>
              </c:numCache>
            </c:numRef>
          </c:cat>
          <c:val>
            <c:numRef>
              <c:f>Hoja1!$D$4:$D$19</c:f>
              <c:numCache>
                <c:formatCode>General</c:formatCode>
                <c:ptCount val="16"/>
                <c:pt idx="0">
                  <c:v>4500</c:v>
                </c:pt>
                <c:pt idx="1">
                  <c:v>5500</c:v>
                </c:pt>
                <c:pt idx="2">
                  <c:v>4800</c:v>
                </c:pt>
                <c:pt idx="3">
                  <c:v>3500</c:v>
                </c:pt>
                <c:pt idx="4">
                  <c:v>1800</c:v>
                </c:pt>
                <c:pt idx="5">
                  <c:v>500</c:v>
                </c:pt>
                <c:pt idx="6">
                  <c:v>150</c:v>
                </c:pt>
                <c:pt idx="7">
                  <c:v>50</c:v>
                </c:pt>
                <c:pt idx="8">
                  <c:v>20</c:v>
                </c:pt>
                <c:pt idx="9">
                  <c:v>10</c:v>
                </c:pt>
                <c:pt idx="10">
                  <c:v>5</c:v>
                </c:pt>
                <c:pt idx="11">
                  <c:v>0</c:v>
                </c:pt>
                <c:pt idx="12">
                  <c:v>0</c:v>
                </c:pt>
                <c:pt idx="13">
                  <c:v>0</c:v>
                </c:pt>
                <c:pt idx="14">
                  <c:v>0</c:v>
                </c:pt>
                <c:pt idx="15">
                  <c:v>0</c:v>
                </c:pt>
              </c:numCache>
            </c:numRef>
          </c:val>
          <c:smooth val="0"/>
          <c:extLst>
            <c:ext xmlns:c16="http://schemas.microsoft.com/office/drawing/2014/chart" uri="{C3380CC4-5D6E-409C-BE32-E72D297353CC}">
              <c16:uniqueId val="{00000000-6DB3-4209-A992-A88DE6FAEAB1}"/>
            </c:ext>
          </c:extLst>
        </c:ser>
        <c:dLbls>
          <c:showLegendKey val="0"/>
          <c:showVal val="0"/>
          <c:showCatName val="0"/>
          <c:showSerName val="0"/>
          <c:showPercent val="0"/>
          <c:showBubbleSize val="0"/>
        </c:dLbls>
        <c:marker val="1"/>
        <c:smooth val="0"/>
        <c:axId val="1035155568"/>
        <c:axId val="1035138288"/>
        <c:extLst>
          <c:ext xmlns:c15="http://schemas.microsoft.com/office/drawing/2012/chart" uri="{02D57815-91ED-43cb-92C2-25804820EDAC}">
            <c15:filteredLineSeries>
              <c15:ser>
                <c:idx val="0"/>
                <c:order val="0"/>
                <c:tx>
                  <c:strRef>
                    <c:extLst>
                      <c:ext uri="{02D57815-91ED-43cb-92C2-25804820EDAC}">
                        <c15:formulaRef>
                          <c15:sqref>Hoja1!$B$3</c15:sqref>
                        </c15:formulaRef>
                      </c:ext>
                    </c:extLst>
                    <c:strCache>
                      <c:ptCount val="1"/>
                      <c:pt idx="0">
                        <c:v>Coeficiente Aire-Combustible (λ)</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extLst>
                      <c:ext uri="{02D57815-91ED-43cb-92C2-25804820EDAC}">
                        <c15:formulaRef>
                          <c15:sqref>Hoja1!$B$4:$B$19</c15:sqref>
                        </c15:formulaRef>
                      </c:ext>
                    </c:extLst>
                    <c:numCache>
                      <c:formatCode>General</c:formatCode>
                      <c:ptCount val="16"/>
                      <c:pt idx="0">
                        <c:v>1</c:v>
                      </c:pt>
                      <c:pt idx="1">
                        <c:v>1.2</c:v>
                      </c:pt>
                      <c:pt idx="2">
                        <c:v>1.4</c:v>
                      </c:pt>
                      <c:pt idx="3">
                        <c:v>1.6</c:v>
                      </c:pt>
                      <c:pt idx="4">
                        <c:v>1.8</c:v>
                      </c:pt>
                      <c:pt idx="5">
                        <c:v>2</c:v>
                      </c:pt>
                      <c:pt idx="6">
                        <c:v>2.2000000000000002</c:v>
                      </c:pt>
                      <c:pt idx="7">
                        <c:v>2.4</c:v>
                      </c:pt>
                      <c:pt idx="8">
                        <c:v>2.6</c:v>
                      </c:pt>
                      <c:pt idx="9">
                        <c:v>2.8</c:v>
                      </c:pt>
                      <c:pt idx="10">
                        <c:v>3</c:v>
                      </c:pt>
                      <c:pt idx="11">
                        <c:v>3.2</c:v>
                      </c:pt>
                      <c:pt idx="12">
                        <c:v>3.4</c:v>
                      </c:pt>
                      <c:pt idx="13">
                        <c:v>3.6</c:v>
                      </c:pt>
                      <c:pt idx="14">
                        <c:v>3.8</c:v>
                      </c:pt>
                      <c:pt idx="15">
                        <c:v>4</c:v>
                      </c:pt>
                    </c:numCache>
                  </c:numRef>
                </c:cat>
                <c:val>
                  <c:numRef>
                    <c:extLst>
                      <c:ext uri="{02D57815-91ED-43cb-92C2-25804820EDAC}">
                        <c15:formulaRef>
                          <c15:sqref>Hoja1!$B$4:$B$19</c15:sqref>
                        </c15:formulaRef>
                      </c:ext>
                    </c:extLst>
                    <c:numCache>
                      <c:formatCode>General</c:formatCode>
                      <c:ptCount val="16"/>
                      <c:pt idx="0">
                        <c:v>1</c:v>
                      </c:pt>
                      <c:pt idx="1">
                        <c:v>1.2</c:v>
                      </c:pt>
                      <c:pt idx="2">
                        <c:v>1.4</c:v>
                      </c:pt>
                      <c:pt idx="3">
                        <c:v>1.6</c:v>
                      </c:pt>
                      <c:pt idx="4">
                        <c:v>1.8</c:v>
                      </c:pt>
                      <c:pt idx="5">
                        <c:v>2</c:v>
                      </c:pt>
                      <c:pt idx="6">
                        <c:v>2.2000000000000002</c:v>
                      </c:pt>
                      <c:pt idx="7">
                        <c:v>2.4</c:v>
                      </c:pt>
                      <c:pt idx="8">
                        <c:v>2.6</c:v>
                      </c:pt>
                      <c:pt idx="9">
                        <c:v>2.8</c:v>
                      </c:pt>
                      <c:pt idx="10">
                        <c:v>3</c:v>
                      </c:pt>
                      <c:pt idx="11">
                        <c:v>3.2</c:v>
                      </c:pt>
                      <c:pt idx="12">
                        <c:v>3.4</c:v>
                      </c:pt>
                      <c:pt idx="13">
                        <c:v>3.6</c:v>
                      </c:pt>
                      <c:pt idx="14">
                        <c:v>3.8</c:v>
                      </c:pt>
                      <c:pt idx="15">
                        <c:v>4</c:v>
                      </c:pt>
                    </c:numCache>
                  </c:numRef>
                </c:val>
                <c:smooth val="0"/>
                <c:extLst>
                  <c:ext xmlns:c16="http://schemas.microsoft.com/office/drawing/2014/chart" uri="{C3380CC4-5D6E-409C-BE32-E72D297353CC}">
                    <c16:uniqueId val="{00000002-6DB3-4209-A992-A88DE6FAEAB1}"/>
                  </c:ext>
                </c:extLst>
              </c15:ser>
            </c15:filteredLineSeries>
          </c:ext>
        </c:extLst>
      </c:lineChart>
      <c:lineChart>
        <c:grouping val="standard"/>
        <c:varyColors val="0"/>
        <c:ser>
          <c:idx val="1"/>
          <c:order val="1"/>
          <c:tx>
            <c:strRef>
              <c:f>Hoja1!$C$3</c:f>
              <c:strCache>
                <c:ptCount val="1"/>
                <c:pt idx="0">
                  <c:v>Eficiencia Térmica Indicada (ηᵢ) [%]</c:v>
                </c:pt>
              </c:strCache>
            </c:strRef>
          </c:tx>
          <c:spPr>
            <a:ln w="28575" cap="rnd">
              <a:solidFill>
                <a:srgbClr val="0070C0"/>
              </a:solidFill>
              <a:round/>
            </a:ln>
            <a:effectLst/>
          </c:spPr>
          <c:marker>
            <c:symbol val="circle"/>
            <c:size val="5"/>
            <c:spPr>
              <a:solidFill>
                <a:srgbClr val="0070C0"/>
              </a:solidFill>
              <a:ln w="9525">
                <a:noFill/>
              </a:ln>
              <a:effectLst/>
            </c:spPr>
          </c:marker>
          <c:val>
            <c:numRef>
              <c:f>Hoja1!$C$4:$C$19</c:f>
              <c:numCache>
                <c:formatCode>General</c:formatCode>
                <c:ptCount val="16"/>
                <c:pt idx="0">
                  <c:v>38</c:v>
                </c:pt>
                <c:pt idx="1">
                  <c:v>39</c:v>
                </c:pt>
                <c:pt idx="2">
                  <c:v>40</c:v>
                </c:pt>
                <c:pt idx="3">
                  <c:v>41.5</c:v>
                </c:pt>
                <c:pt idx="4">
                  <c:v>43</c:v>
                </c:pt>
                <c:pt idx="5">
                  <c:v>44</c:v>
                </c:pt>
                <c:pt idx="6">
                  <c:v>45</c:v>
                </c:pt>
                <c:pt idx="7">
                  <c:v>45.5</c:v>
                </c:pt>
                <c:pt idx="8">
                  <c:v>46</c:v>
                </c:pt>
                <c:pt idx="9">
                  <c:v>45.8</c:v>
                </c:pt>
                <c:pt idx="10">
                  <c:v>45.5</c:v>
                </c:pt>
                <c:pt idx="11">
                  <c:v>45</c:v>
                </c:pt>
                <c:pt idx="12">
                  <c:v>44.5</c:v>
                </c:pt>
                <c:pt idx="13">
                  <c:v>44</c:v>
                </c:pt>
                <c:pt idx="14">
                  <c:v>43</c:v>
                </c:pt>
                <c:pt idx="15">
                  <c:v>42</c:v>
                </c:pt>
              </c:numCache>
            </c:numRef>
          </c:val>
          <c:smooth val="0"/>
          <c:extLst>
            <c:ext xmlns:c16="http://schemas.microsoft.com/office/drawing/2014/chart" uri="{C3380CC4-5D6E-409C-BE32-E72D297353CC}">
              <c16:uniqueId val="{00000001-6DB3-4209-A992-A88DE6FAEAB1}"/>
            </c:ext>
          </c:extLst>
        </c:ser>
        <c:dLbls>
          <c:showLegendKey val="0"/>
          <c:showVal val="0"/>
          <c:showCatName val="0"/>
          <c:showSerName val="0"/>
          <c:showPercent val="0"/>
          <c:showBubbleSize val="0"/>
        </c:dLbls>
        <c:marker val="1"/>
        <c:smooth val="0"/>
        <c:axId val="1035164688"/>
        <c:axId val="1035163728"/>
      </c:lineChart>
      <c:catAx>
        <c:axId val="1035155568"/>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a:t>Coeficiente de Exceso de Aire (</a:t>
                </a:r>
                <a:r>
                  <a:rPr lang="el-GR" sz="1100" b="1"/>
                  <a:t>λ)</a:t>
                </a:r>
                <a:endParaRPr lang="en-US" sz="1100" b="1"/>
              </a:p>
            </c:rich>
          </c:tx>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5138288"/>
        <c:crosses val="autoZero"/>
        <c:auto val="1"/>
        <c:lblAlgn val="ctr"/>
        <c:lblOffset val="100"/>
        <c:noMultiLvlLbl val="0"/>
      </c:catAx>
      <c:valAx>
        <c:axId val="103513828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a:t>Emisiones de NOₓ [ppm]</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none"/>
        <c:minorTickMark val="none"/>
        <c:tickLblPos val="nextTo"/>
        <c:spPr>
          <a:noFill/>
          <a:ln w="19050">
            <a:solidFill>
              <a:srgbClr val="D95319"/>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5155568"/>
        <c:crosses val="autoZero"/>
        <c:crossBetween val="between"/>
      </c:valAx>
      <c:valAx>
        <c:axId val="1035163728"/>
        <c:scaling>
          <c:orientation val="minMax"/>
          <c:max val="50"/>
          <c:min val="30"/>
        </c:scaling>
        <c:delete val="0"/>
        <c:axPos val="r"/>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100" b="1"/>
                  <a:t>Eficiencia Térmica Indicada (</a:t>
                </a:r>
                <a:r>
                  <a:rPr lang="el-GR" sz="1100" b="1"/>
                  <a:t>η</a:t>
                </a:r>
                <a:r>
                  <a:rPr lang="en-US" sz="1100" b="1"/>
                  <a:t>ᵢ) [%]</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title>
        <c:numFmt formatCode="General" sourceLinked="1"/>
        <c:majorTickMark val="out"/>
        <c:minorTickMark val="none"/>
        <c:tickLblPos val="nextTo"/>
        <c:spPr>
          <a:noFill/>
          <a:ln w="19050">
            <a:solidFill>
              <a:srgbClr val="0070C0"/>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035164688"/>
        <c:crosses val="max"/>
        <c:crossBetween val="between"/>
      </c:valAx>
      <c:catAx>
        <c:axId val="1035164688"/>
        <c:scaling>
          <c:orientation val="minMax"/>
        </c:scaling>
        <c:delete val="1"/>
        <c:axPos val="b"/>
        <c:majorTickMark val="out"/>
        <c:minorTickMark val="none"/>
        <c:tickLblPos val="nextTo"/>
        <c:crossAx val="1035163728"/>
        <c:crosses val="autoZero"/>
        <c:auto val="1"/>
        <c:lblAlgn val="ctr"/>
        <c:lblOffset val="100"/>
        <c:noMultiLvlLbl val="0"/>
      </c:catAx>
      <c:spPr>
        <a:noFill/>
        <a:ln>
          <a:noFill/>
        </a:ln>
        <a:effectLst/>
      </c:spPr>
    </c:plotArea>
    <c:legend>
      <c:legendPos val="t"/>
      <c:layout>
        <c:manualLayout>
          <c:xMode val="edge"/>
          <c:yMode val="edge"/>
          <c:x val="0.27748428816370824"/>
          <c:y val="5.616978325046719E-2"/>
          <c:w val="0.45062470538479316"/>
          <c:h val="0.10122315851168263"/>
        </c:manualLayout>
      </c:layout>
      <c:overlay val="1"/>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Hoja1!$D$4</c:f>
              <c:strCache>
                <c:ptCount val="1"/>
                <c:pt idx="0">
                  <c:v>Densidad Gravimétrica (Wh/kg)</c:v>
                </c:pt>
              </c:strCache>
            </c:strRef>
          </c:tx>
          <c:spPr>
            <a:ln w="19050" cap="rnd">
              <a:noFill/>
              <a:round/>
            </a:ln>
            <a:effectLst/>
          </c:spPr>
          <c:marker>
            <c:symbol val="circle"/>
            <c:size val="6"/>
            <c:spPr>
              <a:solidFill>
                <a:srgbClr val="0070C0"/>
              </a:solidFill>
              <a:ln w="9525">
                <a:solidFill>
                  <a:schemeClr val="tx1">
                    <a:lumMod val="75000"/>
                    <a:lumOff val="25000"/>
                  </a:schemeClr>
                </a:solidFill>
              </a:ln>
              <a:effectLst/>
            </c:spPr>
          </c:marker>
          <c:dLbls>
            <c:dLbl>
              <c:idx val="0"/>
              <c:layout>
                <c:manualLayout>
                  <c:x val="-9.4000493092544851E-2"/>
                  <c:y val="-7.6420153901434071E-2"/>
                </c:manualLayout>
              </c:layout>
              <c:tx>
                <c:rich>
                  <a:bodyPr/>
                  <a:lstStyle/>
                  <a:p>
                    <a:fld id="{D5642888-ACDE-4208-9F02-90BA2BED8AC4}"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9C30-43D3-BA23-96831D9FF280}"/>
                </c:ext>
              </c:extLst>
            </c:dLbl>
            <c:dLbl>
              <c:idx val="1"/>
              <c:layout>
                <c:manualLayout>
                  <c:x val="-0.38485494987018509"/>
                  <c:y val="-5.0308822693106714E-2"/>
                </c:manualLayout>
              </c:layout>
              <c:tx>
                <c:rich>
                  <a:bodyPr/>
                  <a:lstStyle/>
                  <a:p>
                    <a:fld id="{27289303-8B33-4DAF-B826-8E5771E3E5AB}"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9C30-43D3-BA23-96831D9FF280}"/>
                </c:ext>
              </c:extLst>
            </c:dLbl>
            <c:dLbl>
              <c:idx val="2"/>
              <c:layout>
                <c:manualLayout>
                  <c:x val="-0.33064350845933538"/>
                  <c:y val="-4.835431705245808E-2"/>
                </c:manualLayout>
              </c:layout>
              <c:tx>
                <c:rich>
                  <a:bodyPr/>
                  <a:lstStyle/>
                  <a:p>
                    <a:fld id="{F0D3BE1F-0084-41C8-B816-3A44FDA69C62}"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9C30-43D3-BA23-96831D9FF280}"/>
                </c:ext>
              </c:extLst>
            </c:dLbl>
            <c:dLbl>
              <c:idx val="3"/>
              <c:layout>
                <c:manualLayout>
                  <c:x val="-0.30312089010767118"/>
                  <c:y val="-9.6569162717360116E-2"/>
                </c:manualLayout>
              </c:layout>
              <c:tx>
                <c:rich>
                  <a:bodyPr/>
                  <a:lstStyle/>
                  <a:p>
                    <a:fld id="{C7CE4B28-87B3-4ECA-A4CF-F1020434C063}" type="CELLRANGE">
                      <a:rPr lang="en-US"/>
                      <a:pPr/>
                      <a:t>[CELLRANGE]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9C30-43D3-BA23-96831D9FF280}"/>
                </c:ext>
              </c:extLst>
            </c:dLbl>
            <c:dLbl>
              <c:idx val="4"/>
              <c:layout>
                <c:manualLayout>
                  <c:x val="-0.27009059062957785"/>
                  <c:y val="-0.14167941977361159"/>
                </c:manualLayout>
              </c:layout>
              <c:tx>
                <c:rich>
                  <a:bodyPr rot="0" spcFirstLastPara="1" vertOverflow="clip" horzOverflow="clip" vert="horz" wrap="non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380CD908-A8DC-4D12-8E46-3A1323DA7A71}" type="CELLRANGE">
                      <a:rPr lang="en-US"/>
                      <a:pPr>
                        <a:defRPr b="1"/>
                      </a:pPr>
                      <a:t>[CELLRANGE]</a:t>
                    </a:fld>
                    <a:endParaRPr lang="en-US"/>
                  </a:p>
                </c:rich>
              </c:tx>
              <c:spPr>
                <a:noFill/>
                <a:ln>
                  <a:noFill/>
                </a:ln>
                <a:effectLst/>
              </c:spPr>
              <c:txPr>
                <a:bodyPr rot="0" spcFirstLastPara="1" vertOverflow="clip" horzOverflow="clip" vert="horz" wrap="non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0"/>
              <c:showPercent val="0"/>
              <c:showBubbleSize val="0"/>
              <c:extLst>
                <c:ext xmlns:c15="http://schemas.microsoft.com/office/drawing/2012/chart" uri="{CE6537A1-D6FC-4f65-9D91-7224C49458BB}">
                  <c15:layout>
                    <c:manualLayout>
                      <c:w val="0.25457462456981511"/>
                      <c:h val="5.6024028847792173E-2"/>
                    </c:manualLayout>
                  </c15:layout>
                  <c15:dlblFieldTable/>
                  <c15:showDataLabelsRange val="1"/>
                </c:ext>
                <c:ext xmlns:c16="http://schemas.microsoft.com/office/drawing/2014/chart" uri="{C3380CC4-5D6E-409C-BE32-E72D297353CC}">
                  <c16:uniqueId val="{00000004-9C30-43D3-BA23-96831D9FF280}"/>
                </c:ext>
              </c:extLst>
            </c:dLbl>
            <c:dLbl>
              <c:idx val="5"/>
              <c:layout>
                <c:manualLayout>
                  <c:x val="-0.3476301495840099"/>
                  <c:y val="7.9568585451958773E-2"/>
                </c:manualLayout>
              </c:layout>
              <c:tx>
                <c:rich>
                  <a:bodyPr rot="0" spcFirstLastPara="1" vertOverflow="clip" horzOverflow="clip" vert="horz" wrap="non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fld id="{6D7B9E99-B69B-4F75-9777-B97CC42AEC78}" type="CELLRANGE">
                      <a:rPr lang="en-US"/>
                      <a:pPr>
                        <a:defRPr b="1">
                          <a:solidFill>
                            <a:schemeClr val="tx1">
                              <a:lumMod val="75000"/>
                              <a:lumOff val="25000"/>
                            </a:schemeClr>
                          </a:solidFill>
                        </a:defRPr>
                      </a:pPr>
                      <a:t>[CELLRANGE]</a:t>
                    </a:fld>
                    <a:endParaRPr lang="en-US"/>
                  </a:p>
                </c:rich>
              </c:tx>
              <c:spPr>
                <a:noFill/>
                <a:ln>
                  <a:noFill/>
                </a:ln>
                <a:effectLst/>
              </c:spPr>
              <c:txPr>
                <a:bodyPr rot="0" spcFirstLastPara="1" vertOverflow="clip" horzOverflow="clip" vert="horz" wrap="none" lIns="38100" tIns="19050" rIns="38100" bIns="19050" anchor="ctr" anchorCtr="1">
                  <a:no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r"/>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a:noFill/>
                    <a:ln>
                      <a:noFill/>
                    </a:ln>
                  </c15:spPr>
                  <c15:layout>
                    <c:manualLayout>
                      <c:w val="0.24101108148253997"/>
                      <c:h val="5.7333276749163428E-2"/>
                    </c:manualLayout>
                  </c15:layout>
                  <c15:dlblFieldTable/>
                  <c15:showDataLabelsRange val="1"/>
                </c:ext>
                <c:ext xmlns:c16="http://schemas.microsoft.com/office/drawing/2014/chart" uri="{C3380CC4-5D6E-409C-BE32-E72D297353CC}">
                  <c16:uniqueId val="{00000005-9C30-43D3-BA23-96831D9FF280}"/>
                </c:ext>
              </c:extLst>
            </c:dLbl>
            <c:spPr>
              <a:noFill/>
              <a:ln>
                <a:noFill/>
              </a:ln>
              <a:effectLst/>
            </c:spPr>
            <c:txPr>
              <a:bodyPr rot="0" spcFirstLastPara="1" vertOverflow="clip" horzOverflow="clip" vert="horz" wrap="non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en-US"/>
              </a:p>
            </c:txPr>
            <c:dLblPos val="l"/>
            <c:showLegendKey val="0"/>
            <c:showVal val="0"/>
            <c:showCatName val="0"/>
            <c:showSerName val="0"/>
            <c:showPercent val="0"/>
            <c:showBubbleSize val="0"/>
            <c:showLeaderLines val="0"/>
            <c:extLst>
              <c:ext xmlns:c15="http://schemas.microsoft.com/office/drawing/2012/chart" uri="{CE6537A1-D6FC-4f65-9D91-7224C49458BB}">
                <c15:spPr xmlns:c15="http://schemas.microsoft.com/office/drawing/2012/chart">
                  <a:prstGeom prst="rect">
                    <a:avLst/>
                  </a:prstGeom>
                  <a:noFill/>
                  <a:ln>
                    <a:noFill/>
                  </a:ln>
                </c15:spPr>
                <c15:showDataLabelsRange val="1"/>
                <c15:showLeaderLines val="1"/>
                <c15:leaderLines>
                  <c:spPr>
                    <a:ln w="9525" cap="flat" cmpd="sng" algn="ctr">
                      <a:solidFill>
                        <a:schemeClr val="tx1">
                          <a:lumMod val="35000"/>
                          <a:lumOff val="65000"/>
                          <a:alpha val="90000"/>
                        </a:schemeClr>
                      </a:solidFill>
                      <a:round/>
                    </a:ln>
                    <a:effectLst/>
                  </c:spPr>
                </c15:leaderLines>
              </c:ext>
            </c:extLst>
          </c:dLbls>
          <c:xVal>
            <c:numRef>
              <c:f>Hoja1!$C$5:$C$10</c:f>
              <c:numCache>
                <c:formatCode>General</c:formatCode>
                <c:ptCount val="6"/>
                <c:pt idx="0">
                  <c:v>9700</c:v>
                </c:pt>
                <c:pt idx="1">
                  <c:v>450</c:v>
                </c:pt>
                <c:pt idx="2">
                  <c:v>800</c:v>
                </c:pt>
                <c:pt idx="3">
                  <c:v>1300</c:v>
                </c:pt>
                <c:pt idx="4">
                  <c:v>2300</c:v>
                </c:pt>
                <c:pt idx="5">
                  <c:v>1800</c:v>
                </c:pt>
              </c:numCache>
            </c:numRef>
          </c:xVal>
          <c:yVal>
            <c:numRef>
              <c:f>Hoja1!$D$5:$D$10</c:f>
              <c:numCache>
                <c:formatCode>General</c:formatCode>
                <c:ptCount val="6"/>
                <c:pt idx="0">
                  <c:v>12200</c:v>
                </c:pt>
                <c:pt idx="1">
                  <c:v>250</c:v>
                </c:pt>
                <c:pt idx="2">
                  <c:v>1000</c:v>
                </c:pt>
                <c:pt idx="3">
                  <c:v>1600</c:v>
                </c:pt>
                <c:pt idx="4">
                  <c:v>3300</c:v>
                </c:pt>
                <c:pt idx="5">
                  <c:v>500</c:v>
                </c:pt>
              </c:numCache>
            </c:numRef>
          </c:yVal>
          <c:smooth val="0"/>
          <c:extLst>
            <c:ext xmlns:c15="http://schemas.microsoft.com/office/drawing/2012/chart" uri="{02D57815-91ED-43cb-92C2-25804820EDAC}">
              <c15:datalabelsRange>
                <c15:f>Hoja1!$B$5:$B$10</c15:f>
                <c15:dlblRangeCache>
                  <c:ptCount val="6"/>
                  <c:pt idx="0">
                    <c:v>Gasolina</c:v>
                  </c:pt>
                  <c:pt idx="1">
                    <c:v>Baterías de Ion-Litio (Automotriz)</c:v>
                  </c:pt>
                  <c:pt idx="2">
                    <c:v>Hidrógeno Comprimido (CGH₂) @ 350 bar</c:v>
                  </c:pt>
                  <c:pt idx="3">
                    <c:v>Hidrógeno Comprimido (CGH₂) @ 700 bar</c:v>
                  </c:pt>
                  <c:pt idx="4">
                    <c:v>Hidrógeno Líquido (LH₂)</c:v>
                  </c:pt>
                  <c:pt idx="5">
                    <c:v>Hidruros Metálicos (TiFe)</c:v>
                  </c:pt>
                </c15:dlblRangeCache>
              </c15:datalabelsRange>
            </c:ext>
            <c:ext xmlns:c16="http://schemas.microsoft.com/office/drawing/2014/chart" uri="{C3380CC4-5D6E-409C-BE32-E72D297353CC}">
              <c16:uniqueId val="{00000006-9C30-43D3-BA23-96831D9FF280}"/>
            </c:ext>
          </c:extLst>
        </c:ser>
        <c:dLbls>
          <c:showLegendKey val="0"/>
          <c:showVal val="1"/>
          <c:showCatName val="0"/>
          <c:showSerName val="0"/>
          <c:showPercent val="0"/>
          <c:showBubbleSize val="0"/>
        </c:dLbls>
        <c:axId val="663673376"/>
        <c:axId val="663662816"/>
      </c:scatterChart>
      <c:valAx>
        <c:axId val="663673376"/>
        <c:scaling>
          <c:logBase val="10"/>
          <c:orientation val="minMax"/>
        </c:scaling>
        <c:delete val="0"/>
        <c:axPos val="b"/>
        <c:majorGridlines>
          <c:spPr>
            <a:ln w="9525" cap="flat" cmpd="sng" algn="ctr">
              <a:solidFill>
                <a:schemeClr val="tx1">
                  <a:lumMod val="15000"/>
                  <a:lumOff val="85000"/>
                </a:schemeClr>
              </a:solidFill>
              <a:prstDash val="dash"/>
              <a:round/>
            </a:ln>
            <a:effectLst/>
          </c:spPr>
        </c:majorGridlines>
        <c:title>
          <c:tx>
            <c:rich>
              <a:bodyPr rot="0" spcFirstLastPara="1" vertOverflow="ellipsis" vert="horz" wrap="square" anchor="ctr" anchorCtr="1"/>
              <a:lstStyle/>
              <a:p>
                <a:pPr>
                  <a:defRPr sz="1100" b="0" i="0" u="none" strike="noStrike" kern="1200" baseline="0">
                    <a:solidFill>
                      <a:schemeClr val="tx1">
                        <a:lumMod val="85000"/>
                        <a:lumOff val="15000"/>
                      </a:schemeClr>
                    </a:solidFill>
                    <a:latin typeface="+mn-lt"/>
                    <a:ea typeface="+mn-ea"/>
                    <a:cs typeface="+mn-cs"/>
                  </a:defRPr>
                </a:pPr>
                <a:r>
                  <a:rPr lang="en-US" sz="1100" b="1" i="0" u="none" strike="noStrike" baseline="0">
                    <a:solidFill>
                      <a:schemeClr val="tx1">
                        <a:lumMod val="85000"/>
                        <a:lumOff val="15000"/>
                      </a:schemeClr>
                    </a:solidFill>
                  </a:rPr>
                  <a:t>Densidad Energética Volumétrica (Wh/L)</a:t>
                </a:r>
                <a:endParaRPr lang="en-US" sz="1100">
                  <a:solidFill>
                    <a:schemeClr val="tx1">
                      <a:lumMod val="85000"/>
                      <a:lumOff val="15000"/>
                    </a:schemeClr>
                  </a:solidFill>
                </a:endParaRP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85000"/>
                      <a:lumOff val="1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63662816"/>
        <c:crosses val="autoZero"/>
        <c:crossBetween val="midCat"/>
      </c:valAx>
      <c:valAx>
        <c:axId val="663662816"/>
        <c:scaling>
          <c:logBase val="10"/>
          <c:orientation val="minMax"/>
        </c:scaling>
        <c:delete val="0"/>
        <c:axPos val="l"/>
        <c:majorGridlines>
          <c:spPr>
            <a:ln w="9525" cap="flat" cmpd="sng" algn="ctr">
              <a:gradFill>
                <a:gsLst>
                  <a:gs pos="8500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prstDash val="dash"/>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r>
                  <a:rPr lang="en-US" sz="1100" b="1" i="0" u="none" strike="noStrike" baseline="0">
                    <a:solidFill>
                      <a:schemeClr val="tx1">
                        <a:lumMod val="75000"/>
                        <a:lumOff val="25000"/>
                      </a:schemeClr>
                    </a:solidFill>
                  </a:rPr>
                  <a:t>Densidad Energética Gravimétrica (Wh/kg)</a:t>
                </a:r>
                <a:endParaRPr lang="en-US" sz="1100">
                  <a:solidFill>
                    <a:schemeClr val="tx1">
                      <a:lumMod val="75000"/>
                      <a:lumOff val="25000"/>
                    </a:schemeClr>
                  </a:solidFill>
                </a:endParaRP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663673376"/>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315</TotalTime>
  <Pages>19</Pages>
  <Words>5556</Words>
  <Characters>31674</Characters>
  <Application>Microsoft Office Word</Application>
  <DocSecurity>0</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 Armas Yanes</dc:creator>
  <cp:keywords/>
  <dc:description/>
  <cp:lastModifiedBy>David de Armas Yanes</cp:lastModifiedBy>
  <cp:revision>3</cp:revision>
  <dcterms:created xsi:type="dcterms:W3CDTF">2025-09-13T15:13:00Z</dcterms:created>
  <dcterms:modified xsi:type="dcterms:W3CDTF">2025-09-14T16:20:00Z</dcterms:modified>
</cp:coreProperties>
</file>