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B9E72" w14:textId="1E540961" w:rsidR="008D0DC4" w:rsidRPr="008D0DC4" w:rsidRDefault="008D0DC4" w:rsidP="008D0DC4">
      <w:pPr>
        <w:spacing w:after="0" w:line="240" w:lineRule="auto"/>
        <w:jc w:val="center"/>
        <w:rPr>
          <w:rFonts w:ascii="Arial" w:eastAsia="Times New Roman" w:hAnsi="Arial" w:cs="Arial"/>
          <w:b/>
          <w:bCs/>
          <w:sz w:val="27"/>
          <w:szCs w:val="27"/>
          <w:lang w:val="es-ES"/>
        </w:rPr>
      </w:pPr>
      <w:r w:rsidRPr="008D0DC4">
        <w:rPr>
          <w:rFonts w:ascii="Arial" w:eastAsia="Times New Roman" w:hAnsi="Arial" w:cs="Arial"/>
          <w:b/>
          <w:bCs/>
          <w:sz w:val="27"/>
          <w:szCs w:val="27"/>
          <w:lang w:val="es-ES"/>
        </w:rPr>
        <w:t>XII Conferencia Internacional de Ingeniería Mecánica</w:t>
      </w:r>
      <w:r>
        <w:rPr>
          <w:rFonts w:ascii="Arial" w:eastAsia="Times New Roman" w:hAnsi="Arial" w:cs="Arial"/>
          <w:b/>
          <w:bCs/>
          <w:sz w:val="27"/>
          <w:szCs w:val="27"/>
          <w:lang w:val="es-ES"/>
        </w:rPr>
        <w:t xml:space="preserve"> </w:t>
      </w:r>
      <w:r w:rsidRPr="008D0DC4">
        <w:rPr>
          <w:rFonts w:ascii="Arial" w:eastAsia="Times New Roman" w:hAnsi="Arial" w:cs="Arial"/>
          <w:b/>
          <w:bCs/>
          <w:sz w:val="27"/>
          <w:szCs w:val="27"/>
          <w:lang w:val="es-ES"/>
        </w:rPr>
        <w:t>COMEC 2025</w:t>
      </w:r>
    </w:p>
    <w:p w14:paraId="1227FE92" w14:textId="7CAA5ADF" w:rsidR="00F801EE" w:rsidRPr="008D0DC4" w:rsidRDefault="008D0DC4" w:rsidP="008D0DC4">
      <w:pPr>
        <w:spacing w:after="0" w:line="240" w:lineRule="auto"/>
        <w:jc w:val="center"/>
        <w:rPr>
          <w:rFonts w:ascii="Arial" w:eastAsia="Times New Roman" w:hAnsi="Arial" w:cs="Arial"/>
          <w:sz w:val="24"/>
          <w:szCs w:val="24"/>
        </w:rPr>
      </w:pPr>
      <w:r w:rsidRPr="008D0DC4">
        <w:rPr>
          <w:rFonts w:ascii="Arial" w:eastAsia="Times New Roman" w:hAnsi="Arial" w:cs="Arial"/>
          <w:b/>
          <w:bCs/>
          <w:sz w:val="27"/>
          <w:szCs w:val="27"/>
          <w:lang w:val="es-ES"/>
        </w:rPr>
        <w:t>XIX Simposio de Soldadura y Materiales</w:t>
      </w:r>
    </w:p>
    <w:p w14:paraId="362FD1A5" w14:textId="15A151FF" w:rsidR="00F70A71" w:rsidRDefault="00F70A71" w:rsidP="002C2E73">
      <w:pPr>
        <w:spacing w:before="120" w:after="120" w:line="240" w:lineRule="auto"/>
        <w:jc w:val="both"/>
        <w:rPr>
          <w:rFonts w:ascii="Arial" w:hAnsi="Arial" w:cs="Arial"/>
          <w:b/>
        </w:rPr>
      </w:pPr>
      <w:r w:rsidRPr="002C2E73">
        <w:rPr>
          <w:rFonts w:ascii="Arial" w:hAnsi="Arial" w:cs="Arial"/>
          <w:b/>
        </w:rPr>
        <w:t>Título:</w:t>
      </w:r>
      <w:r w:rsidRPr="002C2E73">
        <w:rPr>
          <w:rFonts w:ascii="Arial" w:hAnsi="Arial" w:cs="Arial"/>
        </w:rPr>
        <w:t xml:space="preserve"> </w:t>
      </w:r>
      <w:r w:rsidR="001A43B8" w:rsidRPr="00F91675">
        <w:rPr>
          <w:rFonts w:ascii="Arial" w:hAnsi="Arial" w:cs="Arial"/>
          <w:b/>
        </w:rPr>
        <w:t>Criterios de calidad para la fabricación de torres tubulares soldadas destinadas a redes de transmisión nacional de alta tensión</w:t>
      </w:r>
    </w:p>
    <w:p w14:paraId="7F97B2E8" w14:textId="6EF04AFF" w:rsidR="00334C67" w:rsidRPr="00334C67" w:rsidRDefault="00334C67" w:rsidP="002C2E73">
      <w:pPr>
        <w:spacing w:before="120" w:after="120" w:line="240" w:lineRule="auto"/>
        <w:jc w:val="both"/>
        <w:rPr>
          <w:rFonts w:ascii="Arial" w:hAnsi="Arial" w:cs="Arial"/>
          <w:b/>
          <w:bCs/>
          <w:lang w:val="en-US"/>
        </w:rPr>
      </w:pPr>
      <w:r w:rsidRPr="00334C67">
        <w:rPr>
          <w:rFonts w:ascii="Arial" w:hAnsi="Arial" w:cs="Arial"/>
          <w:b/>
          <w:lang w:val="en-US"/>
        </w:rPr>
        <w:t xml:space="preserve">Title: </w:t>
      </w:r>
      <w:bookmarkStart w:id="0" w:name="_GoBack"/>
      <w:r w:rsidRPr="00334C67">
        <w:rPr>
          <w:rFonts w:ascii="Arial" w:hAnsi="Arial" w:cs="Arial"/>
          <w:b/>
          <w:lang w:val="en-US"/>
        </w:rPr>
        <w:t>Quality criteria for manufacturing welded tubular towers for national high-voltage transmission grids</w:t>
      </w:r>
    </w:p>
    <w:bookmarkEnd w:id="0"/>
    <w:p w14:paraId="638A70AB" w14:textId="77777777" w:rsidR="00F70A71" w:rsidRPr="00334C67" w:rsidRDefault="00F70A71" w:rsidP="002C2E73">
      <w:pPr>
        <w:spacing w:before="120" w:after="120" w:line="240" w:lineRule="auto"/>
        <w:jc w:val="both"/>
        <w:rPr>
          <w:rFonts w:ascii="Arial" w:hAnsi="Arial" w:cs="Arial"/>
          <w:b/>
          <w:lang w:val="en-US"/>
        </w:rPr>
      </w:pPr>
      <w:proofErr w:type="spellStart"/>
      <w:r w:rsidRPr="00334C67">
        <w:rPr>
          <w:rFonts w:ascii="Arial" w:hAnsi="Arial" w:cs="Arial"/>
          <w:b/>
          <w:lang w:val="en-US"/>
        </w:rPr>
        <w:t>Autores</w:t>
      </w:r>
      <w:proofErr w:type="spellEnd"/>
      <w:r w:rsidRPr="00334C67">
        <w:rPr>
          <w:rFonts w:ascii="Arial" w:hAnsi="Arial" w:cs="Arial"/>
          <w:b/>
          <w:lang w:val="en-US"/>
        </w:rPr>
        <w:t xml:space="preserve">: </w:t>
      </w:r>
    </w:p>
    <w:p w14:paraId="51114622" w14:textId="45736530" w:rsidR="00F70A71" w:rsidRPr="002C2E73" w:rsidRDefault="00F70A71" w:rsidP="002C2E73">
      <w:pPr>
        <w:spacing w:before="120" w:after="120" w:line="240" w:lineRule="auto"/>
        <w:jc w:val="both"/>
        <w:rPr>
          <w:rFonts w:ascii="Arial" w:hAnsi="Arial" w:cs="Arial"/>
        </w:rPr>
      </w:pPr>
      <w:bookmarkStart w:id="1" w:name="_Hlk200957106"/>
      <w:r w:rsidRPr="002C2E73">
        <w:rPr>
          <w:rFonts w:ascii="Arial" w:hAnsi="Arial" w:cs="Arial"/>
        </w:rPr>
        <w:t>Juan A. Pozo Morejón</w:t>
      </w:r>
      <w:r w:rsidR="000D06BF" w:rsidRPr="002C2E73">
        <w:rPr>
          <w:rFonts w:ascii="Arial" w:hAnsi="Arial" w:cs="Arial"/>
          <w:vertAlign w:val="superscript"/>
        </w:rPr>
        <w:t>1</w:t>
      </w:r>
    </w:p>
    <w:p w14:paraId="1EBC636A" w14:textId="71758B71" w:rsidR="00F70A71" w:rsidRPr="002C2E73" w:rsidRDefault="00F70A71" w:rsidP="002C2E73">
      <w:pPr>
        <w:spacing w:before="120" w:after="120" w:line="240" w:lineRule="auto"/>
        <w:jc w:val="both"/>
        <w:rPr>
          <w:rFonts w:ascii="Arial" w:hAnsi="Arial" w:cs="Arial"/>
        </w:rPr>
      </w:pPr>
      <w:r w:rsidRPr="002C2E73">
        <w:rPr>
          <w:rFonts w:ascii="Arial" w:hAnsi="Arial" w:cs="Arial"/>
        </w:rPr>
        <w:t>Tamara M. Ortiz Méndez</w:t>
      </w:r>
      <w:r w:rsidR="000D06BF" w:rsidRPr="002C2E73">
        <w:rPr>
          <w:rFonts w:ascii="Arial" w:hAnsi="Arial" w:cs="Arial"/>
          <w:vertAlign w:val="superscript"/>
        </w:rPr>
        <w:t>1</w:t>
      </w:r>
    </w:p>
    <w:p w14:paraId="15833C63" w14:textId="7E18CDE0" w:rsidR="00CD0753" w:rsidRPr="002C2E73" w:rsidRDefault="00CD0753" w:rsidP="00CD0753">
      <w:pPr>
        <w:spacing w:before="120" w:after="120" w:line="240" w:lineRule="auto"/>
        <w:jc w:val="both"/>
        <w:rPr>
          <w:rFonts w:ascii="Arial" w:hAnsi="Arial" w:cs="Arial"/>
        </w:rPr>
      </w:pPr>
      <w:proofErr w:type="spellStart"/>
      <w:r w:rsidRPr="002C2E73">
        <w:rPr>
          <w:rFonts w:ascii="Arial" w:hAnsi="Arial" w:cs="Arial"/>
        </w:rPr>
        <w:t>Leiry</w:t>
      </w:r>
      <w:proofErr w:type="spellEnd"/>
      <w:r w:rsidRPr="002C2E73">
        <w:rPr>
          <w:rFonts w:ascii="Arial" w:hAnsi="Arial" w:cs="Arial"/>
        </w:rPr>
        <w:t xml:space="preserve"> </w:t>
      </w:r>
      <w:proofErr w:type="spellStart"/>
      <w:r w:rsidRPr="002C2E73">
        <w:rPr>
          <w:rFonts w:ascii="Arial" w:hAnsi="Arial" w:cs="Arial"/>
        </w:rPr>
        <w:t>Cespón</w:t>
      </w:r>
      <w:proofErr w:type="spellEnd"/>
      <w:r w:rsidRPr="002C2E73">
        <w:rPr>
          <w:rFonts w:ascii="Arial" w:hAnsi="Arial" w:cs="Arial"/>
        </w:rPr>
        <w:t xml:space="preserve"> </w:t>
      </w:r>
      <w:r>
        <w:rPr>
          <w:rFonts w:ascii="Arial" w:hAnsi="Arial" w:cs="Arial"/>
        </w:rPr>
        <w:t>Mustelier</w:t>
      </w:r>
      <w:r w:rsidRPr="002C2E73">
        <w:rPr>
          <w:rFonts w:ascii="Arial" w:hAnsi="Arial" w:cs="Arial"/>
          <w:vertAlign w:val="superscript"/>
        </w:rPr>
        <w:t>2</w:t>
      </w:r>
    </w:p>
    <w:p w14:paraId="3C3EA3EA" w14:textId="189F1645" w:rsidR="00F70A71" w:rsidRDefault="00F70A71" w:rsidP="002C2E73">
      <w:pPr>
        <w:spacing w:before="120" w:after="120" w:line="240" w:lineRule="auto"/>
        <w:jc w:val="both"/>
        <w:rPr>
          <w:rFonts w:ascii="Arial" w:hAnsi="Arial" w:cs="Arial"/>
          <w:vertAlign w:val="superscript"/>
        </w:rPr>
      </w:pPr>
      <w:r w:rsidRPr="002C2E73">
        <w:rPr>
          <w:rFonts w:ascii="Arial" w:hAnsi="Arial" w:cs="Arial"/>
        </w:rPr>
        <w:t>Leidy Alba Chinea</w:t>
      </w:r>
      <w:bookmarkEnd w:id="1"/>
      <w:r w:rsidR="000D06BF" w:rsidRPr="002C2E73">
        <w:rPr>
          <w:rFonts w:ascii="Arial" w:hAnsi="Arial" w:cs="Arial"/>
          <w:vertAlign w:val="superscript"/>
        </w:rPr>
        <w:t>2</w:t>
      </w:r>
    </w:p>
    <w:p w14:paraId="1A57B3B9" w14:textId="77777777" w:rsidR="00EF7CB6" w:rsidRDefault="007F6DF2" w:rsidP="00EF7CB6">
      <w:pPr>
        <w:spacing w:before="120" w:after="120" w:line="240" w:lineRule="auto"/>
        <w:jc w:val="both"/>
        <w:rPr>
          <w:rFonts w:ascii="Arial" w:hAnsi="Arial" w:cs="Arial"/>
        </w:rPr>
      </w:pPr>
      <w:r w:rsidRPr="007F6DF2">
        <w:rPr>
          <w:rFonts w:ascii="Arial" w:hAnsi="Arial" w:cs="Arial"/>
        </w:rPr>
        <w:t xml:space="preserve">Arianna </w:t>
      </w:r>
      <w:proofErr w:type="spellStart"/>
      <w:r w:rsidRPr="007F6DF2">
        <w:rPr>
          <w:rFonts w:ascii="Arial" w:hAnsi="Arial" w:cs="Arial"/>
        </w:rPr>
        <w:t>Gatorno</w:t>
      </w:r>
      <w:proofErr w:type="spellEnd"/>
      <w:r w:rsidRPr="007F6DF2">
        <w:rPr>
          <w:rFonts w:ascii="Arial" w:hAnsi="Arial" w:cs="Arial"/>
        </w:rPr>
        <w:t xml:space="preserve"> Ramírez</w:t>
      </w:r>
      <w:r>
        <w:rPr>
          <w:rFonts w:ascii="Arial" w:hAnsi="Arial" w:cs="Arial"/>
          <w:vertAlign w:val="superscript"/>
        </w:rPr>
        <w:t>2</w:t>
      </w:r>
      <w:r w:rsidR="00EF7CB6" w:rsidRPr="00EF7CB6">
        <w:rPr>
          <w:rFonts w:ascii="Arial" w:hAnsi="Arial" w:cs="Arial"/>
        </w:rPr>
        <w:t xml:space="preserve"> </w:t>
      </w:r>
    </w:p>
    <w:p w14:paraId="4F9E2AAF" w14:textId="289FED19" w:rsidR="00EF7CB6" w:rsidRPr="00FB6DA5" w:rsidRDefault="00EF7CB6" w:rsidP="00EF7CB6">
      <w:pPr>
        <w:spacing w:before="120" w:after="120" w:line="240" w:lineRule="auto"/>
        <w:jc w:val="both"/>
        <w:rPr>
          <w:rFonts w:ascii="Arial" w:hAnsi="Arial" w:cs="Arial"/>
        </w:rPr>
      </w:pPr>
      <w:r w:rsidRPr="00FB6DA5">
        <w:rPr>
          <w:rFonts w:ascii="Arial" w:hAnsi="Arial" w:cs="Arial"/>
        </w:rPr>
        <w:t>Frank Abel Díaz Ordex</w:t>
      </w:r>
      <w:r>
        <w:rPr>
          <w:rFonts w:ascii="Arial" w:hAnsi="Arial" w:cs="Arial"/>
          <w:vertAlign w:val="superscript"/>
        </w:rPr>
        <w:t>1</w:t>
      </w:r>
      <w:r w:rsidRPr="00FB6DA5">
        <w:rPr>
          <w:rFonts w:ascii="Arial" w:hAnsi="Arial" w:cs="Arial"/>
        </w:rPr>
        <w:t xml:space="preserve"> </w:t>
      </w:r>
    </w:p>
    <w:p w14:paraId="3D35DD47" w14:textId="74B8688B" w:rsidR="00F70A71" w:rsidRPr="002C2E73" w:rsidRDefault="000D06BF" w:rsidP="002C2E73">
      <w:pPr>
        <w:spacing w:before="120" w:after="120" w:line="240" w:lineRule="auto"/>
        <w:jc w:val="both"/>
        <w:rPr>
          <w:rFonts w:ascii="Arial" w:hAnsi="Arial" w:cs="Arial"/>
        </w:rPr>
      </w:pPr>
      <w:r w:rsidRPr="002C2E73">
        <w:rPr>
          <w:rFonts w:ascii="Arial" w:hAnsi="Arial" w:cs="Arial"/>
          <w:vertAlign w:val="superscript"/>
        </w:rPr>
        <w:t>1</w:t>
      </w:r>
      <w:r w:rsidRPr="002C2E73">
        <w:rPr>
          <w:rFonts w:ascii="Arial" w:hAnsi="Arial" w:cs="Arial"/>
        </w:rPr>
        <w:t xml:space="preserve"> Centro de Investigaciones de Soldadura. Facultad de Ingeniería Mecánica e Industrial. UCLV</w:t>
      </w:r>
      <w:r w:rsidR="00EF7CB6">
        <w:rPr>
          <w:rFonts w:ascii="Arial" w:hAnsi="Arial" w:cs="Arial"/>
        </w:rPr>
        <w:t>.</w:t>
      </w:r>
      <w:r w:rsidRPr="002C2E73">
        <w:rPr>
          <w:rFonts w:ascii="Arial" w:hAnsi="Arial" w:cs="Arial"/>
        </w:rPr>
        <w:t xml:space="preserve"> </w:t>
      </w:r>
    </w:p>
    <w:p w14:paraId="5676BA91" w14:textId="618F9A13" w:rsidR="000D06BF" w:rsidRPr="002C2E73" w:rsidRDefault="000D06BF" w:rsidP="002C2E73">
      <w:pPr>
        <w:spacing w:before="120" w:after="120" w:line="240" w:lineRule="auto"/>
        <w:jc w:val="both"/>
        <w:rPr>
          <w:rFonts w:ascii="Arial" w:hAnsi="Arial" w:cs="Arial"/>
        </w:rPr>
      </w:pPr>
      <w:r w:rsidRPr="002C2E73">
        <w:rPr>
          <w:rFonts w:ascii="Arial" w:hAnsi="Arial" w:cs="Arial"/>
          <w:vertAlign w:val="superscript"/>
        </w:rPr>
        <w:t>2</w:t>
      </w:r>
      <w:r w:rsidRPr="002C2E73">
        <w:rPr>
          <w:rFonts w:ascii="Arial" w:hAnsi="Arial" w:cs="Arial"/>
        </w:rPr>
        <w:t xml:space="preserve"> </w:t>
      </w:r>
      <w:proofErr w:type="gramStart"/>
      <w:r w:rsidRPr="002C2E73">
        <w:rPr>
          <w:rFonts w:ascii="Arial" w:hAnsi="Arial" w:cs="Arial"/>
        </w:rPr>
        <w:t>Empresa</w:t>
      </w:r>
      <w:proofErr w:type="gramEnd"/>
      <w:r w:rsidRPr="002C2E73">
        <w:rPr>
          <w:rFonts w:ascii="Arial" w:hAnsi="Arial" w:cs="Arial"/>
        </w:rPr>
        <w:t xml:space="preserve"> Planta Mecánica de Villa Clara</w:t>
      </w:r>
      <w:r w:rsidR="00EF7CB6">
        <w:rPr>
          <w:rFonts w:ascii="Arial" w:hAnsi="Arial" w:cs="Arial"/>
        </w:rPr>
        <w:t>,</w:t>
      </w:r>
      <w:r w:rsidRPr="002C2E73">
        <w:rPr>
          <w:rFonts w:ascii="Arial" w:hAnsi="Arial" w:cs="Arial"/>
        </w:rPr>
        <w:t xml:space="preserve"> “</w:t>
      </w:r>
      <w:proofErr w:type="spellStart"/>
      <w:r w:rsidRPr="002C2E73">
        <w:rPr>
          <w:rFonts w:ascii="Arial" w:hAnsi="Arial" w:cs="Arial"/>
        </w:rPr>
        <w:t>Fabric</w:t>
      </w:r>
      <w:proofErr w:type="spellEnd"/>
      <w:r w:rsidRPr="002C2E73">
        <w:rPr>
          <w:rFonts w:ascii="Arial" w:hAnsi="Arial" w:cs="Arial"/>
        </w:rPr>
        <w:t xml:space="preserve"> Aguilar Noriega”</w:t>
      </w:r>
      <w:r w:rsidR="00EF7CB6">
        <w:rPr>
          <w:rFonts w:ascii="Arial" w:hAnsi="Arial" w:cs="Arial"/>
        </w:rPr>
        <w:t>.</w:t>
      </w:r>
    </w:p>
    <w:p w14:paraId="23308083" w14:textId="77777777" w:rsidR="00343D56" w:rsidRDefault="00343D56" w:rsidP="002C2E73">
      <w:pPr>
        <w:spacing w:before="120" w:after="120" w:line="240" w:lineRule="auto"/>
        <w:jc w:val="both"/>
        <w:rPr>
          <w:rFonts w:ascii="Arial" w:hAnsi="Arial" w:cs="Arial"/>
          <w:b/>
        </w:rPr>
      </w:pPr>
    </w:p>
    <w:p w14:paraId="23E03B59" w14:textId="4C7AEF05" w:rsidR="00463EFD" w:rsidRPr="002C2E73" w:rsidRDefault="00463EFD" w:rsidP="002C2E73">
      <w:pPr>
        <w:spacing w:before="120" w:after="120" w:line="240" w:lineRule="auto"/>
        <w:jc w:val="both"/>
        <w:rPr>
          <w:rFonts w:ascii="Arial" w:hAnsi="Arial" w:cs="Arial"/>
          <w:b/>
        </w:rPr>
      </w:pPr>
      <w:r w:rsidRPr="002C2E73">
        <w:rPr>
          <w:rFonts w:ascii="Arial" w:hAnsi="Arial" w:cs="Arial"/>
          <w:b/>
        </w:rPr>
        <w:t>Resumen</w:t>
      </w:r>
    </w:p>
    <w:p w14:paraId="00763B93" w14:textId="59DDF03E" w:rsidR="00C93E8A" w:rsidRDefault="002872CA" w:rsidP="002C2E73">
      <w:pPr>
        <w:spacing w:before="120" w:after="120" w:line="240" w:lineRule="auto"/>
        <w:jc w:val="both"/>
        <w:rPr>
          <w:rFonts w:ascii="Arial" w:hAnsi="Arial" w:cs="Arial"/>
        </w:rPr>
      </w:pPr>
      <w:bookmarkStart w:id="2" w:name="_Hlk200957506"/>
      <w:r w:rsidRPr="002872CA">
        <w:rPr>
          <w:rFonts w:ascii="Arial" w:hAnsi="Arial" w:cs="Arial"/>
        </w:rPr>
        <w:t xml:space="preserve">Este trabajo desarrolla la documentación técnica para garantizar la fabricación mediante soldadura y el control de calidad de torres tubulares soldadas (18-21.5 m de longitud), según el </w:t>
      </w:r>
      <w:r w:rsidR="002F3540">
        <w:rPr>
          <w:rFonts w:ascii="Arial" w:hAnsi="Arial" w:cs="Arial"/>
        </w:rPr>
        <w:t>código</w:t>
      </w:r>
      <w:r w:rsidRPr="002872CA">
        <w:rPr>
          <w:rFonts w:ascii="Arial" w:hAnsi="Arial" w:cs="Arial"/>
        </w:rPr>
        <w:t xml:space="preserve"> AWS D1.1, en las instalaciones de Planta Mecánica VC. Las torres se destinan a redes nacionales de transmisión de alta tensión. Se implementaron procedimientos de soldadura, se </w:t>
      </w:r>
      <w:r>
        <w:rPr>
          <w:rFonts w:ascii="Arial" w:hAnsi="Arial" w:cs="Arial"/>
        </w:rPr>
        <w:t xml:space="preserve">entrenaron y </w:t>
      </w:r>
      <w:r w:rsidRPr="002872CA">
        <w:rPr>
          <w:rFonts w:ascii="Arial" w:hAnsi="Arial" w:cs="Arial"/>
        </w:rPr>
        <w:t xml:space="preserve">certificaron soldadores </w:t>
      </w:r>
      <w:r>
        <w:rPr>
          <w:rFonts w:ascii="Arial" w:hAnsi="Arial" w:cs="Arial"/>
        </w:rPr>
        <w:t xml:space="preserve">según </w:t>
      </w:r>
      <w:r w:rsidR="00C96709">
        <w:rPr>
          <w:rFonts w:ascii="Arial" w:hAnsi="Arial" w:cs="Arial"/>
        </w:rPr>
        <w:t>dicho código.</w:t>
      </w:r>
      <w:r>
        <w:rPr>
          <w:rFonts w:ascii="Arial" w:hAnsi="Arial" w:cs="Arial"/>
        </w:rPr>
        <w:t xml:space="preserve"> Por otro lado, s</w:t>
      </w:r>
      <w:r w:rsidRPr="002872CA">
        <w:rPr>
          <w:rFonts w:ascii="Arial" w:hAnsi="Arial" w:cs="Arial"/>
        </w:rPr>
        <w:t>e elaboraron pro</w:t>
      </w:r>
      <w:r w:rsidR="0000070C">
        <w:rPr>
          <w:rFonts w:ascii="Arial" w:hAnsi="Arial" w:cs="Arial"/>
        </w:rPr>
        <w:t>cedimientos</w:t>
      </w:r>
      <w:r w:rsidRPr="002872CA">
        <w:rPr>
          <w:rFonts w:ascii="Arial" w:hAnsi="Arial" w:cs="Arial"/>
        </w:rPr>
        <w:t xml:space="preserve"> de inspección visual</w:t>
      </w:r>
      <w:r w:rsidR="00BC3760">
        <w:rPr>
          <w:rFonts w:ascii="Arial" w:hAnsi="Arial" w:cs="Arial"/>
        </w:rPr>
        <w:t xml:space="preserve"> (VT)</w:t>
      </w:r>
      <w:r w:rsidRPr="002872CA">
        <w:rPr>
          <w:rFonts w:ascii="Arial" w:hAnsi="Arial" w:cs="Arial"/>
        </w:rPr>
        <w:t xml:space="preserve">, radiográfica (RT) y ultrasónica (UT), complementados con </w:t>
      </w:r>
      <w:r w:rsidR="0000070C">
        <w:rPr>
          <w:rFonts w:ascii="Arial" w:hAnsi="Arial" w:cs="Arial"/>
        </w:rPr>
        <w:t xml:space="preserve">el protocolo de </w:t>
      </w:r>
      <w:r w:rsidRPr="002872CA">
        <w:rPr>
          <w:rFonts w:ascii="Arial" w:hAnsi="Arial" w:cs="Arial"/>
        </w:rPr>
        <w:t>control de linealidad geométrica</w:t>
      </w:r>
      <w:r w:rsidR="0000070C">
        <w:rPr>
          <w:rFonts w:ascii="Arial" w:hAnsi="Arial" w:cs="Arial"/>
        </w:rPr>
        <w:t xml:space="preserve"> de dichas estructuras</w:t>
      </w:r>
      <w:r w:rsidRPr="002872CA">
        <w:rPr>
          <w:rFonts w:ascii="Arial" w:hAnsi="Arial" w:cs="Arial"/>
        </w:rPr>
        <w:t>. Estos proce</w:t>
      </w:r>
      <w:r w:rsidR="004E1AA6">
        <w:rPr>
          <w:rFonts w:ascii="Arial" w:hAnsi="Arial" w:cs="Arial"/>
        </w:rPr>
        <w:t>dimientos</w:t>
      </w:r>
      <w:r w:rsidRPr="002872CA">
        <w:rPr>
          <w:rFonts w:ascii="Arial" w:hAnsi="Arial" w:cs="Arial"/>
        </w:rPr>
        <w:t xml:space="preserve"> se integraron en el sistema de calidad ISO 9001 de la empresa</w:t>
      </w:r>
      <w:r w:rsidR="004E1AA6">
        <w:rPr>
          <w:rFonts w:ascii="Arial" w:hAnsi="Arial" w:cs="Arial"/>
        </w:rPr>
        <w:t xml:space="preserve"> con vistas a cumplir </w:t>
      </w:r>
      <w:r w:rsidRPr="002872CA">
        <w:rPr>
          <w:rFonts w:ascii="Arial" w:hAnsi="Arial" w:cs="Arial"/>
        </w:rPr>
        <w:t xml:space="preserve">los requisitos contractuales. Un análisis económico demostró la viabilidad de </w:t>
      </w:r>
      <w:r w:rsidR="00B148F6">
        <w:rPr>
          <w:rFonts w:ascii="Arial" w:hAnsi="Arial" w:cs="Arial"/>
        </w:rPr>
        <w:t xml:space="preserve">la </w:t>
      </w:r>
      <w:r w:rsidRPr="002872CA">
        <w:rPr>
          <w:rFonts w:ascii="Arial" w:hAnsi="Arial" w:cs="Arial"/>
        </w:rPr>
        <w:t xml:space="preserve">fabricación local, evidenciando ahorro de divisas por sustitución de importaciones. El estudio </w:t>
      </w:r>
      <w:r w:rsidR="004E1AA6">
        <w:rPr>
          <w:rFonts w:ascii="Arial" w:hAnsi="Arial" w:cs="Arial"/>
        </w:rPr>
        <w:t xml:space="preserve">contribuye a validar la idea </w:t>
      </w:r>
      <w:r w:rsidR="00B148F6">
        <w:rPr>
          <w:rFonts w:ascii="Arial" w:hAnsi="Arial" w:cs="Arial"/>
        </w:rPr>
        <w:t xml:space="preserve">de </w:t>
      </w:r>
      <w:r w:rsidR="00B148F6" w:rsidRPr="002872CA">
        <w:rPr>
          <w:rFonts w:ascii="Arial" w:hAnsi="Arial" w:cs="Arial"/>
        </w:rPr>
        <w:t>la</w:t>
      </w:r>
      <w:r w:rsidRPr="002872CA">
        <w:rPr>
          <w:rFonts w:ascii="Arial" w:hAnsi="Arial" w:cs="Arial"/>
        </w:rPr>
        <w:t xml:space="preserve"> capacidad de la industria nacional para producir estas estructuras críticas, fortaleciendo la infraestructura eléctrica del país.</w:t>
      </w:r>
    </w:p>
    <w:p w14:paraId="1D640A9D" w14:textId="423B74B1" w:rsidR="00C93E8A" w:rsidRPr="00541D51" w:rsidRDefault="00C93E8A" w:rsidP="002C2E73">
      <w:pPr>
        <w:spacing w:before="120" w:after="120" w:line="240" w:lineRule="auto"/>
        <w:jc w:val="both"/>
        <w:rPr>
          <w:rFonts w:ascii="Arial" w:hAnsi="Arial" w:cs="Arial"/>
          <w:b/>
          <w:bCs/>
          <w:lang w:val="en-US"/>
        </w:rPr>
      </w:pPr>
      <w:r w:rsidRPr="00541D51">
        <w:rPr>
          <w:rFonts w:ascii="Arial" w:hAnsi="Arial" w:cs="Arial"/>
          <w:b/>
          <w:bCs/>
          <w:lang w:val="en-US"/>
        </w:rPr>
        <w:t>Abstract</w:t>
      </w:r>
    </w:p>
    <w:p w14:paraId="11A4E283" w14:textId="350D4444" w:rsidR="00840EEC" w:rsidRPr="00840EEC" w:rsidRDefault="00840EEC" w:rsidP="002C2E73">
      <w:pPr>
        <w:spacing w:before="120" w:after="120" w:line="240" w:lineRule="auto"/>
        <w:jc w:val="both"/>
        <w:rPr>
          <w:rFonts w:ascii="Arial" w:hAnsi="Arial" w:cs="Arial"/>
          <w:lang w:val="en-US"/>
        </w:rPr>
      </w:pPr>
      <w:r w:rsidRPr="00840EEC">
        <w:rPr>
          <w:rFonts w:ascii="Arial" w:hAnsi="Arial" w:cs="Arial"/>
          <w:lang w:val="en-US"/>
        </w:rPr>
        <w:t xml:space="preserve">This work develops the technical documentation to ensure welded manufacturing and quality control of welded tubular towers (18-21.5 m length) according to AWS D1.1 code at Planta </w:t>
      </w:r>
      <w:proofErr w:type="spellStart"/>
      <w:r w:rsidRPr="00840EEC">
        <w:rPr>
          <w:rFonts w:ascii="Arial" w:hAnsi="Arial" w:cs="Arial"/>
          <w:lang w:val="en-US"/>
        </w:rPr>
        <w:t>Mecánica</w:t>
      </w:r>
      <w:proofErr w:type="spellEnd"/>
      <w:r w:rsidRPr="00840EEC">
        <w:rPr>
          <w:rFonts w:ascii="Arial" w:hAnsi="Arial" w:cs="Arial"/>
          <w:lang w:val="en-US"/>
        </w:rPr>
        <w:t xml:space="preserve"> VC facilities. The towers are designed for national high-voltage transmission grids. Welding procedures were implemented, and welders were trained and certified per this code. Additionally, visual testing (VT), radiographic testing (RT), and ultrasonic testing (UT) procedures were established, supplemented by a geometric straightness control protocol for these structures. These processes were integrated into the company's ISO 9001 quality system to ensure contractual compliance. An economic analysis demonstrated the viability of local manufacturing, evidencing foreign exchange savings through import substitution. The study validates the national industry's capability to produce these critical structures, strengthening the country's electrical infrastructure.</w:t>
      </w:r>
    </w:p>
    <w:p w14:paraId="2B6D946B" w14:textId="083C579D" w:rsidR="00840EEC" w:rsidRPr="00840EEC" w:rsidRDefault="00840EEC" w:rsidP="002C2E73">
      <w:pPr>
        <w:spacing w:before="120" w:after="120" w:line="240" w:lineRule="auto"/>
        <w:jc w:val="both"/>
        <w:rPr>
          <w:rFonts w:ascii="Arial" w:hAnsi="Arial" w:cs="Arial"/>
        </w:rPr>
      </w:pPr>
      <w:r w:rsidRPr="000322E4">
        <w:rPr>
          <w:rFonts w:ascii="Arial" w:hAnsi="Arial" w:cs="Arial"/>
          <w:b/>
          <w:bCs/>
        </w:rPr>
        <w:t>Palabras claves:</w:t>
      </w:r>
      <w:r w:rsidRPr="00840EEC">
        <w:rPr>
          <w:rFonts w:ascii="Arial" w:hAnsi="Arial" w:cs="Arial"/>
        </w:rPr>
        <w:t xml:space="preserve"> Soldadura, </w:t>
      </w:r>
      <w:r>
        <w:rPr>
          <w:rFonts w:ascii="Arial" w:hAnsi="Arial" w:cs="Arial"/>
        </w:rPr>
        <w:t xml:space="preserve">control de </w:t>
      </w:r>
      <w:r w:rsidRPr="00840EEC">
        <w:rPr>
          <w:rFonts w:ascii="Arial" w:hAnsi="Arial" w:cs="Arial"/>
        </w:rPr>
        <w:t>calidad, torres tubulares.</w:t>
      </w:r>
    </w:p>
    <w:p w14:paraId="0007F557" w14:textId="23759859" w:rsidR="00840EEC" w:rsidRPr="00541D51" w:rsidRDefault="00840EEC" w:rsidP="002C2E73">
      <w:pPr>
        <w:spacing w:before="120" w:after="120" w:line="240" w:lineRule="auto"/>
        <w:jc w:val="both"/>
        <w:rPr>
          <w:rFonts w:ascii="Arial" w:hAnsi="Arial" w:cs="Arial"/>
          <w:lang w:val="en-US"/>
        </w:rPr>
      </w:pPr>
      <w:r w:rsidRPr="000322E4">
        <w:rPr>
          <w:rFonts w:ascii="Arial" w:hAnsi="Arial" w:cs="Arial"/>
          <w:b/>
          <w:bCs/>
          <w:lang w:val="en-US"/>
        </w:rPr>
        <w:t>Key words:</w:t>
      </w:r>
      <w:r>
        <w:rPr>
          <w:rFonts w:ascii="Arial" w:hAnsi="Arial" w:cs="Arial"/>
          <w:lang w:val="en-US"/>
        </w:rPr>
        <w:t xml:space="preserve"> Welding, quality control, tubular towers.</w:t>
      </w:r>
    </w:p>
    <w:p w14:paraId="34321CC4" w14:textId="77777777" w:rsidR="00705027" w:rsidRDefault="00705027">
      <w:pPr>
        <w:rPr>
          <w:rFonts w:ascii="Arial" w:eastAsia="Times New Roman" w:hAnsi="Arial" w:cs="Arial"/>
          <w:b/>
          <w:bCs/>
          <w:lang w:val="es-ES"/>
        </w:rPr>
      </w:pPr>
      <w:bookmarkStart w:id="3" w:name="_Toc182773172"/>
      <w:bookmarkEnd w:id="2"/>
      <w:r>
        <w:rPr>
          <w:rFonts w:ascii="Arial" w:eastAsia="Times New Roman" w:hAnsi="Arial" w:cs="Arial"/>
          <w:b/>
          <w:bCs/>
          <w:lang w:val="es-ES"/>
        </w:rPr>
        <w:br w:type="page"/>
      </w:r>
    </w:p>
    <w:p w14:paraId="0E353C1F" w14:textId="6B9AFEE9" w:rsidR="002C2E73" w:rsidRPr="0092205A" w:rsidRDefault="002C2E73" w:rsidP="0092205A">
      <w:pPr>
        <w:pStyle w:val="Prrafodelista"/>
        <w:keepNext/>
        <w:keepLines/>
        <w:numPr>
          <w:ilvl w:val="0"/>
          <w:numId w:val="5"/>
        </w:numPr>
        <w:spacing w:before="120" w:after="120" w:line="240" w:lineRule="auto"/>
        <w:ind w:left="360"/>
        <w:jc w:val="both"/>
        <w:outlineLvl w:val="1"/>
        <w:rPr>
          <w:rFonts w:ascii="Arial" w:eastAsia="Times New Roman" w:hAnsi="Arial" w:cs="Arial"/>
          <w:b/>
          <w:bCs/>
          <w:lang w:val="es-ES"/>
        </w:rPr>
      </w:pPr>
      <w:r w:rsidRPr="0092205A">
        <w:rPr>
          <w:rFonts w:ascii="Arial" w:eastAsia="Times New Roman" w:hAnsi="Arial" w:cs="Arial"/>
          <w:b/>
          <w:bCs/>
          <w:lang w:val="es-ES"/>
        </w:rPr>
        <w:lastRenderedPageBreak/>
        <w:t>Introducción</w:t>
      </w:r>
    </w:p>
    <w:p w14:paraId="2B5034A0" w14:textId="77777777" w:rsid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Las torres de alta tensión son estructuras diseñadas para soportar líneas de transmisión eléctrica y se clasifican en diferentes tipos según su diseño, material y uso. Entre los tipos más comunes se pueden citar las torres de celosía, las torres tubulares y las torres de hormigón, entre otras.</w:t>
      </w:r>
    </w:p>
    <w:p w14:paraId="232A6D9D" w14:textId="77777777" w:rsidR="00D26D98" w:rsidRDefault="00D33299" w:rsidP="00D26D98">
      <w:pPr>
        <w:spacing w:before="120" w:after="120" w:line="240" w:lineRule="auto"/>
        <w:jc w:val="both"/>
        <w:rPr>
          <w:rFonts w:ascii="Arial" w:eastAsia="Calibri" w:hAnsi="Arial" w:cs="Arial"/>
          <w:lang w:val="es-ES"/>
        </w:rPr>
      </w:pPr>
      <w:r w:rsidRPr="00D33299">
        <w:rPr>
          <w:rFonts w:ascii="Arial" w:eastAsia="Calibri" w:hAnsi="Arial" w:cs="Arial"/>
          <w:lang w:val="es-ES"/>
        </w:rPr>
        <w:t>Las torres tubulares están compuestas por perfiles cerrados, que pueden ser de sección circular, cuadrada, rectangular u otra. Son fabricadas a partir de tubos normalizados o secciones tubulares conformadas, y constituyen una estructura más sólida, compacta y cerrada (</w:t>
      </w:r>
      <w:hyperlink w:anchor="Figura2" w:history="1">
        <w:r w:rsidRPr="00D33299">
          <w:rPr>
            <w:rFonts w:ascii="Arial" w:eastAsia="Calibri" w:hAnsi="Arial" w:cs="Arial"/>
            <w:lang w:val="es-ES"/>
          </w:rPr>
          <w:t xml:space="preserve">Figura </w:t>
        </w:r>
        <w:r w:rsidR="00676BE0">
          <w:rPr>
            <w:rFonts w:ascii="Arial" w:eastAsia="Calibri" w:hAnsi="Arial" w:cs="Arial"/>
            <w:lang w:val="es-ES"/>
          </w:rPr>
          <w:t>1</w:t>
        </w:r>
      </w:hyperlink>
      <w:r w:rsidRPr="00D33299">
        <w:rPr>
          <w:rFonts w:ascii="Arial" w:eastAsia="Calibri" w:hAnsi="Arial" w:cs="Arial"/>
          <w:lang w:val="es-ES"/>
        </w:rPr>
        <w:t>). Dentro de sus características podemos mencionar su mayor resistencia a flexión y torsión, a las cargas de viento y a condiciones climáticas adversas, son estéticamente más agradables, por lo que se emplean en áreas urbanas o donde se requiere un menor impacto visual negativo.</w:t>
      </w:r>
      <w:r w:rsidR="00D26D98" w:rsidRPr="00D26D98">
        <w:rPr>
          <w:rFonts w:ascii="Arial" w:eastAsia="Calibri" w:hAnsi="Arial" w:cs="Arial"/>
          <w:lang w:val="es-ES"/>
        </w:rPr>
        <w:t xml:space="preserve"> </w:t>
      </w:r>
    </w:p>
    <w:p w14:paraId="3F5ECAD2" w14:textId="75E1DB62" w:rsidR="00D26D98" w:rsidRDefault="00D26D98" w:rsidP="00D26D98">
      <w:pPr>
        <w:spacing w:before="120" w:after="120" w:line="240" w:lineRule="auto"/>
        <w:jc w:val="both"/>
        <w:rPr>
          <w:rFonts w:ascii="Arial" w:eastAsia="Calibri" w:hAnsi="Arial" w:cs="Arial"/>
          <w:lang w:val="es-ES"/>
        </w:rPr>
      </w:pPr>
      <w:r w:rsidRPr="00D33299">
        <w:rPr>
          <w:rFonts w:ascii="Arial" w:eastAsia="Calibri" w:hAnsi="Arial" w:cs="Arial"/>
          <w:lang w:val="es-ES"/>
        </w:rPr>
        <w:t xml:space="preserve">El presente trabajo se centra en abordar </w:t>
      </w:r>
      <w:r w:rsidRPr="0092205A">
        <w:rPr>
          <w:rFonts w:ascii="Arial" w:eastAsia="Calibri" w:hAnsi="Arial" w:cs="Arial"/>
          <w:lang w:val="es-ES"/>
        </w:rPr>
        <w:t xml:space="preserve">el desarrollo de los procedimientos </w:t>
      </w:r>
      <w:r w:rsidR="00071DDC">
        <w:rPr>
          <w:rFonts w:ascii="Arial" w:eastAsia="Calibri" w:hAnsi="Arial" w:cs="Arial"/>
          <w:lang w:val="es-ES"/>
        </w:rPr>
        <w:t xml:space="preserve">de soldadura y de los ensayos necesarios </w:t>
      </w:r>
      <w:r w:rsidRPr="0092205A">
        <w:rPr>
          <w:rFonts w:ascii="Arial" w:eastAsia="Calibri" w:hAnsi="Arial" w:cs="Arial"/>
          <w:lang w:val="es-ES"/>
        </w:rPr>
        <w:t xml:space="preserve">para asegurar la calidad en la fabricación de torres tubulares de diferentes modelos y dimensiones, entre 18 y 21,5 m de longitud, llevada a cabo en las condiciones tecnológicas de la Empresa Planta Mecánica de Santa Clara y con la participación de la Fábrica de Calderas “Jesús Menéndez” de Sagua la Grande, basado todo esto en los requisitos de calidad del producto y las exigencias del cliente (Unión Eléctrica) y </w:t>
      </w:r>
      <w:r w:rsidRPr="00D33299">
        <w:rPr>
          <w:rFonts w:ascii="Arial" w:eastAsia="Calibri" w:hAnsi="Arial" w:cs="Arial"/>
          <w:lang w:val="es-ES"/>
        </w:rPr>
        <w:t xml:space="preserve">a partir de un proyecto mecánico elaborado por la Fábrica de Estructuras metálicas de Las Tunas (METUNAS). Dicha torre se fabrica, por decisión del país, no a partir de perfiles de tubos normalizados, sino a partir de chapas de acero roleadas y soldadas. Se emplean los procesos de soldadura por arco con electrodo fusible y protección gaseosa (GMAW semiautomático) y soldadura por arco sumergido (SAW mecanizado), que garantizan una elevada productividad y reducción de costos. </w:t>
      </w:r>
    </w:p>
    <w:p w14:paraId="3EFF9CEA" w14:textId="3297A452" w:rsidR="00D33299" w:rsidRPr="00D33299" w:rsidRDefault="00D33299" w:rsidP="00D33299">
      <w:pPr>
        <w:spacing w:before="120" w:after="120" w:line="240" w:lineRule="auto"/>
        <w:jc w:val="both"/>
        <w:rPr>
          <w:rFonts w:ascii="Arial" w:eastAsia="Calibri" w:hAnsi="Arial" w:cs="Arial"/>
          <w:lang w:val="es-ES"/>
        </w:rPr>
      </w:pPr>
    </w:p>
    <w:p w14:paraId="6F339F16" w14:textId="77777777" w:rsidR="00D33299" w:rsidRPr="00D33299" w:rsidRDefault="00D33299" w:rsidP="00D33299">
      <w:pPr>
        <w:spacing w:before="120" w:after="120" w:line="240" w:lineRule="auto"/>
        <w:jc w:val="center"/>
        <w:rPr>
          <w:rFonts w:ascii="Arial" w:eastAsia="Calibri" w:hAnsi="Arial" w:cs="Arial"/>
          <w:lang w:val="es-ES"/>
        </w:rPr>
      </w:pPr>
      <w:r w:rsidRPr="00D33299">
        <w:rPr>
          <w:rFonts w:ascii="Arial" w:eastAsia="Calibri" w:hAnsi="Arial" w:cs="Arial"/>
          <w:noProof/>
          <w:lang w:val="es-ES"/>
        </w:rPr>
        <w:drawing>
          <wp:inline distT="0" distB="0" distL="0" distR="0" wp14:anchorId="40ABE8BF" wp14:editId="1E0CC041">
            <wp:extent cx="2622637" cy="191452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631862" cy="1921259"/>
                    </a:xfrm>
                    <a:prstGeom prst="rect">
                      <a:avLst/>
                    </a:prstGeom>
                  </pic:spPr>
                </pic:pic>
              </a:graphicData>
            </a:graphic>
          </wp:inline>
        </w:drawing>
      </w:r>
    </w:p>
    <w:p w14:paraId="5845BB99" w14:textId="77777777" w:rsidR="00F84309" w:rsidRDefault="00D33299" w:rsidP="00F84309">
      <w:pPr>
        <w:spacing w:before="120" w:after="120" w:line="240" w:lineRule="auto"/>
        <w:jc w:val="both"/>
        <w:rPr>
          <w:rFonts w:ascii="Arial" w:eastAsia="Calibri" w:hAnsi="Arial" w:cs="Arial"/>
          <w:lang w:val="es-ES"/>
        </w:rPr>
      </w:pPr>
      <w:bookmarkStart w:id="4" w:name="Figura2"/>
      <w:r w:rsidRPr="00D33299">
        <w:rPr>
          <w:rFonts w:ascii="Arial" w:eastAsia="Calibri" w:hAnsi="Arial" w:cs="Arial"/>
          <w:lang w:val="es-ES"/>
        </w:rPr>
        <w:t xml:space="preserve">Figura </w:t>
      </w:r>
      <w:r w:rsidR="00676BE0">
        <w:rPr>
          <w:rFonts w:ascii="Arial" w:eastAsia="Calibri" w:hAnsi="Arial" w:cs="Arial"/>
          <w:lang w:val="es-ES"/>
        </w:rPr>
        <w:t>1</w:t>
      </w:r>
      <w:r w:rsidRPr="00D33299">
        <w:rPr>
          <w:rFonts w:ascii="Arial" w:eastAsia="Calibri" w:hAnsi="Arial" w:cs="Arial"/>
          <w:lang w:val="es-ES"/>
        </w:rPr>
        <w:t xml:space="preserve">. </w:t>
      </w:r>
      <w:bookmarkEnd w:id="4"/>
      <w:r w:rsidRPr="00D33299">
        <w:rPr>
          <w:rFonts w:ascii="Arial" w:eastAsia="Calibri" w:hAnsi="Arial" w:cs="Arial"/>
          <w:lang w:val="es-ES"/>
        </w:rPr>
        <w:t>Torres de alta tensión tubulares, de sección circular y de sección poligonal</w:t>
      </w:r>
      <w:sdt>
        <w:sdtPr>
          <w:rPr>
            <w:rFonts w:ascii="Arial" w:eastAsia="Calibri" w:hAnsi="Arial" w:cs="Arial"/>
            <w:lang w:val="es-ES"/>
          </w:rPr>
          <w:id w:val="-1126155133"/>
          <w:citation/>
        </w:sdtPr>
        <w:sdtEndPr/>
        <w:sdtContent>
          <w:r w:rsidRPr="00D33299">
            <w:rPr>
              <w:rFonts w:ascii="Arial" w:eastAsia="Calibri" w:hAnsi="Arial" w:cs="Arial"/>
              <w:lang w:val="es-ES"/>
            </w:rPr>
            <w:fldChar w:fldCharType="begin"/>
          </w:r>
          <w:r w:rsidRPr="00D33299">
            <w:rPr>
              <w:rFonts w:ascii="Arial" w:eastAsia="Calibri" w:hAnsi="Arial" w:cs="Arial"/>
              <w:lang w:val="es-ES"/>
            </w:rPr>
            <w:instrText xml:space="preserve">CITATION Gru24 \l 3082 </w:instrText>
          </w:r>
          <w:r w:rsidRPr="00D33299">
            <w:rPr>
              <w:rFonts w:ascii="Arial" w:eastAsia="Calibri" w:hAnsi="Arial" w:cs="Arial"/>
              <w:lang w:val="es-ES"/>
            </w:rPr>
            <w:fldChar w:fldCharType="separate"/>
          </w:r>
          <w:r w:rsidRPr="00D33299">
            <w:rPr>
              <w:rFonts w:ascii="Arial" w:eastAsia="Calibri" w:hAnsi="Arial" w:cs="Arial"/>
              <w:lang w:val="es-ES"/>
            </w:rPr>
            <w:t xml:space="preserve"> (Grupo NH, 2024)</w:t>
          </w:r>
          <w:r w:rsidRPr="00D33299">
            <w:rPr>
              <w:rFonts w:ascii="Arial" w:eastAsia="Calibri" w:hAnsi="Arial" w:cs="Arial"/>
              <w:lang w:val="es-ES"/>
            </w:rPr>
            <w:fldChar w:fldCharType="end"/>
          </w:r>
        </w:sdtContent>
      </w:sdt>
    </w:p>
    <w:p w14:paraId="0DB84967" w14:textId="77777777" w:rsidR="00F84309" w:rsidRPr="00F84309" w:rsidRDefault="0092205A" w:rsidP="00F84309">
      <w:pPr>
        <w:pStyle w:val="Prrafodelista"/>
        <w:numPr>
          <w:ilvl w:val="0"/>
          <w:numId w:val="5"/>
        </w:numPr>
        <w:spacing w:before="120" w:after="120" w:line="240" w:lineRule="auto"/>
        <w:ind w:left="360"/>
        <w:jc w:val="both"/>
        <w:rPr>
          <w:rFonts w:ascii="Arial" w:eastAsia="Calibri" w:hAnsi="Arial" w:cs="Arial"/>
          <w:b/>
          <w:bCs/>
          <w:lang w:val="es-ES"/>
        </w:rPr>
      </w:pPr>
      <w:r w:rsidRPr="00F84309">
        <w:rPr>
          <w:rFonts w:ascii="Arial" w:eastAsia="Times New Roman" w:hAnsi="Arial" w:cs="Arial"/>
          <w:b/>
          <w:bCs/>
          <w:lang w:val="es-ES"/>
        </w:rPr>
        <w:t>Desarrollo</w:t>
      </w:r>
      <w:bookmarkStart w:id="5" w:name="_Toc182773173"/>
      <w:bookmarkEnd w:id="3"/>
    </w:p>
    <w:p w14:paraId="0A6C0166" w14:textId="77777777" w:rsidR="00F84309" w:rsidRPr="00F84309" w:rsidRDefault="006C2846" w:rsidP="00F84309">
      <w:pPr>
        <w:pStyle w:val="Prrafodelista"/>
        <w:numPr>
          <w:ilvl w:val="1"/>
          <w:numId w:val="5"/>
        </w:numPr>
        <w:spacing w:before="120" w:after="120" w:line="240" w:lineRule="auto"/>
        <w:ind w:left="450" w:hanging="450"/>
        <w:jc w:val="both"/>
        <w:rPr>
          <w:rFonts w:ascii="Arial" w:eastAsia="Calibri" w:hAnsi="Arial" w:cs="Arial"/>
          <w:b/>
          <w:bCs/>
          <w:lang w:val="es-ES"/>
        </w:rPr>
      </w:pPr>
      <w:r w:rsidRPr="00F84309">
        <w:rPr>
          <w:rFonts w:ascii="Arial" w:eastAsia="Times New Roman" w:hAnsi="Arial" w:cs="Arial"/>
          <w:b/>
          <w:bCs/>
          <w:lang w:val="es-ES"/>
        </w:rPr>
        <w:t>Procedimientos de soldadura para la fabricación</w:t>
      </w:r>
      <w:r w:rsidRPr="00F84309">
        <w:rPr>
          <w:rFonts w:ascii="Arial" w:eastAsia="Times New Roman" w:hAnsi="Arial" w:cs="Arial"/>
          <w:b/>
          <w:bCs/>
        </w:rPr>
        <w:t xml:space="preserve"> de las torres</w:t>
      </w:r>
    </w:p>
    <w:p w14:paraId="7E7196ED" w14:textId="5433B4DB" w:rsidR="009C493A" w:rsidRDefault="009C493A" w:rsidP="00F84309">
      <w:pPr>
        <w:spacing w:before="120" w:after="120" w:line="240" w:lineRule="auto"/>
        <w:jc w:val="both"/>
        <w:rPr>
          <w:rFonts w:ascii="Arial" w:eastAsia="Times New Roman" w:hAnsi="Arial" w:cs="Arial"/>
          <w:lang w:val="es-ES"/>
        </w:rPr>
      </w:pPr>
      <w:r w:rsidRPr="00F84309">
        <w:rPr>
          <w:rFonts w:ascii="Arial" w:eastAsia="Times New Roman" w:hAnsi="Arial" w:cs="Arial"/>
          <w:lang w:val="es-ES"/>
        </w:rPr>
        <w:t>Se establecieron teóricamente y posteriormente se ajustaron en el taller los procedimientos para la soldadura de las torres mediante la combinación de los procesos SAW automático (Soldadura por arco sumergido) y GMAW semiautomático (soldadura por arco con electrodo metálico consumible y gas protector). Dos ejemplos de estos procedimientos se muestra</w:t>
      </w:r>
      <w:r w:rsidR="00D50800" w:rsidRPr="00F84309">
        <w:rPr>
          <w:rFonts w:ascii="Arial" w:eastAsia="Times New Roman" w:hAnsi="Arial" w:cs="Arial"/>
          <w:lang w:val="es-ES"/>
        </w:rPr>
        <w:t>n</w:t>
      </w:r>
      <w:r w:rsidRPr="00F84309">
        <w:rPr>
          <w:rFonts w:ascii="Arial" w:eastAsia="Times New Roman" w:hAnsi="Arial" w:cs="Arial"/>
          <w:lang w:val="es-ES"/>
        </w:rPr>
        <w:t xml:space="preserve"> en Anexo 1.</w:t>
      </w:r>
      <w:r w:rsidR="00D50800" w:rsidRPr="00F84309">
        <w:rPr>
          <w:rFonts w:ascii="Arial" w:eastAsia="Times New Roman" w:hAnsi="Arial" w:cs="Arial"/>
          <w:lang w:val="es-ES"/>
        </w:rPr>
        <w:t xml:space="preserve"> De este modo los soldadores y operarios de soldadura solo deben seguir lo estipulado en los procedimientos, </w:t>
      </w:r>
      <w:r w:rsidR="00F82AC6" w:rsidRPr="00F84309">
        <w:rPr>
          <w:rFonts w:ascii="Arial" w:eastAsia="Times New Roman" w:hAnsi="Arial" w:cs="Arial"/>
          <w:lang w:val="es-ES"/>
        </w:rPr>
        <w:t>como punto de partida para</w:t>
      </w:r>
      <w:r w:rsidR="00D50800" w:rsidRPr="00F84309">
        <w:rPr>
          <w:rFonts w:ascii="Arial" w:eastAsia="Times New Roman" w:hAnsi="Arial" w:cs="Arial"/>
          <w:lang w:val="es-ES"/>
        </w:rPr>
        <w:t xml:space="preserve"> garantizar la sanidad de la soldadura.</w:t>
      </w:r>
    </w:p>
    <w:p w14:paraId="4B415A61" w14:textId="77777777" w:rsidR="00324F63" w:rsidRDefault="00324F63" w:rsidP="006C2846">
      <w:pPr>
        <w:pStyle w:val="Prrafodelista"/>
        <w:keepNext/>
        <w:keepLines/>
        <w:tabs>
          <w:tab w:val="left" w:pos="540"/>
        </w:tabs>
        <w:spacing w:before="120" w:after="120" w:line="240" w:lineRule="auto"/>
        <w:ind w:left="0"/>
        <w:jc w:val="both"/>
        <w:outlineLvl w:val="2"/>
        <w:rPr>
          <w:rFonts w:ascii="Arial" w:eastAsia="Times New Roman" w:hAnsi="Arial" w:cs="Arial"/>
          <w:lang w:val="es-ES"/>
        </w:rPr>
      </w:pPr>
    </w:p>
    <w:p w14:paraId="2477316F" w14:textId="43111254" w:rsidR="00324F63" w:rsidRDefault="00324F63" w:rsidP="00324F63">
      <w:pPr>
        <w:pStyle w:val="Prrafodelista"/>
        <w:keepNext/>
        <w:keepLines/>
        <w:tabs>
          <w:tab w:val="left" w:pos="540"/>
        </w:tabs>
        <w:spacing w:before="120" w:after="120" w:line="240" w:lineRule="auto"/>
        <w:ind w:left="0"/>
        <w:jc w:val="center"/>
        <w:outlineLvl w:val="2"/>
        <w:rPr>
          <w:rFonts w:ascii="Arial" w:eastAsia="Times New Roman" w:hAnsi="Arial" w:cs="Arial"/>
          <w:lang w:val="es-ES"/>
        </w:rPr>
      </w:pPr>
      <w:r>
        <w:rPr>
          <w:rFonts w:ascii="Arial" w:eastAsia="Times New Roman" w:hAnsi="Arial" w:cs="Arial"/>
          <w:noProof/>
          <w:lang w:val="es-ES"/>
        </w:rPr>
        <w:drawing>
          <wp:inline distT="0" distB="0" distL="0" distR="0" wp14:anchorId="60F3B54A" wp14:editId="5CEA23FD">
            <wp:extent cx="3177742" cy="158887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5711" cy="1597856"/>
                    </a:xfrm>
                    <a:prstGeom prst="rect">
                      <a:avLst/>
                    </a:prstGeom>
                  </pic:spPr>
                </pic:pic>
              </a:graphicData>
            </a:graphic>
          </wp:inline>
        </w:drawing>
      </w:r>
    </w:p>
    <w:p w14:paraId="00F8F0B1" w14:textId="77777777" w:rsidR="00324F63" w:rsidRDefault="00324F63" w:rsidP="00324F63">
      <w:pPr>
        <w:pStyle w:val="Prrafodelista"/>
        <w:keepNext/>
        <w:keepLines/>
        <w:tabs>
          <w:tab w:val="left" w:pos="540"/>
        </w:tabs>
        <w:spacing w:before="120" w:after="120" w:line="240" w:lineRule="auto"/>
        <w:ind w:left="0"/>
        <w:jc w:val="center"/>
        <w:outlineLvl w:val="2"/>
        <w:rPr>
          <w:rFonts w:ascii="Arial" w:eastAsia="Times New Roman" w:hAnsi="Arial" w:cs="Arial"/>
          <w:lang w:val="es-ES"/>
        </w:rPr>
      </w:pPr>
    </w:p>
    <w:p w14:paraId="7E73E915" w14:textId="43DE959B" w:rsidR="00324F63" w:rsidRDefault="00324F63" w:rsidP="00324F63">
      <w:pPr>
        <w:pStyle w:val="Prrafodelista"/>
        <w:keepNext/>
        <w:keepLines/>
        <w:tabs>
          <w:tab w:val="left" w:pos="540"/>
        </w:tabs>
        <w:spacing w:before="120" w:after="120" w:line="240" w:lineRule="auto"/>
        <w:ind w:left="0"/>
        <w:jc w:val="center"/>
        <w:outlineLvl w:val="2"/>
        <w:rPr>
          <w:rFonts w:ascii="Arial" w:eastAsia="Times New Roman" w:hAnsi="Arial" w:cs="Arial"/>
          <w:lang w:val="es-ES"/>
        </w:rPr>
      </w:pPr>
      <w:r>
        <w:rPr>
          <w:rFonts w:ascii="Arial" w:eastAsia="Times New Roman" w:hAnsi="Arial" w:cs="Arial"/>
          <w:noProof/>
          <w:lang w:val="es-ES"/>
        </w:rPr>
        <w:drawing>
          <wp:inline distT="0" distB="0" distL="0" distR="0" wp14:anchorId="109A8FD9" wp14:editId="4A164A20">
            <wp:extent cx="3174793" cy="1587398"/>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7385" cy="1598694"/>
                    </a:xfrm>
                    <a:prstGeom prst="rect">
                      <a:avLst/>
                    </a:prstGeom>
                  </pic:spPr>
                </pic:pic>
              </a:graphicData>
            </a:graphic>
          </wp:inline>
        </w:drawing>
      </w:r>
    </w:p>
    <w:p w14:paraId="4D1E2197" w14:textId="1933C351" w:rsidR="00324F63" w:rsidRDefault="00324F63" w:rsidP="001525E7">
      <w:pPr>
        <w:pStyle w:val="Prrafodelista"/>
        <w:keepNext/>
        <w:keepLines/>
        <w:tabs>
          <w:tab w:val="left" w:pos="540"/>
        </w:tabs>
        <w:spacing w:before="120" w:after="120" w:line="240" w:lineRule="auto"/>
        <w:ind w:left="0"/>
        <w:jc w:val="both"/>
        <w:outlineLvl w:val="2"/>
        <w:rPr>
          <w:rFonts w:ascii="Arial" w:eastAsia="Times New Roman" w:hAnsi="Arial" w:cs="Arial"/>
          <w:lang w:val="es-ES"/>
        </w:rPr>
      </w:pPr>
      <w:r>
        <w:rPr>
          <w:rFonts w:ascii="Arial" w:eastAsia="Times New Roman" w:hAnsi="Arial" w:cs="Arial"/>
          <w:lang w:val="es-ES"/>
        </w:rPr>
        <w:t xml:space="preserve">Figura 2. Realización de soldadura circunferencial de torre </w:t>
      </w:r>
      <w:r w:rsidR="00313592">
        <w:rPr>
          <w:rFonts w:ascii="Arial" w:eastAsia="Times New Roman" w:hAnsi="Arial" w:cs="Arial"/>
          <w:lang w:val="es-ES"/>
        </w:rPr>
        <w:t xml:space="preserve">mediante proceso SAW, </w:t>
      </w:r>
      <w:r>
        <w:rPr>
          <w:rFonts w:ascii="Arial" w:eastAsia="Times New Roman" w:hAnsi="Arial" w:cs="Arial"/>
          <w:lang w:val="es-ES"/>
        </w:rPr>
        <w:t>en empresa Planta Mecánica</w:t>
      </w:r>
    </w:p>
    <w:p w14:paraId="71D8C32E" w14:textId="77777777" w:rsidR="007F7631" w:rsidRPr="009C493A" w:rsidRDefault="007F7631" w:rsidP="00324F63">
      <w:pPr>
        <w:pStyle w:val="Prrafodelista"/>
        <w:keepNext/>
        <w:keepLines/>
        <w:tabs>
          <w:tab w:val="left" w:pos="540"/>
        </w:tabs>
        <w:spacing w:before="120" w:after="120" w:line="240" w:lineRule="auto"/>
        <w:ind w:left="0"/>
        <w:jc w:val="center"/>
        <w:outlineLvl w:val="2"/>
        <w:rPr>
          <w:rFonts w:ascii="Arial" w:eastAsia="Times New Roman" w:hAnsi="Arial" w:cs="Arial"/>
          <w:lang w:val="es-ES"/>
        </w:rPr>
      </w:pPr>
    </w:p>
    <w:p w14:paraId="67D0A1D8" w14:textId="40141289" w:rsidR="006C606D" w:rsidRPr="00E531A6" w:rsidRDefault="006C606D" w:rsidP="00E531A6">
      <w:pPr>
        <w:pStyle w:val="Prrafodelista"/>
        <w:keepNext/>
        <w:keepLines/>
        <w:numPr>
          <w:ilvl w:val="1"/>
          <w:numId w:val="5"/>
        </w:numPr>
        <w:spacing w:before="120" w:after="120" w:line="240" w:lineRule="auto"/>
        <w:ind w:left="450" w:hanging="450"/>
        <w:jc w:val="both"/>
        <w:outlineLvl w:val="2"/>
        <w:rPr>
          <w:rFonts w:ascii="Arial" w:eastAsia="Times New Roman" w:hAnsi="Arial" w:cs="Arial"/>
          <w:b/>
          <w:bCs/>
          <w:lang w:val="es-ES"/>
        </w:rPr>
      </w:pPr>
      <w:r w:rsidRPr="00E531A6">
        <w:rPr>
          <w:rFonts w:ascii="Arial" w:eastAsia="Times New Roman" w:hAnsi="Arial" w:cs="Arial"/>
          <w:b/>
          <w:bCs/>
          <w:lang w:val="es-ES"/>
        </w:rPr>
        <w:t xml:space="preserve"> Sobre la homologación del personal que ejecuta los trabajos de soldadura e inspección</w:t>
      </w:r>
    </w:p>
    <w:p w14:paraId="49DDC844" w14:textId="77777777" w:rsidR="006C606D" w:rsidRPr="006C606D" w:rsidRDefault="006C606D" w:rsidP="006C606D">
      <w:pPr>
        <w:spacing w:before="120" w:after="120" w:line="240" w:lineRule="auto"/>
        <w:jc w:val="both"/>
        <w:rPr>
          <w:rFonts w:ascii="Arial" w:eastAsia="Calibri" w:hAnsi="Arial" w:cs="Arial"/>
          <w:lang w:val="es-ES"/>
        </w:rPr>
      </w:pPr>
      <w:r w:rsidRPr="006C606D">
        <w:rPr>
          <w:rFonts w:ascii="Arial" w:eastAsia="Calibri" w:hAnsi="Arial" w:cs="Arial"/>
          <w:lang w:val="es-ES"/>
        </w:rPr>
        <w:t xml:space="preserve">Un aspecto clave para garantizar la calidad final del producto soldado que se fabrica, según Código AWS D1.1-2020 </w:t>
      </w:r>
      <w:sdt>
        <w:sdtPr>
          <w:rPr>
            <w:lang w:val="es-ES"/>
          </w:rPr>
          <w:id w:val="-1954705629"/>
          <w:citation/>
        </w:sdtPr>
        <w:sdtEndPr/>
        <w:sdtContent>
          <w:r w:rsidRPr="006C606D">
            <w:rPr>
              <w:rFonts w:ascii="Arial" w:eastAsia="Calibri" w:hAnsi="Arial" w:cs="Arial"/>
              <w:lang w:val="es-ES"/>
            </w:rPr>
            <w:fldChar w:fldCharType="begin"/>
          </w:r>
          <w:r w:rsidRPr="006C606D">
            <w:rPr>
              <w:rFonts w:ascii="Arial" w:eastAsia="Calibri" w:hAnsi="Arial" w:cs="Arial"/>
              <w:lang w:val="es-ES"/>
            </w:rPr>
            <w:instrText xml:space="preserve"> CITATION Ame \l 3082 </w:instrText>
          </w:r>
          <w:r w:rsidRPr="006C606D">
            <w:rPr>
              <w:rFonts w:ascii="Arial" w:eastAsia="Calibri" w:hAnsi="Arial" w:cs="Arial"/>
              <w:lang w:val="es-ES"/>
            </w:rPr>
            <w:fldChar w:fldCharType="separate"/>
          </w:r>
          <w:r w:rsidRPr="006C606D">
            <w:rPr>
              <w:rFonts w:ascii="Arial" w:eastAsia="Calibri" w:hAnsi="Arial" w:cs="Arial"/>
              <w:noProof/>
              <w:lang w:val="es-ES"/>
            </w:rPr>
            <w:t>(American Welding Society, 2020)</w:t>
          </w:r>
          <w:r w:rsidRPr="006C606D">
            <w:rPr>
              <w:rFonts w:ascii="Arial" w:eastAsia="Calibri" w:hAnsi="Arial" w:cs="Arial"/>
              <w:lang w:val="es-ES"/>
            </w:rPr>
            <w:fldChar w:fldCharType="end"/>
          </w:r>
        </w:sdtContent>
      </w:sdt>
      <w:r w:rsidRPr="006C606D">
        <w:rPr>
          <w:rFonts w:ascii="Arial" w:eastAsia="Calibri" w:hAnsi="Arial" w:cs="Arial"/>
          <w:lang w:val="es-ES"/>
        </w:rPr>
        <w:t xml:space="preserve"> y según NC </w:t>
      </w:r>
      <w:sdt>
        <w:sdtPr>
          <w:rPr>
            <w:lang w:val="es-ES"/>
          </w:rPr>
          <w:id w:val="-1899049431"/>
          <w:citation/>
        </w:sdtPr>
        <w:sdtEndPr/>
        <w:sdtContent>
          <w:r w:rsidRPr="006C606D">
            <w:rPr>
              <w:rFonts w:ascii="Arial" w:eastAsia="Calibri" w:hAnsi="Arial" w:cs="Arial"/>
              <w:lang w:val="es-ES"/>
            </w:rPr>
            <w:fldChar w:fldCharType="begin"/>
          </w:r>
          <w:r w:rsidRPr="006C606D">
            <w:rPr>
              <w:rFonts w:ascii="Arial" w:eastAsia="Calibri" w:hAnsi="Arial" w:cs="Arial"/>
              <w:lang w:val="es-ES"/>
            </w:rPr>
            <w:instrText xml:space="preserve"> CITATION Ofi09 \l 3082 </w:instrText>
          </w:r>
          <w:r w:rsidRPr="006C606D">
            <w:rPr>
              <w:rFonts w:ascii="Arial" w:eastAsia="Calibri" w:hAnsi="Arial" w:cs="Arial"/>
              <w:lang w:val="es-ES"/>
            </w:rPr>
            <w:fldChar w:fldCharType="separate"/>
          </w:r>
          <w:r w:rsidRPr="006C606D">
            <w:rPr>
              <w:rFonts w:ascii="Arial" w:eastAsia="Calibri" w:hAnsi="Arial" w:cs="Arial"/>
              <w:noProof/>
              <w:lang w:val="es-ES"/>
            </w:rPr>
            <w:t>(Oficina Nacional de Normalización, 2009)</w:t>
          </w:r>
          <w:r w:rsidRPr="006C606D">
            <w:rPr>
              <w:rFonts w:ascii="Arial" w:eastAsia="Calibri" w:hAnsi="Arial" w:cs="Arial"/>
              <w:lang w:val="es-ES"/>
            </w:rPr>
            <w:fldChar w:fldCharType="end"/>
          </w:r>
        </w:sdtContent>
      </w:sdt>
      <w:r w:rsidRPr="006C606D">
        <w:rPr>
          <w:rFonts w:ascii="Arial" w:eastAsia="Calibri" w:hAnsi="Arial" w:cs="Arial"/>
          <w:lang w:val="es-ES"/>
        </w:rPr>
        <w:t xml:space="preserve"> , es la necesidad de homologar al personal que ejecuta la soldadura y la inspección final mediante técnicas de ensayos no destructivos (END). </w:t>
      </w:r>
    </w:p>
    <w:p w14:paraId="5C58A8A6" w14:textId="0277B614" w:rsidR="006C606D" w:rsidRPr="006C606D" w:rsidRDefault="006C606D" w:rsidP="006C606D">
      <w:pPr>
        <w:spacing w:before="120" w:after="120" w:line="240" w:lineRule="auto"/>
        <w:jc w:val="both"/>
        <w:rPr>
          <w:rFonts w:ascii="Arial" w:eastAsia="Calibri" w:hAnsi="Arial" w:cs="Arial"/>
          <w:lang w:val="es-ES"/>
        </w:rPr>
      </w:pPr>
      <w:r w:rsidRPr="006C606D">
        <w:rPr>
          <w:rFonts w:ascii="Arial" w:eastAsia="Calibri" w:hAnsi="Arial" w:cs="Arial"/>
          <w:lang w:val="es-ES"/>
        </w:rPr>
        <w:t xml:space="preserve">En el año 2022 se realizó con éxito el entrenamiento y homologación a nivel de empresa de cuatro soldadores, mediante proceso GMAW, </w:t>
      </w:r>
      <w:r w:rsidR="00C87B38">
        <w:rPr>
          <w:rFonts w:ascii="Arial" w:eastAsia="Calibri" w:hAnsi="Arial" w:cs="Arial"/>
          <w:lang w:val="es-ES"/>
        </w:rPr>
        <w:t xml:space="preserve">y se entrenó al operario de proceso SAW, </w:t>
      </w:r>
      <w:r w:rsidRPr="006C606D">
        <w:rPr>
          <w:rFonts w:ascii="Arial" w:eastAsia="Calibri" w:hAnsi="Arial" w:cs="Arial"/>
          <w:lang w:val="es-ES"/>
        </w:rPr>
        <w:t xml:space="preserve">según los requisitos del Código AWS D1.1-2020 </w:t>
      </w:r>
      <w:sdt>
        <w:sdtPr>
          <w:rPr>
            <w:lang w:val="es-ES"/>
          </w:rPr>
          <w:id w:val="1453826157"/>
          <w:citation/>
        </w:sdtPr>
        <w:sdtEndPr/>
        <w:sdtContent>
          <w:r w:rsidRPr="006C606D">
            <w:rPr>
              <w:rFonts w:ascii="Arial" w:eastAsia="Calibri" w:hAnsi="Arial" w:cs="Arial"/>
              <w:lang w:val="es-ES"/>
            </w:rPr>
            <w:fldChar w:fldCharType="begin"/>
          </w:r>
          <w:r w:rsidRPr="006C606D">
            <w:rPr>
              <w:rFonts w:ascii="Arial" w:eastAsia="Calibri" w:hAnsi="Arial" w:cs="Arial"/>
              <w:lang w:val="es-ES"/>
            </w:rPr>
            <w:instrText xml:space="preserve"> CITATION Ame \l 3082 </w:instrText>
          </w:r>
          <w:r w:rsidRPr="006C606D">
            <w:rPr>
              <w:rFonts w:ascii="Arial" w:eastAsia="Calibri" w:hAnsi="Arial" w:cs="Arial"/>
              <w:lang w:val="es-ES"/>
            </w:rPr>
            <w:fldChar w:fldCharType="separate"/>
          </w:r>
          <w:r w:rsidRPr="006C606D">
            <w:rPr>
              <w:rFonts w:ascii="Arial" w:eastAsia="Calibri" w:hAnsi="Arial" w:cs="Arial"/>
              <w:noProof/>
              <w:lang w:val="es-ES"/>
            </w:rPr>
            <w:t>(American Welding Society, 2020)</w:t>
          </w:r>
          <w:r w:rsidRPr="006C606D">
            <w:rPr>
              <w:rFonts w:ascii="Arial" w:eastAsia="Calibri" w:hAnsi="Arial" w:cs="Arial"/>
              <w:lang w:val="es-ES"/>
            </w:rPr>
            <w:fldChar w:fldCharType="end"/>
          </w:r>
        </w:sdtContent>
      </w:sdt>
      <w:r w:rsidRPr="006C606D">
        <w:rPr>
          <w:rFonts w:ascii="Arial" w:eastAsia="Calibri" w:hAnsi="Arial" w:cs="Arial"/>
          <w:lang w:val="es-ES"/>
        </w:rPr>
        <w:t>.</w:t>
      </w:r>
    </w:p>
    <w:p w14:paraId="52F4D1D2" w14:textId="60BB8713" w:rsidR="002C2E73" w:rsidRPr="0092205A" w:rsidRDefault="002C2E73" w:rsidP="0092205A">
      <w:pPr>
        <w:pStyle w:val="Prrafodelista"/>
        <w:keepNext/>
        <w:keepLines/>
        <w:numPr>
          <w:ilvl w:val="1"/>
          <w:numId w:val="5"/>
        </w:numPr>
        <w:tabs>
          <w:tab w:val="left" w:pos="540"/>
        </w:tabs>
        <w:spacing w:before="120" w:after="120" w:line="240" w:lineRule="auto"/>
        <w:ind w:left="0" w:firstLine="0"/>
        <w:jc w:val="both"/>
        <w:outlineLvl w:val="2"/>
        <w:rPr>
          <w:rFonts w:ascii="Arial" w:eastAsia="Times New Roman" w:hAnsi="Arial" w:cs="Arial"/>
          <w:b/>
          <w:bCs/>
          <w:lang w:val="es-ES"/>
        </w:rPr>
      </w:pPr>
      <w:r w:rsidRPr="0092205A">
        <w:rPr>
          <w:rFonts w:ascii="Arial" w:eastAsia="Times New Roman" w:hAnsi="Arial" w:cs="Arial"/>
          <w:b/>
          <w:bCs/>
          <w:lang w:val="es-ES"/>
        </w:rPr>
        <w:t>Consideraciones para la inspección visual</w:t>
      </w:r>
      <w:bookmarkEnd w:id="5"/>
    </w:p>
    <w:p w14:paraId="24F47034" w14:textId="77777777" w:rsidR="00E45338" w:rsidRPr="00E45338" w:rsidRDefault="00E45338" w:rsidP="00E45338">
      <w:pPr>
        <w:spacing w:before="120" w:after="120" w:line="240" w:lineRule="auto"/>
        <w:jc w:val="both"/>
        <w:rPr>
          <w:rFonts w:ascii="Arial" w:eastAsia="Calibri" w:hAnsi="Arial" w:cs="Arial"/>
          <w:lang w:val="es-ES"/>
        </w:rPr>
      </w:pPr>
      <w:r w:rsidRPr="00E45338">
        <w:rPr>
          <w:rFonts w:ascii="Arial" w:eastAsia="Calibri" w:hAnsi="Arial" w:cs="Arial"/>
          <w:lang w:val="es-ES"/>
        </w:rPr>
        <w:t xml:space="preserve">Las soldaduras de mayor responsabilidad en la torre la constituyen las soldaduras de ranura circunferenciales, que estarán sometidas a solicitaciones de flexión cíclicas producto de las cargas de viento y de flexión estática producto de la tensión en los cables del tendido eléctrico que soportan. </w:t>
      </w:r>
    </w:p>
    <w:p w14:paraId="65F7A1F2" w14:textId="77777777" w:rsidR="00E45338" w:rsidRDefault="00E45338" w:rsidP="002C2E73">
      <w:pPr>
        <w:spacing w:before="120" w:after="120" w:line="240" w:lineRule="auto"/>
        <w:jc w:val="both"/>
        <w:rPr>
          <w:rFonts w:ascii="Arial" w:eastAsia="Calibri" w:hAnsi="Arial" w:cs="Arial"/>
          <w:lang w:val="es-ES"/>
        </w:rPr>
      </w:pPr>
      <w:r w:rsidRPr="00E45338">
        <w:rPr>
          <w:rFonts w:ascii="Arial" w:eastAsia="Calibri" w:hAnsi="Arial" w:cs="Arial"/>
          <w:lang w:val="es-ES"/>
        </w:rPr>
        <w:t xml:space="preserve">El cordón de respaldo, que se realiza por el interior de los tubos de diámetro 600 mm, así como el cordón de raíz que se realiza por el exterior en la soldadura de los de diámetro 400 mm, de las soldaduras circunferenciales y longitudinales de las torres en todos los casos se realiza mediante proceso GMAW, con transferencia por cortocircuito, por lo que el inspector debe estar consciente del peligro que este proceso encierra por su tendencia a la falta de fusión, lo que puede provocar discontinuidades peligrosas para la integridad de la estructura. </w:t>
      </w:r>
      <w:r w:rsidR="00A65347">
        <w:rPr>
          <w:rFonts w:ascii="Arial" w:eastAsia="Calibri" w:hAnsi="Arial" w:cs="Arial"/>
          <w:lang w:val="es-ES"/>
        </w:rPr>
        <w:t xml:space="preserve">A continuación se exponen los procedimientos a seguir en el control de calidad de la soldadura de las torres de alta tensión. </w:t>
      </w:r>
    </w:p>
    <w:p w14:paraId="15225888" w14:textId="68AD9345"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Un aspecto critico a controlar mediante inspección visual es si realmente se alcanzó la penetración completa en el 100 % del perímetro de las soldaduras de ranura circunferenciales durante la realización del pase de raíz GMAW, soldando desde el exterior del tubo, para el diámetro 400 mm, que solo puede ser soldado desde el exterior. Pueden aparecer faltas de penetración en diferentes sectores producto de deficiencias como desalineamiento de las paredes del tubo, ángulos de ranura, altura del talón y holgura fuera de las tolerancias de los procedimientos de soldadura para tales efectos, caras irregulares del bisel, entre otros. Una mala ejecución por parte del soldador o el no cumplimiento de los parámetros de soldadura dispuestos en los procedimientos de soldadura puede ser también causa de falta de penetración o exceso de la misma. </w:t>
      </w:r>
    </w:p>
    <w:p w14:paraId="61AB1AD1" w14:textId="77777777" w:rsid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lastRenderedPageBreak/>
        <w:t>En los tubos de diámetro 600 mm, que se sueldan desde el interior y exterior del tubo las costuras longitudinales y circunferenciales, es vital realizar un resanado hasta metal sano para garantizar sanidad y penetración completa. Se debe controlar visualmente este resanado.</w:t>
      </w:r>
    </w:p>
    <w:p w14:paraId="7C30B3B7" w14:textId="77777777" w:rsidR="00CD0B6C" w:rsidRPr="002C2E73" w:rsidRDefault="00CD0B6C" w:rsidP="002C2E73">
      <w:pPr>
        <w:spacing w:before="120" w:after="120" w:line="240" w:lineRule="auto"/>
        <w:jc w:val="both"/>
        <w:rPr>
          <w:rFonts w:ascii="Arial" w:eastAsia="Calibri" w:hAnsi="Arial" w:cs="Arial"/>
          <w:lang w:val="es-ES"/>
        </w:rPr>
      </w:pPr>
      <w:r>
        <w:rPr>
          <w:rFonts w:ascii="Arial" w:eastAsia="Calibri" w:hAnsi="Arial" w:cs="Arial"/>
          <w:lang w:val="es-ES"/>
        </w:rPr>
        <w:t>Este trabajo fue realizado según los aspectos comprendidos en el Código AWS D1.1 “Soldadura de Estructuras”, pero se tuvo además en consideración lo expuesto en la Norma Cubana NC ISO 3834</w:t>
      </w:r>
      <w:r w:rsidRPr="00CD0B6C">
        <w:rPr>
          <w:rFonts w:ascii="Arial" w:eastAsia="Calibri" w:hAnsi="Arial" w:cs="Arial"/>
          <w:lang w:val="es-ES"/>
        </w:rPr>
        <w:t>:2009</w:t>
      </w:r>
      <w:r>
        <w:rPr>
          <w:rFonts w:ascii="Arial" w:eastAsia="Calibri" w:hAnsi="Arial" w:cs="Arial"/>
          <w:lang w:val="es-ES"/>
        </w:rPr>
        <w:t xml:space="preserve"> que establece los r</w:t>
      </w:r>
      <w:r w:rsidRPr="00CD0B6C">
        <w:rPr>
          <w:rFonts w:ascii="Arial" w:eastAsia="Calibri" w:hAnsi="Arial" w:cs="Arial"/>
          <w:lang w:val="es-ES"/>
        </w:rPr>
        <w:t>equisitos de calidad para el proceso de soldadura por fusión de materiales metálicos</w:t>
      </w:r>
    </w:p>
    <w:p w14:paraId="736B73FB" w14:textId="77777777" w:rsidR="00405A85" w:rsidRDefault="002C2E73" w:rsidP="002C2E73">
      <w:pPr>
        <w:spacing w:before="120" w:after="120" w:line="240" w:lineRule="auto"/>
        <w:jc w:val="both"/>
        <w:rPr>
          <w:rFonts w:ascii="Arial" w:eastAsia="Calibri" w:hAnsi="Arial" w:cs="Arial"/>
          <w:b/>
          <w:bCs/>
          <w:lang w:val="es-ES"/>
        </w:rPr>
      </w:pPr>
      <w:r w:rsidRPr="002C2E73">
        <w:rPr>
          <w:rFonts w:ascii="Arial" w:eastAsia="Calibri" w:hAnsi="Arial" w:cs="Arial"/>
          <w:b/>
          <w:bCs/>
          <w:lang w:val="es-ES"/>
        </w:rPr>
        <w:t xml:space="preserve">Volumen de control: </w:t>
      </w:r>
    </w:p>
    <w:p w14:paraId="7C4D51CD" w14:textId="77777777" w:rsidR="002C2E73" w:rsidRPr="00405A85" w:rsidRDefault="002C2E73" w:rsidP="002C2E73">
      <w:pPr>
        <w:spacing w:before="120" w:after="120" w:line="240" w:lineRule="auto"/>
        <w:jc w:val="both"/>
        <w:rPr>
          <w:rFonts w:ascii="Arial" w:eastAsia="Calibri" w:hAnsi="Arial" w:cs="Arial"/>
          <w:lang w:val="es-ES"/>
        </w:rPr>
      </w:pPr>
      <w:r w:rsidRPr="00405A85">
        <w:rPr>
          <w:rFonts w:ascii="Arial" w:eastAsia="Calibri" w:hAnsi="Arial" w:cs="Arial"/>
          <w:lang w:val="es-ES"/>
        </w:rPr>
        <w:t xml:space="preserve">El cliente definió que el código AWS D1.1 </w:t>
      </w:r>
      <w:r w:rsidR="00192D8F" w:rsidRPr="00405A85">
        <w:rPr>
          <w:rFonts w:ascii="Arial" w:eastAsia="Calibri" w:hAnsi="Arial" w:cs="Arial"/>
          <w:lang w:val="es-ES"/>
        </w:rPr>
        <w:t xml:space="preserve">Soldadura </w:t>
      </w:r>
      <w:proofErr w:type="gramStart"/>
      <w:r w:rsidR="00192D8F" w:rsidRPr="00405A85">
        <w:rPr>
          <w:rFonts w:ascii="Arial" w:eastAsia="Calibri" w:hAnsi="Arial" w:cs="Arial"/>
          <w:lang w:val="es-ES"/>
        </w:rPr>
        <w:t xml:space="preserve">estructural </w:t>
      </w:r>
      <w:r w:rsidRPr="00405A85">
        <w:rPr>
          <w:rFonts w:ascii="Arial" w:eastAsia="Calibri" w:hAnsi="Arial" w:cs="Arial"/>
          <w:lang w:val="es-ES"/>
        </w:rPr>
        <w:t xml:space="preserve"> </w:t>
      </w:r>
      <w:r w:rsidR="00192D8F" w:rsidRPr="00405A85">
        <w:rPr>
          <w:rFonts w:ascii="Arial" w:eastAsia="Calibri" w:hAnsi="Arial" w:cs="Arial"/>
          <w:lang w:val="es-ES"/>
        </w:rPr>
        <w:t>de</w:t>
      </w:r>
      <w:proofErr w:type="gramEnd"/>
      <w:r w:rsidR="00192D8F" w:rsidRPr="00405A85">
        <w:rPr>
          <w:rFonts w:ascii="Arial" w:eastAsia="Calibri" w:hAnsi="Arial" w:cs="Arial"/>
          <w:lang w:val="es-ES"/>
        </w:rPr>
        <w:t xml:space="preserve"> la Sociedad Americana de Soldadura (en lo adelante el Código)</w:t>
      </w:r>
      <w:r w:rsidRPr="00405A85">
        <w:rPr>
          <w:rFonts w:ascii="Arial" w:eastAsia="Calibri" w:hAnsi="Arial" w:cs="Arial"/>
          <w:lang w:val="es-ES"/>
        </w:rPr>
        <w:t xml:space="preserve"> debe regir el control de calidad de la torre</w:t>
      </w:r>
      <w:r w:rsidR="00192D8F" w:rsidRPr="00405A85">
        <w:rPr>
          <w:rFonts w:ascii="Arial" w:eastAsia="Calibri" w:hAnsi="Arial" w:cs="Arial"/>
          <w:lang w:val="es-ES"/>
        </w:rPr>
        <w:t xml:space="preserve"> </w:t>
      </w:r>
      <w:sdt>
        <w:sdtPr>
          <w:rPr>
            <w:rFonts w:ascii="Arial" w:eastAsia="Calibri" w:hAnsi="Arial" w:cs="Arial"/>
            <w:lang w:val="es-ES"/>
          </w:rPr>
          <w:id w:val="1703129859"/>
          <w:citation/>
        </w:sdtPr>
        <w:sdtEndPr/>
        <w:sdtContent>
          <w:r w:rsidR="00192D8F" w:rsidRPr="00405A85">
            <w:rPr>
              <w:rFonts w:ascii="Arial" w:eastAsia="Calibri" w:hAnsi="Arial" w:cs="Arial"/>
              <w:lang w:val="es-ES"/>
            </w:rPr>
            <w:fldChar w:fldCharType="begin"/>
          </w:r>
          <w:r w:rsidR="00192D8F" w:rsidRPr="00405A85">
            <w:rPr>
              <w:rFonts w:ascii="Arial" w:eastAsia="Calibri" w:hAnsi="Arial" w:cs="Arial"/>
              <w:lang w:val="es-ES"/>
            </w:rPr>
            <w:instrText xml:space="preserve">CITATION Ame \l 3082 </w:instrText>
          </w:r>
          <w:r w:rsidR="00192D8F" w:rsidRPr="00405A85">
            <w:rPr>
              <w:rFonts w:ascii="Arial" w:eastAsia="Calibri" w:hAnsi="Arial" w:cs="Arial"/>
              <w:lang w:val="es-ES"/>
            </w:rPr>
            <w:fldChar w:fldCharType="separate"/>
          </w:r>
          <w:r w:rsidR="00192D8F" w:rsidRPr="00405A85">
            <w:rPr>
              <w:rFonts w:ascii="Arial" w:eastAsia="Calibri" w:hAnsi="Arial" w:cs="Arial"/>
              <w:noProof/>
              <w:lang w:val="es-ES"/>
            </w:rPr>
            <w:t>(American Welding Society, 2020)</w:t>
          </w:r>
          <w:r w:rsidR="00192D8F" w:rsidRPr="00405A85">
            <w:rPr>
              <w:rFonts w:ascii="Arial" w:eastAsia="Calibri" w:hAnsi="Arial" w:cs="Arial"/>
              <w:lang w:val="es-ES"/>
            </w:rPr>
            <w:fldChar w:fldCharType="end"/>
          </w:r>
        </w:sdtContent>
      </w:sdt>
      <w:r w:rsidRPr="00405A85">
        <w:rPr>
          <w:rFonts w:ascii="Arial" w:eastAsia="Calibri" w:hAnsi="Arial" w:cs="Arial"/>
          <w:lang w:val="es-ES"/>
        </w:rPr>
        <w:t>. Este Código</w:t>
      </w:r>
      <w:r w:rsidR="00192D8F" w:rsidRPr="00405A85">
        <w:rPr>
          <w:rFonts w:ascii="Arial" w:eastAsia="Calibri" w:hAnsi="Arial" w:cs="Arial"/>
          <w:lang w:val="es-ES"/>
        </w:rPr>
        <w:t>,</w:t>
      </w:r>
      <w:r w:rsidRPr="00405A85">
        <w:rPr>
          <w:rFonts w:ascii="Arial" w:eastAsia="Calibri" w:hAnsi="Arial" w:cs="Arial"/>
          <w:lang w:val="es-ES"/>
        </w:rPr>
        <w:t xml:space="preserve"> en </w:t>
      </w:r>
      <w:r w:rsidR="00192D8F" w:rsidRPr="00405A85">
        <w:rPr>
          <w:rFonts w:ascii="Arial" w:eastAsia="Calibri" w:hAnsi="Arial" w:cs="Arial"/>
          <w:lang w:val="es-ES"/>
        </w:rPr>
        <w:t>su e</w:t>
      </w:r>
      <w:r w:rsidRPr="00405A85">
        <w:rPr>
          <w:rFonts w:ascii="Arial" w:eastAsia="Calibri" w:hAnsi="Arial" w:cs="Arial"/>
          <w:lang w:val="es-ES"/>
        </w:rPr>
        <w:t xml:space="preserve">pígrafe 10.24 </w:t>
      </w:r>
      <w:r w:rsidR="00192D8F" w:rsidRPr="00405A85">
        <w:rPr>
          <w:rFonts w:ascii="Arial" w:eastAsia="Calibri" w:hAnsi="Arial" w:cs="Arial"/>
          <w:lang w:val="es-ES"/>
        </w:rPr>
        <w:t>“</w:t>
      </w:r>
      <w:r w:rsidRPr="00405A85">
        <w:rPr>
          <w:rFonts w:ascii="Arial" w:eastAsia="Calibri" w:hAnsi="Arial" w:cs="Arial"/>
          <w:lang w:val="es-ES"/>
        </w:rPr>
        <w:t>Inspección visual</w:t>
      </w:r>
      <w:r w:rsidR="00192D8F" w:rsidRPr="00405A85">
        <w:rPr>
          <w:rFonts w:ascii="Arial" w:eastAsia="Calibri" w:hAnsi="Arial" w:cs="Arial"/>
          <w:lang w:val="es-ES"/>
        </w:rPr>
        <w:t>”</w:t>
      </w:r>
      <w:r w:rsidRPr="00405A85">
        <w:rPr>
          <w:rFonts w:ascii="Arial" w:eastAsia="Calibri" w:hAnsi="Arial" w:cs="Arial"/>
          <w:lang w:val="es-ES"/>
        </w:rPr>
        <w:t xml:space="preserve">, establece que todas las soldaduras deben inspeccionarse visualmente y serán aceptables si cumplen con los criterios </w:t>
      </w:r>
      <w:r w:rsidR="00192D8F" w:rsidRPr="00405A85">
        <w:rPr>
          <w:rFonts w:ascii="Arial" w:eastAsia="Calibri" w:hAnsi="Arial" w:cs="Arial"/>
          <w:lang w:val="es-ES"/>
        </w:rPr>
        <w:t>expuestos en la</w:t>
      </w:r>
      <w:r w:rsidR="00CD0B6C">
        <w:rPr>
          <w:rFonts w:ascii="Arial" w:eastAsia="Calibri" w:hAnsi="Arial" w:cs="Arial"/>
          <w:lang w:val="es-ES"/>
        </w:rPr>
        <w:t xml:space="preserve"> </w:t>
      </w:r>
      <w:r w:rsidR="00CD0B6C" w:rsidRPr="00CD0B6C">
        <w:rPr>
          <w:rFonts w:ascii="Arial" w:eastAsia="Calibri" w:hAnsi="Arial" w:cs="Arial"/>
          <w:lang w:val="es-ES"/>
        </w:rPr>
        <w:t>Tabla 1.</w:t>
      </w:r>
      <w:r w:rsidR="00192D8F" w:rsidRPr="00405A85">
        <w:rPr>
          <w:rFonts w:ascii="Arial" w:eastAsia="Calibri" w:hAnsi="Arial" w:cs="Arial"/>
          <w:lang w:val="es-ES"/>
        </w:rPr>
        <w:t xml:space="preserve"> </w:t>
      </w:r>
      <w:r w:rsidRPr="00405A85">
        <w:rPr>
          <w:rFonts w:ascii="Arial" w:eastAsia="Calibri" w:hAnsi="Arial" w:cs="Arial"/>
          <w:lang w:val="es-ES"/>
        </w:rPr>
        <w:t xml:space="preserve">En base a esto, </w:t>
      </w:r>
      <w:r w:rsidR="00192D8F" w:rsidRPr="00405A85">
        <w:rPr>
          <w:rFonts w:ascii="Arial" w:eastAsia="Calibri" w:hAnsi="Arial" w:cs="Arial"/>
          <w:lang w:val="es-ES"/>
        </w:rPr>
        <w:t xml:space="preserve">se determinó la obligatoriedad del control visual de </w:t>
      </w:r>
      <w:r w:rsidRPr="00405A85">
        <w:rPr>
          <w:rFonts w:ascii="Arial" w:eastAsia="Calibri" w:hAnsi="Arial" w:cs="Arial"/>
          <w:bCs/>
          <w:lang w:val="es-ES"/>
        </w:rPr>
        <w:t xml:space="preserve">las soldaduras de las torres se controlarán al 100 % de la longitud mediante inspección visual directa o remota, por el interior y exterior de la torre, comprobándose que se cumple con los criterios de admisibilidad del código AWS D1.1-2020 </w:t>
      </w:r>
      <w:sdt>
        <w:sdtPr>
          <w:rPr>
            <w:rFonts w:ascii="Arial" w:eastAsia="Calibri" w:hAnsi="Arial" w:cs="Arial"/>
            <w:lang w:val="es-ES"/>
          </w:rPr>
          <w:id w:val="-295067241"/>
          <w:citation/>
        </w:sdtPr>
        <w:sdtEndPr/>
        <w:sdtContent>
          <w:r w:rsidRPr="00405A85">
            <w:rPr>
              <w:rFonts w:ascii="Arial" w:eastAsia="Calibri" w:hAnsi="Arial" w:cs="Arial"/>
              <w:lang w:val="es-ES"/>
            </w:rPr>
            <w:fldChar w:fldCharType="begin"/>
          </w:r>
          <w:r w:rsidRPr="00405A85">
            <w:rPr>
              <w:rFonts w:ascii="Arial" w:eastAsia="Calibri" w:hAnsi="Arial" w:cs="Arial"/>
              <w:lang w:val="es-ES"/>
            </w:rPr>
            <w:instrText xml:space="preserve">CITATION Ame \l 3082 </w:instrText>
          </w:r>
          <w:r w:rsidRPr="00405A85">
            <w:rPr>
              <w:rFonts w:ascii="Arial" w:eastAsia="Calibri" w:hAnsi="Arial" w:cs="Arial"/>
              <w:lang w:val="es-ES"/>
            </w:rPr>
            <w:fldChar w:fldCharType="separate"/>
          </w:r>
          <w:r w:rsidRPr="00405A85">
            <w:rPr>
              <w:rFonts w:ascii="Arial" w:eastAsia="Calibri" w:hAnsi="Arial" w:cs="Arial"/>
              <w:noProof/>
              <w:lang w:val="es-ES"/>
            </w:rPr>
            <w:t>(American Welding Society, 2020)</w:t>
          </w:r>
          <w:r w:rsidRPr="00405A85">
            <w:rPr>
              <w:rFonts w:ascii="Arial" w:eastAsia="Calibri" w:hAnsi="Arial" w:cs="Arial"/>
              <w:lang w:val="es-ES"/>
            </w:rPr>
            <w:fldChar w:fldCharType="end"/>
          </w:r>
        </w:sdtContent>
      </w:sdt>
      <w:r w:rsidRPr="00405A85">
        <w:rPr>
          <w:rFonts w:ascii="Arial" w:eastAsia="Calibri" w:hAnsi="Arial" w:cs="Arial"/>
          <w:lang w:val="es-ES"/>
        </w:rPr>
        <w:t>.</w:t>
      </w:r>
    </w:p>
    <w:p w14:paraId="3D481BC9" w14:textId="77777777" w:rsidR="002C2E73" w:rsidRPr="002C2E73" w:rsidRDefault="002C2E73" w:rsidP="002C2E73">
      <w:pPr>
        <w:spacing w:before="120" w:after="120" w:line="240" w:lineRule="auto"/>
        <w:jc w:val="both"/>
        <w:rPr>
          <w:rFonts w:ascii="Arial" w:eastAsia="Calibri" w:hAnsi="Arial" w:cs="Arial"/>
          <w:b/>
          <w:bCs/>
          <w:lang w:val="es-ES"/>
        </w:rPr>
      </w:pPr>
      <w:r w:rsidRPr="002C2E73">
        <w:rPr>
          <w:rFonts w:ascii="Arial" w:eastAsia="Calibri" w:hAnsi="Arial" w:cs="Arial"/>
          <w:b/>
          <w:bCs/>
          <w:lang w:val="es-ES"/>
        </w:rPr>
        <w:t>Perfiles de soldadura</w:t>
      </w:r>
    </w:p>
    <w:p w14:paraId="125EC0AB"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Todas las soldaduras deben cumplir con los criterios de aceptación visual y deben estar libres de grietas, traslapes y las discontinuidades inaceptables de perfil que se muestran en</w:t>
      </w:r>
      <w:r w:rsidR="00C61FEC" w:rsidRPr="00C61FEC">
        <w:t xml:space="preserve"> </w:t>
      </w:r>
      <w:r w:rsidR="00C61FEC" w:rsidRPr="00C61FEC">
        <w:rPr>
          <w:rFonts w:ascii="Arial" w:eastAsia="Calibri" w:hAnsi="Arial" w:cs="Arial"/>
          <w:lang w:val="es-ES"/>
        </w:rPr>
        <w:t>la Tabla 1</w:t>
      </w:r>
      <w:r w:rsidRPr="002C2E73">
        <w:rPr>
          <w:rFonts w:ascii="Arial" w:eastAsia="Calibri" w:hAnsi="Arial" w:cs="Arial"/>
          <w:lang w:val="es-ES"/>
        </w:rPr>
        <w:t xml:space="preserve">, excepto </w:t>
      </w:r>
      <w:r w:rsidR="0092205A">
        <w:rPr>
          <w:rFonts w:ascii="Arial" w:eastAsia="Calibri" w:hAnsi="Arial" w:cs="Arial"/>
          <w:lang w:val="es-ES"/>
        </w:rPr>
        <w:t>los aspectos comprendidos en los</w:t>
      </w:r>
      <w:r w:rsidR="0092205A" w:rsidRPr="002C2E73">
        <w:rPr>
          <w:rFonts w:ascii="Arial" w:eastAsia="Calibri" w:hAnsi="Arial" w:cs="Arial"/>
          <w:lang w:val="es-ES"/>
        </w:rPr>
        <w:t xml:space="preserve"> </w:t>
      </w:r>
      <w:r w:rsidRPr="002C2E73">
        <w:rPr>
          <w:rFonts w:ascii="Arial" w:eastAsia="Calibri" w:hAnsi="Arial" w:cs="Arial"/>
          <w:lang w:val="es-ES"/>
        </w:rPr>
        <w:t xml:space="preserve">epígrafes </w:t>
      </w:r>
      <w:r w:rsidR="0092205A" w:rsidRPr="002C2E73">
        <w:rPr>
          <w:rFonts w:ascii="Arial" w:eastAsia="Calibri" w:hAnsi="Arial" w:cs="Arial"/>
          <w:lang w:val="es-ES"/>
        </w:rPr>
        <w:t>7.23.1 y 7.23.3</w:t>
      </w:r>
      <w:r w:rsidR="0092205A">
        <w:rPr>
          <w:rFonts w:ascii="Arial" w:eastAsia="Calibri" w:hAnsi="Arial" w:cs="Arial"/>
          <w:lang w:val="es-ES"/>
        </w:rPr>
        <w:t xml:space="preserve"> </w:t>
      </w:r>
      <w:r w:rsidRPr="002C2E73">
        <w:rPr>
          <w:rFonts w:ascii="Arial" w:eastAsia="Calibri" w:hAnsi="Arial" w:cs="Arial"/>
          <w:lang w:val="es-ES"/>
        </w:rPr>
        <w:t>de dicho código.</w:t>
      </w:r>
    </w:p>
    <w:p w14:paraId="58122102" w14:textId="77777777" w:rsidR="0092205A" w:rsidRDefault="0092205A" w:rsidP="002C2E73">
      <w:pPr>
        <w:spacing w:before="120" w:after="120" w:line="240" w:lineRule="auto"/>
        <w:jc w:val="both"/>
        <w:rPr>
          <w:rFonts w:ascii="Arial" w:eastAsia="Calibri" w:hAnsi="Arial" w:cs="Arial"/>
          <w:lang w:val="es-ES"/>
        </w:rPr>
      </w:pPr>
      <w:r>
        <w:rPr>
          <w:rFonts w:ascii="Arial" w:eastAsia="Calibri" w:hAnsi="Arial" w:cs="Arial"/>
          <w:lang w:val="es-ES"/>
        </w:rPr>
        <w:t>En el caso de las s</w:t>
      </w:r>
      <w:r w:rsidR="002C2E73" w:rsidRPr="002C2E73">
        <w:rPr>
          <w:rFonts w:ascii="Arial" w:eastAsia="Calibri" w:hAnsi="Arial" w:cs="Arial"/>
          <w:lang w:val="es-ES"/>
        </w:rPr>
        <w:t xml:space="preserve">oldaduras de filete: </w:t>
      </w:r>
    </w:p>
    <w:p w14:paraId="4A892F1B" w14:textId="43AC3155" w:rsidR="00676BE0"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Las caras de las soldaduras en filete pueden ser levemente convexas, planas o ligeramente cóncavas como se muestra en la</w:t>
      </w:r>
      <w:r w:rsidR="00676BE0">
        <w:rPr>
          <w:rFonts w:ascii="Arial" w:eastAsia="Calibri" w:hAnsi="Arial" w:cs="Arial"/>
          <w:lang w:val="es-ES"/>
        </w:rPr>
        <w:t xml:space="preserve"> </w:t>
      </w:r>
      <w:r w:rsidR="00676BE0" w:rsidRPr="00676BE0">
        <w:rPr>
          <w:rFonts w:ascii="Arial" w:eastAsia="Calibri" w:hAnsi="Arial" w:cs="Arial"/>
          <w:lang w:val="es-ES"/>
        </w:rPr>
        <w:t xml:space="preserve">Figura </w:t>
      </w:r>
      <w:r w:rsidR="000F6CDF">
        <w:rPr>
          <w:rFonts w:ascii="Arial" w:eastAsia="Calibri" w:hAnsi="Arial" w:cs="Arial"/>
          <w:lang w:val="es-ES"/>
        </w:rPr>
        <w:t>3.</w:t>
      </w:r>
    </w:p>
    <w:p w14:paraId="0BE0EF6F" w14:textId="77777777" w:rsidR="0092205A"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 </w:t>
      </w:r>
      <w:r w:rsidR="0092205A">
        <w:rPr>
          <w:rFonts w:ascii="Arial" w:eastAsia="Calibri" w:hAnsi="Arial" w:cs="Arial"/>
          <w:lang w:val="es-ES"/>
        </w:rPr>
        <w:t>En el caso de las s</w:t>
      </w:r>
      <w:r w:rsidRPr="002C2E73">
        <w:rPr>
          <w:rFonts w:ascii="Arial" w:eastAsia="Calibri" w:hAnsi="Arial" w:cs="Arial"/>
          <w:lang w:val="es-ES"/>
        </w:rPr>
        <w:t xml:space="preserve">oldaduras de ranura: </w:t>
      </w:r>
    </w:p>
    <w:p w14:paraId="4F4E39E2" w14:textId="77777777" w:rsidR="005E2C2F" w:rsidRDefault="002C2E73" w:rsidP="002C2E73">
      <w:pPr>
        <w:pStyle w:val="Prrafodelista"/>
        <w:numPr>
          <w:ilvl w:val="0"/>
          <w:numId w:val="6"/>
        </w:numPr>
        <w:tabs>
          <w:tab w:val="left" w:pos="270"/>
        </w:tabs>
        <w:spacing w:before="120" w:after="120" w:line="240" w:lineRule="auto"/>
        <w:ind w:left="0" w:firstLine="0"/>
        <w:jc w:val="both"/>
        <w:rPr>
          <w:rFonts w:ascii="Arial" w:eastAsia="Calibri" w:hAnsi="Arial" w:cs="Arial"/>
          <w:lang w:val="es-ES"/>
        </w:rPr>
      </w:pPr>
      <w:r w:rsidRPr="005E2C2F">
        <w:rPr>
          <w:rFonts w:ascii="Arial" w:eastAsia="Calibri" w:hAnsi="Arial" w:cs="Arial"/>
          <w:lang w:val="es-ES"/>
        </w:rPr>
        <w:t xml:space="preserve">El refuerzo de la soldadura en ranura debe cumplir con tener una transición gradual hacia el plano de las superficies de metal base. </w:t>
      </w:r>
    </w:p>
    <w:p w14:paraId="070F74A9" w14:textId="77777777" w:rsidR="005E2C2F" w:rsidRDefault="005E2C2F" w:rsidP="005E2C2F">
      <w:pPr>
        <w:pStyle w:val="Prrafodelista"/>
        <w:numPr>
          <w:ilvl w:val="0"/>
          <w:numId w:val="6"/>
        </w:numPr>
        <w:tabs>
          <w:tab w:val="left" w:pos="270"/>
        </w:tabs>
        <w:spacing w:before="120" w:after="120" w:line="240" w:lineRule="auto"/>
        <w:ind w:left="0" w:firstLine="0"/>
        <w:jc w:val="both"/>
        <w:rPr>
          <w:rFonts w:ascii="Arial" w:eastAsia="Calibri" w:hAnsi="Arial" w:cs="Arial"/>
          <w:lang w:val="es-ES"/>
        </w:rPr>
      </w:pPr>
      <w:r w:rsidRPr="005E2C2F">
        <w:rPr>
          <w:rFonts w:ascii="Arial" w:eastAsia="Calibri" w:hAnsi="Arial" w:cs="Arial"/>
          <w:lang w:val="es-ES"/>
        </w:rPr>
        <w:t>E</w:t>
      </w:r>
      <w:r w:rsidR="002C2E73" w:rsidRPr="005E2C2F">
        <w:rPr>
          <w:rFonts w:ascii="Arial" w:eastAsia="Calibri" w:hAnsi="Arial" w:cs="Arial"/>
          <w:lang w:val="es-ES"/>
        </w:rPr>
        <w:t xml:space="preserve">l refuerzo de las soldaduras de ranura de juntas en “T” (como en unión rolo-brida en torre) debe cumplir </w:t>
      </w:r>
      <w:r w:rsidRPr="005E2C2F">
        <w:rPr>
          <w:rFonts w:ascii="Arial" w:eastAsia="Calibri" w:hAnsi="Arial" w:cs="Arial"/>
          <w:lang w:val="es-ES"/>
        </w:rPr>
        <w:t xml:space="preserve">con las siguientes condiciones: </w:t>
      </w:r>
      <w:r w:rsidR="002C2E73" w:rsidRPr="002C2E73">
        <w:rPr>
          <w:rFonts w:ascii="Arial" w:eastAsia="Calibri" w:hAnsi="Arial" w:cs="Arial"/>
          <w:lang w:val="es-ES"/>
        </w:rPr>
        <w:t xml:space="preserve">Para espesor de brida de 25 mm se debe cumplir que 0 ≤ R ≤ valor ilimitado y </w:t>
      </w:r>
      <w:proofErr w:type="spellStart"/>
      <w:r w:rsidR="002C2E73" w:rsidRPr="002C2E73">
        <w:rPr>
          <w:rFonts w:ascii="Arial" w:eastAsia="Calibri" w:hAnsi="Arial" w:cs="Arial"/>
          <w:lang w:val="es-ES"/>
        </w:rPr>
        <w:t>Cmáx</w:t>
      </w:r>
      <w:proofErr w:type="spellEnd"/>
      <w:r w:rsidR="002C2E73" w:rsidRPr="002C2E73">
        <w:rPr>
          <w:rFonts w:ascii="Arial" w:eastAsia="Calibri" w:hAnsi="Arial" w:cs="Arial"/>
          <w:lang w:val="es-ES"/>
        </w:rPr>
        <w:t xml:space="preserve"> es 3 </w:t>
      </w:r>
      <w:proofErr w:type="spellStart"/>
      <w:r w:rsidR="002C2E73" w:rsidRPr="002C2E73">
        <w:rPr>
          <w:rFonts w:ascii="Arial" w:eastAsia="Calibri" w:hAnsi="Arial" w:cs="Arial"/>
          <w:lang w:val="es-ES"/>
        </w:rPr>
        <w:t>mm.</w:t>
      </w:r>
      <w:proofErr w:type="spellEnd"/>
    </w:p>
    <w:p w14:paraId="76FB3DE6" w14:textId="77777777" w:rsidR="002C2E73" w:rsidRPr="002C2E73" w:rsidRDefault="002C2E73" w:rsidP="002C2E73">
      <w:pPr>
        <w:spacing w:before="120" w:after="120" w:line="240" w:lineRule="auto"/>
        <w:jc w:val="both"/>
        <w:rPr>
          <w:rFonts w:ascii="Arial" w:eastAsia="Calibri" w:hAnsi="Arial" w:cs="Arial"/>
          <w:lang w:val="es-ES"/>
        </w:rPr>
      </w:pPr>
      <w:bookmarkStart w:id="6" w:name="Tabla3punto1"/>
      <w:r w:rsidRPr="002C2E73">
        <w:rPr>
          <w:rFonts w:ascii="Arial" w:eastAsia="Calibri" w:hAnsi="Arial" w:cs="Arial"/>
          <w:lang w:val="es-ES"/>
        </w:rPr>
        <w:t xml:space="preserve">Tabla 1. </w:t>
      </w:r>
      <w:bookmarkEnd w:id="6"/>
      <w:r w:rsidRPr="002C2E73">
        <w:rPr>
          <w:rFonts w:ascii="Arial" w:eastAsia="Calibri" w:hAnsi="Arial" w:cs="Arial"/>
          <w:lang w:val="es-ES"/>
        </w:rPr>
        <w:t xml:space="preserve">Criterios de aceptación de la inspección visual </w:t>
      </w:r>
      <w:sdt>
        <w:sdtPr>
          <w:rPr>
            <w:rFonts w:ascii="Arial" w:eastAsia="Calibri" w:hAnsi="Arial" w:cs="Arial"/>
            <w:lang w:val="es-ES"/>
          </w:rPr>
          <w:id w:val="285089218"/>
          <w:citation/>
        </w:sdtPr>
        <w:sdtEndPr/>
        <w:sdtContent>
          <w:r w:rsidRPr="002C2E73">
            <w:rPr>
              <w:rFonts w:ascii="Arial" w:eastAsia="Calibri" w:hAnsi="Arial" w:cs="Arial"/>
              <w:lang w:val="es-ES"/>
            </w:rPr>
            <w:fldChar w:fldCharType="begin"/>
          </w:r>
          <w:r w:rsidRPr="002C2E73">
            <w:rPr>
              <w:rFonts w:ascii="Arial" w:eastAsia="Calibri" w:hAnsi="Arial" w:cs="Arial"/>
              <w:lang w:val="es-ES"/>
            </w:rPr>
            <w:instrText xml:space="preserve"> CITATION Ame \l 3082 </w:instrText>
          </w:r>
          <w:r w:rsidRPr="002C2E73">
            <w:rPr>
              <w:rFonts w:ascii="Arial" w:eastAsia="Calibri" w:hAnsi="Arial" w:cs="Arial"/>
              <w:lang w:val="es-ES"/>
            </w:rPr>
            <w:fldChar w:fldCharType="separate"/>
          </w:r>
          <w:r w:rsidRPr="002C2E73">
            <w:rPr>
              <w:rFonts w:ascii="Arial" w:eastAsia="Calibri" w:hAnsi="Arial" w:cs="Arial"/>
              <w:noProof/>
              <w:lang w:val="es-ES"/>
            </w:rPr>
            <w:t>(American Welding Society, 2020)</w:t>
          </w:r>
          <w:r w:rsidRPr="002C2E73">
            <w:rPr>
              <w:rFonts w:ascii="Arial" w:eastAsia="Calibri" w:hAnsi="Arial" w:cs="Arial"/>
              <w:lang w:val="es-ES"/>
            </w:rPr>
            <w:fldChar w:fldCharType="end"/>
          </w:r>
        </w:sdtContent>
      </w:sdt>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20"/>
      </w:tblGrid>
      <w:tr w:rsidR="002C2E73" w:rsidRPr="003F2DF7" w14:paraId="70EDE930" w14:textId="77777777" w:rsidTr="00405A85">
        <w:tc>
          <w:tcPr>
            <w:tcW w:w="10368" w:type="dxa"/>
          </w:tcPr>
          <w:p w14:paraId="1F829DD6"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(1) Prohibición de grietas: No se deberá aceptar grieta alguna, independientemente del tamaño o la ubicación. </w:t>
            </w:r>
          </w:p>
        </w:tc>
      </w:tr>
      <w:tr w:rsidR="002C2E73" w:rsidRPr="003F2DF7" w14:paraId="1897B7A2" w14:textId="77777777" w:rsidTr="00405A85">
        <w:tc>
          <w:tcPr>
            <w:tcW w:w="10368" w:type="dxa"/>
          </w:tcPr>
          <w:p w14:paraId="7217DD75"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(2) Fusión del metal de soldadura/metal base: Deberá existir fusión completa entre las capas adyacentes del metal de soldadura y entre el metal de soldadura y el metal base.</w:t>
            </w:r>
          </w:p>
        </w:tc>
      </w:tr>
      <w:tr w:rsidR="002C2E73" w:rsidRPr="003F2DF7" w14:paraId="5230C2E8" w14:textId="77777777" w:rsidTr="00405A85">
        <w:tc>
          <w:tcPr>
            <w:tcW w:w="10368" w:type="dxa"/>
          </w:tcPr>
          <w:p w14:paraId="0F6C8B82"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(3) Sección transversal del cráter: Se deberá llenar todos los cráteres para proporcionar el tamaño de soldadura especificado.</w:t>
            </w:r>
          </w:p>
        </w:tc>
      </w:tr>
      <w:tr w:rsidR="002C2E73" w:rsidRPr="003F2DF7" w14:paraId="536DE242" w14:textId="77777777" w:rsidTr="00405A85">
        <w:tc>
          <w:tcPr>
            <w:tcW w:w="10368" w:type="dxa"/>
          </w:tcPr>
          <w:p w14:paraId="33B21F77"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(4) Perfiles de soldadura: Los perfiles de soldadura deberán cumplir con 7.23. </w:t>
            </w:r>
          </w:p>
        </w:tc>
      </w:tr>
      <w:tr w:rsidR="002C2E73" w:rsidRPr="003F2DF7" w14:paraId="1443A014" w14:textId="77777777" w:rsidTr="00405A85">
        <w:tc>
          <w:tcPr>
            <w:tcW w:w="10368" w:type="dxa"/>
          </w:tcPr>
          <w:p w14:paraId="398DE980"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(5) Tiempo de inspección: La inspección visual de las soldaduras en todos los aceros puede comenzar inmediatamente después de que se hayan enfriado las soldaduras finalizadas hasta temperatura ambiente. </w:t>
            </w:r>
          </w:p>
        </w:tc>
      </w:tr>
      <w:tr w:rsidR="002C2E73" w:rsidRPr="003F2DF7" w14:paraId="3E42B41E" w14:textId="77777777" w:rsidTr="00405A85">
        <w:tc>
          <w:tcPr>
            <w:tcW w:w="10368" w:type="dxa"/>
          </w:tcPr>
          <w:p w14:paraId="0160EB2C"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(6) Soldaduras de cateto o dimensión inferior a la nominal: El cateto o dimensión de una soldadura de filete en cualquier soldadura continua puede ser inferior al cateto nominal especificado (L) sin corrección en las siguientes cantidades (U):</w:t>
            </w:r>
          </w:p>
          <w:p w14:paraId="7E2AAA88"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                                  </w:t>
            </w:r>
            <w:proofErr w:type="gramStart"/>
            <w:r w:rsidRPr="003F2DF7">
              <w:rPr>
                <w:rFonts w:eastAsia="Calibri" w:cs="Arial"/>
                <w:sz w:val="20"/>
                <w:szCs w:val="20"/>
              </w:rPr>
              <w:t xml:space="preserve">L,   </w:t>
            </w:r>
            <w:proofErr w:type="gramEnd"/>
            <w:r w:rsidRPr="003F2DF7">
              <w:rPr>
                <w:rFonts w:eastAsia="Calibri" w:cs="Arial"/>
                <w:sz w:val="20"/>
                <w:szCs w:val="20"/>
              </w:rPr>
              <w:t xml:space="preserve">                                                                           U,</w:t>
            </w:r>
          </w:p>
          <w:p w14:paraId="45DD2269"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Cateto nominal especificado de la soldadura [mm]            Disminución admisible de L, [mm]</w:t>
            </w:r>
          </w:p>
          <w:p w14:paraId="4F7DF707"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5 mm                                                                                      ≤ 2 mm</w:t>
            </w:r>
          </w:p>
          <w:p w14:paraId="2E7A9C10"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6 mm                                                                                         ≤ 2.5 mm</w:t>
            </w:r>
          </w:p>
          <w:p w14:paraId="30C1E775"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8 mm                                                                                      ≤ 3 mm</w:t>
            </w:r>
          </w:p>
          <w:p w14:paraId="19D93E96"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En todos los casos, la porción de soldadura con cateto menor del nominal no deberá exceder del 10% de la longitud de la soldadura. </w:t>
            </w:r>
          </w:p>
        </w:tc>
      </w:tr>
      <w:tr w:rsidR="002C2E73" w:rsidRPr="003F2DF7" w14:paraId="26151FDA" w14:textId="77777777" w:rsidTr="00405A85">
        <w:tc>
          <w:tcPr>
            <w:tcW w:w="10368" w:type="dxa"/>
          </w:tcPr>
          <w:p w14:paraId="2004C282"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lastRenderedPageBreak/>
              <w:t xml:space="preserve">(7) </w:t>
            </w:r>
            <w:proofErr w:type="spellStart"/>
            <w:r w:rsidRPr="003F2DF7">
              <w:rPr>
                <w:rFonts w:eastAsia="Calibri" w:cs="Arial"/>
                <w:sz w:val="20"/>
                <w:szCs w:val="20"/>
              </w:rPr>
              <w:t>Socavaduras</w:t>
            </w:r>
            <w:proofErr w:type="spellEnd"/>
            <w:r w:rsidRPr="003F2DF7">
              <w:rPr>
                <w:rFonts w:eastAsia="Calibri" w:cs="Arial"/>
                <w:sz w:val="20"/>
                <w:szCs w:val="20"/>
              </w:rPr>
              <w:t xml:space="preserve">: (B) En miembros principales, la </w:t>
            </w:r>
            <w:proofErr w:type="spellStart"/>
            <w:r w:rsidRPr="003F2DF7">
              <w:rPr>
                <w:rFonts w:eastAsia="Calibri" w:cs="Arial"/>
                <w:sz w:val="20"/>
                <w:szCs w:val="20"/>
              </w:rPr>
              <w:t>socavadura</w:t>
            </w:r>
            <w:proofErr w:type="spellEnd"/>
            <w:r w:rsidRPr="003F2DF7">
              <w:rPr>
                <w:rFonts w:eastAsia="Calibri" w:cs="Arial"/>
                <w:sz w:val="20"/>
                <w:szCs w:val="20"/>
              </w:rPr>
              <w:t xml:space="preserve"> no deberá ser mayor de 0,25 mm de profundidad cuando la soldadura es transversal al esfuerzo de tracción en cualquier condición de carga. Aplica a soldaduras de ranura circunferenciales de torres.</w:t>
            </w:r>
          </w:p>
          <w:p w14:paraId="71A6C65F"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La socavación no deberá ser superior a 1 mm de profundidad en ningún caso. Aplica para las soldaduras de torres que no son circunferenciales de ranura.</w:t>
            </w:r>
          </w:p>
        </w:tc>
      </w:tr>
      <w:tr w:rsidR="002C2E73" w:rsidRPr="003F2DF7" w14:paraId="5BAA7300" w14:textId="77777777" w:rsidTr="00405A85">
        <w:tc>
          <w:tcPr>
            <w:tcW w:w="10368" w:type="dxa"/>
          </w:tcPr>
          <w:p w14:paraId="1373B30F"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(8) Porosidad: (B) La frecuencia de la porosidad alargada o de gusano en las soldaduras de filete no deberá exceder de una en cada 100 mm de longitud de soldadura y el diámetro máximo no deberá exceder de 2,5 </w:t>
            </w:r>
            <w:proofErr w:type="spellStart"/>
            <w:r w:rsidRPr="003F2DF7">
              <w:rPr>
                <w:rFonts w:eastAsia="Calibri" w:cs="Arial"/>
                <w:sz w:val="20"/>
                <w:szCs w:val="20"/>
              </w:rPr>
              <w:t>mm.</w:t>
            </w:r>
            <w:proofErr w:type="spellEnd"/>
            <w:r w:rsidRPr="003F2DF7">
              <w:rPr>
                <w:rFonts w:eastAsia="Calibri" w:cs="Arial"/>
                <w:sz w:val="20"/>
                <w:szCs w:val="20"/>
              </w:rPr>
              <w:t xml:space="preserve"> Excepción: en el caso de soldaduras en filete que conectan rigidizadores  o cartabones al ala, la suma de los diámetros de la porosidad de gusano no deberá exceder de 10 mm en cualquier tramo lineal de soldadura de 25 mm de largo y no deberá exceder de 20 mm en cualquier tramo de soldadura de 300 mm de longitud.</w:t>
            </w:r>
          </w:p>
          <w:p w14:paraId="58A8F727"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(C) Las soldaduras en ranura con penetración completa en juntas a tope transversales a la dirección del esfuerzo de tracción calculado (costuras de ranura circunferenciales de torres) no deberán tener porosidad alargada o de gusano. </w:t>
            </w:r>
          </w:p>
          <w:p w14:paraId="651E6F8D" w14:textId="77777777" w:rsidR="002C2E73" w:rsidRPr="003F2DF7" w:rsidRDefault="002C2E73" w:rsidP="00CD0B6C">
            <w:pPr>
              <w:spacing w:before="60" w:after="60"/>
              <w:rPr>
                <w:rFonts w:eastAsia="Calibri" w:cs="Arial"/>
                <w:sz w:val="20"/>
                <w:szCs w:val="20"/>
              </w:rPr>
            </w:pPr>
            <w:r w:rsidRPr="003F2DF7">
              <w:rPr>
                <w:rFonts w:eastAsia="Calibri" w:cs="Arial"/>
                <w:sz w:val="20"/>
                <w:szCs w:val="20"/>
              </w:rPr>
              <w:t xml:space="preserve">En todas las demás soldaduras en ranura la frecuencia de la porosidad alargada no deberá exceder de una en 100 mm de longitud y el diámetro máximo no deberá exceder de 2,5 </w:t>
            </w:r>
            <w:proofErr w:type="spellStart"/>
            <w:r w:rsidRPr="003F2DF7">
              <w:rPr>
                <w:rFonts w:eastAsia="Calibri" w:cs="Arial"/>
                <w:sz w:val="20"/>
                <w:szCs w:val="20"/>
              </w:rPr>
              <w:t>mm.</w:t>
            </w:r>
            <w:proofErr w:type="spellEnd"/>
          </w:p>
        </w:tc>
      </w:tr>
    </w:tbl>
    <w:p w14:paraId="75B79388" w14:textId="77777777" w:rsidR="002C2E73" w:rsidRPr="002C2E73" w:rsidRDefault="002C2E73" w:rsidP="002C2E73">
      <w:pPr>
        <w:spacing w:before="120" w:after="120" w:line="240" w:lineRule="auto"/>
        <w:jc w:val="both"/>
        <w:rPr>
          <w:rFonts w:ascii="Arial" w:eastAsia="Calibri" w:hAnsi="Arial" w:cs="Arial"/>
          <w:lang w:val="es-ES"/>
        </w:rPr>
      </w:pPr>
    </w:p>
    <w:p w14:paraId="1EA3B5E1"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6A38416C" wp14:editId="0B32B4D6">
            <wp:extent cx="4619625" cy="470309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files de soldaduras.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73083" cy="4757515"/>
                    </a:xfrm>
                    <a:prstGeom prst="rect">
                      <a:avLst/>
                    </a:prstGeom>
                  </pic:spPr>
                </pic:pic>
              </a:graphicData>
            </a:graphic>
          </wp:inline>
        </w:drawing>
      </w:r>
    </w:p>
    <w:p w14:paraId="09853AC1" w14:textId="5AECBB56" w:rsidR="00676BE0" w:rsidRPr="002C2E73" w:rsidRDefault="002C2E73" w:rsidP="002C2E73">
      <w:pPr>
        <w:spacing w:before="120" w:after="120" w:line="240" w:lineRule="auto"/>
        <w:jc w:val="both"/>
        <w:rPr>
          <w:rFonts w:ascii="Arial" w:eastAsia="Calibri" w:hAnsi="Arial" w:cs="Arial"/>
          <w:lang w:val="es-ES"/>
        </w:rPr>
      </w:pPr>
      <w:bookmarkStart w:id="7" w:name="Figura4punto1"/>
      <w:r w:rsidRPr="002C2E73">
        <w:rPr>
          <w:rFonts w:ascii="Arial" w:eastAsia="Calibri" w:hAnsi="Arial" w:cs="Arial"/>
          <w:lang w:val="es-ES"/>
        </w:rPr>
        <w:t xml:space="preserve">Figura </w:t>
      </w:r>
      <w:bookmarkEnd w:id="7"/>
      <w:r w:rsidR="000F6CDF">
        <w:rPr>
          <w:rFonts w:ascii="Arial" w:eastAsia="Calibri" w:hAnsi="Arial" w:cs="Arial"/>
          <w:lang w:val="es-ES"/>
        </w:rPr>
        <w:t>3</w:t>
      </w:r>
      <w:r w:rsidRPr="002C2E73">
        <w:rPr>
          <w:rFonts w:ascii="Arial" w:eastAsia="Calibri" w:hAnsi="Arial" w:cs="Arial"/>
          <w:lang w:val="es-ES"/>
        </w:rPr>
        <w:t xml:space="preserve">. Requisitos de perfiles de soldadura, tomado directamente de Figura 7.4 del </w:t>
      </w:r>
      <w:sdt>
        <w:sdtPr>
          <w:rPr>
            <w:rFonts w:ascii="Arial" w:eastAsia="Calibri" w:hAnsi="Arial" w:cs="Arial"/>
            <w:lang w:val="es-ES"/>
          </w:rPr>
          <w:id w:val="2043938008"/>
          <w:citation/>
        </w:sdtPr>
        <w:sdtEndPr/>
        <w:sdtContent>
          <w:r w:rsidRPr="002C2E73">
            <w:rPr>
              <w:rFonts w:ascii="Arial" w:eastAsia="Calibri" w:hAnsi="Arial" w:cs="Arial"/>
              <w:lang w:val="es-ES"/>
            </w:rPr>
            <w:fldChar w:fldCharType="begin"/>
          </w:r>
          <w:r w:rsidRPr="002C2E73">
            <w:rPr>
              <w:rFonts w:ascii="Arial" w:eastAsia="Calibri" w:hAnsi="Arial" w:cs="Arial"/>
              <w:lang w:val="es-ES"/>
            </w:rPr>
            <w:instrText xml:space="preserve">CITATION Ame \l 3082 </w:instrText>
          </w:r>
          <w:r w:rsidRPr="002C2E73">
            <w:rPr>
              <w:rFonts w:ascii="Arial" w:eastAsia="Calibri" w:hAnsi="Arial" w:cs="Arial"/>
              <w:lang w:val="es-ES"/>
            </w:rPr>
            <w:fldChar w:fldCharType="separate"/>
          </w:r>
          <w:r w:rsidRPr="002C2E73">
            <w:rPr>
              <w:rFonts w:ascii="Arial" w:eastAsia="Calibri" w:hAnsi="Arial" w:cs="Arial"/>
              <w:noProof/>
              <w:lang w:val="es-ES"/>
            </w:rPr>
            <w:t>(American Welding Society, 2020)</w:t>
          </w:r>
          <w:r w:rsidRPr="002C2E73">
            <w:rPr>
              <w:rFonts w:ascii="Arial" w:eastAsia="Calibri" w:hAnsi="Arial" w:cs="Arial"/>
              <w:lang w:val="es-ES"/>
            </w:rPr>
            <w:fldChar w:fldCharType="end"/>
          </w:r>
        </w:sdtContent>
      </w:sdt>
      <w:r w:rsidRPr="002C2E73">
        <w:rPr>
          <w:rFonts w:ascii="Arial" w:eastAsia="Calibri" w:hAnsi="Arial" w:cs="Arial"/>
          <w:lang w:val="es-ES"/>
        </w:rPr>
        <w:t>.</w:t>
      </w:r>
    </w:p>
    <w:p w14:paraId="572BB290" w14:textId="77777777" w:rsidR="002C2E73" w:rsidRPr="002C2E73" w:rsidRDefault="002C2E73" w:rsidP="005E2C2F">
      <w:pPr>
        <w:pStyle w:val="Prrafodelista"/>
        <w:keepNext/>
        <w:keepLines/>
        <w:numPr>
          <w:ilvl w:val="1"/>
          <w:numId w:val="5"/>
        </w:numPr>
        <w:tabs>
          <w:tab w:val="left" w:pos="540"/>
        </w:tabs>
        <w:spacing w:before="120" w:after="120" w:line="240" w:lineRule="auto"/>
        <w:ind w:left="0" w:firstLine="0"/>
        <w:jc w:val="both"/>
        <w:outlineLvl w:val="2"/>
        <w:rPr>
          <w:rFonts w:ascii="Arial" w:eastAsia="Times New Roman" w:hAnsi="Arial" w:cs="Arial"/>
          <w:b/>
          <w:bCs/>
          <w:lang w:val="es-ES"/>
        </w:rPr>
      </w:pPr>
      <w:bookmarkStart w:id="8" w:name="_Toc182773174"/>
      <w:r w:rsidRPr="002C2E73">
        <w:rPr>
          <w:rFonts w:ascii="Arial" w:eastAsia="Times New Roman" w:hAnsi="Arial" w:cs="Arial"/>
          <w:b/>
          <w:bCs/>
          <w:lang w:val="es-ES"/>
        </w:rPr>
        <w:t xml:space="preserve">Consideraciones para la inspección ultrasónica </w:t>
      </w:r>
      <w:r w:rsidR="00405A85">
        <w:rPr>
          <w:rFonts w:ascii="Arial" w:eastAsia="Times New Roman" w:hAnsi="Arial" w:cs="Arial"/>
          <w:b/>
          <w:bCs/>
          <w:lang w:val="es-ES"/>
        </w:rPr>
        <w:t xml:space="preserve">y radiográfica </w:t>
      </w:r>
      <w:r w:rsidRPr="002C2E73">
        <w:rPr>
          <w:rFonts w:ascii="Arial" w:eastAsia="Times New Roman" w:hAnsi="Arial" w:cs="Arial"/>
          <w:b/>
          <w:bCs/>
          <w:lang w:val="es-ES"/>
        </w:rPr>
        <w:t xml:space="preserve">de </w:t>
      </w:r>
      <w:r w:rsidR="00405A85">
        <w:rPr>
          <w:rFonts w:ascii="Arial" w:eastAsia="Times New Roman" w:hAnsi="Arial" w:cs="Arial"/>
          <w:b/>
          <w:bCs/>
          <w:lang w:val="es-ES"/>
        </w:rPr>
        <w:t xml:space="preserve">soldaduras </w:t>
      </w:r>
      <w:r w:rsidRPr="002C2E73">
        <w:rPr>
          <w:rFonts w:ascii="Arial" w:eastAsia="Times New Roman" w:hAnsi="Arial" w:cs="Arial"/>
          <w:b/>
          <w:bCs/>
          <w:lang w:val="es-ES"/>
        </w:rPr>
        <w:t>las torres</w:t>
      </w:r>
      <w:bookmarkEnd w:id="8"/>
    </w:p>
    <w:p w14:paraId="426E1DD9" w14:textId="77777777" w:rsidR="002C2E73" w:rsidRPr="002C2E73" w:rsidRDefault="002C2E73" w:rsidP="002C2E73">
      <w:pPr>
        <w:widowControl w:val="0"/>
        <w:tabs>
          <w:tab w:val="left" w:pos="270"/>
        </w:tabs>
        <w:autoSpaceDE w:val="0"/>
        <w:autoSpaceDN w:val="0"/>
        <w:adjustRightInd w:val="0"/>
        <w:spacing w:before="120" w:after="120" w:line="240" w:lineRule="auto"/>
        <w:jc w:val="both"/>
        <w:rPr>
          <w:rFonts w:ascii="Arial" w:eastAsia="Times New Roman" w:hAnsi="Arial" w:cs="Arial"/>
          <w:color w:val="000000"/>
          <w:lang w:val="es-CU" w:eastAsia="es-CU"/>
        </w:rPr>
      </w:pPr>
      <w:r w:rsidRPr="002C2E73">
        <w:rPr>
          <w:rFonts w:ascii="Arial" w:eastAsia="Times New Roman" w:hAnsi="Arial" w:cs="Arial"/>
          <w:color w:val="000000"/>
          <w:lang w:val="es-CU" w:eastAsia="es-CU"/>
        </w:rPr>
        <w:t xml:space="preserve">El método de control ultrasónico es más efectivo para detectar discontinuidades planares, como la falta de fusión o las grietas en las soldaduras, además de ser más económico que el método radiográfico, por lo que se prefiere para el control de calidad interno de estas estructuras. </w:t>
      </w:r>
    </w:p>
    <w:p w14:paraId="157BD804" w14:textId="77777777" w:rsidR="002C2E73" w:rsidRPr="002C2E73" w:rsidRDefault="00405A85" w:rsidP="002C2E73">
      <w:pPr>
        <w:widowControl w:val="0"/>
        <w:tabs>
          <w:tab w:val="left" w:pos="270"/>
        </w:tabs>
        <w:autoSpaceDE w:val="0"/>
        <w:autoSpaceDN w:val="0"/>
        <w:adjustRightInd w:val="0"/>
        <w:spacing w:before="120" w:after="120" w:line="240" w:lineRule="auto"/>
        <w:jc w:val="both"/>
        <w:rPr>
          <w:rFonts w:ascii="Arial" w:eastAsia="Times New Roman" w:hAnsi="Arial" w:cs="Arial"/>
          <w:color w:val="000000"/>
          <w:lang w:val="es-CU" w:eastAsia="es-CU"/>
        </w:rPr>
      </w:pPr>
      <w:r w:rsidRPr="00405A85">
        <w:rPr>
          <w:rFonts w:ascii="Arial" w:eastAsia="Times New Roman" w:hAnsi="Arial" w:cs="Arial"/>
          <w:b/>
          <w:bCs/>
          <w:color w:val="000000"/>
          <w:lang w:val="es-CU" w:eastAsia="es-CU"/>
        </w:rPr>
        <w:t>V</w:t>
      </w:r>
      <w:r w:rsidR="002C2E73" w:rsidRPr="00405A85">
        <w:rPr>
          <w:rFonts w:ascii="Arial" w:eastAsia="Times New Roman" w:hAnsi="Arial" w:cs="Arial"/>
          <w:b/>
          <w:bCs/>
          <w:color w:val="000000"/>
          <w:lang w:val="es-CU" w:eastAsia="es-CU"/>
        </w:rPr>
        <w:t>olumen de control:</w:t>
      </w:r>
      <w:r w:rsidR="002C2E73" w:rsidRPr="00405A85">
        <w:rPr>
          <w:rFonts w:ascii="Arial" w:eastAsia="Times New Roman" w:hAnsi="Arial" w:cs="Arial"/>
          <w:bCs/>
          <w:color w:val="000000"/>
          <w:lang w:val="es-CU" w:eastAsia="es-CU"/>
        </w:rPr>
        <w:t xml:space="preserve"> Se recomienda que se controle el 100 % de las soldaduras circunferenciales y 100 </w:t>
      </w:r>
      <w:r w:rsidR="002C2E73" w:rsidRPr="00405A85">
        <w:rPr>
          <w:rFonts w:ascii="Arial" w:eastAsia="Times New Roman" w:hAnsi="Arial" w:cs="Arial"/>
          <w:bCs/>
          <w:color w:val="000000"/>
          <w:lang w:val="es-CU" w:eastAsia="es-CU"/>
        </w:rPr>
        <w:lastRenderedPageBreak/>
        <w:t>mm en cada extremo de las soldaduras longitudinales de las torres. Se recomienda, además, que se controle aleatoriamente el resto de la longitud de las soldaduras</w:t>
      </w:r>
      <w:r w:rsidR="002C2E73" w:rsidRPr="00405A85">
        <w:rPr>
          <w:rFonts w:ascii="Arial" w:eastAsia="Times New Roman" w:hAnsi="Arial" w:cs="Arial"/>
          <w:color w:val="000000"/>
          <w:lang w:val="es-CU" w:eastAsia="es-CU"/>
        </w:rPr>
        <w:t xml:space="preserve"> </w:t>
      </w:r>
      <w:r w:rsidR="002C2E73" w:rsidRPr="00405A85">
        <w:rPr>
          <w:rFonts w:ascii="Arial" w:eastAsia="Times New Roman" w:hAnsi="Arial" w:cs="Arial"/>
          <w:bCs/>
          <w:color w:val="000000"/>
          <w:lang w:val="es-CU" w:eastAsia="es-CU"/>
        </w:rPr>
        <w:t>longitudinales</w:t>
      </w:r>
      <w:r w:rsidR="002C2E73" w:rsidRPr="002C2E73">
        <w:rPr>
          <w:rFonts w:ascii="Arial" w:eastAsia="Times New Roman" w:hAnsi="Arial" w:cs="Arial"/>
          <w:color w:val="000000"/>
          <w:lang w:val="es-CU" w:eastAsia="es-CU"/>
        </w:rPr>
        <w:t xml:space="preserve"> para evitar que los soldadores del taller se relajen respecto a estas y su calidad. De este control aleatorio reportar rechazos se duplicará el volumen del mismo.</w:t>
      </w:r>
    </w:p>
    <w:p w14:paraId="4B1ABE2F" w14:textId="77777777" w:rsidR="002C2E73" w:rsidRPr="002C2E73" w:rsidRDefault="002C2E73" w:rsidP="002C2E73">
      <w:pPr>
        <w:widowControl w:val="0"/>
        <w:tabs>
          <w:tab w:val="left" w:pos="270"/>
        </w:tabs>
        <w:autoSpaceDE w:val="0"/>
        <w:autoSpaceDN w:val="0"/>
        <w:adjustRightInd w:val="0"/>
        <w:spacing w:before="120" w:after="120" w:line="240" w:lineRule="auto"/>
        <w:jc w:val="both"/>
        <w:rPr>
          <w:rFonts w:ascii="Arial" w:eastAsia="Times New Roman" w:hAnsi="Arial" w:cs="Arial"/>
          <w:color w:val="000000"/>
          <w:lang w:val="es-CU" w:eastAsia="es-CU"/>
        </w:rPr>
      </w:pPr>
      <w:r w:rsidRPr="002C2E73">
        <w:rPr>
          <w:rFonts w:ascii="Arial" w:eastAsia="Times New Roman" w:hAnsi="Arial" w:cs="Arial"/>
          <w:color w:val="000000"/>
          <w:lang w:val="es-CU" w:eastAsia="es-CU"/>
        </w:rPr>
        <w:t xml:space="preserve">Se ha definido por el cliente que el control ultrasónico de las torres se debe realizar por un procedimiento de inspección que garantice que se cumpla con los criterios de rechazo para la inspección radiográfica, según Código AWS D1.1 </w:t>
      </w:r>
      <w:sdt>
        <w:sdtPr>
          <w:rPr>
            <w:rFonts w:ascii="Arial" w:eastAsia="Times New Roman" w:hAnsi="Arial" w:cs="Arial"/>
            <w:color w:val="000000"/>
            <w:lang w:val="es-CU" w:eastAsia="es-CU"/>
          </w:rPr>
          <w:id w:val="549419811"/>
          <w:citation/>
        </w:sdtPr>
        <w:sdtEndPr/>
        <w:sdtContent>
          <w:r w:rsidRPr="002C2E73">
            <w:rPr>
              <w:rFonts w:ascii="Arial" w:eastAsia="Times New Roman" w:hAnsi="Arial" w:cs="Arial"/>
              <w:color w:val="000000"/>
              <w:lang w:val="es-CU" w:eastAsia="es-CU"/>
            </w:rPr>
            <w:fldChar w:fldCharType="begin"/>
          </w:r>
          <w:r w:rsidRPr="002C2E73">
            <w:rPr>
              <w:rFonts w:ascii="Arial" w:eastAsia="Times New Roman" w:hAnsi="Arial" w:cs="Arial"/>
              <w:i/>
              <w:iCs/>
              <w:color w:val="000000"/>
              <w:lang w:val="es-ES" w:eastAsia="es-CU"/>
            </w:rPr>
            <w:instrText xml:space="preserve">CITATION Ame \l 3082 </w:instrText>
          </w:r>
          <w:r w:rsidRPr="002C2E73">
            <w:rPr>
              <w:rFonts w:ascii="Arial" w:eastAsia="Times New Roman" w:hAnsi="Arial" w:cs="Arial"/>
              <w:color w:val="000000"/>
              <w:lang w:val="es-CU" w:eastAsia="es-CU"/>
            </w:rPr>
            <w:fldChar w:fldCharType="separate"/>
          </w:r>
          <w:r w:rsidRPr="002C2E73">
            <w:rPr>
              <w:rFonts w:ascii="Arial" w:eastAsia="Times New Roman" w:hAnsi="Arial" w:cs="Arial"/>
              <w:noProof/>
              <w:color w:val="000000"/>
              <w:lang w:val="es-ES" w:eastAsia="es-CU"/>
            </w:rPr>
            <w:t>(American Welding Society, 2020)</w:t>
          </w:r>
          <w:r w:rsidRPr="002C2E73">
            <w:rPr>
              <w:rFonts w:ascii="Arial" w:eastAsia="Times New Roman" w:hAnsi="Arial" w:cs="Arial"/>
              <w:color w:val="000000"/>
              <w:lang w:val="es-CU" w:eastAsia="es-CU"/>
            </w:rPr>
            <w:fldChar w:fldCharType="end"/>
          </w:r>
        </w:sdtContent>
      </w:sdt>
      <w:r w:rsidRPr="002C2E73">
        <w:rPr>
          <w:rFonts w:ascii="Arial" w:eastAsia="Times New Roman" w:hAnsi="Arial" w:cs="Arial"/>
          <w:color w:val="000000"/>
          <w:lang w:val="es-CU" w:eastAsia="es-CU"/>
        </w:rPr>
        <w:t>, expuesto</w:t>
      </w:r>
      <w:r w:rsidR="00405A85">
        <w:rPr>
          <w:rFonts w:ascii="Arial" w:eastAsia="Times New Roman" w:hAnsi="Arial" w:cs="Arial"/>
          <w:color w:val="000000"/>
          <w:lang w:val="es-CU" w:eastAsia="es-CU"/>
        </w:rPr>
        <w:t xml:space="preserve"> más adelante</w:t>
      </w:r>
      <w:r w:rsidRPr="002C2E73">
        <w:rPr>
          <w:rFonts w:ascii="Arial" w:eastAsia="Times New Roman" w:hAnsi="Arial" w:cs="Arial"/>
          <w:color w:val="000000"/>
          <w:lang w:val="es-CU" w:eastAsia="es-CU"/>
        </w:rPr>
        <w:t xml:space="preserve">. De esta manera se garantiza que los criterios para el control ultrasónico, sean totalmente coincidentes con los criterios de rechazo que se emplearán en el </w:t>
      </w:r>
      <w:proofErr w:type="spellStart"/>
      <w:r w:rsidRPr="002C2E73">
        <w:rPr>
          <w:rFonts w:ascii="Arial" w:eastAsia="Times New Roman" w:hAnsi="Arial" w:cs="Arial"/>
          <w:color w:val="000000"/>
          <w:lang w:val="es-CU" w:eastAsia="es-CU"/>
        </w:rPr>
        <w:t>recontrol</w:t>
      </w:r>
      <w:proofErr w:type="spellEnd"/>
      <w:r w:rsidRPr="002C2E73">
        <w:rPr>
          <w:rFonts w:ascii="Arial" w:eastAsia="Times New Roman" w:hAnsi="Arial" w:cs="Arial"/>
          <w:color w:val="000000"/>
          <w:lang w:val="es-CU" w:eastAsia="es-CU"/>
        </w:rPr>
        <w:t xml:space="preserve"> radiográfico aleatorio que realizará el propio cliente.</w:t>
      </w:r>
    </w:p>
    <w:p w14:paraId="5BFEFBC5" w14:textId="77777777" w:rsidR="002C2E73" w:rsidRPr="002C2E73" w:rsidRDefault="002C2E73" w:rsidP="002C2E73">
      <w:pPr>
        <w:widowControl w:val="0"/>
        <w:tabs>
          <w:tab w:val="left" w:pos="270"/>
        </w:tabs>
        <w:autoSpaceDE w:val="0"/>
        <w:autoSpaceDN w:val="0"/>
        <w:adjustRightInd w:val="0"/>
        <w:spacing w:before="120" w:after="120" w:line="240" w:lineRule="auto"/>
        <w:jc w:val="both"/>
        <w:rPr>
          <w:rFonts w:ascii="Arial" w:eastAsia="Times New Roman" w:hAnsi="Arial" w:cs="Arial"/>
          <w:color w:val="000000"/>
          <w:lang w:val="es-CU" w:eastAsia="es-CU"/>
        </w:rPr>
      </w:pPr>
      <w:r w:rsidRPr="002C2E73">
        <w:rPr>
          <w:rFonts w:ascii="Arial" w:eastAsia="Times New Roman" w:hAnsi="Arial" w:cs="Arial"/>
          <w:color w:val="000000"/>
          <w:lang w:val="es-CU" w:eastAsia="es-CU"/>
        </w:rPr>
        <w:t xml:space="preserve">Previo al inicio de los trabajos de inspección, el especialista en UT de la empresa debe elaborar un procedimiento de inspección ultrasónica que garantice cumplir con los criterios de rechazo del código. La tabla que se expone debajo resume los criterios de rechazo del Código AWS D1.1 </w:t>
      </w:r>
      <w:sdt>
        <w:sdtPr>
          <w:rPr>
            <w:rFonts w:ascii="Arial" w:eastAsia="Times New Roman" w:hAnsi="Arial" w:cs="Arial"/>
            <w:color w:val="000000"/>
            <w:lang w:val="es-CU" w:eastAsia="es-CU"/>
          </w:rPr>
          <w:id w:val="1164503929"/>
          <w:citation/>
        </w:sdtPr>
        <w:sdtEndPr/>
        <w:sdtContent>
          <w:r w:rsidRPr="002C2E73">
            <w:rPr>
              <w:rFonts w:ascii="Arial" w:eastAsia="Times New Roman" w:hAnsi="Arial" w:cs="Arial"/>
              <w:color w:val="000000"/>
              <w:lang w:val="es-CU" w:eastAsia="es-CU"/>
            </w:rPr>
            <w:fldChar w:fldCharType="begin"/>
          </w:r>
          <w:r w:rsidRPr="002C2E73">
            <w:rPr>
              <w:rFonts w:ascii="Arial" w:eastAsia="Times New Roman" w:hAnsi="Arial" w:cs="Arial"/>
              <w:color w:val="000000"/>
              <w:lang w:val="es-ES" w:eastAsia="es-CU"/>
            </w:rPr>
            <w:instrText xml:space="preserve">CITATION Ame \l 3082 </w:instrText>
          </w:r>
          <w:r w:rsidRPr="002C2E73">
            <w:rPr>
              <w:rFonts w:ascii="Arial" w:eastAsia="Times New Roman" w:hAnsi="Arial" w:cs="Arial"/>
              <w:color w:val="000000"/>
              <w:lang w:val="es-CU" w:eastAsia="es-CU"/>
            </w:rPr>
            <w:fldChar w:fldCharType="separate"/>
          </w:r>
          <w:r w:rsidRPr="002C2E73">
            <w:rPr>
              <w:rFonts w:ascii="Arial" w:eastAsia="Times New Roman" w:hAnsi="Arial" w:cs="Arial"/>
              <w:noProof/>
              <w:color w:val="000000"/>
              <w:lang w:val="es-ES" w:eastAsia="es-CU"/>
            </w:rPr>
            <w:t>(American Welding Society, 2020)</w:t>
          </w:r>
          <w:r w:rsidRPr="002C2E73">
            <w:rPr>
              <w:rFonts w:ascii="Arial" w:eastAsia="Times New Roman" w:hAnsi="Arial" w:cs="Arial"/>
              <w:color w:val="000000"/>
              <w:lang w:val="es-CU" w:eastAsia="es-CU"/>
            </w:rPr>
            <w:fldChar w:fldCharType="end"/>
          </w:r>
        </w:sdtContent>
      </w:sdt>
      <w:r w:rsidRPr="002C2E73">
        <w:rPr>
          <w:rFonts w:ascii="Arial" w:eastAsia="Times New Roman" w:hAnsi="Arial" w:cs="Arial"/>
          <w:color w:val="000000"/>
          <w:lang w:val="es-CU" w:eastAsia="es-CU"/>
        </w:rPr>
        <w:t xml:space="preserve"> y fue avalada para su empleo en el control de las torres por especialistas del propio cliente.</w:t>
      </w:r>
    </w:p>
    <w:p w14:paraId="600DA794" w14:textId="77777777" w:rsidR="002C2E73" w:rsidRPr="002C2E73" w:rsidRDefault="002C2E73" w:rsidP="002C2E73">
      <w:pPr>
        <w:widowControl w:val="0"/>
        <w:tabs>
          <w:tab w:val="left" w:pos="270"/>
        </w:tabs>
        <w:autoSpaceDE w:val="0"/>
        <w:autoSpaceDN w:val="0"/>
        <w:adjustRightInd w:val="0"/>
        <w:spacing w:before="120" w:after="120" w:line="240" w:lineRule="auto"/>
        <w:jc w:val="both"/>
        <w:rPr>
          <w:rFonts w:ascii="Arial" w:eastAsia="Times New Roman" w:hAnsi="Arial" w:cs="Arial"/>
          <w:color w:val="000000"/>
          <w:lang w:val="es-CU" w:eastAsia="es-CU"/>
        </w:rPr>
      </w:pPr>
      <w:r w:rsidRPr="002C2E73">
        <w:rPr>
          <w:rFonts w:ascii="Arial" w:eastAsia="Times New Roman" w:hAnsi="Arial" w:cs="Arial"/>
          <w:color w:val="000000"/>
          <w:lang w:val="es-CU" w:eastAsia="es-CU"/>
        </w:rPr>
        <w:t xml:space="preserve">Según epígrafe el Código los ensayos pueden comenzar inmediatamente después de que las soldaduras finalizadas se hayan enfriado a temperatura ambiente, ya que el acero empleado es de baja resistencia. </w:t>
      </w:r>
      <w:r w:rsidR="00405A85">
        <w:rPr>
          <w:rFonts w:ascii="Arial" w:eastAsia="Times New Roman" w:hAnsi="Arial" w:cs="Arial"/>
          <w:color w:val="000000"/>
          <w:lang w:val="es-CU" w:eastAsia="es-CU"/>
        </w:rPr>
        <w:t>Además,</w:t>
      </w:r>
      <w:r w:rsidRPr="002C2E73">
        <w:rPr>
          <w:rFonts w:ascii="Arial" w:eastAsia="Times New Roman" w:hAnsi="Arial" w:cs="Arial"/>
          <w:color w:val="000000"/>
          <w:lang w:val="es-CU" w:eastAsia="es-CU"/>
        </w:rPr>
        <w:t xml:space="preserve"> el personal que realiza en ensayo debe estar calificado como nivel </w:t>
      </w:r>
      <w:r w:rsidR="00405A85">
        <w:rPr>
          <w:rFonts w:ascii="Arial" w:eastAsia="Times New Roman" w:hAnsi="Arial" w:cs="Arial"/>
          <w:color w:val="000000"/>
          <w:lang w:val="es-CU" w:eastAsia="es-CU"/>
        </w:rPr>
        <w:t xml:space="preserve">II, con la alternativa de si es </w:t>
      </w:r>
      <w:r w:rsidRPr="002C2E73">
        <w:rPr>
          <w:rFonts w:ascii="Arial" w:eastAsia="Times New Roman" w:hAnsi="Arial" w:cs="Arial"/>
          <w:color w:val="000000"/>
          <w:lang w:val="es-CU" w:eastAsia="es-CU"/>
        </w:rPr>
        <w:t>nivel I</w:t>
      </w:r>
      <w:r w:rsidR="00405A85">
        <w:rPr>
          <w:rFonts w:ascii="Arial" w:eastAsia="Times New Roman" w:hAnsi="Arial" w:cs="Arial"/>
          <w:color w:val="000000"/>
          <w:lang w:val="es-CU" w:eastAsia="es-CU"/>
        </w:rPr>
        <w:t xml:space="preserve"> trabaje </w:t>
      </w:r>
      <w:r w:rsidRPr="002C2E73">
        <w:rPr>
          <w:rFonts w:ascii="Arial" w:eastAsia="Times New Roman" w:hAnsi="Arial" w:cs="Arial"/>
          <w:color w:val="000000"/>
          <w:lang w:val="es-CU" w:eastAsia="es-CU"/>
        </w:rPr>
        <w:t xml:space="preserve">bajo supervisión de un nivel II, como mínimo. </w:t>
      </w:r>
    </w:p>
    <w:p w14:paraId="06E2D201" w14:textId="77777777" w:rsidR="002C2E73" w:rsidRPr="002C2E73" w:rsidRDefault="002C2E73" w:rsidP="002C2E73">
      <w:pPr>
        <w:keepNext/>
        <w:keepLines/>
        <w:numPr>
          <w:ilvl w:val="3"/>
          <w:numId w:val="0"/>
        </w:numPr>
        <w:spacing w:before="120" w:after="120" w:line="240" w:lineRule="auto"/>
        <w:jc w:val="both"/>
        <w:outlineLvl w:val="3"/>
        <w:rPr>
          <w:rFonts w:ascii="Arial" w:eastAsia="Times New Roman" w:hAnsi="Arial" w:cs="Arial"/>
          <w:b/>
          <w:iCs/>
          <w:noProof/>
          <w:lang w:val="es-ES"/>
        </w:rPr>
      </w:pPr>
      <w:r w:rsidRPr="002C2E73">
        <w:rPr>
          <w:rFonts w:ascii="Arial" w:eastAsia="Times New Roman" w:hAnsi="Arial" w:cs="Arial"/>
          <w:b/>
          <w:iCs/>
          <w:noProof/>
          <w:lang w:val="es-ES"/>
        </w:rPr>
        <w:t>Criterios de aceptación de discontinuidades en</w:t>
      </w:r>
      <w:r w:rsidR="00405A85">
        <w:rPr>
          <w:rFonts w:ascii="Arial" w:eastAsia="Times New Roman" w:hAnsi="Arial" w:cs="Arial"/>
          <w:b/>
          <w:iCs/>
          <w:noProof/>
          <w:lang w:val="es-ES"/>
        </w:rPr>
        <w:t xml:space="preserve"> inspección radiográfica (RT) según el código, </w:t>
      </w:r>
      <w:r w:rsidRPr="002C2E73">
        <w:rPr>
          <w:rFonts w:ascii="Arial" w:eastAsia="Times New Roman" w:hAnsi="Arial" w:cs="Arial"/>
          <w:b/>
          <w:iCs/>
          <w:noProof/>
          <w:lang w:val="es-ES"/>
        </w:rPr>
        <w:t>para estructuras tubulares expuestas a carga estática o cíclica</w:t>
      </w:r>
      <w:r w:rsidR="00405A85">
        <w:rPr>
          <w:rFonts w:ascii="Arial" w:eastAsia="Times New Roman" w:hAnsi="Arial" w:cs="Arial"/>
          <w:b/>
          <w:iCs/>
          <w:noProof/>
          <w:lang w:val="es-ES"/>
        </w:rPr>
        <w:t>:</w:t>
      </w:r>
    </w:p>
    <w:p w14:paraId="469F1FCB" w14:textId="77777777" w:rsidR="002C2E73" w:rsidRPr="002C2E73" w:rsidRDefault="002C2E73" w:rsidP="002C2E73">
      <w:pPr>
        <w:tabs>
          <w:tab w:val="left" w:pos="270"/>
        </w:tabs>
        <w:spacing w:before="120" w:after="120" w:line="240" w:lineRule="auto"/>
        <w:jc w:val="both"/>
        <w:rPr>
          <w:rFonts w:ascii="Arial" w:eastAsia="Calibri" w:hAnsi="Arial" w:cs="Arial"/>
          <w:noProof/>
          <w:lang w:val="es-ES"/>
        </w:rPr>
      </w:pPr>
      <w:r w:rsidRPr="002C2E73">
        <w:rPr>
          <w:rFonts w:ascii="Arial" w:eastAsia="Calibri" w:hAnsi="Arial" w:cs="Arial"/>
          <w:noProof/>
          <w:lang w:val="es-ES"/>
        </w:rPr>
        <w:t xml:space="preserve">Las soldaduras que están sometidas a inspección radiográfica, además de la inspección visual, </w:t>
      </w:r>
      <w:r w:rsidRPr="002C2E73">
        <w:rPr>
          <w:rFonts w:ascii="Arial" w:eastAsia="Calibri" w:hAnsi="Arial" w:cs="Arial"/>
          <w:b/>
          <w:bCs/>
          <w:noProof/>
          <w:lang w:val="es-ES"/>
        </w:rPr>
        <w:t>no deben tener grietas</w:t>
      </w:r>
      <w:r w:rsidRPr="002C2E73">
        <w:rPr>
          <w:rFonts w:ascii="Arial" w:eastAsia="Calibri" w:hAnsi="Arial" w:cs="Arial"/>
          <w:noProof/>
          <w:lang w:val="es-ES"/>
        </w:rPr>
        <w:t xml:space="preserve"> y serán inaceptables si la inspección radiográfica muestra discontinuidades que excedan las siguientes limitaciones: </w:t>
      </w:r>
    </w:p>
    <w:p w14:paraId="619387C2" w14:textId="5EC8433C"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 xml:space="preserve">Las discontinuidades alargadas que excedan el tamaño máximo </w:t>
      </w:r>
      <w:r w:rsidR="00405A85">
        <w:rPr>
          <w:rFonts w:ascii="Arial" w:eastAsia="Calibri" w:hAnsi="Arial" w:cs="Arial"/>
          <w:iCs/>
          <w:noProof/>
          <w:lang w:val="es-CU"/>
        </w:rPr>
        <w:t>admisible por el</w:t>
      </w:r>
      <w:r w:rsidRPr="002C2E73">
        <w:rPr>
          <w:rFonts w:ascii="Arial" w:eastAsia="Calibri" w:hAnsi="Arial" w:cs="Arial"/>
          <w:iCs/>
          <w:noProof/>
          <w:lang w:val="es-CU"/>
        </w:rPr>
        <w:t xml:space="preserve"> código</w:t>
      </w:r>
      <w:r w:rsidR="00405A85">
        <w:rPr>
          <w:rFonts w:ascii="Arial" w:eastAsia="Calibri" w:hAnsi="Arial" w:cs="Arial"/>
          <w:iCs/>
          <w:noProof/>
          <w:lang w:val="es-CU"/>
        </w:rPr>
        <w:t xml:space="preserve"> (</w:t>
      </w:r>
      <w:r w:rsidR="008B5AFF">
        <w:rPr>
          <w:rFonts w:ascii="Arial" w:eastAsia="Calibri" w:hAnsi="Arial" w:cs="Arial"/>
          <w:iCs/>
          <w:noProof/>
          <w:lang w:val="es-CU"/>
        </w:rPr>
        <w:t>F</w:t>
      </w:r>
      <w:r w:rsidR="00405A85">
        <w:rPr>
          <w:rFonts w:ascii="Arial" w:eastAsia="Calibri" w:hAnsi="Arial" w:cs="Arial"/>
          <w:iCs/>
          <w:noProof/>
          <w:lang w:val="es-CU"/>
        </w:rPr>
        <w:t xml:space="preserve">igura </w:t>
      </w:r>
      <w:r w:rsidR="000F6CDF">
        <w:rPr>
          <w:rFonts w:ascii="Arial" w:eastAsia="Calibri" w:hAnsi="Arial" w:cs="Arial"/>
          <w:iCs/>
          <w:noProof/>
          <w:lang w:val="es-CU"/>
        </w:rPr>
        <w:t>4</w:t>
      </w:r>
      <w:r w:rsidR="00405A85">
        <w:rPr>
          <w:rFonts w:ascii="Arial" w:eastAsia="Calibri" w:hAnsi="Arial" w:cs="Arial"/>
          <w:iCs/>
          <w:noProof/>
          <w:lang w:val="es-CU"/>
        </w:rPr>
        <w:t>)</w:t>
      </w:r>
      <w:r w:rsidRPr="002C2E73">
        <w:rPr>
          <w:rFonts w:ascii="Arial" w:eastAsia="Calibri" w:hAnsi="Arial" w:cs="Arial"/>
          <w:iCs/>
          <w:noProof/>
          <w:lang w:val="es-CU"/>
        </w:rPr>
        <w:t>.</w:t>
      </w:r>
    </w:p>
    <w:p w14:paraId="73CC1595" w14:textId="5707BD9A" w:rsidR="002C2E73" w:rsidRPr="002C2E73" w:rsidRDefault="007B5C7E"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Pr>
          <w:rFonts w:ascii="Arial" w:eastAsia="Calibri" w:hAnsi="Arial" w:cs="Arial"/>
          <w:iCs/>
          <w:noProof/>
          <w:lang w:val="es-CU"/>
        </w:rPr>
        <w:t>Las d</w:t>
      </w:r>
      <w:r w:rsidR="002C2E73" w:rsidRPr="002C2E73">
        <w:rPr>
          <w:rFonts w:ascii="Arial" w:eastAsia="Calibri" w:hAnsi="Arial" w:cs="Arial"/>
          <w:iCs/>
          <w:noProof/>
          <w:lang w:val="es-CU"/>
        </w:rPr>
        <w:t xml:space="preserve">iscontinuidades con una separación menor que el espacio mínimo permitido </w:t>
      </w:r>
      <w:r w:rsidR="008B5AFF">
        <w:rPr>
          <w:rFonts w:ascii="Arial" w:eastAsia="Calibri" w:hAnsi="Arial" w:cs="Arial"/>
          <w:iCs/>
          <w:noProof/>
          <w:lang w:val="es-CU"/>
        </w:rPr>
        <w:t>(F</w:t>
      </w:r>
      <w:r>
        <w:rPr>
          <w:rFonts w:ascii="Arial" w:eastAsia="Calibri" w:hAnsi="Arial" w:cs="Arial"/>
          <w:iCs/>
          <w:noProof/>
          <w:lang w:val="es-CU"/>
        </w:rPr>
        <w:t xml:space="preserve">igura </w:t>
      </w:r>
      <w:r w:rsidR="000F6CDF">
        <w:rPr>
          <w:rFonts w:ascii="Arial" w:eastAsia="Calibri" w:hAnsi="Arial" w:cs="Arial"/>
          <w:iCs/>
          <w:noProof/>
          <w:lang w:val="es-CU"/>
        </w:rPr>
        <w:t>4</w:t>
      </w:r>
      <w:r w:rsidR="008B5AFF">
        <w:rPr>
          <w:rFonts w:ascii="Arial" w:eastAsia="Calibri" w:hAnsi="Arial" w:cs="Arial"/>
          <w:iCs/>
          <w:noProof/>
          <w:lang w:val="es-CU"/>
        </w:rPr>
        <w:t>)</w:t>
      </w:r>
      <w:r w:rsidR="002C2E73" w:rsidRPr="002C2E73">
        <w:rPr>
          <w:rFonts w:ascii="Arial" w:eastAsia="Calibri" w:hAnsi="Arial" w:cs="Arial"/>
          <w:iCs/>
          <w:noProof/>
          <w:lang w:val="es-CU"/>
        </w:rPr>
        <w:t>.</w:t>
      </w:r>
    </w:p>
    <w:p w14:paraId="7764FBD9" w14:textId="77777777"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Las discontinuidades redondeadas superiores a un tamaño máximo de S/3, no deben exceder de 1/4 pulg. [6 mm]. La separación mínima de las discontinuidades redondeadas mayores o iguales a 3/32 pulg. [2,5 mm] de una discontinuidad elongada o redondeada aceptable o a un borde o extremo de una soldadura intersectante será tres veces la mayor dimensión de las discontinuidades más grandes que estén siendo consideradas.</w:t>
      </w:r>
    </w:p>
    <w:p w14:paraId="781EA472" w14:textId="0865F9BB"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 xml:space="preserve">En la intersección de una soldadura con otra soldadura o con un borde libre (es decir, un borde más allá del cual no existe extensión de material) las discontinuidades aceptables deben cumplir con las limitaciones de </w:t>
      </w:r>
      <w:r w:rsidR="000F6CDF">
        <w:rPr>
          <w:rFonts w:ascii="Arial" w:eastAsia="Calibri" w:hAnsi="Arial" w:cs="Arial"/>
          <w:iCs/>
          <w:noProof/>
          <w:lang w:val="es-CU"/>
        </w:rPr>
        <w:t>F</w:t>
      </w:r>
      <w:r w:rsidR="007B5C7E">
        <w:rPr>
          <w:rFonts w:ascii="Arial" w:eastAsia="Calibri" w:hAnsi="Arial" w:cs="Arial"/>
          <w:iCs/>
          <w:noProof/>
          <w:lang w:val="es-CU"/>
        </w:rPr>
        <w:t xml:space="preserve">igura </w:t>
      </w:r>
      <w:r w:rsidR="000F6CDF">
        <w:rPr>
          <w:rFonts w:ascii="Arial" w:eastAsia="Calibri" w:hAnsi="Arial" w:cs="Arial"/>
          <w:iCs/>
          <w:noProof/>
          <w:lang w:val="es-CU"/>
        </w:rPr>
        <w:t>4</w:t>
      </w:r>
      <w:r w:rsidRPr="002C2E73">
        <w:rPr>
          <w:rFonts w:ascii="Arial" w:eastAsia="Calibri" w:hAnsi="Arial" w:cs="Arial"/>
          <w:iCs/>
          <w:noProof/>
          <w:lang w:val="es-CU"/>
        </w:rPr>
        <w:t xml:space="preserve">, </w:t>
      </w:r>
      <w:r w:rsidR="007B5C7E">
        <w:rPr>
          <w:rFonts w:ascii="Arial" w:eastAsia="Calibri" w:hAnsi="Arial" w:cs="Arial"/>
          <w:iCs/>
          <w:noProof/>
          <w:lang w:val="es-CU"/>
        </w:rPr>
        <w:t>(</w:t>
      </w:r>
      <w:r w:rsidRPr="002C2E73">
        <w:rPr>
          <w:rFonts w:ascii="Arial" w:eastAsia="Calibri" w:hAnsi="Arial" w:cs="Arial"/>
          <w:iCs/>
          <w:noProof/>
          <w:lang w:val="es-CU"/>
        </w:rPr>
        <w:t>Casos I–IV del código</w:t>
      </w:r>
      <w:r w:rsidR="007B5C7E">
        <w:rPr>
          <w:rFonts w:ascii="Arial" w:eastAsia="Calibri" w:hAnsi="Arial" w:cs="Arial"/>
          <w:iCs/>
          <w:noProof/>
          <w:lang w:val="es-CU"/>
        </w:rPr>
        <w:t>)</w:t>
      </w:r>
      <w:r w:rsidRPr="002C2E73">
        <w:rPr>
          <w:rFonts w:ascii="Arial" w:eastAsia="Calibri" w:hAnsi="Arial" w:cs="Arial"/>
          <w:iCs/>
          <w:noProof/>
          <w:lang w:val="es-CU"/>
        </w:rPr>
        <w:t>.</w:t>
      </w:r>
    </w:p>
    <w:p w14:paraId="4A97A9EA" w14:textId="77777777"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Las discontinuidades aisladas tales como un grupo de indicaciones redondeadas, cuando la suma de sus dimensiones mayores supere el tamaño máximo de discontinuidad permitido en el codigo. La separación mínima hasta otra discontinuidad agrupada, alargada o redondeada o hasta un borde o extremo de una soldadura intersectante deberá ser tres veces mayor que la dimensión de mayor longitud de las discontinuidades que estén siendo consideradas.</w:t>
      </w:r>
    </w:p>
    <w:p w14:paraId="375E63A1" w14:textId="77777777"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La suma de las discontinuidades individuales, cada una con una dimensión mayor de menos de 3/32 pulg. [2,5 mm] no debe exceder de 2S/3 o 3/8 pulg. [10 mm], la que sea menor, en cualquier tramo lineal de 1 pulg. [25 mm] de soldadura. Este requisito es independiente de (1), (2) y (3), citados anteriormente.</w:t>
      </w:r>
    </w:p>
    <w:p w14:paraId="3B20E75D" w14:textId="77777777" w:rsidR="002C2E73" w:rsidRPr="002C2E73" w:rsidRDefault="002C2E73" w:rsidP="002C2E73">
      <w:pPr>
        <w:numPr>
          <w:ilvl w:val="0"/>
          <w:numId w:val="2"/>
        </w:numPr>
        <w:tabs>
          <w:tab w:val="left" w:pos="270"/>
        </w:tabs>
        <w:spacing w:before="120" w:after="120" w:line="240" w:lineRule="auto"/>
        <w:contextualSpacing/>
        <w:jc w:val="both"/>
        <w:rPr>
          <w:rFonts w:ascii="Arial" w:eastAsia="Calibri" w:hAnsi="Arial" w:cs="Arial"/>
          <w:iCs/>
          <w:noProof/>
          <w:lang w:val="es-CU"/>
        </w:rPr>
      </w:pPr>
      <w:r w:rsidRPr="002C2E73">
        <w:rPr>
          <w:rFonts w:ascii="Arial" w:eastAsia="Calibri" w:hAnsi="Arial" w:cs="Arial"/>
          <w:iCs/>
          <w:noProof/>
          <w:lang w:val="es-CU"/>
        </w:rPr>
        <w:t>Discontinuidades en línea, en las que la suma de las dimensiones más grandes sea mayor que S en cualquier tramo de 6S de longitud. Cuando la longitud de la soldadura examinada sea inferior a 6S, la suma admisible de las dimensiones más grandes debe ser proporcionalmente inferior.</w:t>
      </w:r>
    </w:p>
    <w:p w14:paraId="7858A662"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br w:type="page"/>
      </w:r>
    </w:p>
    <w:p w14:paraId="7BF4085E"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lastRenderedPageBreak/>
        <w:drawing>
          <wp:inline distT="0" distB="0" distL="0" distR="0" wp14:anchorId="33503F19" wp14:editId="5111FAB9">
            <wp:extent cx="5098135" cy="33709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mograma.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10459" cy="3379129"/>
                    </a:xfrm>
                    <a:prstGeom prst="rect">
                      <a:avLst/>
                    </a:prstGeom>
                  </pic:spPr>
                </pic:pic>
              </a:graphicData>
            </a:graphic>
          </wp:inline>
        </w:drawing>
      </w:r>
    </w:p>
    <w:p w14:paraId="5BF1E745"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6F4C09EA" wp14:editId="01BAF217">
            <wp:extent cx="5102530" cy="2429462"/>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iniciones del nomograma.jp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16906" cy="2436307"/>
                    </a:xfrm>
                    <a:prstGeom prst="rect">
                      <a:avLst/>
                    </a:prstGeom>
                  </pic:spPr>
                </pic:pic>
              </a:graphicData>
            </a:graphic>
          </wp:inline>
        </w:drawing>
      </w:r>
    </w:p>
    <w:p w14:paraId="6A423C46" w14:textId="77777777" w:rsidR="002C2E73" w:rsidRPr="002C2E73" w:rsidRDefault="002C2E73" w:rsidP="002C2E73">
      <w:pPr>
        <w:spacing w:before="120" w:after="120" w:line="240" w:lineRule="auto"/>
        <w:jc w:val="both"/>
        <w:rPr>
          <w:rFonts w:ascii="Arial" w:eastAsia="Calibri" w:hAnsi="Arial" w:cs="Arial"/>
          <w:noProof/>
          <w:lang w:val="es-ES"/>
        </w:rPr>
      </w:pPr>
    </w:p>
    <w:p w14:paraId="0A0F2D17" w14:textId="11F1D1B1" w:rsidR="007B5C7E" w:rsidRPr="002C2E73" w:rsidRDefault="007B5C7E" w:rsidP="007B5C7E">
      <w:pPr>
        <w:spacing w:before="120" w:after="120" w:line="240" w:lineRule="auto"/>
        <w:jc w:val="both"/>
        <w:rPr>
          <w:rFonts w:ascii="Arial" w:eastAsia="Calibri" w:hAnsi="Arial" w:cs="Arial"/>
          <w:noProof/>
          <w:lang w:val="es-ES"/>
        </w:rPr>
      </w:pPr>
      <w:r>
        <w:rPr>
          <w:rFonts w:ascii="Arial" w:eastAsia="Calibri" w:hAnsi="Arial" w:cs="Arial"/>
          <w:noProof/>
          <w:lang w:val="es-ES"/>
        </w:rPr>
        <w:t xml:space="preserve">Figura </w:t>
      </w:r>
      <w:r w:rsidR="000F6CDF">
        <w:rPr>
          <w:rFonts w:ascii="Arial" w:eastAsia="Calibri" w:hAnsi="Arial" w:cs="Arial"/>
          <w:noProof/>
          <w:lang w:val="es-ES"/>
        </w:rPr>
        <w:t>4</w:t>
      </w:r>
      <w:r w:rsidR="002C2E73" w:rsidRPr="002C2E73">
        <w:rPr>
          <w:rFonts w:ascii="Arial" w:eastAsia="Calibri" w:hAnsi="Arial" w:cs="Arial"/>
          <w:noProof/>
          <w:lang w:val="es-ES"/>
        </w:rPr>
        <w:t>. Criterio de aceptacion de discontinuidades para conecciones tubulares sometidas a carga estática o cíclica (Figura 8.1 del Código AWS D1.1-2020)</w:t>
      </w:r>
      <w:sdt>
        <w:sdtPr>
          <w:rPr>
            <w:rFonts w:ascii="Arial" w:eastAsia="Calibri" w:hAnsi="Arial" w:cs="Arial"/>
            <w:noProof/>
            <w:lang w:val="es-ES"/>
          </w:rPr>
          <w:id w:val="-350485727"/>
          <w:citation/>
        </w:sdtPr>
        <w:sdtEndPr/>
        <w:sdtContent>
          <w:r w:rsidR="002C2E73" w:rsidRPr="002C2E73">
            <w:rPr>
              <w:rFonts w:ascii="Arial" w:eastAsia="Calibri" w:hAnsi="Arial" w:cs="Arial"/>
              <w:noProof/>
              <w:lang w:val="es-ES"/>
            </w:rPr>
            <w:fldChar w:fldCharType="begin"/>
          </w:r>
          <w:r w:rsidR="002C2E73" w:rsidRPr="002C2E73">
            <w:rPr>
              <w:rFonts w:ascii="Arial" w:eastAsia="Calibri" w:hAnsi="Arial" w:cs="Arial"/>
              <w:noProof/>
            </w:rPr>
            <w:instrText xml:space="preserve"> CITATION Ame \l 21514 </w:instrText>
          </w:r>
          <w:r w:rsidR="002C2E73" w:rsidRPr="002C2E73">
            <w:rPr>
              <w:rFonts w:ascii="Arial" w:eastAsia="Calibri" w:hAnsi="Arial" w:cs="Arial"/>
              <w:noProof/>
              <w:lang w:val="es-ES"/>
            </w:rPr>
            <w:fldChar w:fldCharType="separate"/>
          </w:r>
          <w:r w:rsidR="002C2E73" w:rsidRPr="002C2E73">
            <w:rPr>
              <w:rFonts w:ascii="Arial" w:eastAsia="Calibri" w:hAnsi="Arial" w:cs="Arial"/>
              <w:noProof/>
            </w:rPr>
            <w:t xml:space="preserve"> (American Welding Society, 2020)</w:t>
          </w:r>
          <w:r w:rsidR="002C2E73" w:rsidRPr="002C2E73">
            <w:rPr>
              <w:rFonts w:ascii="Arial" w:eastAsia="Calibri" w:hAnsi="Arial" w:cs="Arial"/>
              <w:noProof/>
              <w:lang w:val="es-ES"/>
            </w:rPr>
            <w:fldChar w:fldCharType="end"/>
          </w:r>
        </w:sdtContent>
      </w:sdt>
      <w:r w:rsidR="002C2E73" w:rsidRPr="002C2E73">
        <w:rPr>
          <w:rFonts w:ascii="Arial" w:eastAsia="Calibri" w:hAnsi="Arial" w:cs="Arial"/>
          <w:noProof/>
          <w:lang w:val="es-ES"/>
        </w:rPr>
        <w:t>.</w:t>
      </w:r>
      <w:r w:rsidRPr="007B5C7E">
        <w:rPr>
          <w:rFonts w:ascii="Arial" w:eastAsia="Calibri" w:hAnsi="Arial" w:cs="Arial"/>
          <w:noProof/>
          <w:lang w:val="es-ES"/>
        </w:rPr>
        <w:t xml:space="preserve"> </w:t>
      </w:r>
      <w:r>
        <w:rPr>
          <w:rFonts w:ascii="Arial" w:eastAsia="Calibri" w:hAnsi="Arial" w:cs="Arial"/>
          <w:noProof/>
          <w:lang w:val="es-ES"/>
        </w:rPr>
        <w:t xml:space="preserve">(Nota: </w:t>
      </w:r>
      <w:r w:rsidRPr="002C2E73">
        <w:rPr>
          <w:rFonts w:ascii="Arial" w:eastAsia="Calibri" w:hAnsi="Arial" w:cs="Arial"/>
          <w:noProof/>
          <w:lang w:val="es-ES"/>
        </w:rPr>
        <w:t>Este pie de figura de la versión en español de la norma tiene un error de traducción ya que realmente lo que dice el original en inglés es que aplica a estructuras tubulares sometidas a cargas estática o cíclica.</w:t>
      </w:r>
      <w:r>
        <w:rPr>
          <w:rFonts w:ascii="Arial" w:eastAsia="Calibri" w:hAnsi="Arial" w:cs="Arial"/>
          <w:noProof/>
          <w:lang w:val="es-ES"/>
        </w:rPr>
        <w:t>)</w:t>
      </w:r>
    </w:p>
    <w:p w14:paraId="03416ECD" w14:textId="77777777" w:rsidR="002C2E73" w:rsidRPr="002C2E73" w:rsidRDefault="002C2E73" w:rsidP="002C2E73">
      <w:pPr>
        <w:spacing w:before="120" w:after="120" w:line="240" w:lineRule="auto"/>
        <w:jc w:val="both"/>
        <w:rPr>
          <w:rFonts w:ascii="Arial" w:eastAsia="Calibri" w:hAnsi="Arial" w:cs="Arial"/>
          <w:noProof/>
          <w:lang w:val="es-ES"/>
        </w:rPr>
      </w:pPr>
    </w:p>
    <w:p w14:paraId="00445EBB" w14:textId="77777777" w:rsidR="002C2E73" w:rsidRPr="002C2E73" w:rsidRDefault="002C2E73" w:rsidP="002C2E73">
      <w:pPr>
        <w:spacing w:before="120" w:after="120" w:line="240" w:lineRule="auto"/>
        <w:jc w:val="both"/>
        <w:rPr>
          <w:rFonts w:ascii="Arial" w:eastAsia="Calibri" w:hAnsi="Arial" w:cs="Arial"/>
          <w:b/>
          <w:bCs/>
          <w:lang w:val="es-ES"/>
        </w:rPr>
      </w:pPr>
      <w:r w:rsidRPr="002C2E73">
        <w:rPr>
          <w:rFonts w:ascii="Arial" w:eastAsia="Calibri" w:hAnsi="Arial" w:cs="Arial"/>
          <w:b/>
          <w:bCs/>
          <w:lang w:val="es-ES"/>
        </w:rPr>
        <w:t>Admisibilidad de discontinuidades para soldaduras que se cortan perpendicularmente (casos I y III en figura 8.1</w:t>
      </w:r>
      <w:r w:rsidR="007B5C7E">
        <w:rPr>
          <w:rFonts w:ascii="Arial" w:eastAsia="Calibri" w:hAnsi="Arial" w:cs="Arial"/>
          <w:b/>
          <w:bCs/>
          <w:lang w:val="es-ES"/>
        </w:rPr>
        <w:t xml:space="preserve"> del código</w:t>
      </w:r>
      <w:r w:rsidRPr="002C2E73">
        <w:rPr>
          <w:rFonts w:ascii="Arial" w:eastAsia="Calibri" w:hAnsi="Arial" w:cs="Arial"/>
          <w:b/>
          <w:bCs/>
          <w:lang w:val="es-ES"/>
        </w:rPr>
        <w:t>):</w:t>
      </w:r>
    </w:p>
    <w:p w14:paraId="59F2DE83"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En</w:t>
      </w:r>
      <w:r w:rsidR="007B5C7E">
        <w:rPr>
          <w:rFonts w:ascii="Arial" w:eastAsia="Calibri" w:hAnsi="Arial" w:cs="Arial"/>
          <w:lang w:val="es-ES"/>
        </w:rPr>
        <w:t xml:space="preserve"> el caso de </w:t>
      </w:r>
      <w:r w:rsidRPr="002C2E73">
        <w:rPr>
          <w:rFonts w:ascii="Arial" w:eastAsia="Calibri" w:hAnsi="Arial" w:cs="Arial"/>
          <w:lang w:val="es-ES"/>
        </w:rPr>
        <w:t>las torres sería la intersección de soldadura longitudinal, que se debe considerar como “A”, con la circunferencial, que se debe considerar como “B”.</w:t>
      </w:r>
    </w:p>
    <w:p w14:paraId="554F295D" w14:textId="77777777" w:rsidR="002C2E73" w:rsidRPr="002C2E73" w:rsidRDefault="002C2E73" w:rsidP="002C2E73">
      <w:pPr>
        <w:spacing w:before="120" w:after="120" w:line="240" w:lineRule="auto"/>
        <w:jc w:val="both"/>
        <w:rPr>
          <w:rFonts w:ascii="Arial" w:eastAsia="Calibri" w:hAnsi="Arial" w:cs="Arial"/>
          <w:lang w:val="es-ES"/>
        </w:rPr>
      </w:pPr>
    </w:p>
    <w:p w14:paraId="58F2C64D"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lastRenderedPageBreak/>
        <w:drawing>
          <wp:inline distT="0" distB="0" distL="0" distR="0" wp14:anchorId="57D1252A" wp14:editId="0228D2C1">
            <wp:extent cx="4550676" cy="2794406"/>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 interseccion sold en T.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56649" cy="2798074"/>
                    </a:xfrm>
                    <a:prstGeom prst="rect">
                      <a:avLst/>
                    </a:prstGeom>
                  </pic:spPr>
                </pic:pic>
              </a:graphicData>
            </a:graphic>
          </wp:inline>
        </w:drawing>
      </w:r>
    </w:p>
    <w:p w14:paraId="74AE58ED" w14:textId="7B06D9B6" w:rsidR="002C2E73" w:rsidRDefault="000A2EC6" w:rsidP="002C2E73">
      <w:pPr>
        <w:spacing w:before="120" w:after="120" w:line="240" w:lineRule="auto"/>
        <w:jc w:val="both"/>
        <w:rPr>
          <w:rFonts w:ascii="Arial" w:eastAsia="Calibri" w:hAnsi="Arial" w:cs="Arial"/>
          <w:noProof/>
          <w:lang w:val="es-ES"/>
        </w:rPr>
      </w:pPr>
      <w:r>
        <w:rPr>
          <w:rFonts w:ascii="Arial" w:eastAsia="Calibri" w:hAnsi="Arial" w:cs="Arial"/>
          <w:noProof/>
          <w:lang w:val="es-ES"/>
        </w:rPr>
        <w:t xml:space="preserve">Figura </w:t>
      </w:r>
      <w:r w:rsidR="005F4555">
        <w:rPr>
          <w:rFonts w:ascii="Arial" w:eastAsia="Calibri" w:hAnsi="Arial" w:cs="Arial"/>
          <w:noProof/>
          <w:lang w:val="es-ES"/>
        </w:rPr>
        <w:t>5</w:t>
      </w:r>
      <w:r w:rsidR="002C2E73" w:rsidRPr="002C2E73">
        <w:rPr>
          <w:rFonts w:ascii="Arial" w:eastAsia="Calibri" w:hAnsi="Arial" w:cs="Arial"/>
          <w:noProof/>
          <w:lang w:val="es-ES"/>
        </w:rPr>
        <w:t>. Criterio de aceptación de discontinuidades para conecciones tubulares sometidas a carga estática o cíclica (continuación de Figura 4.2</w:t>
      </w:r>
      <w:r w:rsidR="00663544">
        <w:rPr>
          <w:rFonts w:ascii="Arial" w:eastAsia="Calibri" w:hAnsi="Arial" w:cs="Arial"/>
          <w:noProof/>
          <w:lang w:val="es-ES"/>
        </w:rPr>
        <w:t xml:space="preserve"> </w:t>
      </w:r>
      <w:r w:rsidR="002C2E73" w:rsidRPr="002C2E73">
        <w:rPr>
          <w:rFonts w:ascii="Arial" w:eastAsia="Calibri" w:hAnsi="Arial" w:cs="Arial"/>
          <w:noProof/>
          <w:lang w:val="es-ES"/>
        </w:rPr>
        <w:t>del Código)</w:t>
      </w:r>
      <w:sdt>
        <w:sdtPr>
          <w:rPr>
            <w:rFonts w:ascii="Arial" w:eastAsia="Calibri" w:hAnsi="Arial" w:cs="Arial"/>
            <w:noProof/>
            <w:lang w:val="es-ES"/>
          </w:rPr>
          <w:id w:val="-565725906"/>
          <w:citation/>
        </w:sdtPr>
        <w:sdtEndPr/>
        <w:sdtContent>
          <w:r w:rsidR="002C2E73" w:rsidRPr="002C2E73">
            <w:rPr>
              <w:rFonts w:ascii="Arial" w:eastAsia="Calibri" w:hAnsi="Arial" w:cs="Arial"/>
              <w:noProof/>
              <w:lang w:val="es-ES"/>
            </w:rPr>
            <w:fldChar w:fldCharType="begin"/>
          </w:r>
          <w:r w:rsidR="002C2E73" w:rsidRPr="002C2E73">
            <w:rPr>
              <w:rFonts w:ascii="Arial" w:eastAsia="Calibri" w:hAnsi="Arial" w:cs="Arial"/>
              <w:noProof/>
            </w:rPr>
            <w:instrText xml:space="preserve"> CITATION Ame \l 21514 </w:instrText>
          </w:r>
          <w:r w:rsidR="002C2E73" w:rsidRPr="002C2E73">
            <w:rPr>
              <w:rFonts w:ascii="Arial" w:eastAsia="Calibri" w:hAnsi="Arial" w:cs="Arial"/>
              <w:noProof/>
              <w:lang w:val="es-ES"/>
            </w:rPr>
            <w:fldChar w:fldCharType="separate"/>
          </w:r>
          <w:r w:rsidR="002C2E73" w:rsidRPr="002C2E73">
            <w:rPr>
              <w:rFonts w:ascii="Arial" w:eastAsia="Calibri" w:hAnsi="Arial" w:cs="Arial"/>
              <w:noProof/>
            </w:rPr>
            <w:t xml:space="preserve"> (American Welding Society, 2020)</w:t>
          </w:r>
          <w:r w:rsidR="002C2E73" w:rsidRPr="002C2E73">
            <w:rPr>
              <w:rFonts w:ascii="Arial" w:eastAsia="Calibri" w:hAnsi="Arial" w:cs="Arial"/>
              <w:noProof/>
              <w:lang w:val="es-ES"/>
            </w:rPr>
            <w:fldChar w:fldCharType="end"/>
          </w:r>
        </w:sdtContent>
      </w:sdt>
      <w:r w:rsidR="002C2E73" w:rsidRPr="002C2E73">
        <w:rPr>
          <w:rFonts w:ascii="Arial" w:eastAsia="Calibri" w:hAnsi="Arial" w:cs="Arial"/>
          <w:noProof/>
          <w:lang w:val="es-ES"/>
        </w:rPr>
        <w:t>.</w:t>
      </w:r>
    </w:p>
    <w:p w14:paraId="5F967DF2" w14:textId="77777777" w:rsidR="007B5C7E" w:rsidRPr="007B5C7E" w:rsidRDefault="007B5C7E" w:rsidP="007B5C7E">
      <w:pPr>
        <w:spacing w:before="120" w:after="120" w:line="240" w:lineRule="auto"/>
        <w:jc w:val="both"/>
        <w:rPr>
          <w:rFonts w:ascii="Arial" w:eastAsia="Calibri" w:hAnsi="Arial" w:cs="Arial"/>
          <w:noProof/>
          <w:lang w:val="es-ES"/>
        </w:rPr>
      </w:pPr>
      <w:r>
        <w:rPr>
          <w:rFonts w:ascii="Arial" w:eastAsia="Calibri" w:hAnsi="Arial" w:cs="Arial"/>
          <w:noProof/>
          <w:lang w:val="es-ES"/>
        </w:rPr>
        <w:t>Basado en el código, e</w:t>
      </w:r>
      <w:r w:rsidRPr="007B5C7E">
        <w:rPr>
          <w:rFonts w:ascii="Arial" w:eastAsia="Calibri" w:hAnsi="Arial" w:cs="Arial"/>
          <w:noProof/>
          <w:lang w:val="es-ES"/>
        </w:rPr>
        <w:t xml:space="preserve">n el caso de las torres se debe cumplir que (casos I y III): </w:t>
      </w:r>
    </w:p>
    <w:p w14:paraId="2B6AA4E0" w14:textId="77777777" w:rsidR="007B5C7E" w:rsidRPr="007B5C7E" w:rsidRDefault="007B5C7E" w:rsidP="007B5C7E">
      <w:pPr>
        <w:pStyle w:val="Prrafodelista"/>
        <w:numPr>
          <w:ilvl w:val="0"/>
          <w:numId w:val="7"/>
        </w:numPr>
        <w:spacing w:before="120" w:after="120" w:line="240" w:lineRule="auto"/>
        <w:jc w:val="both"/>
        <w:rPr>
          <w:rFonts w:ascii="Arial" w:eastAsia="Calibri" w:hAnsi="Arial" w:cs="Arial"/>
          <w:noProof/>
          <w:lang w:val="es-ES"/>
        </w:rPr>
      </w:pPr>
      <w:r w:rsidRPr="007B5C7E">
        <w:rPr>
          <w:rFonts w:ascii="Arial" w:eastAsia="Calibri" w:hAnsi="Arial" w:cs="Arial"/>
          <w:noProof/>
          <w:lang w:val="es-ES"/>
        </w:rPr>
        <w:t>L&lt;S/3, ≤6mm y C1≥3L, para dos discontinuidades redondeadas o una redondeada y otra alargada, ó L≤S/3 y C1&gt;3L o 2S, lo que sea mayor, para dos discontinuidades alargadas.</w:t>
      </w:r>
    </w:p>
    <w:p w14:paraId="3543F7CC" w14:textId="77777777" w:rsidR="007B5C7E" w:rsidRPr="007B5C7E" w:rsidRDefault="007B5C7E" w:rsidP="007B5C7E">
      <w:pPr>
        <w:pStyle w:val="Prrafodelista"/>
        <w:numPr>
          <w:ilvl w:val="0"/>
          <w:numId w:val="7"/>
        </w:numPr>
        <w:spacing w:before="120" w:after="120" w:line="240" w:lineRule="auto"/>
        <w:jc w:val="both"/>
        <w:rPr>
          <w:rFonts w:ascii="Arial" w:eastAsia="Calibri" w:hAnsi="Arial" w:cs="Arial"/>
          <w:noProof/>
          <w:lang w:val="es-ES"/>
        </w:rPr>
      </w:pPr>
      <w:r w:rsidRPr="007B5C7E">
        <w:rPr>
          <w:rFonts w:ascii="Arial" w:eastAsia="Calibri" w:hAnsi="Arial" w:cs="Arial"/>
          <w:noProof/>
          <w:lang w:val="es-ES"/>
        </w:rPr>
        <w:t>En ambos casos la separación mínima C1 aplica para L≥2.5mm.</w:t>
      </w:r>
    </w:p>
    <w:p w14:paraId="0B861F76" w14:textId="77777777" w:rsidR="002C2E73" w:rsidRPr="002C2E73" w:rsidRDefault="002C2E73" w:rsidP="002C2E73">
      <w:pPr>
        <w:spacing w:before="120" w:after="120" w:line="240" w:lineRule="auto"/>
        <w:jc w:val="center"/>
        <w:rPr>
          <w:rFonts w:ascii="Arial" w:eastAsia="Calibri" w:hAnsi="Arial" w:cs="Arial"/>
          <w:lang w:val="es-ES"/>
        </w:rPr>
      </w:pPr>
    </w:p>
    <w:p w14:paraId="337196E2" w14:textId="77777777" w:rsidR="002C2E73" w:rsidRPr="002C2E73" w:rsidRDefault="002C2E73" w:rsidP="002C2E73">
      <w:pPr>
        <w:spacing w:before="120" w:after="120" w:line="240" w:lineRule="auto"/>
        <w:jc w:val="both"/>
        <w:rPr>
          <w:rFonts w:ascii="Arial" w:eastAsia="Calibri" w:hAnsi="Arial" w:cs="Arial"/>
          <w:b/>
          <w:bCs/>
          <w:lang w:val="es-ES"/>
        </w:rPr>
      </w:pPr>
      <w:r w:rsidRPr="002C2E73">
        <w:rPr>
          <w:rFonts w:ascii="Arial" w:eastAsia="Calibri" w:hAnsi="Arial" w:cs="Arial"/>
          <w:b/>
          <w:bCs/>
          <w:lang w:val="es-ES"/>
        </w:rPr>
        <w:t>Admisibilidad de discontinuidades para soldaduras que limitan con un borde libre (casos II y IV en figura 8.1 del código):</w:t>
      </w:r>
    </w:p>
    <w:p w14:paraId="27B62B9A"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3DE7BBD1" wp14:editId="195AFA93">
            <wp:extent cx="4880661" cy="14520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 interseccion sold con borde libre.jp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6656" cy="1453815"/>
                    </a:xfrm>
                    <a:prstGeom prst="rect">
                      <a:avLst/>
                    </a:prstGeom>
                  </pic:spPr>
                </pic:pic>
              </a:graphicData>
            </a:graphic>
          </wp:inline>
        </w:drawing>
      </w:r>
    </w:p>
    <w:p w14:paraId="12B38213" w14:textId="00E7A836" w:rsidR="002C2E73" w:rsidRPr="002C2E73" w:rsidRDefault="007B5C7E" w:rsidP="002C2E73">
      <w:pPr>
        <w:spacing w:before="120" w:after="120" w:line="240" w:lineRule="auto"/>
        <w:jc w:val="both"/>
        <w:rPr>
          <w:rFonts w:ascii="Arial" w:eastAsia="Calibri" w:hAnsi="Arial" w:cs="Arial"/>
          <w:noProof/>
          <w:lang w:val="es-ES"/>
        </w:rPr>
      </w:pPr>
      <w:r>
        <w:rPr>
          <w:rFonts w:ascii="Arial" w:eastAsia="Calibri" w:hAnsi="Arial" w:cs="Arial"/>
          <w:noProof/>
          <w:lang w:val="es-ES"/>
        </w:rPr>
        <w:t xml:space="preserve">Figura </w:t>
      </w:r>
      <w:r w:rsidR="005F4555">
        <w:rPr>
          <w:rFonts w:ascii="Arial" w:eastAsia="Calibri" w:hAnsi="Arial" w:cs="Arial"/>
          <w:noProof/>
          <w:lang w:val="es-ES"/>
        </w:rPr>
        <w:t>6</w:t>
      </w:r>
      <w:r w:rsidR="002C2E73" w:rsidRPr="002C2E73">
        <w:rPr>
          <w:rFonts w:ascii="Arial" w:eastAsia="Calibri" w:hAnsi="Arial" w:cs="Arial"/>
          <w:noProof/>
          <w:lang w:val="es-ES"/>
        </w:rPr>
        <w:t>. Criterio de aceptacion de discontinuidades para conecciones tubulares sometidas a carga estatica o ciclica (continuación de Figura 4.2 y 4.3 del Código)</w:t>
      </w:r>
      <w:sdt>
        <w:sdtPr>
          <w:rPr>
            <w:rFonts w:ascii="Arial" w:eastAsia="Calibri" w:hAnsi="Arial" w:cs="Arial"/>
            <w:noProof/>
            <w:lang w:val="es-ES"/>
          </w:rPr>
          <w:id w:val="-483621858"/>
          <w:citation/>
        </w:sdtPr>
        <w:sdtEndPr/>
        <w:sdtContent>
          <w:r w:rsidR="002C2E73" w:rsidRPr="002C2E73">
            <w:rPr>
              <w:rFonts w:ascii="Arial" w:eastAsia="Calibri" w:hAnsi="Arial" w:cs="Arial"/>
              <w:noProof/>
              <w:lang w:val="es-ES"/>
            </w:rPr>
            <w:fldChar w:fldCharType="begin"/>
          </w:r>
          <w:r w:rsidR="002C2E73" w:rsidRPr="002C2E73">
            <w:rPr>
              <w:rFonts w:ascii="Arial" w:eastAsia="Calibri" w:hAnsi="Arial" w:cs="Arial"/>
              <w:noProof/>
            </w:rPr>
            <w:instrText xml:space="preserve"> CITATION Ame \l 21514 </w:instrText>
          </w:r>
          <w:r w:rsidR="002C2E73" w:rsidRPr="002C2E73">
            <w:rPr>
              <w:rFonts w:ascii="Arial" w:eastAsia="Calibri" w:hAnsi="Arial" w:cs="Arial"/>
              <w:noProof/>
              <w:lang w:val="es-ES"/>
            </w:rPr>
            <w:fldChar w:fldCharType="separate"/>
          </w:r>
          <w:r w:rsidR="002C2E73" w:rsidRPr="002C2E73">
            <w:rPr>
              <w:rFonts w:ascii="Arial" w:eastAsia="Calibri" w:hAnsi="Arial" w:cs="Arial"/>
              <w:noProof/>
            </w:rPr>
            <w:t xml:space="preserve"> (American Welding Society, 2020)</w:t>
          </w:r>
          <w:r w:rsidR="002C2E73" w:rsidRPr="002C2E73">
            <w:rPr>
              <w:rFonts w:ascii="Arial" w:eastAsia="Calibri" w:hAnsi="Arial" w:cs="Arial"/>
              <w:noProof/>
              <w:lang w:val="es-ES"/>
            </w:rPr>
            <w:fldChar w:fldCharType="end"/>
          </w:r>
        </w:sdtContent>
      </w:sdt>
      <w:r w:rsidR="002C2E73" w:rsidRPr="002C2E73">
        <w:rPr>
          <w:rFonts w:ascii="Arial" w:eastAsia="Calibri" w:hAnsi="Arial" w:cs="Arial"/>
          <w:noProof/>
          <w:lang w:val="es-ES"/>
        </w:rPr>
        <w:t>.</w:t>
      </w:r>
    </w:p>
    <w:p w14:paraId="0B91BF30" w14:textId="77777777" w:rsidR="007B5C7E" w:rsidRPr="007B5C7E" w:rsidRDefault="007B5C7E" w:rsidP="007B5C7E">
      <w:pPr>
        <w:spacing w:before="120" w:after="120" w:line="240" w:lineRule="auto"/>
        <w:jc w:val="both"/>
        <w:rPr>
          <w:rFonts w:ascii="Arial" w:eastAsia="Calibri" w:hAnsi="Arial" w:cs="Arial"/>
          <w:bCs/>
          <w:lang w:val="es-ES"/>
        </w:rPr>
      </w:pPr>
      <w:r w:rsidRPr="007B5C7E">
        <w:rPr>
          <w:rFonts w:ascii="Arial" w:eastAsia="Calibri" w:hAnsi="Arial" w:cs="Arial"/>
          <w:bCs/>
          <w:lang w:val="es-ES"/>
        </w:rPr>
        <w:t xml:space="preserve">En el caso de las torres se debe cumplir que (casos II y IV): </w:t>
      </w:r>
    </w:p>
    <w:p w14:paraId="71605553" w14:textId="77777777" w:rsidR="007B5C7E" w:rsidRPr="007B5C7E" w:rsidRDefault="007B5C7E" w:rsidP="007B5C7E">
      <w:pPr>
        <w:pStyle w:val="Prrafodelista"/>
        <w:numPr>
          <w:ilvl w:val="0"/>
          <w:numId w:val="8"/>
        </w:numPr>
        <w:spacing w:before="120" w:after="120" w:line="240" w:lineRule="auto"/>
        <w:jc w:val="both"/>
        <w:rPr>
          <w:rFonts w:ascii="Arial" w:eastAsia="Calibri" w:hAnsi="Arial" w:cs="Arial"/>
          <w:bCs/>
          <w:lang w:val="es-ES"/>
        </w:rPr>
      </w:pPr>
      <w:r w:rsidRPr="007B5C7E">
        <w:rPr>
          <w:rFonts w:ascii="Arial" w:eastAsia="Calibri" w:hAnsi="Arial" w:cs="Arial"/>
          <w:bCs/>
          <w:lang w:val="es-ES"/>
        </w:rPr>
        <w:t>L&lt;S/3, ≤6mm y C1≥3L, para discontinuidad redondeada, o</w:t>
      </w:r>
    </w:p>
    <w:p w14:paraId="17B63688" w14:textId="77777777" w:rsidR="007B5C7E" w:rsidRPr="007B5C7E" w:rsidRDefault="007B5C7E" w:rsidP="007B5C7E">
      <w:pPr>
        <w:pStyle w:val="Prrafodelista"/>
        <w:numPr>
          <w:ilvl w:val="0"/>
          <w:numId w:val="8"/>
        </w:numPr>
        <w:spacing w:before="120" w:after="120" w:line="240" w:lineRule="auto"/>
        <w:jc w:val="both"/>
        <w:rPr>
          <w:rFonts w:ascii="Arial" w:eastAsia="Calibri" w:hAnsi="Arial" w:cs="Arial"/>
          <w:bCs/>
          <w:lang w:val="es-ES"/>
        </w:rPr>
      </w:pPr>
      <w:r w:rsidRPr="007B5C7E">
        <w:rPr>
          <w:rFonts w:ascii="Arial" w:eastAsia="Calibri" w:hAnsi="Arial" w:cs="Arial"/>
          <w:bCs/>
          <w:lang w:val="es-ES"/>
        </w:rPr>
        <w:t>L≤S/3 y C1&gt;3L o 2S, lo que sea mayor, para discontinuidad alargada.</w:t>
      </w:r>
    </w:p>
    <w:p w14:paraId="4456D01B" w14:textId="77777777" w:rsidR="007B5C7E" w:rsidRPr="007B5C7E" w:rsidRDefault="007B5C7E" w:rsidP="007B5C7E">
      <w:pPr>
        <w:pStyle w:val="Prrafodelista"/>
        <w:numPr>
          <w:ilvl w:val="0"/>
          <w:numId w:val="8"/>
        </w:numPr>
        <w:spacing w:before="120" w:after="120" w:line="240" w:lineRule="auto"/>
        <w:jc w:val="both"/>
        <w:rPr>
          <w:rFonts w:ascii="Arial" w:eastAsia="Calibri" w:hAnsi="Arial" w:cs="Arial"/>
          <w:bCs/>
          <w:lang w:val="es-ES"/>
        </w:rPr>
      </w:pPr>
      <w:r w:rsidRPr="007B5C7E">
        <w:rPr>
          <w:rFonts w:ascii="Arial" w:eastAsia="Calibri" w:hAnsi="Arial" w:cs="Arial"/>
          <w:bCs/>
          <w:lang w:val="es-ES"/>
        </w:rPr>
        <w:t>En ambos casos la separación mínima C1 aplica para L≥2.5mm.</w:t>
      </w:r>
    </w:p>
    <w:p w14:paraId="517A6756" w14:textId="77777777" w:rsidR="002C2E73" w:rsidRPr="002C2E73" w:rsidRDefault="002C2E73" w:rsidP="002C2E73">
      <w:pPr>
        <w:spacing w:before="120" w:after="120" w:line="240" w:lineRule="auto"/>
        <w:jc w:val="both"/>
        <w:rPr>
          <w:rFonts w:ascii="Arial" w:eastAsia="Calibri" w:hAnsi="Arial" w:cs="Arial"/>
          <w:lang w:val="es-ES"/>
        </w:rPr>
      </w:pPr>
    </w:p>
    <w:p w14:paraId="5FDB2BAD"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Tolo lo anterior, acerca de los criterios de rechazo en inspección radiográfica, expuesta en epígrafe 8.12.1 y Figura 8.1 del Código para estructuras tubulares expuestas a carga estática o cíclica, se resume en la tabla</w:t>
      </w:r>
      <w:r w:rsidR="007B5C7E">
        <w:rPr>
          <w:rFonts w:ascii="Arial" w:eastAsia="Calibri" w:hAnsi="Arial" w:cs="Arial"/>
          <w:lang w:val="es-ES"/>
        </w:rPr>
        <w:t xml:space="preserve"> 2</w:t>
      </w:r>
      <w:r w:rsidRPr="002C2E73">
        <w:rPr>
          <w:rFonts w:ascii="Arial" w:eastAsia="Calibri" w:hAnsi="Arial" w:cs="Arial"/>
          <w:lang w:val="es-ES"/>
        </w:rPr>
        <w:t>, para los espesores de pared presentes en las torres eléctricas.</w:t>
      </w:r>
    </w:p>
    <w:p w14:paraId="4308CF2C" w14:textId="77777777" w:rsidR="00390F48" w:rsidRDefault="00390F48">
      <w:pPr>
        <w:rPr>
          <w:rFonts w:ascii="Arial" w:eastAsia="Calibri" w:hAnsi="Arial" w:cs="Arial"/>
          <w:lang w:val="es-ES"/>
        </w:rPr>
      </w:pPr>
      <w:r>
        <w:rPr>
          <w:rFonts w:ascii="Arial" w:eastAsia="Calibri" w:hAnsi="Arial" w:cs="Arial"/>
          <w:lang w:val="es-ES"/>
        </w:rPr>
        <w:br w:type="page"/>
      </w:r>
    </w:p>
    <w:p w14:paraId="76277917" w14:textId="5840A50D" w:rsidR="002C2E73" w:rsidRPr="002C2E73" w:rsidRDefault="007B5C7E" w:rsidP="002C2E73">
      <w:pPr>
        <w:spacing w:before="120" w:after="120" w:line="240" w:lineRule="auto"/>
        <w:jc w:val="both"/>
        <w:rPr>
          <w:rFonts w:ascii="Arial" w:eastAsia="Calibri" w:hAnsi="Arial" w:cs="Arial"/>
          <w:lang w:val="es-ES"/>
        </w:rPr>
      </w:pPr>
      <w:r>
        <w:rPr>
          <w:rFonts w:ascii="Arial" w:eastAsia="Calibri" w:hAnsi="Arial" w:cs="Arial"/>
          <w:lang w:val="es-ES"/>
        </w:rPr>
        <w:lastRenderedPageBreak/>
        <w:t xml:space="preserve">Tabla </w:t>
      </w:r>
      <w:r w:rsidR="002C2E73" w:rsidRPr="002C2E73">
        <w:rPr>
          <w:rFonts w:ascii="Arial" w:eastAsia="Calibri" w:hAnsi="Arial" w:cs="Arial"/>
          <w:lang w:val="es-ES"/>
        </w:rPr>
        <w:t>2. Admisibilidad de discontinuidades internas en la inspección ultrasónica y radiográfica.</w:t>
      </w:r>
    </w:p>
    <w:tbl>
      <w:tblPr>
        <w:tblStyle w:val="Tablaconcuadrcula"/>
        <w:tblW w:w="0" w:type="auto"/>
        <w:jc w:val="center"/>
        <w:tblLook w:val="04A0" w:firstRow="1" w:lastRow="0" w:firstColumn="1" w:lastColumn="0" w:noHBand="0" w:noVBand="1"/>
      </w:tblPr>
      <w:tblGrid>
        <w:gridCol w:w="3091"/>
        <w:gridCol w:w="902"/>
        <w:gridCol w:w="902"/>
        <w:gridCol w:w="2061"/>
        <w:gridCol w:w="676"/>
        <w:gridCol w:w="270"/>
        <w:gridCol w:w="427"/>
        <w:gridCol w:w="364"/>
        <w:gridCol w:w="488"/>
        <w:gridCol w:w="285"/>
        <w:gridCol w:w="220"/>
        <w:gridCol w:w="618"/>
      </w:tblGrid>
      <w:tr w:rsidR="002C2E73" w:rsidRPr="003F2DF7" w14:paraId="52ABBC6D" w14:textId="77777777" w:rsidTr="00192D8F">
        <w:trPr>
          <w:jc w:val="center"/>
        </w:trPr>
        <w:tc>
          <w:tcPr>
            <w:tcW w:w="0" w:type="auto"/>
            <w:gridSpan w:val="12"/>
            <w:tcBorders>
              <w:top w:val="single" w:sz="18" w:space="0" w:color="000000" w:themeColor="text1"/>
              <w:left w:val="single" w:sz="18" w:space="0" w:color="000000" w:themeColor="text1"/>
              <w:right w:val="single" w:sz="18" w:space="0" w:color="000000" w:themeColor="text1"/>
            </w:tcBorders>
          </w:tcPr>
          <w:p w14:paraId="635D611D"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RESULTA INADMISIBLE EN INSPECCIÓN RADIOGRÁFICA DE TORRES ELECTRICAS</w:t>
            </w:r>
          </w:p>
          <w:p w14:paraId="106375D2"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(dimensiones en “mm”)</w:t>
            </w:r>
          </w:p>
        </w:tc>
      </w:tr>
      <w:tr w:rsidR="002C2E73" w:rsidRPr="003F2DF7" w14:paraId="595A35CE" w14:textId="77777777" w:rsidTr="00192D8F">
        <w:trPr>
          <w:jc w:val="center"/>
        </w:trPr>
        <w:tc>
          <w:tcPr>
            <w:tcW w:w="0" w:type="auto"/>
            <w:gridSpan w:val="4"/>
            <w:vMerge w:val="restart"/>
            <w:tcBorders>
              <w:top w:val="single" w:sz="18" w:space="0" w:color="000000" w:themeColor="text1"/>
              <w:left w:val="single" w:sz="18" w:space="0" w:color="000000" w:themeColor="text1"/>
            </w:tcBorders>
            <w:vAlign w:val="center"/>
          </w:tcPr>
          <w:p w14:paraId="216871D9"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Tipo de discontinuidad y condición</w:t>
            </w:r>
          </w:p>
        </w:tc>
        <w:tc>
          <w:tcPr>
            <w:tcW w:w="0" w:type="auto"/>
            <w:gridSpan w:val="8"/>
            <w:tcBorders>
              <w:top w:val="single" w:sz="18" w:space="0" w:color="000000" w:themeColor="text1"/>
              <w:right w:val="single" w:sz="18" w:space="0" w:color="000000" w:themeColor="text1"/>
            </w:tcBorders>
            <w:vAlign w:val="center"/>
          </w:tcPr>
          <w:p w14:paraId="3EE459E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Espesor de pared de torres</w:t>
            </w:r>
          </w:p>
        </w:tc>
      </w:tr>
      <w:tr w:rsidR="002C2E73" w:rsidRPr="003F2DF7" w14:paraId="71F7B4E1" w14:textId="77777777" w:rsidTr="00192D8F">
        <w:trPr>
          <w:jc w:val="center"/>
        </w:trPr>
        <w:tc>
          <w:tcPr>
            <w:tcW w:w="0" w:type="auto"/>
            <w:gridSpan w:val="4"/>
            <w:vMerge/>
            <w:tcBorders>
              <w:left w:val="single" w:sz="18" w:space="0" w:color="000000" w:themeColor="text1"/>
              <w:bottom w:val="single" w:sz="18" w:space="0" w:color="000000" w:themeColor="text1"/>
            </w:tcBorders>
          </w:tcPr>
          <w:p w14:paraId="74CF0AD5" w14:textId="77777777" w:rsidR="002C2E73" w:rsidRPr="003F2DF7" w:rsidRDefault="002C2E73" w:rsidP="002C2E73">
            <w:pPr>
              <w:spacing w:before="120" w:after="120"/>
              <w:jc w:val="center"/>
              <w:rPr>
                <w:rFonts w:eastAsia="Calibri" w:cs="Arial"/>
                <w:sz w:val="20"/>
                <w:szCs w:val="20"/>
              </w:rPr>
            </w:pPr>
          </w:p>
        </w:tc>
        <w:tc>
          <w:tcPr>
            <w:tcW w:w="0" w:type="auto"/>
            <w:tcBorders>
              <w:bottom w:val="single" w:sz="18" w:space="0" w:color="000000" w:themeColor="text1"/>
            </w:tcBorders>
            <w:vAlign w:val="center"/>
          </w:tcPr>
          <w:p w14:paraId="45DF75E7"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12</w:t>
            </w:r>
          </w:p>
        </w:tc>
        <w:tc>
          <w:tcPr>
            <w:tcW w:w="0" w:type="auto"/>
            <w:gridSpan w:val="2"/>
            <w:tcBorders>
              <w:bottom w:val="single" w:sz="18" w:space="0" w:color="000000" w:themeColor="text1"/>
            </w:tcBorders>
            <w:vAlign w:val="center"/>
          </w:tcPr>
          <w:p w14:paraId="28BB07BF"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10</w:t>
            </w:r>
          </w:p>
        </w:tc>
        <w:tc>
          <w:tcPr>
            <w:tcW w:w="0" w:type="auto"/>
            <w:gridSpan w:val="2"/>
            <w:tcBorders>
              <w:bottom w:val="single" w:sz="18" w:space="0" w:color="000000" w:themeColor="text1"/>
            </w:tcBorders>
            <w:vAlign w:val="center"/>
          </w:tcPr>
          <w:p w14:paraId="2A24E249"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8</w:t>
            </w:r>
          </w:p>
        </w:tc>
        <w:tc>
          <w:tcPr>
            <w:tcW w:w="0" w:type="auto"/>
            <w:gridSpan w:val="2"/>
            <w:tcBorders>
              <w:bottom w:val="single" w:sz="18" w:space="0" w:color="000000" w:themeColor="text1"/>
            </w:tcBorders>
            <w:vAlign w:val="center"/>
          </w:tcPr>
          <w:p w14:paraId="6409D153"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w:t>
            </w:r>
          </w:p>
        </w:tc>
        <w:tc>
          <w:tcPr>
            <w:tcW w:w="0" w:type="auto"/>
            <w:tcBorders>
              <w:bottom w:val="single" w:sz="18" w:space="0" w:color="000000" w:themeColor="text1"/>
              <w:right w:val="single" w:sz="18" w:space="0" w:color="000000" w:themeColor="text1"/>
            </w:tcBorders>
            <w:vAlign w:val="center"/>
          </w:tcPr>
          <w:p w14:paraId="67B04FF1"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w:t>
            </w:r>
          </w:p>
        </w:tc>
      </w:tr>
      <w:tr w:rsidR="002C2E73" w:rsidRPr="003F2DF7" w14:paraId="3798C986" w14:textId="77777777" w:rsidTr="003F2DF7">
        <w:trPr>
          <w:trHeight w:val="765"/>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46E2FDE5"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alargadas que exceden la dimensión siguiente:</w:t>
            </w:r>
          </w:p>
        </w:tc>
        <w:tc>
          <w:tcPr>
            <w:tcW w:w="0" w:type="auto"/>
            <w:gridSpan w:val="2"/>
            <w:tcBorders>
              <w:top w:val="single" w:sz="18" w:space="0" w:color="000000" w:themeColor="text1"/>
              <w:bottom w:val="single" w:sz="18" w:space="0" w:color="000000" w:themeColor="text1"/>
            </w:tcBorders>
          </w:tcPr>
          <w:p w14:paraId="0D33123C"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2076" w:dyaOrig="2184" w14:anchorId="3CAA0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36.55pt" o:ole="">
                  <v:imagedata r:id="rId19" o:title=""/>
                </v:shape>
                <o:OLEObject Type="Embed" ProgID="PBrush" ShapeID="_x0000_i1025" DrawAspect="Content" ObjectID="_1819525121" r:id="rId20"/>
              </w:object>
            </w:r>
          </w:p>
        </w:tc>
        <w:tc>
          <w:tcPr>
            <w:tcW w:w="0" w:type="auto"/>
            <w:tcBorders>
              <w:top w:val="single" w:sz="18" w:space="0" w:color="000000" w:themeColor="text1"/>
              <w:bottom w:val="single" w:sz="18" w:space="0" w:color="000000" w:themeColor="text1"/>
            </w:tcBorders>
            <w:vAlign w:val="center"/>
          </w:tcPr>
          <w:p w14:paraId="7B4F4BA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9</w:t>
            </w:r>
          </w:p>
        </w:tc>
        <w:tc>
          <w:tcPr>
            <w:tcW w:w="0" w:type="auto"/>
            <w:gridSpan w:val="2"/>
            <w:tcBorders>
              <w:top w:val="single" w:sz="18" w:space="0" w:color="000000" w:themeColor="text1"/>
              <w:bottom w:val="single" w:sz="18" w:space="0" w:color="000000" w:themeColor="text1"/>
            </w:tcBorders>
            <w:vAlign w:val="center"/>
          </w:tcPr>
          <w:p w14:paraId="2C1741C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w:t>
            </w:r>
          </w:p>
        </w:tc>
        <w:tc>
          <w:tcPr>
            <w:tcW w:w="0" w:type="auto"/>
            <w:gridSpan w:val="2"/>
            <w:tcBorders>
              <w:top w:val="single" w:sz="18" w:space="0" w:color="000000" w:themeColor="text1"/>
              <w:bottom w:val="single" w:sz="18" w:space="0" w:color="000000" w:themeColor="text1"/>
            </w:tcBorders>
            <w:vAlign w:val="center"/>
          </w:tcPr>
          <w:p w14:paraId="13435AF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w:t>
            </w:r>
          </w:p>
        </w:tc>
        <w:tc>
          <w:tcPr>
            <w:tcW w:w="0" w:type="auto"/>
            <w:gridSpan w:val="2"/>
            <w:tcBorders>
              <w:top w:val="single" w:sz="18" w:space="0" w:color="000000" w:themeColor="text1"/>
              <w:bottom w:val="single" w:sz="18" w:space="0" w:color="000000" w:themeColor="text1"/>
            </w:tcBorders>
            <w:vAlign w:val="center"/>
          </w:tcPr>
          <w:p w14:paraId="1A05903F"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4</w:t>
            </w:r>
          </w:p>
        </w:tc>
        <w:tc>
          <w:tcPr>
            <w:tcW w:w="0" w:type="auto"/>
            <w:tcBorders>
              <w:top w:val="single" w:sz="18" w:space="0" w:color="000000" w:themeColor="text1"/>
              <w:bottom w:val="single" w:sz="18" w:space="0" w:color="000000" w:themeColor="text1"/>
              <w:right w:val="single" w:sz="18" w:space="0" w:color="000000" w:themeColor="text1"/>
            </w:tcBorders>
            <w:vAlign w:val="center"/>
          </w:tcPr>
          <w:p w14:paraId="627B848C"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w:t>
            </w:r>
          </w:p>
        </w:tc>
      </w:tr>
      <w:tr w:rsidR="002C2E73" w:rsidRPr="003F2DF7" w14:paraId="1D070DAE" w14:textId="77777777" w:rsidTr="00192D8F">
        <w:trPr>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7B77EB46"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de dimensión mayor o igual a 2,5 mm, con una separación entre ellas inferior a:</w:t>
            </w:r>
          </w:p>
        </w:tc>
        <w:tc>
          <w:tcPr>
            <w:tcW w:w="0" w:type="auto"/>
            <w:gridSpan w:val="2"/>
            <w:tcBorders>
              <w:top w:val="single" w:sz="18" w:space="0" w:color="000000" w:themeColor="text1"/>
              <w:bottom w:val="single" w:sz="18" w:space="0" w:color="000000" w:themeColor="text1"/>
            </w:tcBorders>
          </w:tcPr>
          <w:p w14:paraId="3CC57154"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3720" w:dyaOrig="1824" w14:anchorId="62D8EFEA">
                <v:shape id="_x0000_i1026" type="#_x0000_t75" style="width:59.1pt;height:29pt" o:ole="">
                  <v:imagedata r:id="rId21" o:title=""/>
                </v:shape>
                <o:OLEObject Type="Embed" ProgID="PBrush" ShapeID="_x0000_i1026" DrawAspect="Content" ObjectID="_1819525122" r:id="rId22"/>
              </w:object>
            </w:r>
          </w:p>
        </w:tc>
        <w:tc>
          <w:tcPr>
            <w:tcW w:w="0" w:type="auto"/>
            <w:tcBorders>
              <w:top w:val="single" w:sz="18" w:space="0" w:color="000000" w:themeColor="text1"/>
              <w:bottom w:val="single" w:sz="18" w:space="0" w:color="000000" w:themeColor="text1"/>
            </w:tcBorders>
            <w:vAlign w:val="center"/>
          </w:tcPr>
          <w:p w14:paraId="7D996EE4"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25</w:t>
            </w:r>
          </w:p>
        </w:tc>
        <w:tc>
          <w:tcPr>
            <w:tcW w:w="0" w:type="auto"/>
            <w:gridSpan w:val="2"/>
            <w:tcBorders>
              <w:top w:val="single" w:sz="18" w:space="0" w:color="000000" w:themeColor="text1"/>
              <w:bottom w:val="single" w:sz="18" w:space="0" w:color="000000" w:themeColor="text1"/>
            </w:tcBorders>
            <w:vAlign w:val="center"/>
          </w:tcPr>
          <w:p w14:paraId="024016B2"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20</w:t>
            </w:r>
          </w:p>
        </w:tc>
        <w:tc>
          <w:tcPr>
            <w:tcW w:w="0" w:type="auto"/>
            <w:gridSpan w:val="2"/>
            <w:tcBorders>
              <w:top w:val="single" w:sz="18" w:space="0" w:color="000000" w:themeColor="text1"/>
              <w:bottom w:val="single" w:sz="18" w:space="0" w:color="000000" w:themeColor="text1"/>
            </w:tcBorders>
            <w:vAlign w:val="center"/>
          </w:tcPr>
          <w:p w14:paraId="6FB3537F"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17</w:t>
            </w:r>
          </w:p>
        </w:tc>
        <w:tc>
          <w:tcPr>
            <w:tcW w:w="0" w:type="auto"/>
            <w:gridSpan w:val="2"/>
            <w:tcBorders>
              <w:top w:val="single" w:sz="18" w:space="0" w:color="000000" w:themeColor="text1"/>
              <w:bottom w:val="single" w:sz="18" w:space="0" w:color="000000" w:themeColor="text1"/>
            </w:tcBorders>
            <w:vAlign w:val="center"/>
          </w:tcPr>
          <w:p w14:paraId="4D972F1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12</w:t>
            </w:r>
          </w:p>
        </w:tc>
        <w:tc>
          <w:tcPr>
            <w:tcW w:w="0" w:type="auto"/>
            <w:tcBorders>
              <w:top w:val="single" w:sz="18" w:space="0" w:color="000000" w:themeColor="text1"/>
              <w:bottom w:val="single" w:sz="18" w:space="0" w:color="000000" w:themeColor="text1"/>
              <w:right w:val="single" w:sz="18" w:space="0" w:color="000000" w:themeColor="text1"/>
            </w:tcBorders>
            <w:vAlign w:val="center"/>
          </w:tcPr>
          <w:p w14:paraId="3BF765B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10</w:t>
            </w:r>
          </w:p>
        </w:tc>
      </w:tr>
      <w:tr w:rsidR="002C2E73" w:rsidRPr="003F2DF7" w14:paraId="33B6194C" w14:textId="77777777" w:rsidTr="00192D8F">
        <w:trPr>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32A49604"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redondeadas con dimensión que exceda:</w:t>
            </w:r>
          </w:p>
        </w:tc>
        <w:tc>
          <w:tcPr>
            <w:tcW w:w="0" w:type="auto"/>
            <w:gridSpan w:val="2"/>
            <w:tcBorders>
              <w:top w:val="single" w:sz="18" w:space="0" w:color="000000" w:themeColor="text1"/>
              <w:bottom w:val="single" w:sz="18" w:space="0" w:color="000000" w:themeColor="text1"/>
            </w:tcBorders>
          </w:tcPr>
          <w:p w14:paraId="6F1BEE11"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1812" w:dyaOrig="1620" w14:anchorId="3778C078">
                <v:shape id="_x0000_i1027" type="#_x0000_t75" style="width:30.1pt;height:26.85pt" o:ole="">
                  <v:imagedata r:id="rId23" o:title=""/>
                </v:shape>
                <o:OLEObject Type="Embed" ProgID="PBrush" ShapeID="_x0000_i1027" DrawAspect="Content" ObjectID="_1819525123" r:id="rId24"/>
              </w:object>
            </w:r>
          </w:p>
        </w:tc>
        <w:tc>
          <w:tcPr>
            <w:tcW w:w="0" w:type="auto"/>
            <w:tcBorders>
              <w:top w:val="single" w:sz="18" w:space="0" w:color="000000" w:themeColor="text1"/>
              <w:bottom w:val="single" w:sz="18" w:space="0" w:color="000000" w:themeColor="text1"/>
            </w:tcBorders>
            <w:vAlign w:val="center"/>
          </w:tcPr>
          <w:p w14:paraId="1D89017B"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4</w:t>
            </w:r>
          </w:p>
        </w:tc>
        <w:tc>
          <w:tcPr>
            <w:tcW w:w="0" w:type="auto"/>
            <w:gridSpan w:val="2"/>
            <w:tcBorders>
              <w:top w:val="single" w:sz="18" w:space="0" w:color="000000" w:themeColor="text1"/>
              <w:bottom w:val="single" w:sz="18" w:space="0" w:color="000000" w:themeColor="text1"/>
            </w:tcBorders>
            <w:vAlign w:val="center"/>
          </w:tcPr>
          <w:p w14:paraId="2C0A968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3,3</w:t>
            </w:r>
          </w:p>
        </w:tc>
        <w:tc>
          <w:tcPr>
            <w:tcW w:w="0" w:type="auto"/>
            <w:gridSpan w:val="2"/>
            <w:tcBorders>
              <w:top w:val="single" w:sz="18" w:space="0" w:color="000000" w:themeColor="text1"/>
              <w:bottom w:val="single" w:sz="18" w:space="0" w:color="000000" w:themeColor="text1"/>
            </w:tcBorders>
            <w:vAlign w:val="center"/>
          </w:tcPr>
          <w:p w14:paraId="2D3DF13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2,7</w:t>
            </w:r>
          </w:p>
        </w:tc>
        <w:tc>
          <w:tcPr>
            <w:tcW w:w="0" w:type="auto"/>
            <w:gridSpan w:val="2"/>
            <w:tcBorders>
              <w:top w:val="single" w:sz="18" w:space="0" w:color="000000" w:themeColor="text1"/>
            </w:tcBorders>
            <w:vAlign w:val="center"/>
          </w:tcPr>
          <w:p w14:paraId="3C5BB6F4"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2</w:t>
            </w:r>
          </w:p>
        </w:tc>
        <w:tc>
          <w:tcPr>
            <w:tcW w:w="0" w:type="auto"/>
            <w:tcBorders>
              <w:top w:val="single" w:sz="18" w:space="0" w:color="000000" w:themeColor="text1"/>
              <w:right w:val="single" w:sz="18" w:space="0" w:color="000000" w:themeColor="text1"/>
            </w:tcBorders>
            <w:vAlign w:val="center"/>
          </w:tcPr>
          <w:p w14:paraId="25867EA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1,7</w:t>
            </w:r>
          </w:p>
        </w:tc>
      </w:tr>
      <w:tr w:rsidR="002C2E73" w:rsidRPr="003F2DF7" w14:paraId="7CDE27C5" w14:textId="77777777" w:rsidTr="00192D8F">
        <w:trPr>
          <w:trHeight w:val="2047"/>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6BF554C5"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3cont) Discontinuidades redondeadas de dimensión mayor o igual a 2,5 mm, con una separación inferior a la listada, de otra discontinuidad redondeada o alargada, o de un borde, o de una soldadura perpendicular.</w:t>
            </w:r>
          </w:p>
        </w:tc>
        <w:tc>
          <w:tcPr>
            <w:tcW w:w="0" w:type="auto"/>
            <w:gridSpan w:val="2"/>
            <w:tcBorders>
              <w:top w:val="single" w:sz="18" w:space="0" w:color="000000" w:themeColor="text1"/>
              <w:bottom w:val="single" w:sz="18" w:space="0" w:color="000000" w:themeColor="text1"/>
            </w:tcBorders>
          </w:tcPr>
          <w:p w14:paraId="3DC1F371"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4680" w:dyaOrig="8616" w14:anchorId="2E7C9AFB">
                <v:shape id="_x0000_i1028" type="#_x0000_t75" style="width:76.3pt;height:135.4pt" o:ole="">
                  <v:imagedata r:id="rId25" o:title=""/>
                </v:shape>
                <o:OLEObject Type="Embed" ProgID="PBrush" ShapeID="_x0000_i1028" DrawAspect="Content" ObjectID="_1819525124" r:id="rId26"/>
              </w:object>
            </w:r>
          </w:p>
        </w:tc>
        <w:tc>
          <w:tcPr>
            <w:tcW w:w="0" w:type="auto"/>
            <w:gridSpan w:val="5"/>
            <w:tcBorders>
              <w:bottom w:val="single" w:sz="18" w:space="0" w:color="000000" w:themeColor="text1"/>
            </w:tcBorders>
            <w:vAlign w:val="center"/>
          </w:tcPr>
          <w:p w14:paraId="54A502D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 veces la dimensión de la mayor discontinuidad</w:t>
            </w:r>
          </w:p>
        </w:tc>
        <w:tc>
          <w:tcPr>
            <w:tcW w:w="0" w:type="auto"/>
            <w:gridSpan w:val="2"/>
            <w:tcBorders>
              <w:top w:val="single" w:sz="18" w:space="0" w:color="000000" w:themeColor="text1"/>
              <w:bottom w:val="single" w:sz="18" w:space="0" w:color="000000" w:themeColor="text1"/>
            </w:tcBorders>
            <w:shd w:val="clear" w:color="auto" w:fill="A6A6A6" w:themeFill="background1" w:themeFillShade="A6"/>
            <w:vAlign w:val="center"/>
          </w:tcPr>
          <w:p w14:paraId="596B4600" w14:textId="77777777" w:rsidR="002C2E73" w:rsidRPr="003F2DF7" w:rsidRDefault="002C2E73" w:rsidP="002C2E73">
            <w:pPr>
              <w:spacing w:before="120" w:after="120"/>
              <w:jc w:val="center"/>
              <w:rPr>
                <w:rFonts w:eastAsia="Calibri" w:cs="Arial"/>
                <w:sz w:val="20"/>
                <w:szCs w:val="20"/>
              </w:rPr>
            </w:pPr>
          </w:p>
        </w:tc>
        <w:tc>
          <w:tcPr>
            <w:tcW w:w="0" w:type="auto"/>
            <w:tcBorders>
              <w:top w:val="single" w:sz="18" w:space="0" w:color="000000" w:themeColor="text1"/>
              <w:bottom w:val="single" w:sz="18" w:space="0" w:color="000000" w:themeColor="text1"/>
              <w:right w:val="single" w:sz="18" w:space="0" w:color="000000" w:themeColor="text1"/>
            </w:tcBorders>
            <w:shd w:val="clear" w:color="auto" w:fill="A6A6A6" w:themeFill="background1" w:themeFillShade="A6"/>
            <w:vAlign w:val="center"/>
          </w:tcPr>
          <w:p w14:paraId="036961EB" w14:textId="77777777" w:rsidR="002C2E73" w:rsidRPr="003F2DF7" w:rsidRDefault="002C2E73" w:rsidP="002C2E73">
            <w:pPr>
              <w:spacing w:before="120" w:after="120"/>
              <w:jc w:val="center"/>
              <w:rPr>
                <w:rFonts w:eastAsia="Calibri" w:cs="Arial"/>
                <w:sz w:val="20"/>
                <w:szCs w:val="20"/>
              </w:rPr>
            </w:pPr>
          </w:p>
        </w:tc>
      </w:tr>
      <w:tr w:rsidR="002C2E73" w:rsidRPr="003F2DF7" w14:paraId="73F78BF4" w14:textId="77777777" w:rsidTr="00192D8F">
        <w:trPr>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71A8A1A1"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deben cumplir lo estipulado en casos I, II, III y IV, cuando están cercanas a un borde de la soldadura o a una soldadura perpendicular.</w:t>
            </w:r>
          </w:p>
        </w:tc>
        <w:tc>
          <w:tcPr>
            <w:tcW w:w="0" w:type="auto"/>
            <w:gridSpan w:val="2"/>
            <w:tcBorders>
              <w:top w:val="single" w:sz="18" w:space="0" w:color="000000" w:themeColor="text1"/>
              <w:bottom w:val="single" w:sz="18" w:space="0" w:color="000000" w:themeColor="text1"/>
            </w:tcBorders>
          </w:tcPr>
          <w:p w14:paraId="6D4DA16F" w14:textId="77777777" w:rsidR="002C2E73" w:rsidRPr="003F2DF7" w:rsidRDefault="002C2E73" w:rsidP="002C2E73">
            <w:pPr>
              <w:spacing w:before="120" w:after="120"/>
              <w:jc w:val="center"/>
              <w:rPr>
                <w:rFonts w:eastAsia="Calibri" w:cs="Arial"/>
                <w:sz w:val="20"/>
                <w:szCs w:val="20"/>
              </w:rPr>
            </w:pPr>
          </w:p>
        </w:tc>
        <w:tc>
          <w:tcPr>
            <w:tcW w:w="0" w:type="auto"/>
            <w:gridSpan w:val="8"/>
            <w:tcBorders>
              <w:right w:val="single" w:sz="18" w:space="0" w:color="000000" w:themeColor="text1"/>
            </w:tcBorders>
            <w:vAlign w:val="center"/>
          </w:tcPr>
          <w:p w14:paraId="56371A95"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Revisar casos I, II, III y IV</w:t>
            </w:r>
          </w:p>
          <w:p w14:paraId="1B039854"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en Figura 8.1</w:t>
            </w:r>
          </w:p>
        </w:tc>
      </w:tr>
      <w:tr w:rsidR="002C2E73" w:rsidRPr="003F2DF7" w14:paraId="116E3B57" w14:textId="77777777" w:rsidTr="00192D8F">
        <w:trPr>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7AC10DB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agrupadas cuya suma de dimensiones exceda:</w:t>
            </w:r>
          </w:p>
        </w:tc>
        <w:tc>
          <w:tcPr>
            <w:tcW w:w="0" w:type="auto"/>
            <w:gridSpan w:val="2"/>
            <w:tcBorders>
              <w:top w:val="single" w:sz="18" w:space="0" w:color="000000" w:themeColor="text1"/>
              <w:bottom w:val="single" w:sz="18" w:space="0" w:color="000000" w:themeColor="text1"/>
            </w:tcBorders>
          </w:tcPr>
          <w:p w14:paraId="5B3926D6"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2280" w:dyaOrig="2208" w14:anchorId="7D524B6C">
                <v:shape id="_x0000_i1029" type="#_x0000_t75" style="width:37.6pt;height:36.55pt" o:ole="">
                  <v:imagedata r:id="rId27" o:title=""/>
                </v:shape>
                <o:OLEObject Type="Embed" ProgID="PBrush" ShapeID="_x0000_i1029" DrawAspect="Content" ObjectID="_1819525125" r:id="rId28"/>
              </w:object>
            </w:r>
          </w:p>
        </w:tc>
        <w:tc>
          <w:tcPr>
            <w:tcW w:w="0" w:type="auto"/>
            <w:tcBorders>
              <w:top w:val="single" w:sz="18" w:space="0" w:color="000000" w:themeColor="text1"/>
              <w:bottom w:val="single" w:sz="18" w:space="0" w:color="000000" w:themeColor="text1"/>
            </w:tcBorders>
            <w:vAlign w:val="center"/>
          </w:tcPr>
          <w:p w14:paraId="3A93C07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9</w:t>
            </w:r>
          </w:p>
        </w:tc>
        <w:tc>
          <w:tcPr>
            <w:tcW w:w="0" w:type="auto"/>
            <w:gridSpan w:val="2"/>
            <w:tcBorders>
              <w:top w:val="single" w:sz="18" w:space="0" w:color="000000" w:themeColor="text1"/>
              <w:bottom w:val="single" w:sz="18" w:space="0" w:color="000000" w:themeColor="text1"/>
            </w:tcBorders>
            <w:vAlign w:val="center"/>
          </w:tcPr>
          <w:p w14:paraId="514BCEE7"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w:t>
            </w:r>
          </w:p>
        </w:tc>
        <w:tc>
          <w:tcPr>
            <w:tcW w:w="0" w:type="auto"/>
            <w:gridSpan w:val="2"/>
            <w:tcBorders>
              <w:top w:val="single" w:sz="18" w:space="0" w:color="000000" w:themeColor="text1"/>
              <w:bottom w:val="single" w:sz="18" w:space="0" w:color="000000" w:themeColor="text1"/>
            </w:tcBorders>
            <w:vAlign w:val="center"/>
          </w:tcPr>
          <w:p w14:paraId="644D51CD"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w:t>
            </w:r>
          </w:p>
        </w:tc>
        <w:tc>
          <w:tcPr>
            <w:tcW w:w="0" w:type="auto"/>
            <w:gridSpan w:val="2"/>
            <w:tcBorders>
              <w:top w:val="single" w:sz="18" w:space="0" w:color="000000" w:themeColor="text1"/>
              <w:bottom w:val="single" w:sz="18" w:space="0" w:color="000000" w:themeColor="text1"/>
            </w:tcBorders>
            <w:vAlign w:val="center"/>
          </w:tcPr>
          <w:p w14:paraId="0548162B"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4</w:t>
            </w:r>
          </w:p>
        </w:tc>
        <w:tc>
          <w:tcPr>
            <w:tcW w:w="0" w:type="auto"/>
            <w:tcBorders>
              <w:top w:val="single" w:sz="18" w:space="0" w:color="000000" w:themeColor="text1"/>
              <w:bottom w:val="single" w:sz="18" w:space="0" w:color="000000" w:themeColor="text1"/>
              <w:right w:val="single" w:sz="18" w:space="0" w:color="000000" w:themeColor="text1"/>
            </w:tcBorders>
            <w:vAlign w:val="center"/>
          </w:tcPr>
          <w:p w14:paraId="39872A4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w:t>
            </w:r>
          </w:p>
        </w:tc>
      </w:tr>
      <w:tr w:rsidR="002C2E73" w:rsidRPr="003F2DF7" w14:paraId="664ED483" w14:textId="77777777" w:rsidTr="00192D8F">
        <w:trPr>
          <w:jc w:val="center"/>
        </w:trPr>
        <w:tc>
          <w:tcPr>
            <w:tcW w:w="0" w:type="auto"/>
            <w:gridSpan w:val="2"/>
            <w:tcBorders>
              <w:top w:val="single" w:sz="18" w:space="0" w:color="000000" w:themeColor="text1"/>
              <w:left w:val="single" w:sz="18" w:space="0" w:color="000000" w:themeColor="text1"/>
              <w:bottom w:val="single" w:sz="18" w:space="0" w:color="000000" w:themeColor="text1"/>
            </w:tcBorders>
          </w:tcPr>
          <w:p w14:paraId="4CE74602"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lastRenderedPageBreak/>
              <w:t>5cont) Discontinuidades agrupadas con una separación inferior a la listada, de otra discontinuidad redondeada o alargada, o de un borde, o de una soldadura perpendicular.</w:t>
            </w:r>
          </w:p>
        </w:tc>
        <w:tc>
          <w:tcPr>
            <w:tcW w:w="0" w:type="auto"/>
            <w:gridSpan w:val="2"/>
            <w:tcBorders>
              <w:top w:val="single" w:sz="18" w:space="0" w:color="000000" w:themeColor="text1"/>
              <w:bottom w:val="single" w:sz="18" w:space="0" w:color="000000" w:themeColor="text1"/>
            </w:tcBorders>
          </w:tcPr>
          <w:p w14:paraId="5F75868D"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6384" w:dyaOrig="12456" w14:anchorId="59246FEF">
                <v:shape id="_x0000_i1030" type="#_x0000_t75" style="width:92.4pt;height:184.85pt" o:ole="">
                  <v:imagedata r:id="rId29" o:title=""/>
                </v:shape>
                <o:OLEObject Type="Embed" ProgID="PBrush" ShapeID="_x0000_i1030" DrawAspect="Content" ObjectID="_1819525126" r:id="rId30"/>
              </w:object>
            </w:r>
          </w:p>
        </w:tc>
        <w:tc>
          <w:tcPr>
            <w:tcW w:w="0" w:type="auto"/>
            <w:gridSpan w:val="8"/>
            <w:tcBorders>
              <w:bottom w:val="single" w:sz="18" w:space="0" w:color="000000" w:themeColor="text1"/>
              <w:right w:val="single" w:sz="18" w:space="0" w:color="000000" w:themeColor="text1"/>
            </w:tcBorders>
            <w:vAlign w:val="center"/>
          </w:tcPr>
          <w:p w14:paraId="3AB7C88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 veces la dimensión</w:t>
            </w:r>
          </w:p>
          <w:p w14:paraId="3794E62B"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de la mayor discontinuidad</w:t>
            </w:r>
          </w:p>
        </w:tc>
      </w:tr>
      <w:tr w:rsidR="002C2E73" w:rsidRPr="003F2DF7" w14:paraId="5A30FD99" w14:textId="77777777" w:rsidTr="00192D8F">
        <w:trPr>
          <w:jc w:val="center"/>
        </w:trPr>
        <w:tc>
          <w:tcPr>
            <w:tcW w:w="0" w:type="auto"/>
            <w:gridSpan w:val="12"/>
            <w:tcBorders>
              <w:top w:val="single" w:sz="18" w:space="0" w:color="000000" w:themeColor="text1"/>
              <w:left w:val="single" w:sz="18" w:space="0" w:color="000000" w:themeColor="text1"/>
              <w:right w:val="single" w:sz="18" w:space="0" w:color="000000" w:themeColor="text1"/>
            </w:tcBorders>
          </w:tcPr>
          <w:p w14:paraId="793B9E12"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RESULTA INADMISIBLE EN INSPECCIÓN RADIOGRÁFICA DE TORRES ELECTRICAS</w:t>
            </w:r>
          </w:p>
          <w:p w14:paraId="7F2C1BBC"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(dimensiones en “mm”)</w:t>
            </w:r>
          </w:p>
        </w:tc>
      </w:tr>
      <w:tr w:rsidR="002C2E73" w:rsidRPr="003F2DF7" w14:paraId="72BD54AA" w14:textId="77777777" w:rsidTr="00192D8F">
        <w:trPr>
          <w:jc w:val="center"/>
        </w:trPr>
        <w:tc>
          <w:tcPr>
            <w:tcW w:w="0" w:type="auto"/>
            <w:gridSpan w:val="3"/>
            <w:vMerge w:val="restart"/>
            <w:tcBorders>
              <w:left w:val="single" w:sz="18" w:space="0" w:color="000000" w:themeColor="text1"/>
            </w:tcBorders>
            <w:vAlign w:val="center"/>
          </w:tcPr>
          <w:p w14:paraId="247DABA1"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Tipo de discontinuidad y condición</w:t>
            </w:r>
          </w:p>
        </w:tc>
        <w:tc>
          <w:tcPr>
            <w:tcW w:w="0" w:type="auto"/>
            <w:gridSpan w:val="9"/>
            <w:tcBorders>
              <w:top w:val="single" w:sz="18" w:space="0" w:color="000000" w:themeColor="text1"/>
              <w:right w:val="single" w:sz="18" w:space="0" w:color="000000" w:themeColor="text1"/>
            </w:tcBorders>
            <w:vAlign w:val="center"/>
          </w:tcPr>
          <w:p w14:paraId="042DF930"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Espesor de pared de torres (mm)</w:t>
            </w:r>
          </w:p>
        </w:tc>
      </w:tr>
      <w:tr w:rsidR="002C2E73" w:rsidRPr="003F2DF7" w14:paraId="1AEE7AFD" w14:textId="77777777" w:rsidTr="00192D8F">
        <w:trPr>
          <w:jc w:val="center"/>
        </w:trPr>
        <w:tc>
          <w:tcPr>
            <w:tcW w:w="0" w:type="auto"/>
            <w:gridSpan w:val="3"/>
            <w:vMerge/>
            <w:tcBorders>
              <w:left w:val="single" w:sz="18" w:space="0" w:color="000000" w:themeColor="text1"/>
              <w:bottom w:val="single" w:sz="18" w:space="0" w:color="000000" w:themeColor="text1"/>
            </w:tcBorders>
          </w:tcPr>
          <w:p w14:paraId="646600BB" w14:textId="77777777" w:rsidR="002C2E73" w:rsidRPr="003F2DF7" w:rsidRDefault="002C2E73" w:rsidP="002C2E73">
            <w:pPr>
              <w:spacing w:before="120" w:after="120"/>
              <w:jc w:val="center"/>
              <w:rPr>
                <w:rFonts w:eastAsia="Calibri" w:cs="Arial"/>
                <w:sz w:val="20"/>
                <w:szCs w:val="20"/>
              </w:rPr>
            </w:pPr>
          </w:p>
        </w:tc>
        <w:tc>
          <w:tcPr>
            <w:tcW w:w="0" w:type="auto"/>
            <w:tcBorders>
              <w:bottom w:val="single" w:sz="18" w:space="0" w:color="000000" w:themeColor="text1"/>
            </w:tcBorders>
            <w:vAlign w:val="center"/>
          </w:tcPr>
          <w:p w14:paraId="3836F341"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12</w:t>
            </w:r>
          </w:p>
        </w:tc>
        <w:tc>
          <w:tcPr>
            <w:tcW w:w="0" w:type="auto"/>
            <w:gridSpan w:val="2"/>
            <w:tcBorders>
              <w:bottom w:val="single" w:sz="18" w:space="0" w:color="000000" w:themeColor="text1"/>
            </w:tcBorders>
            <w:vAlign w:val="center"/>
          </w:tcPr>
          <w:p w14:paraId="2F1EDEF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10</w:t>
            </w:r>
          </w:p>
        </w:tc>
        <w:tc>
          <w:tcPr>
            <w:tcW w:w="0" w:type="auto"/>
            <w:gridSpan w:val="2"/>
            <w:tcBorders>
              <w:bottom w:val="single" w:sz="18" w:space="0" w:color="000000" w:themeColor="text1"/>
            </w:tcBorders>
            <w:vAlign w:val="center"/>
          </w:tcPr>
          <w:p w14:paraId="4E5CF8E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8</w:t>
            </w:r>
          </w:p>
        </w:tc>
        <w:tc>
          <w:tcPr>
            <w:tcW w:w="0" w:type="auto"/>
            <w:gridSpan w:val="2"/>
            <w:tcBorders>
              <w:bottom w:val="single" w:sz="18" w:space="0" w:color="000000" w:themeColor="text1"/>
            </w:tcBorders>
            <w:vAlign w:val="center"/>
          </w:tcPr>
          <w:p w14:paraId="5FC5BF2F"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w:t>
            </w:r>
          </w:p>
        </w:tc>
        <w:tc>
          <w:tcPr>
            <w:tcW w:w="0" w:type="auto"/>
            <w:gridSpan w:val="2"/>
            <w:tcBorders>
              <w:bottom w:val="single" w:sz="18" w:space="0" w:color="000000" w:themeColor="text1"/>
              <w:right w:val="single" w:sz="18" w:space="0" w:color="000000" w:themeColor="text1"/>
            </w:tcBorders>
            <w:vAlign w:val="center"/>
          </w:tcPr>
          <w:p w14:paraId="40446549"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w:t>
            </w:r>
          </w:p>
        </w:tc>
      </w:tr>
      <w:tr w:rsidR="002C2E73" w:rsidRPr="003F2DF7" w14:paraId="062B7A8B" w14:textId="77777777" w:rsidTr="00192D8F">
        <w:trPr>
          <w:jc w:val="center"/>
        </w:trPr>
        <w:tc>
          <w:tcPr>
            <w:tcW w:w="0" w:type="auto"/>
            <w:tcBorders>
              <w:top w:val="single" w:sz="18" w:space="0" w:color="000000" w:themeColor="text1"/>
              <w:left w:val="single" w:sz="18" w:space="0" w:color="000000" w:themeColor="text1"/>
              <w:bottom w:val="single" w:sz="18" w:space="0" w:color="000000" w:themeColor="text1"/>
            </w:tcBorders>
          </w:tcPr>
          <w:p w14:paraId="49F0EABD"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con dimensión inferior a 2,5 mm, cuya suma de dimensiones exceda valor listado, para cada tramo de 25 mm lineales de soldadura:</w:t>
            </w:r>
          </w:p>
        </w:tc>
        <w:tc>
          <w:tcPr>
            <w:tcW w:w="0" w:type="auto"/>
            <w:gridSpan w:val="2"/>
            <w:tcBorders>
              <w:top w:val="single" w:sz="18" w:space="0" w:color="000000" w:themeColor="text1"/>
              <w:bottom w:val="single" w:sz="18" w:space="0" w:color="000000" w:themeColor="text1"/>
            </w:tcBorders>
          </w:tcPr>
          <w:p w14:paraId="3A6A42A8" w14:textId="77777777" w:rsidR="002C2E73" w:rsidRPr="003F2DF7" w:rsidRDefault="002C2E73" w:rsidP="002C2E73">
            <w:pPr>
              <w:spacing w:before="120" w:after="120"/>
              <w:jc w:val="center"/>
              <w:rPr>
                <w:rFonts w:eastAsia="Calibri" w:cs="Arial"/>
                <w:sz w:val="20"/>
                <w:szCs w:val="20"/>
              </w:rPr>
            </w:pPr>
          </w:p>
          <w:p w14:paraId="198BF363" w14:textId="77777777" w:rsidR="002C2E73" w:rsidRPr="003F2DF7" w:rsidRDefault="002C2E73" w:rsidP="002C2E73">
            <w:pPr>
              <w:spacing w:before="120" w:after="120"/>
              <w:jc w:val="center"/>
              <w:rPr>
                <w:rFonts w:eastAsia="Calibri" w:cs="Arial"/>
                <w:sz w:val="20"/>
                <w:szCs w:val="20"/>
              </w:rPr>
            </w:pPr>
          </w:p>
          <w:p w14:paraId="2904D3F7"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3684" w:dyaOrig="2424" w14:anchorId="65E70DD9">
                <v:shape id="_x0000_i1031" type="#_x0000_t75" style="width:79.5pt;height:51.6pt" o:ole="">
                  <v:imagedata r:id="rId31" o:title=""/>
                </v:shape>
                <o:OLEObject Type="Embed" ProgID="PBrush" ShapeID="_x0000_i1031" DrawAspect="Content" ObjectID="_1819525127" r:id="rId32"/>
              </w:object>
            </w:r>
          </w:p>
        </w:tc>
        <w:tc>
          <w:tcPr>
            <w:tcW w:w="0" w:type="auto"/>
            <w:tcBorders>
              <w:top w:val="single" w:sz="18" w:space="0" w:color="000000" w:themeColor="text1"/>
              <w:bottom w:val="single" w:sz="18" w:space="0" w:color="000000" w:themeColor="text1"/>
            </w:tcBorders>
            <w:vAlign w:val="center"/>
          </w:tcPr>
          <w:p w14:paraId="39446AA5"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8</w:t>
            </w:r>
          </w:p>
        </w:tc>
        <w:tc>
          <w:tcPr>
            <w:tcW w:w="0" w:type="auto"/>
            <w:gridSpan w:val="2"/>
            <w:tcBorders>
              <w:top w:val="single" w:sz="18" w:space="0" w:color="000000" w:themeColor="text1"/>
              <w:bottom w:val="single" w:sz="18" w:space="0" w:color="000000" w:themeColor="text1"/>
            </w:tcBorders>
            <w:vAlign w:val="center"/>
          </w:tcPr>
          <w:p w14:paraId="10BC1376"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6,7</w:t>
            </w:r>
          </w:p>
        </w:tc>
        <w:tc>
          <w:tcPr>
            <w:tcW w:w="0" w:type="auto"/>
            <w:gridSpan w:val="2"/>
            <w:tcBorders>
              <w:top w:val="single" w:sz="18" w:space="0" w:color="000000" w:themeColor="text1"/>
              <w:bottom w:val="single" w:sz="18" w:space="0" w:color="000000" w:themeColor="text1"/>
            </w:tcBorders>
            <w:vAlign w:val="center"/>
          </w:tcPr>
          <w:p w14:paraId="1A434F57"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5,3</w:t>
            </w:r>
          </w:p>
        </w:tc>
        <w:tc>
          <w:tcPr>
            <w:tcW w:w="0" w:type="auto"/>
            <w:gridSpan w:val="2"/>
            <w:tcBorders>
              <w:top w:val="single" w:sz="18" w:space="0" w:color="000000" w:themeColor="text1"/>
              <w:bottom w:val="single" w:sz="18" w:space="0" w:color="000000" w:themeColor="text1"/>
            </w:tcBorders>
            <w:vAlign w:val="center"/>
          </w:tcPr>
          <w:p w14:paraId="23477C4C"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4</w:t>
            </w:r>
          </w:p>
        </w:tc>
        <w:tc>
          <w:tcPr>
            <w:tcW w:w="0" w:type="auto"/>
            <w:gridSpan w:val="2"/>
            <w:tcBorders>
              <w:top w:val="single" w:sz="18" w:space="0" w:color="000000" w:themeColor="text1"/>
              <w:bottom w:val="single" w:sz="18" w:space="0" w:color="000000" w:themeColor="text1"/>
              <w:right w:val="single" w:sz="18" w:space="0" w:color="000000" w:themeColor="text1"/>
            </w:tcBorders>
            <w:vAlign w:val="center"/>
          </w:tcPr>
          <w:p w14:paraId="08783239"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3,3</w:t>
            </w:r>
          </w:p>
        </w:tc>
      </w:tr>
      <w:tr w:rsidR="002C2E73" w:rsidRPr="003F2DF7" w14:paraId="4E5E8632" w14:textId="77777777" w:rsidTr="00192D8F">
        <w:trPr>
          <w:trHeight w:val="635"/>
          <w:jc w:val="center"/>
        </w:trPr>
        <w:tc>
          <w:tcPr>
            <w:tcW w:w="0" w:type="auto"/>
            <w:vMerge w:val="restart"/>
            <w:tcBorders>
              <w:top w:val="single" w:sz="18" w:space="0" w:color="000000" w:themeColor="text1"/>
              <w:left w:val="single" w:sz="18" w:space="0" w:color="000000" w:themeColor="text1"/>
            </w:tcBorders>
          </w:tcPr>
          <w:p w14:paraId="4D08E510"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Discontinuidades alineadas cuya suma de dimensiones exceda valor listado, para cada tramo de soldadura indicado en cada caso:</w:t>
            </w:r>
          </w:p>
        </w:tc>
        <w:tc>
          <w:tcPr>
            <w:tcW w:w="0" w:type="auto"/>
            <w:gridSpan w:val="2"/>
            <w:vMerge w:val="restart"/>
            <w:tcBorders>
              <w:top w:val="single" w:sz="18" w:space="0" w:color="000000" w:themeColor="text1"/>
            </w:tcBorders>
          </w:tcPr>
          <w:p w14:paraId="694863FD" w14:textId="77777777" w:rsidR="002C2E73" w:rsidRPr="003F2DF7" w:rsidRDefault="002C2E73" w:rsidP="002C2E73">
            <w:pPr>
              <w:spacing w:before="120" w:after="120"/>
              <w:jc w:val="center"/>
              <w:rPr>
                <w:rFonts w:eastAsia="Calibri" w:cs="Arial"/>
                <w:sz w:val="20"/>
                <w:szCs w:val="20"/>
              </w:rPr>
            </w:pPr>
          </w:p>
          <w:p w14:paraId="1930BE33" w14:textId="77777777" w:rsidR="002C2E73" w:rsidRPr="003F2DF7" w:rsidRDefault="002C2E73" w:rsidP="002C2E73">
            <w:pPr>
              <w:spacing w:before="120" w:after="120"/>
              <w:jc w:val="center"/>
              <w:rPr>
                <w:rFonts w:eastAsia="Calibri" w:cs="Arial"/>
                <w:sz w:val="20"/>
                <w:szCs w:val="20"/>
              </w:rPr>
            </w:pPr>
            <w:r w:rsidRPr="003F2DF7">
              <w:rPr>
                <w:rFonts w:asciiTheme="minorHAnsi" w:eastAsia="Calibri" w:hAnsiTheme="minorHAnsi" w:cs="Arial"/>
                <w:iCs w:val="0"/>
                <w:kern w:val="0"/>
                <w:sz w:val="20"/>
                <w:szCs w:val="20"/>
                <w:lang w:val="es-ES"/>
                <w14:ligatures w14:val="none"/>
              </w:rPr>
              <w:object w:dxaOrig="3528" w:dyaOrig="2244" w14:anchorId="6C0B187E">
                <v:shape id="_x0000_i1032" type="#_x0000_t75" style="width:76.3pt;height:47.3pt" o:ole="">
                  <v:imagedata r:id="rId33" o:title=""/>
                </v:shape>
                <o:OLEObject Type="Embed" ProgID="PBrush" ShapeID="_x0000_i1032" DrawAspect="Content" ObjectID="_1819525128" r:id="rId34"/>
              </w:object>
            </w:r>
          </w:p>
        </w:tc>
        <w:tc>
          <w:tcPr>
            <w:tcW w:w="0" w:type="auto"/>
            <w:tcBorders>
              <w:top w:val="single" w:sz="18" w:space="0" w:color="000000" w:themeColor="text1"/>
            </w:tcBorders>
            <w:vAlign w:val="center"/>
          </w:tcPr>
          <w:p w14:paraId="7DFD637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12</w:t>
            </w:r>
          </w:p>
        </w:tc>
        <w:tc>
          <w:tcPr>
            <w:tcW w:w="0" w:type="auto"/>
            <w:gridSpan w:val="2"/>
            <w:tcBorders>
              <w:top w:val="single" w:sz="18" w:space="0" w:color="000000" w:themeColor="text1"/>
            </w:tcBorders>
            <w:vAlign w:val="center"/>
          </w:tcPr>
          <w:p w14:paraId="7CDDF497"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10</w:t>
            </w:r>
          </w:p>
        </w:tc>
        <w:tc>
          <w:tcPr>
            <w:tcW w:w="0" w:type="auto"/>
            <w:gridSpan w:val="2"/>
            <w:tcBorders>
              <w:top w:val="single" w:sz="18" w:space="0" w:color="000000" w:themeColor="text1"/>
            </w:tcBorders>
            <w:vAlign w:val="center"/>
          </w:tcPr>
          <w:p w14:paraId="69FD4AC0"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8</w:t>
            </w:r>
          </w:p>
        </w:tc>
        <w:tc>
          <w:tcPr>
            <w:tcW w:w="0" w:type="auto"/>
            <w:gridSpan w:val="2"/>
            <w:tcBorders>
              <w:top w:val="single" w:sz="18" w:space="0" w:color="000000" w:themeColor="text1"/>
            </w:tcBorders>
            <w:vAlign w:val="center"/>
          </w:tcPr>
          <w:p w14:paraId="3529985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w:t>
            </w:r>
          </w:p>
        </w:tc>
        <w:tc>
          <w:tcPr>
            <w:tcW w:w="0" w:type="auto"/>
            <w:gridSpan w:val="2"/>
            <w:tcBorders>
              <w:top w:val="single" w:sz="18" w:space="0" w:color="000000" w:themeColor="text1"/>
              <w:right w:val="single" w:sz="18" w:space="0" w:color="000000" w:themeColor="text1"/>
            </w:tcBorders>
            <w:vAlign w:val="center"/>
          </w:tcPr>
          <w:p w14:paraId="17C72837"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5</w:t>
            </w:r>
          </w:p>
        </w:tc>
      </w:tr>
      <w:tr w:rsidR="002C2E73" w:rsidRPr="003F2DF7" w14:paraId="3FA488C7" w14:textId="77777777" w:rsidTr="00192D8F">
        <w:trPr>
          <w:jc w:val="center"/>
        </w:trPr>
        <w:tc>
          <w:tcPr>
            <w:tcW w:w="0" w:type="auto"/>
            <w:vMerge/>
            <w:tcBorders>
              <w:left w:val="single" w:sz="18" w:space="0" w:color="000000" w:themeColor="text1"/>
              <w:bottom w:val="single" w:sz="18" w:space="0" w:color="000000" w:themeColor="text1"/>
            </w:tcBorders>
          </w:tcPr>
          <w:p w14:paraId="1B4EF931" w14:textId="77777777" w:rsidR="002C2E73" w:rsidRPr="003F2DF7" w:rsidRDefault="002C2E73" w:rsidP="002C2E73">
            <w:pPr>
              <w:spacing w:before="120" w:after="120"/>
              <w:jc w:val="center"/>
              <w:rPr>
                <w:rFonts w:eastAsia="Calibri" w:cs="Arial"/>
                <w:sz w:val="20"/>
                <w:szCs w:val="20"/>
              </w:rPr>
            </w:pPr>
          </w:p>
        </w:tc>
        <w:tc>
          <w:tcPr>
            <w:tcW w:w="0" w:type="auto"/>
            <w:gridSpan w:val="2"/>
            <w:vMerge/>
            <w:tcBorders>
              <w:bottom w:val="single" w:sz="18" w:space="0" w:color="000000" w:themeColor="text1"/>
            </w:tcBorders>
          </w:tcPr>
          <w:p w14:paraId="3FBA9C26" w14:textId="77777777" w:rsidR="002C2E73" w:rsidRPr="003F2DF7" w:rsidRDefault="002C2E73" w:rsidP="002C2E73">
            <w:pPr>
              <w:spacing w:before="120" w:after="120"/>
              <w:jc w:val="center"/>
              <w:rPr>
                <w:rFonts w:eastAsia="Calibri" w:cs="Arial"/>
                <w:sz w:val="20"/>
                <w:szCs w:val="20"/>
              </w:rPr>
            </w:pPr>
          </w:p>
        </w:tc>
        <w:tc>
          <w:tcPr>
            <w:tcW w:w="0" w:type="auto"/>
            <w:tcBorders>
              <w:bottom w:val="single" w:sz="18" w:space="0" w:color="000000" w:themeColor="text1"/>
            </w:tcBorders>
            <w:vAlign w:val="center"/>
          </w:tcPr>
          <w:p w14:paraId="7505455A"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Tramo:</w:t>
            </w:r>
          </w:p>
          <w:p w14:paraId="66428EF2"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72mm</w:t>
            </w:r>
          </w:p>
          <w:p w14:paraId="2272C07E" w14:textId="77777777" w:rsidR="002C2E73" w:rsidRPr="003F2DF7" w:rsidRDefault="002C2E73" w:rsidP="002C2E73">
            <w:pPr>
              <w:spacing w:before="120" w:after="120"/>
              <w:jc w:val="center"/>
              <w:rPr>
                <w:rFonts w:eastAsia="Calibri" w:cs="Arial"/>
                <w:sz w:val="20"/>
                <w:szCs w:val="20"/>
              </w:rPr>
            </w:pPr>
          </w:p>
        </w:tc>
        <w:tc>
          <w:tcPr>
            <w:tcW w:w="0" w:type="auto"/>
            <w:gridSpan w:val="2"/>
            <w:tcBorders>
              <w:bottom w:val="single" w:sz="18" w:space="0" w:color="000000" w:themeColor="text1"/>
            </w:tcBorders>
            <w:vAlign w:val="center"/>
          </w:tcPr>
          <w:p w14:paraId="274F6ECD"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60mm</w:t>
            </w:r>
          </w:p>
        </w:tc>
        <w:tc>
          <w:tcPr>
            <w:tcW w:w="0" w:type="auto"/>
            <w:gridSpan w:val="2"/>
            <w:tcBorders>
              <w:bottom w:val="single" w:sz="18" w:space="0" w:color="000000" w:themeColor="text1"/>
            </w:tcBorders>
            <w:vAlign w:val="center"/>
          </w:tcPr>
          <w:p w14:paraId="2D5A7DD3"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48mm</w:t>
            </w:r>
          </w:p>
        </w:tc>
        <w:tc>
          <w:tcPr>
            <w:tcW w:w="0" w:type="auto"/>
            <w:gridSpan w:val="2"/>
            <w:tcBorders>
              <w:bottom w:val="single" w:sz="18" w:space="0" w:color="000000" w:themeColor="text1"/>
            </w:tcBorders>
            <w:vAlign w:val="center"/>
          </w:tcPr>
          <w:p w14:paraId="0399C8D8"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36mm</w:t>
            </w:r>
          </w:p>
        </w:tc>
        <w:tc>
          <w:tcPr>
            <w:tcW w:w="0" w:type="auto"/>
            <w:gridSpan w:val="2"/>
            <w:tcBorders>
              <w:bottom w:val="single" w:sz="18" w:space="0" w:color="000000" w:themeColor="text1"/>
              <w:right w:val="single" w:sz="18" w:space="0" w:color="000000" w:themeColor="text1"/>
            </w:tcBorders>
            <w:vAlign w:val="center"/>
          </w:tcPr>
          <w:p w14:paraId="3DBABAFE" w14:textId="77777777" w:rsidR="002C2E73" w:rsidRPr="003F2DF7" w:rsidRDefault="002C2E73" w:rsidP="002C2E73">
            <w:pPr>
              <w:spacing w:before="120" w:after="120"/>
              <w:jc w:val="center"/>
              <w:rPr>
                <w:rFonts w:eastAsia="Calibri" w:cs="Arial"/>
                <w:sz w:val="20"/>
                <w:szCs w:val="20"/>
              </w:rPr>
            </w:pPr>
            <w:r w:rsidRPr="003F2DF7">
              <w:rPr>
                <w:rFonts w:eastAsia="Calibri" w:cs="Arial"/>
                <w:sz w:val="20"/>
                <w:szCs w:val="20"/>
              </w:rPr>
              <w:t>30mm</w:t>
            </w:r>
          </w:p>
        </w:tc>
      </w:tr>
    </w:tbl>
    <w:p w14:paraId="2620005A" w14:textId="77777777" w:rsidR="002C2E73" w:rsidRPr="002C2E73" w:rsidRDefault="002C2E73" w:rsidP="002C2E73">
      <w:pPr>
        <w:spacing w:before="120" w:after="120" w:line="240" w:lineRule="auto"/>
        <w:jc w:val="both"/>
        <w:rPr>
          <w:rFonts w:ascii="Arial" w:eastAsia="Calibri" w:hAnsi="Arial" w:cs="Arial"/>
          <w:lang w:val="es-ES"/>
        </w:rPr>
      </w:pPr>
    </w:p>
    <w:p w14:paraId="34BA502B" w14:textId="77777777" w:rsidR="002C2E73" w:rsidRPr="007B5C7E" w:rsidRDefault="002C2E73" w:rsidP="007B5C7E">
      <w:pPr>
        <w:pStyle w:val="Prrafodelista"/>
        <w:keepNext/>
        <w:keepLines/>
        <w:numPr>
          <w:ilvl w:val="1"/>
          <w:numId w:val="5"/>
        </w:numPr>
        <w:spacing w:before="120" w:after="120" w:line="240" w:lineRule="auto"/>
        <w:ind w:left="540" w:hanging="540"/>
        <w:jc w:val="both"/>
        <w:outlineLvl w:val="2"/>
        <w:rPr>
          <w:rFonts w:ascii="Arial" w:eastAsia="Times New Roman" w:hAnsi="Arial" w:cs="Arial"/>
          <w:b/>
          <w:bCs/>
          <w:lang w:val="es-ES"/>
        </w:rPr>
      </w:pPr>
      <w:bookmarkStart w:id="9" w:name="_Toc182773175"/>
      <w:r w:rsidRPr="007B5C7E">
        <w:rPr>
          <w:rFonts w:ascii="Arial" w:eastAsia="Times New Roman" w:hAnsi="Arial" w:cs="Arial"/>
          <w:b/>
          <w:bCs/>
          <w:lang w:val="es-ES"/>
        </w:rPr>
        <w:t>Control de la linealidad de la torre</w:t>
      </w:r>
      <w:bookmarkEnd w:id="9"/>
    </w:p>
    <w:p w14:paraId="6AA2426F"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Como parte del control de calidad de estas torres de alta tensión es importante el control de la rectitud de su eje, con ambos tramos ensamblados. Las primeras experiencias en la fabricación de estas torres en el país demostraron que este aspecto puede ser problemático. En la p</w:t>
      </w:r>
      <w:r w:rsidR="00754882">
        <w:rPr>
          <w:rFonts w:ascii="Arial" w:eastAsia="Calibri" w:hAnsi="Arial" w:cs="Arial"/>
          <w:lang w:val="es-ES"/>
        </w:rPr>
        <w:t>é</w:t>
      </w:r>
      <w:r w:rsidRPr="002C2E73">
        <w:rPr>
          <w:rFonts w:ascii="Arial" w:eastAsia="Calibri" w:hAnsi="Arial" w:cs="Arial"/>
          <w:lang w:val="es-ES"/>
        </w:rPr>
        <w:t xml:space="preserve">rdida de rectitud de la torre influyen sobre todo los aspectos relacionados con la deformación producto de la soldadura de las bridas, tanto la soldadura circunferencial que la une al rolo, como la soldadura de los cartabones. Esta deformación puede provocar la pérdida de perpendicularidad entre la cara de la brida y el eje de la torre, así como la pérdida de planitud de dicha cara. La deformación producto de las soldaduras longitudinales y circunferenciales de los </w:t>
      </w:r>
      <w:proofErr w:type="spellStart"/>
      <w:r w:rsidRPr="002C2E73">
        <w:rPr>
          <w:rFonts w:ascii="Arial" w:eastAsia="Calibri" w:hAnsi="Arial" w:cs="Arial"/>
          <w:lang w:val="es-ES"/>
        </w:rPr>
        <w:t>rolos</w:t>
      </w:r>
      <w:proofErr w:type="spellEnd"/>
      <w:r w:rsidRPr="002C2E73">
        <w:rPr>
          <w:rFonts w:ascii="Arial" w:eastAsia="Calibri" w:hAnsi="Arial" w:cs="Arial"/>
          <w:lang w:val="es-ES"/>
        </w:rPr>
        <w:t xml:space="preserve"> de la torre puede también influir en la pérdida de linealidad de las torres, aunque de forma mucho menos relevante que la soldadura de las bridas.</w:t>
      </w:r>
    </w:p>
    <w:p w14:paraId="6DDB7ABB"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Debido a lo anteriormente expuesto en la tecnología de fabricación </w:t>
      </w:r>
      <w:r w:rsidR="00754882">
        <w:rPr>
          <w:rFonts w:ascii="Arial" w:eastAsia="Calibri" w:hAnsi="Arial" w:cs="Arial"/>
          <w:lang w:val="es-ES"/>
        </w:rPr>
        <w:t xml:space="preserve">se introduce como paso </w:t>
      </w:r>
      <w:r w:rsidRPr="002C2E73">
        <w:rPr>
          <w:rFonts w:ascii="Arial" w:eastAsia="Calibri" w:hAnsi="Arial" w:cs="Arial"/>
          <w:lang w:val="es-ES"/>
        </w:rPr>
        <w:t>obligatorio después de culminada la soldadura de la torre, es el refrentado de la brida con lo que se reducen grandemente los problemas de alineación.</w:t>
      </w:r>
    </w:p>
    <w:p w14:paraId="1800530B" w14:textId="3B55B589"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lastRenderedPageBreak/>
        <w:t xml:space="preserve">Los proyectistas y clientes establecieron que un criterio clave a controlar fuera que la desviación del eje en extremo superior de la torre (extremo libre del tramo de diámetro de 400 mm de la torre, opuesto al extremo unido a la brida) no sobrepasara en ningún caso los 50 </w:t>
      </w:r>
      <w:proofErr w:type="spellStart"/>
      <w:r w:rsidRPr="002C2E73">
        <w:rPr>
          <w:rFonts w:ascii="Arial" w:eastAsia="Calibri" w:hAnsi="Arial" w:cs="Arial"/>
          <w:lang w:val="es-ES"/>
        </w:rPr>
        <w:t>mm.</w:t>
      </w:r>
      <w:proofErr w:type="spellEnd"/>
      <w:r w:rsidRPr="002C2E73">
        <w:rPr>
          <w:rFonts w:ascii="Arial" w:eastAsia="Calibri" w:hAnsi="Arial" w:cs="Arial"/>
          <w:lang w:val="es-ES"/>
        </w:rPr>
        <w:t xml:space="preserve"> </w:t>
      </w:r>
    </w:p>
    <w:p w14:paraId="5F7E9141"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Para controlar la linealidad de la torre entonces se estableció una metodología que permite medir la desviación del eje de la torre en el extremo superior de la misma, la cual se expone a continuación.</w:t>
      </w:r>
    </w:p>
    <w:p w14:paraId="159756AA" w14:textId="3F70DF74" w:rsidR="002C2E73" w:rsidRPr="002C2E73" w:rsidRDefault="002C2E73" w:rsidP="00754882">
      <w:pPr>
        <w:spacing w:before="120" w:after="120" w:line="240" w:lineRule="auto"/>
        <w:jc w:val="both"/>
        <w:rPr>
          <w:rFonts w:ascii="Arial" w:eastAsia="Times New Roman" w:hAnsi="Arial" w:cs="Arial"/>
          <w:b/>
          <w:bCs/>
          <w:color w:val="000000"/>
          <w:lang w:val="es-ES"/>
        </w:rPr>
      </w:pPr>
      <w:bookmarkStart w:id="10" w:name="_Toc182773176"/>
      <w:r w:rsidRPr="002C2E73">
        <w:rPr>
          <w:rFonts w:ascii="Arial" w:eastAsia="Times New Roman" w:hAnsi="Arial" w:cs="Arial"/>
          <w:b/>
          <w:bCs/>
          <w:color w:val="000000"/>
          <w:lang w:val="es-ES"/>
        </w:rPr>
        <w:t>Cálculo de la desviación del eje de la torre en su extremo superior</w:t>
      </w:r>
      <w:bookmarkEnd w:id="10"/>
    </w:p>
    <w:p w14:paraId="69E46862"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Los dos tramos de la torre se ensamblan sobre el dispositivo soporte construido, girando una brida respecto a la otra hasta encontrar la posición en que a simple vista ambas caras de la brida se vean con mayor paralelismo. Se colocan y aprietan todos los tornillos de sujeción. </w:t>
      </w:r>
    </w:p>
    <w:p w14:paraId="7A857361"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Se gira la torre de manera que el extremo derecho alcance la posición más elevada y se toma el juego de lectura número 1, luego se gira la torre 90</w:t>
      </w:r>
      <w:r w:rsidRPr="002C2E73">
        <w:rPr>
          <w:rFonts w:ascii="Arial" w:eastAsia="Calibri" w:hAnsi="Arial" w:cs="Arial"/>
          <w:vertAlign w:val="superscript"/>
          <w:lang w:val="es-ES"/>
        </w:rPr>
        <w:t>o</w:t>
      </w:r>
      <w:r w:rsidRPr="002C2E73">
        <w:rPr>
          <w:rFonts w:ascii="Arial" w:eastAsia="Calibri" w:hAnsi="Arial" w:cs="Arial"/>
          <w:lang w:val="es-ES"/>
        </w:rPr>
        <w:t xml:space="preserve"> y se toma el juego de lecturas número 2. </w:t>
      </w:r>
    </w:p>
    <w:p w14:paraId="6CA85323" w14:textId="2389CFD2"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Para las mediciones se emplea un nivel laser que se coloca en el extremo superior izquierdo de la torre, de manera que el haz laser defina la línea horizontal que se toma como base de medición, que se observa en Figura </w:t>
      </w:r>
      <w:r w:rsidR="005F4555">
        <w:rPr>
          <w:rFonts w:ascii="Arial" w:eastAsia="Calibri" w:hAnsi="Arial" w:cs="Arial"/>
          <w:lang w:val="es-ES"/>
        </w:rPr>
        <w:t>7</w:t>
      </w:r>
      <w:r w:rsidRPr="002C2E73">
        <w:rPr>
          <w:rFonts w:ascii="Arial" w:eastAsia="Calibri" w:hAnsi="Arial" w:cs="Arial"/>
          <w:lang w:val="es-ES"/>
        </w:rPr>
        <w:t>. Luego se toman las distancias de esta línea laser hasta la superficie superior de la torre, identificadas con las letras “a”, “b”, “c”, “d”, con ayuda de una cinta métrica. Para la lectura de las mediciones siempre se toma el centro de la mancha del puntero laser.</w:t>
      </w:r>
    </w:p>
    <w:p w14:paraId="108A4C25"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00B791BD" wp14:editId="1D5EABCC">
            <wp:extent cx="5843904" cy="1241379"/>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3904" cy="1241379"/>
                    </a:xfrm>
                    <a:prstGeom prst="rect">
                      <a:avLst/>
                    </a:prstGeom>
                  </pic:spPr>
                </pic:pic>
              </a:graphicData>
            </a:graphic>
          </wp:inline>
        </w:drawing>
      </w:r>
    </w:p>
    <w:p w14:paraId="2497E69C" w14:textId="1E06E1BF" w:rsidR="002C2E73" w:rsidRPr="002C2E73" w:rsidRDefault="00CD0B6C" w:rsidP="002C2E73">
      <w:pPr>
        <w:spacing w:before="120" w:after="120" w:line="240" w:lineRule="auto"/>
        <w:jc w:val="both"/>
        <w:rPr>
          <w:rFonts w:ascii="Arial" w:eastAsia="Calibri" w:hAnsi="Arial" w:cs="Arial"/>
          <w:lang w:val="es-ES"/>
        </w:rPr>
      </w:pPr>
      <w:r>
        <w:rPr>
          <w:rFonts w:ascii="Arial" w:eastAsia="Calibri" w:hAnsi="Arial" w:cs="Arial"/>
          <w:lang w:val="es-ES"/>
        </w:rPr>
        <w:t xml:space="preserve">Figura </w:t>
      </w:r>
      <w:r w:rsidR="005F4555">
        <w:rPr>
          <w:rFonts w:ascii="Arial" w:eastAsia="Calibri" w:hAnsi="Arial" w:cs="Arial"/>
          <w:lang w:val="es-ES"/>
        </w:rPr>
        <w:t>7</w:t>
      </w:r>
      <w:r w:rsidR="002C2E73" w:rsidRPr="002C2E73">
        <w:rPr>
          <w:rFonts w:ascii="Arial" w:eastAsia="Calibri" w:hAnsi="Arial" w:cs="Arial"/>
          <w:lang w:val="es-ES"/>
        </w:rPr>
        <w:t>. Forma de realizar las mediciones en la torre.</w:t>
      </w:r>
    </w:p>
    <w:p w14:paraId="7276A6DE" w14:textId="77777777" w:rsidR="002C2E73" w:rsidRPr="002C2E73" w:rsidRDefault="002C2E73" w:rsidP="002C2E73">
      <w:pPr>
        <w:spacing w:before="120" w:after="120" w:line="240" w:lineRule="auto"/>
        <w:jc w:val="both"/>
        <w:rPr>
          <w:rFonts w:ascii="Arial" w:eastAsia="Calibri" w:hAnsi="Arial" w:cs="Arial"/>
          <w:lang w:val="es-ES"/>
        </w:rPr>
      </w:pPr>
    </w:p>
    <w:p w14:paraId="4CEC7554" w14:textId="10489EC2"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El cálculo de la desviación de la torre se realiza según esquema de la Figura </w:t>
      </w:r>
      <w:r w:rsidR="005F4555">
        <w:rPr>
          <w:rFonts w:ascii="Arial" w:eastAsia="Calibri" w:hAnsi="Arial" w:cs="Arial"/>
          <w:lang w:val="es-ES"/>
        </w:rPr>
        <w:t>8</w:t>
      </w:r>
      <w:r w:rsidRPr="002C2E73">
        <w:rPr>
          <w:rFonts w:ascii="Arial" w:eastAsia="Calibri" w:hAnsi="Arial" w:cs="Arial"/>
          <w:lang w:val="es-ES"/>
        </w:rPr>
        <w:t>. De este modo, a partir de las mediciones “a” y “b” se establece la posición exacta del eje del extremo izquierdo de la torre, y de “c” y “d” la posición del eje del extremo derecho. Finalmente se calcula la distancia del extremo del eje derecho de la torre respecto al eje del extremo izquierdo, que es el valor que se controla y se reporta (distancia identificada en rojo).</w:t>
      </w:r>
    </w:p>
    <w:p w14:paraId="265DF9E6"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53F16410" wp14:editId="6E988C91">
            <wp:extent cx="6400800" cy="9340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934085"/>
                    </a:xfrm>
                    <a:prstGeom prst="rect">
                      <a:avLst/>
                    </a:prstGeom>
                  </pic:spPr>
                </pic:pic>
              </a:graphicData>
            </a:graphic>
          </wp:inline>
        </w:drawing>
      </w:r>
    </w:p>
    <w:p w14:paraId="7E48B2FC" w14:textId="1F2290EE" w:rsidR="002C2E73" w:rsidRPr="002C2E73" w:rsidRDefault="00CD0B6C" w:rsidP="002C2E73">
      <w:pPr>
        <w:spacing w:before="120" w:after="120" w:line="240" w:lineRule="auto"/>
        <w:jc w:val="both"/>
        <w:rPr>
          <w:rFonts w:ascii="Arial" w:eastAsia="Calibri" w:hAnsi="Arial" w:cs="Arial"/>
          <w:lang w:val="es-ES"/>
        </w:rPr>
      </w:pPr>
      <w:r>
        <w:rPr>
          <w:rFonts w:ascii="Arial" w:eastAsia="Calibri" w:hAnsi="Arial" w:cs="Arial"/>
          <w:lang w:val="es-ES"/>
        </w:rPr>
        <w:t xml:space="preserve">Figura </w:t>
      </w:r>
      <w:r w:rsidR="005F4555">
        <w:rPr>
          <w:rFonts w:ascii="Arial" w:eastAsia="Calibri" w:hAnsi="Arial" w:cs="Arial"/>
          <w:lang w:val="es-ES"/>
        </w:rPr>
        <w:t>8</w:t>
      </w:r>
      <w:r w:rsidR="002C2E73" w:rsidRPr="002C2E73">
        <w:rPr>
          <w:rFonts w:ascii="Arial" w:eastAsia="Calibri" w:hAnsi="Arial" w:cs="Arial"/>
          <w:lang w:val="es-ES"/>
        </w:rPr>
        <w:t>. Esquema para el cálculo de la desviación en extremo de la torre.</w:t>
      </w:r>
    </w:p>
    <w:p w14:paraId="460763DC" w14:textId="77777777" w:rsidR="002C2E73" w:rsidRPr="002C2E73" w:rsidRDefault="002C2E73" w:rsidP="002C2E73">
      <w:pPr>
        <w:spacing w:before="120" w:after="120" w:line="240" w:lineRule="auto"/>
        <w:jc w:val="both"/>
        <w:rPr>
          <w:rFonts w:ascii="Arial" w:eastAsia="Calibri" w:hAnsi="Arial" w:cs="Arial"/>
          <w:lang w:val="es-ES"/>
        </w:rPr>
      </w:pPr>
    </w:p>
    <w:p w14:paraId="248EC192" w14:textId="59E80871" w:rsid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Como los ejes de ambos extremos de la torre son paralelos a la superficie exterior del mismo, el cálculo se realiza directamente en base a la posición de esta superficie, solo que sumando 100 mm a las dimensiones “a” y “b”. A continuación, se trazan las desviaciones de cada punto respecto a la horizontal, pero estableciendo como valor nulo la posición del punto extremo izquierdo.</w:t>
      </w:r>
    </w:p>
    <w:p w14:paraId="407BAD55" w14:textId="1EB3A9DB" w:rsidR="0044040C" w:rsidRPr="00BE3EE1" w:rsidRDefault="0044040C" w:rsidP="0044040C">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Finalmente, </w:t>
      </w:r>
      <w:r>
        <w:rPr>
          <w:rFonts w:ascii="Arial" w:eastAsia="Calibri" w:hAnsi="Arial" w:cs="Arial"/>
          <w:lang w:val="es-ES"/>
        </w:rPr>
        <w:t xml:space="preserve">el procedimiento establece que </w:t>
      </w:r>
      <w:r w:rsidRPr="002C2E73">
        <w:rPr>
          <w:rFonts w:ascii="Arial" w:eastAsia="Calibri" w:hAnsi="Arial" w:cs="Arial"/>
          <w:lang w:val="es-ES"/>
        </w:rPr>
        <w:t xml:space="preserve">una vez comprobado que la desviación queda en valores permisibles entonces se procede a realizar una ranura, mediante esmerilado, en ambos bordes de las bridas que indiquen la posición a la hora </w:t>
      </w:r>
      <w:r>
        <w:rPr>
          <w:rFonts w:ascii="Arial" w:eastAsia="Calibri" w:hAnsi="Arial" w:cs="Arial"/>
          <w:lang w:val="es-ES"/>
        </w:rPr>
        <w:t>del montaje final de la torre.</w:t>
      </w:r>
    </w:p>
    <w:p w14:paraId="3598C2F3" w14:textId="77777777" w:rsidR="0044040C" w:rsidRPr="002C2E73" w:rsidRDefault="0044040C" w:rsidP="002C2E73">
      <w:pPr>
        <w:spacing w:before="120" w:after="120" w:line="240" w:lineRule="auto"/>
        <w:jc w:val="both"/>
        <w:rPr>
          <w:rFonts w:ascii="Arial" w:eastAsia="Calibri" w:hAnsi="Arial" w:cs="Arial"/>
          <w:lang w:val="es-ES"/>
        </w:rPr>
      </w:pPr>
    </w:p>
    <w:p w14:paraId="64B7E73E" w14:textId="77777777" w:rsidR="00390F48" w:rsidRDefault="00390F48">
      <w:pPr>
        <w:rPr>
          <w:rFonts w:ascii="Arial" w:eastAsia="Calibri" w:hAnsi="Arial" w:cs="Arial"/>
          <w:b/>
          <w:bCs/>
          <w:lang w:val="es-ES"/>
        </w:rPr>
      </w:pPr>
      <w:r>
        <w:rPr>
          <w:rFonts w:ascii="Arial" w:eastAsia="Calibri" w:hAnsi="Arial" w:cs="Arial"/>
          <w:b/>
          <w:bCs/>
          <w:lang w:val="es-ES"/>
        </w:rPr>
        <w:br w:type="page"/>
      </w:r>
    </w:p>
    <w:p w14:paraId="622BEE96" w14:textId="44009098" w:rsidR="002C2E73" w:rsidRPr="002C2E73" w:rsidRDefault="002C2E73" w:rsidP="002C2E73">
      <w:pPr>
        <w:spacing w:before="120" w:after="120" w:line="240" w:lineRule="auto"/>
        <w:jc w:val="both"/>
        <w:rPr>
          <w:rFonts w:ascii="Arial" w:eastAsia="Calibri" w:hAnsi="Arial" w:cs="Arial"/>
          <w:b/>
          <w:bCs/>
          <w:lang w:val="es-ES"/>
        </w:rPr>
      </w:pPr>
      <w:r w:rsidRPr="002C2E73">
        <w:rPr>
          <w:rFonts w:ascii="Arial" w:eastAsia="Calibri" w:hAnsi="Arial" w:cs="Arial"/>
          <w:b/>
          <w:bCs/>
          <w:lang w:val="es-ES"/>
        </w:rPr>
        <w:lastRenderedPageBreak/>
        <w:t>Ejemplo de cálculo de desviación real de una torre:</w:t>
      </w:r>
    </w:p>
    <w:p w14:paraId="4A6CE455"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Tabla 3 Lecturas en ambos planos perpendiculares de la torre y cálculo de la desviación respecto a valor “a”.</w:t>
      </w:r>
    </w:p>
    <w:tbl>
      <w:tblPr>
        <w:tblStyle w:val="Tablaconcuadrcula"/>
        <w:tblW w:w="0" w:type="auto"/>
        <w:jc w:val="center"/>
        <w:tblLook w:val="04A0" w:firstRow="1" w:lastRow="0" w:firstColumn="1" w:lastColumn="0" w:noHBand="0" w:noVBand="1"/>
      </w:tblPr>
      <w:tblGrid>
        <w:gridCol w:w="1627"/>
        <w:gridCol w:w="1170"/>
        <w:gridCol w:w="1047"/>
        <w:gridCol w:w="1196"/>
        <w:gridCol w:w="1184"/>
      </w:tblGrid>
      <w:tr w:rsidR="002C2E73" w:rsidRPr="002C2E73" w14:paraId="04215BA6" w14:textId="77777777" w:rsidTr="00754882">
        <w:trPr>
          <w:jc w:val="center"/>
        </w:trPr>
        <w:tc>
          <w:tcPr>
            <w:tcW w:w="1627" w:type="dxa"/>
          </w:tcPr>
          <w:p w14:paraId="4E8063AD" w14:textId="77777777" w:rsidR="002C2E73" w:rsidRPr="002C2E73" w:rsidRDefault="002C2E73" w:rsidP="00DF4075">
            <w:pPr>
              <w:rPr>
                <w:rFonts w:eastAsia="Calibri" w:cs="Arial"/>
                <w:b/>
                <w:bCs/>
                <w:sz w:val="22"/>
              </w:rPr>
            </w:pPr>
          </w:p>
        </w:tc>
        <w:tc>
          <w:tcPr>
            <w:tcW w:w="1170" w:type="dxa"/>
          </w:tcPr>
          <w:p w14:paraId="2E7CB2AC" w14:textId="77777777" w:rsidR="002C2E73" w:rsidRPr="002C2E73" w:rsidRDefault="002C2E73" w:rsidP="00DF4075">
            <w:pPr>
              <w:rPr>
                <w:rFonts w:eastAsia="Calibri" w:cs="Arial"/>
                <w:b/>
                <w:bCs/>
                <w:sz w:val="22"/>
              </w:rPr>
            </w:pPr>
            <w:r w:rsidRPr="002C2E73">
              <w:rPr>
                <w:rFonts w:eastAsia="Calibri" w:cs="Arial"/>
                <w:b/>
                <w:bCs/>
                <w:sz w:val="22"/>
              </w:rPr>
              <w:t>a (mm)</w:t>
            </w:r>
          </w:p>
        </w:tc>
        <w:tc>
          <w:tcPr>
            <w:tcW w:w="1047" w:type="dxa"/>
          </w:tcPr>
          <w:p w14:paraId="00DF4DA0" w14:textId="77777777" w:rsidR="002C2E73" w:rsidRPr="002C2E73" w:rsidRDefault="00754882" w:rsidP="00DF4075">
            <w:pPr>
              <w:rPr>
                <w:rFonts w:eastAsia="Calibri" w:cs="Arial"/>
                <w:b/>
                <w:bCs/>
                <w:sz w:val="22"/>
              </w:rPr>
            </w:pPr>
            <w:r>
              <w:rPr>
                <w:rFonts w:eastAsia="Calibri" w:cs="Arial"/>
                <w:b/>
                <w:bCs/>
                <w:sz w:val="22"/>
              </w:rPr>
              <w:t xml:space="preserve">b </w:t>
            </w:r>
            <w:r w:rsidR="002C2E73" w:rsidRPr="002C2E73">
              <w:rPr>
                <w:rFonts w:eastAsia="Calibri" w:cs="Arial"/>
                <w:b/>
                <w:bCs/>
                <w:sz w:val="22"/>
              </w:rPr>
              <w:t>(mm)</w:t>
            </w:r>
          </w:p>
        </w:tc>
        <w:tc>
          <w:tcPr>
            <w:tcW w:w="1196" w:type="dxa"/>
          </w:tcPr>
          <w:p w14:paraId="11B19E23" w14:textId="77777777" w:rsidR="002C2E73" w:rsidRPr="002C2E73" w:rsidRDefault="00754882" w:rsidP="00DF4075">
            <w:pPr>
              <w:rPr>
                <w:rFonts w:eastAsia="Calibri" w:cs="Arial"/>
                <w:b/>
                <w:bCs/>
                <w:sz w:val="22"/>
              </w:rPr>
            </w:pPr>
            <w:r>
              <w:rPr>
                <w:rFonts w:eastAsia="Calibri" w:cs="Arial"/>
                <w:b/>
                <w:bCs/>
                <w:sz w:val="22"/>
              </w:rPr>
              <w:t xml:space="preserve">c </w:t>
            </w:r>
            <w:r w:rsidR="002C2E73" w:rsidRPr="002C2E73">
              <w:rPr>
                <w:rFonts w:eastAsia="Calibri" w:cs="Arial"/>
                <w:b/>
                <w:bCs/>
                <w:sz w:val="22"/>
              </w:rPr>
              <w:t>(mm)</w:t>
            </w:r>
          </w:p>
        </w:tc>
        <w:tc>
          <w:tcPr>
            <w:tcW w:w="1184" w:type="dxa"/>
          </w:tcPr>
          <w:p w14:paraId="660C623B" w14:textId="77777777" w:rsidR="002C2E73" w:rsidRPr="002C2E73" w:rsidRDefault="00754882" w:rsidP="00DF4075">
            <w:pPr>
              <w:rPr>
                <w:rFonts w:eastAsia="Calibri" w:cs="Arial"/>
                <w:b/>
                <w:bCs/>
                <w:sz w:val="22"/>
              </w:rPr>
            </w:pPr>
            <w:r>
              <w:rPr>
                <w:rFonts w:eastAsia="Calibri" w:cs="Arial"/>
                <w:b/>
                <w:bCs/>
                <w:sz w:val="22"/>
              </w:rPr>
              <w:t xml:space="preserve">d </w:t>
            </w:r>
            <w:r w:rsidR="002C2E73" w:rsidRPr="002C2E73">
              <w:rPr>
                <w:rFonts w:eastAsia="Calibri" w:cs="Arial"/>
                <w:b/>
                <w:bCs/>
                <w:sz w:val="22"/>
              </w:rPr>
              <w:t>(mm)</w:t>
            </w:r>
          </w:p>
        </w:tc>
      </w:tr>
      <w:tr w:rsidR="002C2E73" w:rsidRPr="002C2E73" w14:paraId="6C9D2260" w14:textId="77777777" w:rsidTr="00754882">
        <w:trPr>
          <w:jc w:val="center"/>
        </w:trPr>
        <w:tc>
          <w:tcPr>
            <w:tcW w:w="1627" w:type="dxa"/>
          </w:tcPr>
          <w:p w14:paraId="0EC5A1CF" w14:textId="77777777" w:rsidR="002C2E73" w:rsidRPr="002C2E73" w:rsidRDefault="002C2E73" w:rsidP="00DF4075">
            <w:pPr>
              <w:rPr>
                <w:rFonts w:eastAsia="Calibri" w:cs="Arial"/>
                <w:b/>
                <w:bCs/>
                <w:sz w:val="22"/>
              </w:rPr>
            </w:pPr>
            <w:r w:rsidRPr="002C2E73">
              <w:rPr>
                <w:rFonts w:eastAsia="Calibri" w:cs="Arial"/>
                <w:b/>
                <w:bCs/>
                <w:sz w:val="22"/>
              </w:rPr>
              <w:t>Lectura 1</w:t>
            </w:r>
          </w:p>
        </w:tc>
        <w:tc>
          <w:tcPr>
            <w:tcW w:w="1170" w:type="dxa"/>
          </w:tcPr>
          <w:p w14:paraId="4EDD4602" w14:textId="77777777" w:rsidR="002C2E73" w:rsidRPr="002C2E73" w:rsidRDefault="002C2E73" w:rsidP="00DF4075">
            <w:pPr>
              <w:rPr>
                <w:rFonts w:eastAsia="Calibri" w:cs="Arial"/>
                <w:sz w:val="22"/>
              </w:rPr>
            </w:pPr>
            <w:r w:rsidRPr="002C2E73">
              <w:rPr>
                <w:rFonts w:eastAsia="Calibri" w:cs="Arial"/>
                <w:sz w:val="22"/>
              </w:rPr>
              <w:t>119</w:t>
            </w:r>
          </w:p>
        </w:tc>
        <w:tc>
          <w:tcPr>
            <w:tcW w:w="1047" w:type="dxa"/>
          </w:tcPr>
          <w:p w14:paraId="19D3A354" w14:textId="77777777" w:rsidR="002C2E73" w:rsidRPr="002C2E73" w:rsidRDefault="002C2E73" w:rsidP="00DF4075">
            <w:pPr>
              <w:rPr>
                <w:rFonts w:eastAsia="Calibri" w:cs="Arial"/>
                <w:sz w:val="22"/>
              </w:rPr>
            </w:pPr>
            <w:r w:rsidRPr="002C2E73">
              <w:rPr>
                <w:rFonts w:eastAsia="Calibri" w:cs="Arial"/>
                <w:sz w:val="22"/>
              </w:rPr>
              <w:t>136</w:t>
            </w:r>
          </w:p>
        </w:tc>
        <w:tc>
          <w:tcPr>
            <w:tcW w:w="1196" w:type="dxa"/>
          </w:tcPr>
          <w:p w14:paraId="672D96DE" w14:textId="77777777" w:rsidR="002C2E73" w:rsidRPr="002C2E73" w:rsidRDefault="002C2E73" w:rsidP="00DF4075">
            <w:pPr>
              <w:rPr>
                <w:rFonts w:eastAsia="Calibri" w:cs="Arial"/>
                <w:sz w:val="22"/>
              </w:rPr>
            </w:pPr>
            <w:r w:rsidRPr="002C2E73">
              <w:rPr>
                <w:rFonts w:eastAsia="Calibri" w:cs="Arial"/>
                <w:sz w:val="22"/>
              </w:rPr>
              <w:t>244</w:t>
            </w:r>
          </w:p>
        </w:tc>
        <w:tc>
          <w:tcPr>
            <w:tcW w:w="1184" w:type="dxa"/>
          </w:tcPr>
          <w:p w14:paraId="5B01BC2E" w14:textId="77777777" w:rsidR="002C2E73" w:rsidRPr="002C2E73" w:rsidRDefault="002C2E73" w:rsidP="00DF4075">
            <w:pPr>
              <w:rPr>
                <w:rFonts w:eastAsia="Calibri" w:cs="Arial"/>
                <w:sz w:val="22"/>
              </w:rPr>
            </w:pPr>
            <w:r w:rsidRPr="002C2E73">
              <w:rPr>
                <w:rFonts w:eastAsia="Calibri" w:cs="Arial"/>
                <w:sz w:val="22"/>
              </w:rPr>
              <w:t>230</w:t>
            </w:r>
          </w:p>
        </w:tc>
      </w:tr>
      <w:tr w:rsidR="002C2E73" w:rsidRPr="002C2E73" w14:paraId="1AC35123" w14:textId="77777777" w:rsidTr="00754882">
        <w:trPr>
          <w:jc w:val="center"/>
        </w:trPr>
        <w:tc>
          <w:tcPr>
            <w:tcW w:w="1627" w:type="dxa"/>
          </w:tcPr>
          <w:p w14:paraId="633CABC4" w14:textId="77777777" w:rsidR="002C2E73" w:rsidRPr="002C2E73" w:rsidRDefault="002C2E73" w:rsidP="00DF4075">
            <w:pPr>
              <w:rPr>
                <w:rFonts w:eastAsia="Calibri" w:cs="Arial"/>
                <w:sz w:val="22"/>
              </w:rPr>
            </w:pPr>
            <w:r w:rsidRPr="002C2E73">
              <w:rPr>
                <w:rFonts w:eastAsia="Calibri" w:cs="Arial"/>
                <w:sz w:val="22"/>
              </w:rPr>
              <w:t>Desviación:</w:t>
            </w:r>
          </w:p>
        </w:tc>
        <w:tc>
          <w:tcPr>
            <w:tcW w:w="1170" w:type="dxa"/>
          </w:tcPr>
          <w:p w14:paraId="299677D0" w14:textId="77777777" w:rsidR="002C2E73" w:rsidRPr="002C2E73" w:rsidRDefault="002C2E73" w:rsidP="00DF4075">
            <w:pPr>
              <w:rPr>
                <w:rFonts w:eastAsia="Calibri" w:cs="Arial"/>
                <w:sz w:val="22"/>
              </w:rPr>
            </w:pPr>
          </w:p>
        </w:tc>
        <w:tc>
          <w:tcPr>
            <w:tcW w:w="1047" w:type="dxa"/>
          </w:tcPr>
          <w:p w14:paraId="0C7F38D6" w14:textId="77777777" w:rsidR="002C2E73" w:rsidRPr="002C2E73" w:rsidRDefault="002C2E73" w:rsidP="00DF4075">
            <w:pPr>
              <w:rPr>
                <w:rFonts w:eastAsia="Calibri" w:cs="Arial"/>
                <w:sz w:val="22"/>
              </w:rPr>
            </w:pPr>
            <w:r w:rsidRPr="002C2E73">
              <w:rPr>
                <w:rFonts w:eastAsia="Calibri" w:cs="Arial"/>
                <w:sz w:val="22"/>
              </w:rPr>
              <w:t>-17</w:t>
            </w:r>
          </w:p>
        </w:tc>
        <w:tc>
          <w:tcPr>
            <w:tcW w:w="1196" w:type="dxa"/>
          </w:tcPr>
          <w:p w14:paraId="07B42E28" w14:textId="77777777" w:rsidR="002C2E73" w:rsidRPr="002C2E73" w:rsidRDefault="002C2E73" w:rsidP="00DF4075">
            <w:pPr>
              <w:rPr>
                <w:rFonts w:eastAsia="Calibri" w:cs="Arial"/>
                <w:sz w:val="22"/>
              </w:rPr>
            </w:pPr>
            <w:r w:rsidRPr="002C2E73">
              <w:rPr>
                <w:rFonts w:eastAsia="Calibri" w:cs="Arial"/>
                <w:sz w:val="22"/>
              </w:rPr>
              <w:t>25</w:t>
            </w:r>
          </w:p>
        </w:tc>
        <w:tc>
          <w:tcPr>
            <w:tcW w:w="1184" w:type="dxa"/>
          </w:tcPr>
          <w:p w14:paraId="265B61CA" w14:textId="77777777" w:rsidR="002C2E73" w:rsidRPr="002C2E73" w:rsidRDefault="002C2E73" w:rsidP="00DF4075">
            <w:pPr>
              <w:rPr>
                <w:rFonts w:eastAsia="Calibri" w:cs="Arial"/>
                <w:sz w:val="22"/>
              </w:rPr>
            </w:pPr>
            <w:r w:rsidRPr="002C2E73">
              <w:rPr>
                <w:rFonts w:eastAsia="Calibri" w:cs="Arial"/>
                <w:sz w:val="22"/>
              </w:rPr>
              <w:t>-11</w:t>
            </w:r>
          </w:p>
        </w:tc>
      </w:tr>
      <w:tr w:rsidR="002C2E73" w:rsidRPr="002C2E73" w14:paraId="317342F4" w14:textId="77777777" w:rsidTr="00754882">
        <w:trPr>
          <w:jc w:val="center"/>
        </w:trPr>
        <w:tc>
          <w:tcPr>
            <w:tcW w:w="1627" w:type="dxa"/>
          </w:tcPr>
          <w:p w14:paraId="520C5B85" w14:textId="77777777" w:rsidR="002C2E73" w:rsidRPr="002C2E73" w:rsidRDefault="002C2E73" w:rsidP="00DF4075">
            <w:pPr>
              <w:rPr>
                <w:rFonts w:eastAsia="Calibri" w:cs="Arial"/>
                <w:b/>
                <w:bCs/>
                <w:sz w:val="22"/>
              </w:rPr>
            </w:pPr>
            <w:r w:rsidRPr="002C2E73">
              <w:rPr>
                <w:rFonts w:eastAsia="Calibri" w:cs="Arial"/>
                <w:b/>
                <w:bCs/>
                <w:sz w:val="22"/>
              </w:rPr>
              <w:t>Lectura 2</w:t>
            </w:r>
          </w:p>
        </w:tc>
        <w:tc>
          <w:tcPr>
            <w:tcW w:w="1170" w:type="dxa"/>
          </w:tcPr>
          <w:p w14:paraId="3F1FD2CF" w14:textId="77777777" w:rsidR="002C2E73" w:rsidRPr="002C2E73" w:rsidRDefault="002C2E73" w:rsidP="00DF4075">
            <w:pPr>
              <w:rPr>
                <w:rFonts w:eastAsia="Calibri" w:cs="Arial"/>
                <w:sz w:val="22"/>
              </w:rPr>
            </w:pPr>
            <w:r w:rsidRPr="002C2E73">
              <w:rPr>
                <w:rFonts w:eastAsia="Calibri" w:cs="Arial"/>
                <w:sz w:val="22"/>
              </w:rPr>
              <w:t>119</w:t>
            </w:r>
          </w:p>
        </w:tc>
        <w:tc>
          <w:tcPr>
            <w:tcW w:w="1047" w:type="dxa"/>
          </w:tcPr>
          <w:p w14:paraId="42E732B4" w14:textId="77777777" w:rsidR="002C2E73" w:rsidRPr="002C2E73" w:rsidRDefault="002C2E73" w:rsidP="00DF4075">
            <w:pPr>
              <w:rPr>
                <w:rFonts w:eastAsia="Calibri" w:cs="Arial"/>
                <w:sz w:val="22"/>
              </w:rPr>
            </w:pPr>
            <w:r w:rsidRPr="002C2E73">
              <w:rPr>
                <w:rFonts w:eastAsia="Calibri" w:cs="Arial"/>
                <w:sz w:val="22"/>
              </w:rPr>
              <w:t>111</w:t>
            </w:r>
          </w:p>
        </w:tc>
        <w:tc>
          <w:tcPr>
            <w:tcW w:w="1196" w:type="dxa"/>
          </w:tcPr>
          <w:p w14:paraId="3A91059F" w14:textId="77777777" w:rsidR="002C2E73" w:rsidRPr="002C2E73" w:rsidRDefault="002C2E73" w:rsidP="00DF4075">
            <w:pPr>
              <w:rPr>
                <w:rFonts w:eastAsia="Calibri" w:cs="Arial"/>
                <w:sz w:val="22"/>
              </w:rPr>
            </w:pPr>
            <w:r w:rsidRPr="002C2E73">
              <w:rPr>
                <w:rFonts w:eastAsia="Calibri" w:cs="Arial"/>
                <w:sz w:val="22"/>
              </w:rPr>
              <w:t>211</w:t>
            </w:r>
          </w:p>
        </w:tc>
        <w:tc>
          <w:tcPr>
            <w:tcW w:w="1184" w:type="dxa"/>
          </w:tcPr>
          <w:p w14:paraId="6891839E" w14:textId="77777777" w:rsidR="002C2E73" w:rsidRPr="002C2E73" w:rsidRDefault="002C2E73" w:rsidP="00DF4075">
            <w:pPr>
              <w:rPr>
                <w:rFonts w:eastAsia="Calibri" w:cs="Arial"/>
                <w:sz w:val="22"/>
              </w:rPr>
            </w:pPr>
            <w:r w:rsidRPr="002C2E73">
              <w:rPr>
                <w:rFonts w:eastAsia="Calibri" w:cs="Arial"/>
                <w:sz w:val="22"/>
              </w:rPr>
              <w:t>203</w:t>
            </w:r>
          </w:p>
        </w:tc>
      </w:tr>
      <w:tr w:rsidR="002C2E73" w:rsidRPr="002C2E73" w14:paraId="4C982BAB" w14:textId="77777777" w:rsidTr="00754882">
        <w:trPr>
          <w:jc w:val="center"/>
        </w:trPr>
        <w:tc>
          <w:tcPr>
            <w:tcW w:w="1627" w:type="dxa"/>
          </w:tcPr>
          <w:p w14:paraId="2DDC5C77" w14:textId="77777777" w:rsidR="002C2E73" w:rsidRPr="002C2E73" w:rsidRDefault="002C2E73" w:rsidP="00DF4075">
            <w:pPr>
              <w:rPr>
                <w:rFonts w:eastAsia="Calibri" w:cs="Arial"/>
                <w:sz w:val="22"/>
              </w:rPr>
            </w:pPr>
            <w:r w:rsidRPr="002C2E73">
              <w:rPr>
                <w:rFonts w:eastAsia="Calibri" w:cs="Arial"/>
                <w:sz w:val="22"/>
              </w:rPr>
              <w:t>Desviación:</w:t>
            </w:r>
          </w:p>
        </w:tc>
        <w:tc>
          <w:tcPr>
            <w:tcW w:w="1170" w:type="dxa"/>
          </w:tcPr>
          <w:p w14:paraId="79D40231" w14:textId="77777777" w:rsidR="002C2E73" w:rsidRPr="002C2E73" w:rsidRDefault="002C2E73" w:rsidP="00DF4075">
            <w:pPr>
              <w:rPr>
                <w:rFonts w:eastAsia="Calibri" w:cs="Arial"/>
                <w:sz w:val="22"/>
              </w:rPr>
            </w:pPr>
          </w:p>
        </w:tc>
        <w:tc>
          <w:tcPr>
            <w:tcW w:w="1047" w:type="dxa"/>
          </w:tcPr>
          <w:p w14:paraId="5564FE25" w14:textId="77777777" w:rsidR="002C2E73" w:rsidRPr="002C2E73" w:rsidRDefault="002C2E73" w:rsidP="00DF4075">
            <w:pPr>
              <w:rPr>
                <w:rFonts w:eastAsia="Calibri" w:cs="Arial"/>
                <w:sz w:val="22"/>
              </w:rPr>
            </w:pPr>
            <w:r w:rsidRPr="002C2E73">
              <w:rPr>
                <w:rFonts w:eastAsia="Calibri" w:cs="Arial"/>
                <w:sz w:val="22"/>
              </w:rPr>
              <w:t>8</w:t>
            </w:r>
          </w:p>
        </w:tc>
        <w:tc>
          <w:tcPr>
            <w:tcW w:w="1196" w:type="dxa"/>
          </w:tcPr>
          <w:p w14:paraId="1E76C475" w14:textId="77777777" w:rsidR="002C2E73" w:rsidRPr="002C2E73" w:rsidRDefault="002C2E73" w:rsidP="00DF4075">
            <w:pPr>
              <w:rPr>
                <w:rFonts w:eastAsia="Calibri" w:cs="Arial"/>
                <w:sz w:val="22"/>
              </w:rPr>
            </w:pPr>
            <w:r w:rsidRPr="002C2E73">
              <w:rPr>
                <w:rFonts w:eastAsia="Calibri" w:cs="Arial"/>
                <w:sz w:val="22"/>
              </w:rPr>
              <w:t>8</w:t>
            </w:r>
          </w:p>
        </w:tc>
        <w:tc>
          <w:tcPr>
            <w:tcW w:w="1184" w:type="dxa"/>
          </w:tcPr>
          <w:p w14:paraId="4D5B8F60" w14:textId="77777777" w:rsidR="002C2E73" w:rsidRPr="002C2E73" w:rsidRDefault="002C2E73" w:rsidP="00DF4075">
            <w:pPr>
              <w:rPr>
                <w:rFonts w:eastAsia="Calibri" w:cs="Arial"/>
                <w:sz w:val="22"/>
              </w:rPr>
            </w:pPr>
            <w:r w:rsidRPr="002C2E73">
              <w:rPr>
                <w:rFonts w:eastAsia="Calibri" w:cs="Arial"/>
                <w:sz w:val="22"/>
              </w:rPr>
              <w:t>16</w:t>
            </w:r>
          </w:p>
        </w:tc>
      </w:tr>
    </w:tbl>
    <w:p w14:paraId="04D01824" w14:textId="77777777" w:rsidR="002C2E73" w:rsidRPr="002C2E73" w:rsidRDefault="002C2E73" w:rsidP="002C2E73">
      <w:pPr>
        <w:spacing w:before="120" w:after="120" w:line="240" w:lineRule="auto"/>
        <w:jc w:val="both"/>
        <w:rPr>
          <w:rFonts w:ascii="Arial" w:eastAsia="Calibri" w:hAnsi="Arial" w:cs="Arial"/>
          <w:lang w:val="es-ES"/>
        </w:rPr>
      </w:pPr>
    </w:p>
    <w:p w14:paraId="3E3AC876" w14:textId="78200E4D"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Cálculo para lectura 1:</w:t>
      </w:r>
    </w:p>
    <w:p w14:paraId="70293739"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6D559B99" wp14:editId="083F1F6B">
            <wp:extent cx="6400800" cy="15671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1567180"/>
                    </a:xfrm>
                    <a:prstGeom prst="rect">
                      <a:avLst/>
                    </a:prstGeom>
                  </pic:spPr>
                </pic:pic>
              </a:graphicData>
            </a:graphic>
          </wp:inline>
        </w:drawing>
      </w:r>
    </w:p>
    <w:p w14:paraId="7838762C" w14:textId="76A1A62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Figura </w:t>
      </w:r>
      <w:r w:rsidR="005F4555">
        <w:rPr>
          <w:rFonts w:ascii="Arial" w:eastAsia="Calibri" w:hAnsi="Arial" w:cs="Arial"/>
          <w:lang w:val="es-ES"/>
        </w:rPr>
        <w:t>9</w:t>
      </w:r>
      <w:r w:rsidRPr="002C2E73">
        <w:rPr>
          <w:rFonts w:ascii="Arial" w:eastAsia="Calibri" w:hAnsi="Arial" w:cs="Arial"/>
          <w:lang w:val="es-ES"/>
        </w:rPr>
        <w:t xml:space="preserve">. Establecimiento de las desviaciones respecto a la horizontal y posición del eje de cada tramo de la torre. </w:t>
      </w:r>
    </w:p>
    <w:p w14:paraId="7529B8B8"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Cálculo de distancia “x” del eje de mitad izquierda de la torre a extremo de derecho de eje de mitad derecha:</w:t>
      </w:r>
    </w:p>
    <w:p w14:paraId="5CA06054" w14:textId="77777777" w:rsidR="002C2E73" w:rsidRPr="002C2E73" w:rsidRDefault="00FA79BA" w:rsidP="002C2E73">
      <w:pPr>
        <w:spacing w:before="120" w:after="120" w:line="240" w:lineRule="auto"/>
        <w:jc w:val="both"/>
        <w:rPr>
          <w:rFonts w:ascii="Arial" w:eastAsia="Times New Roman" w:hAnsi="Arial" w:cs="Arial"/>
          <w:lang w:val="es-ES"/>
        </w:rPr>
      </w:pPr>
      <m:oMathPara>
        <m:oMathParaPr>
          <m:jc m:val="left"/>
        </m:oMathParaPr>
        <m:oMath>
          <m:f>
            <m:fPr>
              <m:ctrlPr>
                <w:rPr>
                  <w:rFonts w:ascii="Cambria Math" w:eastAsia="Calibri" w:hAnsi="Cambria Math" w:cs="Arial"/>
                  <w:i/>
                  <w:lang w:val="es-ES"/>
                </w:rPr>
              </m:ctrlPr>
            </m:fPr>
            <m:num>
              <m:r>
                <w:rPr>
                  <w:rFonts w:ascii="Cambria Math" w:eastAsia="Calibri" w:hAnsi="Cambria Math" w:cs="Arial"/>
                  <w:lang w:val="es-ES"/>
                </w:rPr>
                <m:t>17</m:t>
              </m:r>
            </m:num>
            <m:den>
              <m:r>
                <w:rPr>
                  <w:rFonts w:ascii="Cambria Math" w:eastAsia="Calibri" w:hAnsi="Cambria Math" w:cs="Arial"/>
                  <w:lang w:val="es-ES"/>
                </w:rPr>
                <m:t>11000</m:t>
              </m:r>
            </m:den>
          </m:f>
          <m:r>
            <w:rPr>
              <w:rFonts w:ascii="Cambria Math" w:eastAsia="Calibri" w:hAnsi="Cambria Math" w:cs="Arial"/>
              <w:lang w:val="es-ES"/>
            </w:rPr>
            <m:t>=</m:t>
          </m:r>
          <m:f>
            <m:fPr>
              <m:ctrlPr>
                <w:rPr>
                  <w:rFonts w:ascii="Cambria Math" w:eastAsia="Calibri" w:hAnsi="Cambria Math" w:cs="Arial"/>
                  <w:i/>
                  <w:lang w:val="es-ES"/>
                </w:rPr>
              </m:ctrlPr>
            </m:fPr>
            <m:num>
              <m:r>
                <w:rPr>
                  <w:rFonts w:ascii="Cambria Math" w:eastAsia="Calibri" w:hAnsi="Cambria Math" w:cs="Arial"/>
                  <w:lang w:val="es-ES"/>
                </w:rPr>
                <m:t>x</m:t>
              </m:r>
            </m:num>
            <m:den>
              <m:r>
                <w:rPr>
                  <w:rFonts w:ascii="Cambria Math" w:eastAsia="Calibri" w:hAnsi="Cambria Math" w:cs="Arial"/>
                  <w:lang w:val="es-ES"/>
                </w:rPr>
                <m:t>21000</m:t>
              </m:r>
            </m:den>
          </m:f>
          <m:r>
            <w:rPr>
              <w:rFonts w:ascii="Cambria Math" w:eastAsia="Calibri" w:hAnsi="Cambria Math" w:cs="Arial"/>
              <w:lang w:val="es-ES"/>
            </w:rPr>
            <m:t>;x=32,4 mm</m:t>
          </m:r>
        </m:oMath>
      </m:oMathPara>
    </w:p>
    <w:p w14:paraId="0F9C6F87" w14:textId="77777777" w:rsidR="002C2E73" w:rsidRPr="002C2E73" w:rsidRDefault="002C2E73" w:rsidP="002C2E73">
      <w:pPr>
        <w:spacing w:before="120" w:after="120" w:line="240" w:lineRule="auto"/>
        <w:jc w:val="both"/>
        <w:rPr>
          <w:rFonts w:ascii="Arial" w:eastAsia="Times New Roman" w:hAnsi="Arial" w:cs="Arial"/>
          <w:lang w:val="es-ES"/>
        </w:rPr>
      </w:pPr>
      <w:r w:rsidRPr="002C2E73">
        <w:rPr>
          <w:rFonts w:ascii="Arial" w:eastAsia="Times New Roman" w:hAnsi="Arial" w:cs="Arial"/>
          <w:lang w:val="es-ES"/>
        </w:rPr>
        <w:t xml:space="preserve">Desviación de extremo de torre en este plano es de </w:t>
      </w:r>
      <w:r w:rsidRPr="002C2E73">
        <w:rPr>
          <w:rFonts w:ascii="Arial" w:eastAsia="Times New Roman" w:hAnsi="Arial" w:cs="Arial"/>
          <w:b/>
          <w:bCs/>
          <w:lang w:val="es-ES"/>
        </w:rPr>
        <w:t>21,45 mm</w:t>
      </w:r>
      <w:r w:rsidRPr="002C2E73">
        <w:rPr>
          <w:rFonts w:ascii="Arial" w:eastAsia="Times New Roman" w:hAnsi="Arial" w:cs="Arial"/>
          <w:lang w:val="es-ES"/>
        </w:rPr>
        <w:t xml:space="preserve"> (32,4 mm – 11 mm).</w:t>
      </w:r>
    </w:p>
    <w:p w14:paraId="7F6F4EED" w14:textId="77777777" w:rsidR="002C2E73" w:rsidRPr="002C2E73" w:rsidRDefault="002C2E73" w:rsidP="002C2E73">
      <w:pPr>
        <w:spacing w:before="120" w:after="120" w:line="240" w:lineRule="auto"/>
        <w:jc w:val="both"/>
        <w:rPr>
          <w:rFonts w:ascii="Arial" w:eastAsia="Calibri" w:hAnsi="Arial" w:cs="Arial"/>
          <w:lang w:val="es-ES"/>
        </w:rPr>
      </w:pPr>
    </w:p>
    <w:p w14:paraId="6C33E5D6"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Cálculo para lectura 2:</w:t>
      </w:r>
    </w:p>
    <w:p w14:paraId="1E0539CE"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drawing>
          <wp:inline distT="0" distB="0" distL="0" distR="0" wp14:anchorId="78A4EF75" wp14:editId="6A83666B">
            <wp:extent cx="6400800" cy="12807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1280795"/>
                    </a:xfrm>
                    <a:prstGeom prst="rect">
                      <a:avLst/>
                    </a:prstGeom>
                  </pic:spPr>
                </pic:pic>
              </a:graphicData>
            </a:graphic>
          </wp:inline>
        </w:drawing>
      </w:r>
    </w:p>
    <w:p w14:paraId="49875F70" w14:textId="6FC9E842"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Figura </w:t>
      </w:r>
      <w:r w:rsidR="005F4555">
        <w:rPr>
          <w:rFonts w:ascii="Arial" w:eastAsia="Calibri" w:hAnsi="Arial" w:cs="Arial"/>
          <w:lang w:val="es-ES"/>
        </w:rPr>
        <w:t>10</w:t>
      </w:r>
      <w:r w:rsidRPr="002C2E73">
        <w:rPr>
          <w:rFonts w:ascii="Arial" w:eastAsia="Calibri" w:hAnsi="Arial" w:cs="Arial"/>
          <w:lang w:val="es-ES"/>
        </w:rPr>
        <w:t xml:space="preserve">. Establecimiento de las desviaciones respecto a la horizontal y posición del eje de cada tramo de la torre. </w:t>
      </w:r>
    </w:p>
    <w:p w14:paraId="69653017" w14:textId="77777777" w:rsidR="002C2E73" w:rsidRPr="002C2E73" w:rsidRDefault="002C2E73" w:rsidP="002C2E73">
      <w:pPr>
        <w:spacing w:before="120" w:after="120" w:line="240" w:lineRule="auto"/>
        <w:jc w:val="both"/>
        <w:rPr>
          <w:rFonts w:ascii="Arial" w:eastAsia="Calibri" w:hAnsi="Arial" w:cs="Arial"/>
          <w:lang w:val="es-ES"/>
        </w:rPr>
      </w:pPr>
    </w:p>
    <w:p w14:paraId="69F2CB7A"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Cálculo de distancia “x” del eje de mitad izquierda de la torre a extremo de derecho de eje de mitad derecha:</w:t>
      </w:r>
    </w:p>
    <w:p w14:paraId="22750175" w14:textId="77777777" w:rsidR="002C2E73" w:rsidRPr="002C2E73" w:rsidRDefault="00FA79BA" w:rsidP="002C2E73">
      <w:pPr>
        <w:spacing w:before="120" w:after="120" w:line="240" w:lineRule="auto"/>
        <w:jc w:val="both"/>
        <w:rPr>
          <w:rFonts w:ascii="Arial" w:eastAsia="Times New Roman" w:hAnsi="Arial" w:cs="Arial"/>
          <w:lang w:val="es-ES"/>
        </w:rPr>
      </w:pPr>
      <m:oMathPara>
        <m:oMathParaPr>
          <m:jc m:val="left"/>
        </m:oMathParaPr>
        <m:oMath>
          <m:f>
            <m:fPr>
              <m:ctrlPr>
                <w:rPr>
                  <w:rFonts w:ascii="Cambria Math" w:eastAsia="Calibri" w:hAnsi="Cambria Math" w:cs="Arial"/>
                  <w:i/>
                  <w:lang w:val="es-ES"/>
                </w:rPr>
              </m:ctrlPr>
            </m:fPr>
            <m:num>
              <m:r>
                <w:rPr>
                  <w:rFonts w:ascii="Cambria Math" w:eastAsia="Calibri" w:hAnsi="Cambria Math" w:cs="Arial"/>
                  <w:lang w:val="es-ES"/>
                </w:rPr>
                <m:t>8</m:t>
              </m:r>
            </m:num>
            <m:den>
              <m:r>
                <w:rPr>
                  <w:rFonts w:ascii="Cambria Math" w:eastAsia="Calibri" w:hAnsi="Cambria Math" w:cs="Arial"/>
                  <w:lang w:val="es-ES"/>
                </w:rPr>
                <m:t>11000</m:t>
              </m:r>
            </m:den>
          </m:f>
          <m:r>
            <w:rPr>
              <w:rFonts w:ascii="Cambria Math" w:eastAsia="Calibri" w:hAnsi="Cambria Math" w:cs="Arial"/>
              <w:lang w:val="es-ES"/>
            </w:rPr>
            <m:t>=</m:t>
          </m:r>
          <m:f>
            <m:fPr>
              <m:ctrlPr>
                <w:rPr>
                  <w:rFonts w:ascii="Cambria Math" w:eastAsia="Calibri" w:hAnsi="Cambria Math" w:cs="Arial"/>
                  <w:i/>
                  <w:lang w:val="es-ES"/>
                </w:rPr>
              </m:ctrlPr>
            </m:fPr>
            <m:num>
              <m:r>
                <w:rPr>
                  <w:rFonts w:ascii="Cambria Math" w:eastAsia="Calibri" w:hAnsi="Cambria Math" w:cs="Arial"/>
                  <w:lang w:val="es-ES"/>
                </w:rPr>
                <m:t>x</m:t>
              </m:r>
            </m:num>
            <m:den>
              <m:r>
                <w:rPr>
                  <w:rFonts w:ascii="Cambria Math" w:eastAsia="Calibri" w:hAnsi="Cambria Math" w:cs="Arial"/>
                  <w:lang w:val="es-ES"/>
                </w:rPr>
                <m:t>21000</m:t>
              </m:r>
            </m:den>
          </m:f>
          <m:r>
            <w:rPr>
              <w:rFonts w:ascii="Cambria Math" w:eastAsia="Calibri" w:hAnsi="Cambria Math" w:cs="Arial"/>
              <w:lang w:val="es-ES"/>
            </w:rPr>
            <m:t>;x=15,3 mm</m:t>
          </m:r>
        </m:oMath>
      </m:oMathPara>
    </w:p>
    <w:p w14:paraId="7DC59BD3" w14:textId="77777777" w:rsidR="002C2E73" w:rsidRPr="002C2E73" w:rsidRDefault="002C2E73" w:rsidP="002C2E73">
      <w:pPr>
        <w:spacing w:before="120" w:after="120" w:line="240" w:lineRule="auto"/>
        <w:jc w:val="both"/>
        <w:rPr>
          <w:rFonts w:ascii="Arial" w:eastAsia="Times New Roman" w:hAnsi="Arial" w:cs="Arial"/>
          <w:lang w:val="es-ES"/>
        </w:rPr>
      </w:pPr>
      <w:r w:rsidRPr="002C2E73">
        <w:rPr>
          <w:rFonts w:ascii="Arial" w:eastAsia="Times New Roman" w:hAnsi="Arial" w:cs="Arial"/>
          <w:lang w:val="es-ES"/>
        </w:rPr>
        <w:t xml:space="preserve">Desviación </w:t>
      </w:r>
      <w:r w:rsidRPr="002C2E73">
        <w:rPr>
          <w:rFonts w:ascii="Arial" w:eastAsia="Calibri" w:hAnsi="Arial" w:cs="Arial"/>
          <w:lang w:val="es-ES"/>
        </w:rPr>
        <w:t>de la torre</w:t>
      </w:r>
      <w:r w:rsidRPr="002C2E73">
        <w:rPr>
          <w:rFonts w:ascii="Arial" w:eastAsia="Times New Roman" w:hAnsi="Arial" w:cs="Arial"/>
          <w:lang w:val="es-ES"/>
        </w:rPr>
        <w:t xml:space="preserve"> en este plano es de </w:t>
      </w:r>
      <w:r w:rsidRPr="002C2E73">
        <w:rPr>
          <w:rFonts w:ascii="Arial" w:eastAsia="Times New Roman" w:hAnsi="Arial" w:cs="Arial"/>
          <w:b/>
          <w:bCs/>
          <w:lang w:val="es-ES"/>
        </w:rPr>
        <w:t>0,73 mm</w:t>
      </w:r>
      <w:r w:rsidRPr="002C2E73">
        <w:rPr>
          <w:rFonts w:ascii="Arial" w:eastAsia="Times New Roman" w:hAnsi="Arial" w:cs="Arial"/>
          <w:lang w:val="es-ES"/>
        </w:rPr>
        <w:t xml:space="preserve"> (16 mm – 15,3 mm). </w:t>
      </w:r>
    </w:p>
    <w:p w14:paraId="20F7E1F1" w14:textId="77777777"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El cálculo de la desviación total del extremo de la torre respecto a eje del tramo izquierdo se calcula aplicando Pitágoras:</w:t>
      </w:r>
    </w:p>
    <w:p w14:paraId="60A3B0CB" w14:textId="77777777" w:rsidR="002C2E73" w:rsidRPr="002C2E73" w:rsidRDefault="002C2E73" w:rsidP="002C2E73">
      <w:pPr>
        <w:spacing w:before="120" w:after="120" w:line="240" w:lineRule="auto"/>
        <w:jc w:val="center"/>
        <w:rPr>
          <w:rFonts w:ascii="Arial" w:eastAsia="Calibri" w:hAnsi="Arial" w:cs="Arial"/>
          <w:lang w:val="es-ES"/>
        </w:rPr>
      </w:pPr>
      <w:r w:rsidRPr="002C2E73">
        <w:rPr>
          <w:rFonts w:ascii="Arial" w:eastAsia="Calibri" w:hAnsi="Arial" w:cs="Arial"/>
          <w:noProof/>
          <w:lang w:eastAsia="es-US"/>
        </w:rPr>
        <w:lastRenderedPageBreak/>
        <w:drawing>
          <wp:inline distT="0" distB="0" distL="0" distR="0" wp14:anchorId="4DFD0E15" wp14:editId="00121519">
            <wp:extent cx="3175493" cy="1831589"/>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5493" cy="1831589"/>
                    </a:xfrm>
                    <a:prstGeom prst="rect">
                      <a:avLst/>
                    </a:prstGeom>
                  </pic:spPr>
                </pic:pic>
              </a:graphicData>
            </a:graphic>
          </wp:inline>
        </w:drawing>
      </w:r>
    </w:p>
    <w:p w14:paraId="02C23836" w14:textId="448A83CA"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Figura </w:t>
      </w:r>
      <w:r w:rsidR="00676BE0">
        <w:rPr>
          <w:rFonts w:ascii="Arial" w:eastAsia="Calibri" w:hAnsi="Arial" w:cs="Arial"/>
          <w:lang w:val="es-ES"/>
        </w:rPr>
        <w:t>1</w:t>
      </w:r>
      <w:r w:rsidR="005F4555">
        <w:rPr>
          <w:rFonts w:ascii="Arial" w:eastAsia="Calibri" w:hAnsi="Arial" w:cs="Arial"/>
          <w:lang w:val="es-ES"/>
        </w:rPr>
        <w:t>1</w:t>
      </w:r>
      <w:r w:rsidRPr="002C2E73">
        <w:rPr>
          <w:rFonts w:ascii="Arial" w:eastAsia="Calibri" w:hAnsi="Arial" w:cs="Arial"/>
          <w:lang w:val="es-ES"/>
        </w:rPr>
        <w:t>. Cálculo de desviación resultante</w:t>
      </w:r>
    </w:p>
    <w:p w14:paraId="6FF328A3" w14:textId="77777777" w:rsidR="002C2E73" w:rsidRPr="002C2E73" w:rsidRDefault="002C2E73" w:rsidP="002C2E73">
      <w:pPr>
        <w:spacing w:before="120" w:after="120" w:line="240" w:lineRule="auto"/>
        <w:jc w:val="both"/>
        <w:rPr>
          <w:rFonts w:ascii="Arial" w:eastAsia="Calibri" w:hAnsi="Arial" w:cs="Arial"/>
          <w:lang w:val="es-ES"/>
        </w:rPr>
      </w:pPr>
    </w:p>
    <w:p w14:paraId="5E6AD7D2" w14:textId="77777777" w:rsidR="002C2E73" w:rsidRPr="002C2E73" w:rsidRDefault="002C2E73" w:rsidP="002C2E73">
      <w:pPr>
        <w:spacing w:before="120" w:after="120" w:line="240" w:lineRule="auto"/>
        <w:jc w:val="both"/>
        <w:rPr>
          <w:rFonts w:ascii="Arial" w:eastAsia="Calibri" w:hAnsi="Arial" w:cs="Arial"/>
          <w:lang w:val="es-ES"/>
        </w:rPr>
      </w:pPr>
      <m:oMathPara>
        <m:oMathParaPr>
          <m:jc m:val="left"/>
        </m:oMathParaPr>
        <m:oMath>
          <m:r>
            <w:rPr>
              <w:rFonts w:ascii="Cambria Math" w:eastAsia="Calibri" w:hAnsi="Cambria Math" w:cs="Arial"/>
              <w:lang w:val="es-ES"/>
            </w:rPr>
            <m:t>Desviación resultante=</m:t>
          </m:r>
          <m:rad>
            <m:radPr>
              <m:degHide m:val="1"/>
              <m:ctrlPr>
                <w:rPr>
                  <w:rFonts w:ascii="Cambria Math" w:eastAsia="Calibri" w:hAnsi="Cambria Math" w:cs="Arial"/>
                  <w:i/>
                  <w:lang w:val="es-ES"/>
                </w:rPr>
              </m:ctrlPr>
            </m:radPr>
            <m:deg/>
            <m:e>
              <m:sSup>
                <m:sSupPr>
                  <m:ctrlPr>
                    <w:rPr>
                      <w:rFonts w:ascii="Cambria Math" w:eastAsia="Calibri" w:hAnsi="Cambria Math" w:cs="Arial"/>
                      <w:i/>
                      <w:lang w:val="es-ES"/>
                    </w:rPr>
                  </m:ctrlPr>
                </m:sSupPr>
                <m:e>
                  <m:r>
                    <w:rPr>
                      <w:rFonts w:ascii="Cambria Math" w:eastAsia="Calibri" w:hAnsi="Cambria Math" w:cs="Arial"/>
                      <w:lang w:val="es-ES"/>
                    </w:rPr>
                    <m:t>21,45</m:t>
                  </m:r>
                </m:e>
                <m:sup>
                  <m:r>
                    <w:rPr>
                      <w:rFonts w:ascii="Cambria Math" w:eastAsia="Calibri" w:hAnsi="Cambria Math" w:cs="Arial"/>
                      <w:lang w:val="es-ES"/>
                    </w:rPr>
                    <m:t>2</m:t>
                  </m:r>
                </m:sup>
              </m:sSup>
              <m:r>
                <w:rPr>
                  <w:rFonts w:ascii="Cambria Math" w:eastAsia="Calibri" w:hAnsi="Cambria Math" w:cs="Arial"/>
                  <w:lang w:val="es-ES"/>
                </w:rPr>
                <m:t>+</m:t>
              </m:r>
              <m:sSup>
                <m:sSupPr>
                  <m:ctrlPr>
                    <w:rPr>
                      <w:rFonts w:ascii="Cambria Math" w:eastAsia="Calibri" w:hAnsi="Cambria Math" w:cs="Arial"/>
                      <w:i/>
                      <w:lang w:val="es-ES"/>
                    </w:rPr>
                  </m:ctrlPr>
                </m:sSupPr>
                <m:e>
                  <m:r>
                    <w:rPr>
                      <w:rFonts w:ascii="Cambria Math" w:eastAsia="Calibri" w:hAnsi="Cambria Math" w:cs="Arial"/>
                      <w:lang w:val="es-ES"/>
                    </w:rPr>
                    <m:t>0,73</m:t>
                  </m:r>
                </m:e>
                <m:sup>
                  <m:r>
                    <w:rPr>
                      <w:rFonts w:ascii="Cambria Math" w:eastAsia="Calibri" w:hAnsi="Cambria Math" w:cs="Arial"/>
                      <w:lang w:val="es-ES"/>
                    </w:rPr>
                    <m:t>2</m:t>
                  </m:r>
                </m:sup>
              </m:sSup>
            </m:e>
          </m:rad>
          <m:r>
            <w:rPr>
              <w:rFonts w:ascii="Cambria Math" w:eastAsia="Calibri" w:hAnsi="Cambria Math" w:cs="Arial"/>
              <w:lang w:val="es-ES"/>
            </w:rPr>
            <m:t>=21,47 mm</m:t>
          </m:r>
        </m:oMath>
      </m:oMathPara>
    </w:p>
    <w:p w14:paraId="43E685B4" w14:textId="77777777" w:rsidR="002C2E73" w:rsidRPr="002C2E73" w:rsidRDefault="002C2E73" w:rsidP="002C2E73">
      <w:pPr>
        <w:spacing w:before="120" w:after="120" w:line="240" w:lineRule="auto"/>
        <w:jc w:val="both"/>
        <w:rPr>
          <w:rFonts w:ascii="Arial" w:eastAsia="Times New Roman" w:hAnsi="Arial" w:cs="Arial"/>
          <w:b/>
          <w:bCs/>
          <w:lang w:val="es-ES"/>
        </w:rPr>
      </w:pPr>
      <m:oMathPara>
        <m:oMathParaPr>
          <m:jc m:val="left"/>
        </m:oMathParaPr>
        <m:oMath>
          <m:r>
            <m:rPr>
              <m:sty m:val="bi"/>
            </m:rPr>
            <w:rPr>
              <w:rFonts w:ascii="Cambria Math" w:eastAsia="Calibri" w:hAnsi="Cambria Math" w:cs="Arial"/>
              <w:lang w:val="es-ES"/>
            </w:rPr>
            <m:t>Desviación resultante≈22 mm</m:t>
          </m:r>
        </m:oMath>
      </m:oMathPara>
    </w:p>
    <w:p w14:paraId="7DA4323D" w14:textId="5BF97A9B" w:rsidR="002C2E73" w:rsidRPr="002C2E73" w:rsidRDefault="002C2E73" w:rsidP="002C2E73">
      <w:pPr>
        <w:spacing w:before="120" w:after="120" w:line="240" w:lineRule="auto"/>
        <w:jc w:val="both"/>
        <w:rPr>
          <w:rFonts w:ascii="Arial" w:eastAsia="Calibri" w:hAnsi="Arial" w:cs="Arial"/>
          <w:lang w:val="es-ES"/>
        </w:rPr>
      </w:pPr>
      <w:r w:rsidRPr="002C2E73">
        <w:rPr>
          <w:rFonts w:ascii="Arial" w:eastAsia="Calibri" w:hAnsi="Arial" w:cs="Arial"/>
          <w:lang w:val="es-ES"/>
        </w:rPr>
        <w:t xml:space="preserve">Esta desviación es aceptable ya que es inferior a los </w:t>
      </w:r>
      <w:r w:rsidR="00C17DCD">
        <w:rPr>
          <w:rFonts w:ascii="Arial" w:eastAsia="Calibri" w:hAnsi="Arial" w:cs="Arial"/>
          <w:lang w:val="es-ES"/>
        </w:rPr>
        <w:t>50</w:t>
      </w:r>
      <w:r w:rsidRPr="002C2E73">
        <w:rPr>
          <w:rFonts w:ascii="Arial" w:eastAsia="Calibri" w:hAnsi="Arial" w:cs="Arial"/>
          <w:lang w:val="es-ES"/>
        </w:rPr>
        <w:t xml:space="preserve"> mm establecidos como límite.</w:t>
      </w:r>
    </w:p>
    <w:p w14:paraId="5866CDC2" w14:textId="77777777" w:rsidR="0079673E" w:rsidRPr="004F732D" w:rsidRDefault="0079673E" w:rsidP="0079673E">
      <w:pPr>
        <w:pStyle w:val="Prrafodelista"/>
        <w:keepNext/>
        <w:keepLines/>
        <w:numPr>
          <w:ilvl w:val="1"/>
          <w:numId w:val="5"/>
        </w:numPr>
        <w:spacing w:before="120" w:after="120" w:line="240" w:lineRule="auto"/>
        <w:ind w:left="450" w:hanging="450"/>
        <w:jc w:val="both"/>
        <w:outlineLvl w:val="1"/>
        <w:rPr>
          <w:rFonts w:ascii="Arial" w:eastAsia="Times New Roman" w:hAnsi="Arial" w:cs="Arial"/>
          <w:b/>
          <w:bCs/>
          <w:lang w:val="es-ES"/>
        </w:rPr>
      </w:pPr>
      <w:r w:rsidRPr="004F732D">
        <w:rPr>
          <w:rFonts w:ascii="Arial" w:eastAsia="Times New Roman" w:hAnsi="Arial" w:cs="Arial"/>
          <w:b/>
          <w:bCs/>
          <w:lang w:val="es-ES"/>
        </w:rPr>
        <w:t>Cálculo de los costos de soldadura de la torre</w:t>
      </w:r>
    </w:p>
    <w:p w14:paraId="7AF07BDE" w14:textId="4DAF48D8" w:rsidR="0079673E" w:rsidRDefault="0079673E" w:rsidP="0079673E">
      <w:pPr>
        <w:spacing w:before="120" w:after="120" w:line="240" w:lineRule="auto"/>
        <w:jc w:val="both"/>
        <w:rPr>
          <w:rFonts w:ascii="Arial" w:hAnsi="Arial" w:cs="Arial"/>
          <w:lang w:val="es-ES"/>
        </w:rPr>
      </w:pPr>
      <w:r>
        <w:rPr>
          <w:rFonts w:ascii="Arial" w:hAnsi="Arial" w:cs="Arial"/>
          <w:lang w:val="es-ES"/>
        </w:rPr>
        <w:t xml:space="preserve">Se realiza una valoración </w:t>
      </w:r>
      <w:r w:rsidRPr="00426D33">
        <w:rPr>
          <w:rFonts w:ascii="Arial" w:hAnsi="Arial" w:cs="Arial"/>
          <w:lang w:val="es-ES"/>
        </w:rPr>
        <w:t>económic</w:t>
      </w:r>
      <w:r>
        <w:rPr>
          <w:rFonts w:ascii="Arial" w:hAnsi="Arial" w:cs="Arial"/>
          <w:lang w:val="es-ES"/>
        </w:rPr>
        <w:t>a</w:t>
      </w:r>
      <w:r w:rsidRPr="00426D33">
        <w:rPr>
          <w:rFonts w:ascii="Arial" w:hAnsi="Arial" w:cs="Arial"/>
          <w:lang w:val="es-ES"/>
        </w:rPr>
        <w:t xml:space="preserve"> de l</w:t>
      </w:r>
      <w:r>
        <w:rPr>
          <w:rFonts w:ascii="Arial" w:hAnsi="Arial" w:cs="Arial"/>
          <w:lang w:val="es-ES"/>
        </w:rPr>
        <w:t>os costos de</w:t>
      </w:r>
      <w:r w:rsidRPr="00426D33">
        <w:rPr>
          <w:rFonts w:ascii="Arial" w:hAnsi="Arial" w:cs="Arial"/>
          <w:lang w:val="es-ES"/>
        </w:rPr>
        <w:t xml:space="preserve"> fabricación por soldadura de la</w:t>
      </w:r>
      <w:r>
        <w:rPr>
          <w:rFonts w:ascii="Arial" w:hAnsi="Arial" w:cs="Arial"/>
          <w:lang w:val="es-ES"/>
        </w:rPr>
        <w:t>s</w:t>
      </w:r>
      <w:r w:rsidRPr="00426D33">
        <w:rPr>
          <w:rFonts w:ascii="Arial" w:hAnsi="Arial" w:cs="Arial"/>
          <w:lang w:val="es-ES"/>
        </w:rPr>
        <w:t xml:space="preserve"> torre</w:t>
      </w:r>
      <w:r>
        <w:rPr>
          <w:rFonts w:ascii="Arial" w:hAnsi="Arial" w:cs="Arial"/>
          <w:lang w:val="es-ES"/>
        </w:rPr>
        <w:t>s</w:t>
      </w:r>
      <w:r w:rsidRPr="00426D33">
        <w:rPr>
          <w:rFonts w:ascii="Arial" w:hAnsi="Arial" w:cs="Arial"/>
          <w:lang w:val="es-ES"/>
        </w:rPr>
        <w:t>, enfocado a la determinación de los costos directos de este proceso de unión.</w:t>
      </w:r>
      <w:r>
        <w:rPr>
          <w:rFonts w:ascii="Arial" w:hAnsi="Arial" w:cs="Arial"/>
          <w:lang w:val="es-ES"/>
        </w:rPr>
        <w:t xml:space="preserve"> Para este caso se tomó como base de cálculo el modelo de torre </w:t>
      </w:r>
      <w:r w:rsidRPr="00426D33">
        <w:rPr>
          <w:rFonts w:ascii="Arial" w:hAnsi="Arial" w:cs="Arial"/>
          <w:lang w:val="es-ES"/>
        </w:rPr>
        <w:t>TR H21-C3000</w:t>
      </w:r>
      <w:r>
        <w:rPr>
          <w:rFonts w:ascii="Arial" w:hAnsi="Arial" w:cs="Arial"/>
          <w:lang w:val="es-ES"/>
        </w:rPr>
        <w:t>, en los cuales se utilizaron los procesos de soldadura con protección gaseosa y electrodo metálico (GMAW)</w:t>
      </w:r>
      <w:r w:rsidRPr="00426D33">
        <w:rPr>
          <w:rFonts w:ascii="Arial" w:hAnsi="Arial" w:cs="Arial"/>
          <w:lang w:val="es-ES"/>
        </w:rPr>
        <w:t xml:space="preserve"> </w:t>
      </w:r>
      <w:r>
        <w:rPr>
          <w:rFonts w:ascii="Arial" w:hAnsi="Arial" w:cs="Arial"/>
          <w:lang w:val="es-ES"/>
        </w:rPr>
        <w:t xml:space="preserve">y soldadura por arco sumergido (SAW). Como base para los cálculos se emplean las variables de los procedimientos de soldadura elaborados para la fabricación de las torres, los datos mostrados en Tabla 4, así como la metodología para el cálculo de los costos del colectivo de autores del </w:t>
      </w:r>
      <w:r w:rsidRPr="00E0329C">
        <w:rPr>
          <w:rFonts w:ascii="Arial" w:hAnsi="Arial" w:cs="Arial"/>
          <w:lang w:val="es-ES"/>
        </w:rPr>
        <w:t>CIS (Pozo, et al; 2022)</w:t>
      </w:r>
      <w:r w:rsidR="00CD5CD9">
        <w:rPr>
          <w:rFonts w:ascii="Arial" w:hAnsi="Arial" w:cs="Arial"/>
          <w:lang w:val="es-ES"/>
        </w:rPr>
        <w:t>.</w:t>
      </w:r>
    </w:p>
    <w:p w14:paraId="76CCDF2B" w14:textId="77777777" w:rsidR="0079673E" w:rsidRPr="00426D33" w:rsidRDefault="0079673E" w:rsidP="0079673E">
      <w:pPr>
        <w:spacing w:after="0" w:line="360" w:lineRule="auto"/>
        <w:jc w:val="both"/>
        <w:rPr>
          <w:rFonts w:ascii="Arial" w:eastAsia="Calibri" w:hAnsi="Arial" w:cs="Arial"/>
          <w:lang w:val="es-ES"/>
        </w:rPr>
      </w:pPr>
      <w:r w:rsidRPr="00426D33">
        <w:rPr>
          <w:rFonts w:ascii="Arial" w:eastAsia="Calibri" w:hAnsi="Arial" w:cs="Arial"/>
          <w:lang w:val="es-ES"/>
        </w:rPr>
        <w:t>Tabla 4. Datos necesarios para los cálculos económicos</w:t>
      </w:r>
    </w:p>
    <w:tbl>
      <w:tblPr>
        <w:tblW w:w="0" w:type="auto"/>
        <w:jc w:val="center"/>
        <w:tblCellMar>
          <w:left w:w="70" w:type="dxa"/>
          <w:right w:w="70" w:type="dxa"/>
        </w:tblCellMar>
        <w:tblLook w:val="04A0" w:firstRow="1" w:lastRow="0" w:firstColumn="1" w:lastColumn="0" w:noHBand="0" w:noVBand="1"/>
      </w:tblPr>
      <w:tblGrid>
        <w:gridCol w:w="3498"/>
        <w:gridCol w:w="1430"/>
        <w:gridCol w:w="2386"/>
        <w:gridCol w:w="1085"/>
        <w:gridCol w:w="146"/>
      </w:tblGrid>
      <w:tr w:rsidR="0079673E" w:rsidRPr="00426D33" w14:paraId="5B6120A8" w14:textId="77777777" w:rsidTr="005073B5">
        <w:trPr>
          <w:gridAfter w:val="1"/>
          <w:trHeight w:val="288"/>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A67A3"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Datos necesarios para los cálculos económicos</w:t>
            </w:r>
          </w:p>
          <w:p w14:paraId="3A86AB29"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41799D46" w14:textId="77777777" w:rsidTr="005073B5">
        <w:trPr>
          <w:gridAfter w:val="1"/>
          <w:trHeight w:val="50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82EA1ED"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Datos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D337"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Pases GMAW</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E82E"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Pases posteriores SAW</w:t>
            </w:r>
          </w:p>
        </w:tc>
        <w:tc>
          <w:tcPr>
            <w:tcW w:w="0" w:type="auto"/>
            <w:vMerge w:val="restart"/>
            <w:tcBorders>
              <w:top w:val="nil"/>
              <w:left w:val="single" w:sz="4" w:space="0" w:color="auto"/>
              <w:bottom w:val="single" w:sz="4" w:space="0" w:color="auto"/>
              <w:right w:val="single" w:sz="4" w:space="0" w:color="auto"/>
            </w:tcBorders>
            <w:vAlign w:val="center"/>
            <w:hideMark/>
          </w:tcPr>
          <w:p w14:paraId="059508A7"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U.M.</w:t>
            </w:r>
          </w:p>
        </w:tc>
      </w:tr>
      <w:tr w:rsidR="0079673E" w:rsidRPr="00426D33" w14:paraId="5D6623D1" w14:textId="77777777" w:rsidTr="000120D2">
        <w:trPr>
          <w:trHeight w:val="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35F84"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44A08"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8F125"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Merge/>
            <w:tcBorders>
              <w:top w:val="nil"/>
              <w:left w:val="single" w:sz="4" w:space="0" w:color="auto"/>
              <w:bottom w:val="single" w:sz="4" w:space="0" w:color="auto"/>
              <w:right w:val="single" w:sz="4" w:space="0" w:color="auto"/>
            </w:tcBorders>
            <w:vAlign w:val="center"/>
            <w:hideMark/>
          </w:tcPr>
          <w:p w14:paraId="2527E2EC"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tcBorders>
              <w:top w:val="nil"/>
              <w:left w:val="nil"/>
              <w:bottom w:val="nil"/>
              <w:right w:val="nil"/>
            </w:tcBorders>
            <w:shd w:val="clear" w:color="auto" w:fill="auto"/>
            <w:noWrap/>
            <w:vAlign w:val="center"/>
            <w:hideMark/>
          </w:tcPr>
          <w:p w14:paraId="06394058"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4A6DCC13"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8FD71"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Densidad del acero al carbono (</w:t>
            </w:r>
            <w:proofErr w:type="spellStart"/>
            <w:r w:rsidRPr="00426D33">
              <w:rPr>
                <w:rFonts w:ascii="Arial" w:eastAsia="Calibri" w:hAnsi="Arial" w:cs="Arial"/>
                <w:sz w:val="20"/>
                <w:szCs w:val="20"/>
                <w:lang w:val="es-ES"/>
              </w:rPr>
              <w:t>Ɣmd</w:t>
            </w:r>
            <w:proofErr w:type="spellEnd"/>
            <w:r w:rsidRPr="00426D33">
              <w:rPr>
                <w:rFonts w:ascii="Arial" w:eastAsia="Calibri" w:hAnsi="Arial" w:cs="Arial"/>
                <w:sz w:val="20"/>
                <w:szCs w:val="20"/>
                <w:lang w:val="es-ES"/>
              </w:rPr>
              <w: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69F9CD5"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7850</w:t>
            </w:r>
          </w:p>
        </w:tc>
        <w:tc>
          <w:tcPr>
            <w:tcW w:w="0" w:type="auto"/>
            <w:tcBorders>
              <w:top w:val="nil"/>
              <w:left w:val="nil"/>
              <w:bottom w:val="single" w:sz="4" w:space="0" w:color="auto"/>
              <w:right w:val="single" w:sz="4" w:space="0" w:color="auto"/>
            </w:tcBorders>
            <w:shd w:val="clear" w:color="auto" w:fill="auto"/>
            <w:noWrap/>
            <w:vAlign w:val="center"/>
            <w:hideMark/>
          </w:tcPr>
          <w:p w14:paraId="14508DD8"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kg/m³</w:t>
            </w:r>
          </w:p>
        </w:tc>
        <w:tc>
          <w:tcPr>
            <w:tcW w:w="0" w:type="auto"/>
            <w:vAlign w:val="center"/>
            <w:hideMark/>
          </w:tcPr>
          <w:p w14:paraId="715E519C"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50856C9E"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ADF39"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Eficiencia total del electrodo (Et)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92843E"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82626"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0,99</w:t>
            </w:r>
          </w:p>
        </w:tc>
        <w:tc>
          <w:tcPr>
            <w:tcW w:w="0" w:type="auto"/>
            <w:tcBorders>
              <w:top w:val="nil"/>
              <w:left w:val="nil"/>
              <w:bottom w:val="single" w:sz="4" w:space="0" w:color="auto"/>
              <w:right w:val="single" w:sz="4" w:space="0" w:color="auto"/>
            </w:tcBorders>
            <w:shd w:val="clear" w:color="auto" w:fill="auto"/>
            <w:noWrap/>
            <w:vAlign w:val="center"/>
            <w:hideMark/>
          </w:tcPr>
          <w:p w14:paraId="220C61BD"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Align w:val="center"/>
            <w:hideMark/>
          </w:tcPr>
          <w:p w14:paraId="500E52A5"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30004F5C"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B9B9"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Eficiencia de la fuente de corriente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5BD42"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A58A7"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0,9</w:t>
            </w:r>
          </w:p>
        </w:tc>
        <w:tc>
          <w:tcPr>
            <w:tcW w:w="0" w:type="auto"/>
            <w:tcBorders>
              <w:top w:val="nil"/>
              <w:left w:val="nil"/>
              <w:bottom w:val="single" w:sz="4" w:space="0" w:color="auto"/>
              <w:right w:val="single" w:sz="4" w:space="0" w:color="auto"/>
            </w:tcBorders>
            <w:shd w:val="clear" w:color="auto" w:fill="auto"/>
            <w:noWrap/>
            <w:vAlign w:val="center"/>
            <w:hideMark/>
          </w:tcPr>
          <w:p w14:paraId="0357EA0B"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Align w:val="center"/>
            <w:hideMark/>
          </w:tcPr>
          <w:p w14:paraId="5EBA66A2"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6F13AB05"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15597"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Factor operador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6D3B2D"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40576"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0,7</w:t>
            </w:r>
          </w:p>
        </w:tc>
        <w:tc>
          <w:tcPr>
            <w:tcW w:w="0" w:type="auto"/>
            <w:tcBorders>
              <w:top w:val="nil"/>
              <w:left w:val="nil"/>
              <w:bottom w:val="single" w:sz="4" w:space="0" w:color="auto"/>
              <w:right w:val="single" w:sz="4" w:space="0" w:color="auto"/>
            </w:tcBorders>
            <w:shd w:val="clear" w:color="auto" w:fill="auto"/>
            <w:noWrap/>
            <w:vAlign w:val="center"/>
            <w:hideMark/>
          </w:tcPr>
          <w:p w14:paraId="73D27115"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Align w:val="center"/>
            <w:hideMark/>
          </w:tcPr>
          <w:p w14:paraId="6B491E13"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525B92C3"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E337"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Razón de consumo de fundente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D8D52"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83628C"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1</w:t>
            </w:r>
          </w:p>
        </w:tc>
        <w:tc>
          <w:tcPr>
            <w:tcW w:w="0" w:type="auto"/>
            <w:tcBorders>
              <w:top w:val="nil"/>
              <w:left w:val="nil"/>
              <w:bottom w:val="single" w:sz="4" w:space="0" w:color="auto"/>
              <w:right w:val="single" w:sz="4" w:space="0" w:color="auto"/>
            </w:tcBorders>
            <w:shd w:val="clear" w:color="auto" w:fill="auto"/>
            <w:noWrap/>
            <w:vAlign w:val="center"/>
            <w:hideMark/>
          </w:tcPr>
          <w:p w14:paraId="3B6873F2" w14:textId="77777777" w:rsidR="0079673E" w:rsidRPr="00426D33" w:rsidRDefault="0079673E" w:rsidP="000120D2">
            <w:pPr>
              <w:spacing w:after="0" w:line="240" w:lineRule="auto"/>
              <w:jc w:val="center"/>
              <w:rPr>
                <w:rFonts w:ascii="Arial" w:eastAsia="Calibri" w:hAnsi="Arial" w:cs="Arial"/>
                <w:sz w:val="20"/>
                <w:szCs w:val="20"/>
                <w:lang w:val="es-ES"/>
              </w:rPr>
            </w:pPr>
          </w:p>
        </w:tc>
        <w:tc>
          <w:tcPr>
            <w:tcW w:w="0" w:type="auto"/>
            <w:vAlign w:val="center"/>
            <w:hideMark/>
          </w:tcPr>
          <w:p w14:paraId="3134D1A6"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3AC140D9"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2B4B"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Razón de depósito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FB97A9"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6302D"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4</w:t>
            </w:r>
          </w:p>
        </w:tc>
        <w:tc>
          <w:tcPr>
            <w:tcW w:w="0" w:type="auto"/>
            <w:tcBorders>
              <w:top w:val="nil"/>
              <w:left w:val="nil"/>
              <w:bottom w:val="single" w:sz="4" w:space="0" w:color="auto"/>
              <w:right w:val="single" w:sz="4" w:space="0" w:color="auto"/>
            </w:tcBorders>
            <w:shd w:val="clear" w:color="auto" w:fill="auto"/>
            <w:noWrap/>
            <w:vAlign w:val="center"/>
            <w:hideMark/>
          </w:tcPr>
          <w:p w14:paraId="21A2D28A"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kg/h</w:t>
            </w:r>
          </w:p>
        </w:tc>
        <w:tc>
          <w:tcPr>
            <w:tcW w:w="0" w:type="auto"/>
            <w:vAlign w:val="center"/>
            <w:hideMark/>
          </w:tcPr>
          <w:p w14:paraId="7E73C7B4"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71C4B603"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1936F"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Costos de alambre electrodo 1,2 mm*</w:t>
            </w:r>
          </w:p>
        </w:tc>
        <w:tc>
          <w:tcPr>
            <w:tcW w:w="0" w:type="auto"/>
            <w:tcBorders>
              <w:top w:val="nil"/>
              <w:left w:val="nil"/>
              <w:bottom w:val="single" w:sz="4" w:space="0" w:color="auto"/>
              <w:right w:val="single" w:sz="4" w:space="0" w:color="auto"/>
            </w:tcBorders>
            <w:shd w:val="clear" w:color="auto" w:fill="auto"/>
            <w:noWrap/>
            <w:vAlign w:val="center"/>
            <w:hideMark/>
          </w:tcPr>
          <w:p w14:paraId="42E1D18E"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105,00</w:t>
            </w:r>
          </w:p>
        </w:tc>
        <w:tc>
          <w:tcPr>
            <w:tcW w:w="0" w:type="auto"/>
            <w:tcBorders>
              <w:top w:val="nil"/>
              <w:left w:val="nil"/>
              <w:bottom w:val="single" w:sz="4" w:space="0" w:color="auto"/>
              <w:right w:val="single" w:sz="4" w:space="0" w:color="auto"/>
            </w:tcBorders>
            <w:shd w:val="clear" w:color="auto" w:fill="auto"/>
            <w:noWrap/>
            <w:vAlign w:val="center"/>
            <w:hideMark/>
          </w:tcPr>
          <w:p w14:paraId="6C311252" w14:textId="77777777" w:rsidR="0079673E" w:rsidRPr="00426D33" w:rsidRDefault="0079673E" w:rsidP="000120D2">
            <w:pPr>
              <w:spacing w:after="0" w:line="240" w:lineRule="auto"/>
              <w:jc w:val="center"/>
              <w:rPr>
                <w:rFonts w:ascii="Arial" w:eastAsia="Calibri" w:hAnsi="Arial" w:cs="Arial"/>
                <w:b/>
                <w:bCs/>
                <w:sz w:val="20"/>
                <w:szCs w:val="20"/>
                <w:lang w:val="es-ES"/>
              </w:rPr>
            </w:pPr>
          </w:p>
        </w:tc>
        <w:tc>
          <w:tcPr>
            <w:tcW w:w="0" w:type="auto"/>
            <w:tcBorders>
              <w:top w:val="nil"/>
              <w:left w:val="nil"/>
              <w:bottom w:val="single" w:sz="4" w:space="0" w:color="auto"/>
              <w:right w:val="single" w:sz="4" w:space="0" w:color="auto"/>
            </w:tcBorders>
            <w:shd w:val="clear" w:color="auto" w:fill="auto"/>
            <w:noWrap/>
            <w:vAlign w:val="center"/>
            <w:hideMark/>
          </w:tcPr>
          <w:p w14:paraId="3198B68C"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CUP/kg</w:t>
            </w:r>
          </w:p>
        </w:tc>
        <w:tc>
          <w:tcPr>
            <w:tcW w:w="0" w:type="auto"/>
            <w:vAlign w:val="center"/>
            <w:hideMark/>
          </w:tcPr>
          <w:p w14:paraId="4A9FDBEB"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3D77DD4D"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783A8"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Costos de alambre electrodo 4 mm*</w:t>
            </w:r>
          </w:p>
        </w:tc>
        <w:tc>
          <w:tcPr>
            <w:tcW w:w="0" w:type="auto"/>
            <w:tcBorders>
              <w:top w:val="nil"/>
              <w:left w:val="nil"/>
              <w:bottom w:val="single" w:sz="4" w:space="0" w:color="auto"/>
              <w:right w:val="single" w:sz="4" w:space="0" w:color="auto"/>
            </w:tcBorders>
            <w:shd w:val="clear" w:color="auto" w:fill="auto"/>
            <w:noWrap/>
            <w:vAlign w:val="center"/>
          </w:tcPr>
          <w:p w14:paraId="43D29388" w14:textId="77777777" w:rsidR="0079673E" w:rsidRPr="00426D33" w:rsidRDefault="0079673E" w:rsidP="000120D2">
            <w:pPr>
              <w:spacing w:after="0" w:line="240" w:lineRule="auto"/>
              <w:jc w:val="center"/>
              <w:rPr>
                <w:rFonts w:ascii="Arial" w:eastAsia="Calibri" w:hAnsi="Arial" w:cs="Arial"/>
                <w:b/>
                <w:bCs/>
                <w:sz w:val="20"/>
                <w:szCs w:val="20"/>
                <w:lang w:val="es-ES"/>
              </w:rPr>
            </w:pPr>
          </w:p>
        </w:tc>
        <w:tc>
          <w:tcPr>
            <w:tcW w:w="0" w:type="auto"/>
            <w:tcBorders>
              <w:top w:val="nil"/>
              <w:left w:val="nil"/>
              <w:bottom w:val="single" w:sz="4" w:space="0" w:color="auto"/>
              <w:right w:val="single" w:sz="4" w:space="0" w:color="auto"/>
            </w:tcBorders>
            <w:shd w:val="clear" w:color="auto" w:fill="auto"/>
            <w:noWrap/>
            <w:vAlign w:val="center"/>
            <w:hideMark/>
          </w:tcPr>
          <w:p w14:paraId="00729789"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94,30</w:t>
            </w:r>
          </w:p>
        </w:tc>
        <w:tc>
          <w:tcPr>
            <w:tcW w:w="0" w:type="auto"/>
            <w:tcBorders>
              <w:top w:val="nil"/>
              <w:left w:val="nil"/>
              <w:bottom w:val="single" w:sz="4" w:space="0" w:color="auto"/>
              <w:right w:val="single" w:sz="4" w:space="0" w:color="auto"/>
            </w:tcBorders>
            <w:shd w:val="clear" w:color="auto" w:fill="auto"/>
            <w:noWrap/>
            <w:vAlign w:val="center"/>
            <w:hideMark/>
          </w:tcPr>
          <w:p w14:paraId="472C0F0D"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CUP/kg</w:t>
            </w:r>
          </w:p>
        </w:tc>
        <w:tc>
          <w:tcPr>
            <w:tcW w:w="0" w:type="auto"/>
            <w:vAlign w:val="center"/>
            <w:hideMark/>
          </w:tcPr>
          <w:p w14:paraId="004A4CFB"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25A31BEF" w14:textId="77777777" w:rsidTr="005073B5">
        <w:trPr>
          <w:trHeight w:val="25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19B95"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Costo de gas protector*</w:t>
            </w:r>
          </w:p>
        </w:tc>
        <w:tc>
          <w:tcPr>
            <w:tcW w:w="0" w:type="auto"/>
            <w:tcBorders>
              <w:top w:val="nil"/>
              <w:left w:val="nil"/>
              <w:bottom w:val="single" w:sz="4" w:space="0" w:color="auto"/>
              <w:right w:val="single" w:sz="4" w:space="0" w:color="auto"/>
            </w:tcBorders>
            <w:shd w:val="clear" w:color="auto" w:fill="auto"/>
            <w:noWrap/>
            <w:vAlign w:val="center"/>
            <w:hideMark/>
          </w:tcPr>
          <w:p w14:paraId="336A655E"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7,55</w:t>
            </w:r>
          </w:p>
        </w:tc>
        <w:tc>
          <w:tcPr>
            <w:tcW w:w="0" w:type="auto"/>
            <w:tcBorders>
              <w:top w:val="nil"/>
              <w:left w:val="nil"/>
              <w:bottom w:val="single" w:sz="4" w:space="0" w:color="auto"/>
              <w:right w:val="single" w:sz="4" w:space="0" w:color="auto"/>
            </w:tcBorders>
            <w:shd w:val="clear" w:color="auto" w:fill="auto"/>
            <w:noWrap/>
            <w:vAlign w:val="center"/>
            <w:hideMark/>
          </w:tcPr>
          <w:p w14:paraId="13BF9082" w14:textId="77777777" w:rsidR="0079673E" w:rsidRPr="00426D33" w:rsidRDefault="0079673E" w:rsidP="000120D2">
            <w:pPr>
              <w:spacing w:after="0" w:line="240" w:lineRule="auto"/>
              <w:jc w:val="center"/>
              <w:rPr>
                <w:rFonts w:ascii="Arial" w:eastAsia="Calibri" w:hAnsi="Arial" w:cs="Arial"/>
                <w:b/>
                <w:bCs/>
                <w:sz w:val="20"/>
                <w:szCs w:val="20"/>
                <w:lang w:val="es-ES"/>
              </w:rPr>
            </w:pPr>
          </w:p>
        </w:tc>
        <w:tc>
          <w:tcPr>
            <w:tcW w:w="0" w:type="auto"/>
            <w:tcBorders>
              <w:top w:val="nil"/>
              <w:left w:val="nil"/>
              <w:bottom w:val="single" w:sz="4" w:space="0" w:color="auto"/>
              <w:right w:val="single" w:sz="4" w:space="0" w:color="auto"/>
            </w:tcBorders>
            <w:shd w:val="clear" w:color="auto" w:fill="auto"/>
            <w:noWrap/>
            <w:vAlign w:val="center"/>
            <w:hideMark/>
          </w:tcPr>
          <w:p w14:paraId="37177809"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CUP/m3</w:t>
            </w:r>
          </w:p>
        </w:tc>
        <w:tc>
          <w:tcPr>
            <w:tcW w:w="0" w:type="auto"/>
            <w:vAlign w:val="center"/>
            <w:hideMark/>
          </w:tcPr>
          <w:p w14:paraId="1A64BC93"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4D9A1007"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37311"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Costo del fundente*</w:t>
            </w:r>
          </w:p>
        </w:tc>
        <w:tc>
          <w:tcPr>
            <w:tcW w:w="0" w:type="auto"/>
            <w:tcBorders>
              <w:top w:val="nil"/>
              <w:left w:val="nil"/>
              <w:bottom w:val="single" w:sz="4" w:space="0" w:color="auto"/>
              <w:right w:val="single" w:sz="4" w:space="0" w:color="auto"/>
            </w:tcBorders>
            <w:shd w:val="clear" w:color="auto" w:fill="auto"/>
            <w:noWrap/>
            <w:vAlign w:val="center"/>
          </w:tcPr>
          <w:p w14:paraId="51124BCF" w14:textId="77777777" w:rsidR="0079673E" w:rsidRPr="00426D33" w:rsidRDefault="0079673E" w:rsidP="000120D2">
            <w:pPr>
              <w:spacing w:after="0" w:line="240" w:lineRule="auto"/>
              <w:jc w:val="center"/>
              <w:rPr>
                <w:rFonts w:ascii="Arial" w:eastAsia="Calibri" w:hAnsi="Arial" w:cs="Arial"/>
                <w:b/>
                <w:bCs/>
                <w:sz w:val="20"/>
                <w:szCs w:val="20"/>
                <w:lang w:val="es-ES"/>
              </w:rPr>
            </w:pPr>
          </w:p>
        </w:tc>
        <w:tc>
          <w:tcPr>
            <w:tcW w:w="0" w:type="auto"/>
            <w:tcBorders>
              <w:top w:val="nil"/>
              <w:left w:val="nil"/>
              <w:bottom w:val="single" w:sz="4" w:space="0" w:color="auto"/>
              <w:right w:val="single" w:sz="4" w:space="0" w:color="auto"/>
            </w:tcBorders>
            <w:shd w:val="clear" w:color="auto" w:fill="auto"/>
            <w:noWrap/>
            <w:vAlign w:val="center"/>
            <w:hideMark/>
          </w:tcPr>
          <w:p w14:paraId="45F32F1F"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107,70</w:t>
            </w:r>
          </w:p>
        </w:tc>
        <w:tc>
          <w:tcPr>
            <w:tcW w:w="0" w:type="auto"/>
            <w:tcBorders>
              <w:top w:val="nil"/>
              <w:left w:val="nil"/>
              <w:bottom w:val="single" w:sz="4" w:space="0" w:color="auto"/>
              <w:right w:val="single" w:sz="4" w:space="0" w:color="auto"/>
            </w:tcBorders>
            <w:shd w:val="clear" w:color="auto" w:fill="auto"/>
            <w:noWrap/>
            <w:vAlign w:val="center"/>
          </w:tcPr>
          <w:p w14:paraId="1D6399D2"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CUP/kg</w:t>
            </w:r>
          </w:p>
        </w:tc>
        <w:tc>
          <w:tcPr>
            <w:tcW w:w="0" w:type="auto"/>
            <w:vAlign w:val="center"/>
            <w:hideMark/>
          </w:tcPr>
          <w:p w14:paraId="1110D3CD"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2B5A0BF4"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AAFF"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Tarifa de mano de obra*</w:t>
            </w:r>
          </w:p>
        </w:tc>
        <w:tc>
          <w:tcPr>
            <w:tcW w:w="0" w:type="auto"/>
            <w:tcBorders>
              <w:top w:val="nil"/>
              <w:left w:val="nil"/>
              <w:bottom w:val="single" w:sz="4" w:space="0" w:color="auto"/>
              <w:right w:val="single" w:sz="4" w:space="0" w:color="auto"/>
            </w:tcBorders>
            <w:shd w:val="clear" w:color="auto" w:fill="auto"/>
            <w:noWrap/>
            <w:vAlign w:val="center"/>
            <w:hideMark/>
          </w:tcPr>
          <w:p w14:paraId="195DB2EF"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26,31</w:t>
            </w:r>
          </w:p>
        </w:tc>
        <w:tc>
          <w:tcPr>
            <w:tcW w:w="0" w:type="auto"/>
            <w:tcBorders>
              <w:top w:val="nil"/>
              <w:left w:val="nil"/>
              <w:bottom w:val="single" w:sz="4" w:space="0" w:color="auto"/>
              <w:right w:val="single" w:sz="4" w:space="0" w:color="auto"/>
            </w:tcBorders>
            <w:shd w:val="clear" w:color="auto" w:fill="auto"/>
            <w:noWrap/>
            <w:vAlign w:val="center"/>
            <w:hideMark/>
          </w:tcPr>
          <w:p w14:paraId="3AA63A70"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21,6</w:t>
            </w:r>
          </w:p>
        </w:tc>
        <w:tc>
          <w:tcPr>
            <w:tcW w:w="0" w:type="auto"/>
            <w:tcBorders>
              <w:top w:val="nil"/>
              <w:left w:val="nil"/>
              <w:bottom w:val="single" w:sz="4" w:space="0" w:color="auto"/>
              <w:right w:val="single" w:sz="4" w:space="0" w:color="auto"/>
            </w:tcBorders>
            <w:shd w:val="clear" w:color="auto" w:fill="auto"/>
            <w:noWrap/>
            <w:vAlign w:val="center"/>
            <w:hideMark/>
          </w:tcPr>
          <w:p w14:paraId="161CBCB2"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CUP/h</w:t>
            </w:r>
          </w:p>
        </w:tc>
        <w:tc>
          <w:tcPr>
            <w:tcW w:w="0" w:type="auto"/>
            <w:vAlign w:val="center"/>
            <w:hideMark/>
          </w:tcPr>
          <w:p w14:paraId="677FC29E" w14:textId="77777777" w:rsidR="0079673E" w:rsidRPr="00426D33" w:rsidRDefault="0079673E" w:rsidP="000120D2">
            <w:pPr>
              <w:spacing w:after="0" w:line="240" w:lineRule="auto"/>
              <w:jc w:val="center"/>
              <w:rPr>
                <w:rFonts w:ascii="Arial" w:eastAsia="Calibri" w:hAnsi="Arial" w:cs="Arial"/>
                <w:sz w:val="20"/>
                <w:szCs w:val="20"/>
                <w:lang w:val="es-ES"/>
              </w:rPr>
            </w:pPr>
          </w:p>
        </w:tc>
      </w:tr>
      <w:tr w:rsidR="0079673E" w:rsidRPr="00426D33" w14:paraId="5E2D4619" w14:textId="77777777" w:rsidTr="005073B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6057"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Costo de energía eléctrica*</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41B523" w14:textId="77777777" w:rsidR="0079673E" w:rsidRPr="00426D33" w:rsidRDefault="0079673E" w:rsidP="000120D2">
            <w:pPr>
              <w:spacing w:after="0" w:line="240" w:lineRule="auto"/>
              <w:jc w:val="center"/>
              <w:rPr>
                <w:rFonts w:ascii="Arial" w:eastAsia="Calibri" w:hAnsi="Arial" w:cs="Arial"/>
                <w:b/>
                <w:bCs/>
                <w:sz w:val="20"/>
                <w:szCs w:val="20"/>
                <w:lang w:val="es-ES"/>
              </w:rPr>
            </w:pPr>
            <w:r w:rsidRPr="00426D33">
              <w:rPr>
                <w:rFonts w:ascii="Arial" w:eastAsia="Calibri" w:hAnsi="Arial" w:cs="Arial"/>
                <w:b/>
                <w:bCs/>
                <w:sz w:val="20"/>
                <w:szCs w:val="20"/>
                <w:lang w:val="es-ES"/>
              </w:rPr>
              <w:t>2,77</w:t>
            </w:r>
          </w:p>
        </w:tc>
        <w:tc>
          <w:tcPr>
            <w:tcW w:w="0" w:type="auto"/>
            <w:tcBorders>
              <w:top w:val="nil"/>
              <w:left w:val="nil"/>
              <w:bottom w:val="single" w:sz="4" w:space="0" w:color="auto"/>
              <w:right w:val="single" w:sz="4" w:space="0" w:color="auto"/>
            </w:tcBorders>
            <w:shd w:val="clear" w:color="auto" w:fill="auto"/>
            <w:noWrap/>
            <w:vAlign w:val="center"/>
            <w:hideMark/>
          </w:tcPr>
          <w:p w14:paraId="38CEB6CA" w14:textId="77777777" w:rsidR="0079673E" w:rsidRPr="00426D33" w:rsidRDefault="0079673E" w:rsidP="000120D2">
            <w:pPr>
              <w:spacing w:after="0" w:line="240" w:lineRule="auto"/>
              <w:jc w:val="center"/>
              <w:rPr>
                <w:rFonts w:ascii="Arial" w:eastAsia="Calibri" w:hAnsi="Arial" w:cs="Arial"/>
                <w:sz w:val="20"/>
                <w:szCs w:val="20"/>
                <w:lang w:val="es-ES"/>
              </w:rPr>
            </w:pPr>
            <w:r w:rsidRPr="00426D33">
              <w:rPr>
                <w:rFonts w:ascii="Arial" w:eastAsia="Calibri" w:hAnsi="Arial" w:cs="Arial"/>
                <w:sz w:val="20"/>
                <w:szCs w:val="20"/>
                <w:lang w:val="es-ES"/>
              </w:rPr>
              <w:t>CUP/kW-h</w:t>
            </w:r>
          </w:p>
        </w:tc>
        <w:tc>
          <w:tcPr>
            <w:tcW w:w="0" w:type="auto"/>
            <w:vAlign w:val="center"/>
            <w:hideMark/>
          </w:tcPr>
          <w:p w14:paraId="6D472A43" w14:textId="77777777" w:rsidR="0079673E" w:rsidRPr="00426D33" w:rsidRDefault="0079673E" w:rsidP="000120D2">
            <w:pPr>
              <w:spacing w:after="0" w:line="240" w:lineRule="auto"/>
              <w:jc w:val="center"/>
              <w:rPr>
                <w:rFonts w:ascii="Arial" w:eastAsia="Calibri" w:hAnsi="Arial" w:cs="Arial"/>
                <w:sz w:val="20"/>
                <w:szCs w:val="20"/>
                <w:lang w:val="es-ES"/>
              </w:rPr>
            </w:pPr>
          </w:p>
        </w:tc>
      </w:tr>
    </w:tbl>
    <w:p w14:paraId="09E70D5E" w14:textId="77777777" w:rsidR="0079673E" w:rsidRPr="00426D33" w:rsidRDefault="0079673E" w:rsidP="0079673E">
      <w:pPr>
        <w:spacing w:after="0" w:line="360" w:lineRule="auto"/>
        <w:rPr>
          <w:rFonts w:ascii="Arial" w:eastAsia="Calibri" w:hAnsi="Arial" w:cs="Arial"/>
          <w:sz w:val="18"/>
          <w:szCs w:val="18"/>
          <w:lang w:val="es-ES"/>
        </w:rPr>
      </w:pPr>
      <w:r w:rsidRPr="00426D33">
        <w:rPr>
          <w:rFonts w:ascii="Arial" w:eastAsia="Calibri" w:hAnsi="Arial" w:cs="Arial"/>
          <w:sz w:val="18"/>
          <w:szCs w:val="18"/>
          <w:lang w:val="es-ES"/>
        </w:rPr>
        <w:t>*Datos actualizados suministrados por la empresa.</w:t>
      </w:r>
    </w:p>
    <w:p w14:paraId="653FAFB8" w14:textId="2155D6FB" w:rsidR="0079673E" w:rsidRPr="00BE3EE1" w:rsidRDefault="001C0793" w:rsidP="0079673E">
      <w:pPr>
        <w:spacing w:before="120" w:after="120" w:line="240" w:lineRule="auto"/>
        <w:jc w:val="both"/>
        <w:rPr>
          <w:rFonts w:ascii="Arial" w:eastAsia="Calibri" w:hAnsi="Arial" w:cs="Arial"/>
          <w:lang w:val="es-ES"/>
        </w:rPr>
      </w:pPr>
      <w:r>
        <w:rPr>
          <w:rFonts w:ascii="Arial" w:eastAsia="Calibri" w:hAnsi="Arial" w:cs="Times New Roman"/>
          <w:lang w:val="es-ES"/>
        </w:rPr>
        <w:t>E</w:t>
      </w:r>
      <w:r w:rsidR="0079673E">
        <w:rPr>
          <w:rFonts w:ascii="Arial" w:eastAsia="Calibri" w:hAnsi="Arial" w:cs="Arial"/>
          <w:lang w:val="es-ES"/>
        </w:rPr>
        <w:t xml:space="preserve">l </w:t>
      </w:r>
      <w:r w:rsidR="0079673E" w:rsidRPr="00BE3EE1">
        <w:rPr>
          <w:rFonts w:ascii="Arial" w:eastAsia="Calibri" w:hAnsi="Arial" w:cs="Arial"/>
          <w:lang w:val="es-ES"/>
        </w:rPr>
        <w:t xml:space="preserve">costo total de soldadura </w:t>
      </w:r>
      <w:r>
        <w:rPr>
          <w:rFonts w:ascii="Arial" w:eastAsia="Calibri" w:hAnsi="Arial" w:cs="Arial"/>
          <w:lang w:val="es-ES"/>
        </w:rPr>
        <w:t xml:space="preserve">calculado </w:t>
      </w:r>
      <w:r w:rsidR="0079673E" w:rsidRPr="00BE3EE1">
        <w:rPr>
          <w:rFonts w:ascii="Arial" w:eastAsia="Calibri" w:hAnsi="Arial" w:cs="Arial"/>
          <w:lang w:val="es-ES"/>
        </w:rPr>
        <w:t>de la torre asciende a los 2127,00</w:t>
      </w:r>
      <w:r w:rsidR="0079673E">
        <w:rPr>
          <w:rFonts w:ascii="Arial" w:eastAsia="Calibri" w:hAnsi="Arial" w:cs="Arial"/>
          <w:lang w:val="es-ES"/>
        </w:rPr>
        <w:t xml:space="preserve"> CUP, del cual </w:t>
      </w:r>
      <w:r w:rsidR="0079673E" w:rsidRPr="00BE3EE1">
        <w:rPr>
          <w:rFonts w:ascii="Arial" w:eastAsia="Calibri" w:hAnsi="Arial" w:cs="Arial"/>
          <w:lang w:val="es-ES"/>
        </w:rPr>
        <w:t xml:space="preserve">1890,66 CUP </w:t>
      </w:r>
      <w:r w:rsidR="0079673E">
        <w:rPr>
          <w:rFonts w:ascii="Arial" w:eastAsia="Calibri" w:hAnsi="Arial" w:cs="Arial"/>
          <w:lang w:val="es-ES"/>
        </w:rPr>
        <w:t xml:space="preserve">se debe al </w:t>
      </w:r>
      <w:r w:rsidR="0079673E" w:rsidRPr="00BE3EE1">
        <w:rPr>
          <w:rFonts w:ascii="Arial" w:eastAsia="Calibri" w:hAnsi="Arial" w:cs="Arial"/>
          <w:lang w:val="es-ES"/>
        </w:rPr>
        <w:t xml:space="preserve">costo de consumibles (88,9 %), 148,99 CUP </w:t>
      </w:r>
      <w:r w:rsidR="0079673E">
        <w:rPr>
          <w:rFonts w:ascii="Arial" w:eastAsia="Calibri" w:hAnsi="Arial" w:cs="Arial"/>
          <w:lang w:val="es-ES"/>
        </w:rPr>
        <w:t>al</w:t>
      </w:r>
      <w:r w:rsidR="0079673E" w:rsidRPr="00BE3EE1">
        <w:rPr>
          <w:rFonts w:ascii="Arial" w:eastAsia="Calibri" w:hAnsi="Arial" w:cs="Arial"/>
          <w:lang w:val="es-ES"/>
        </w:rPr>
        <w:t xml:space="preserve"> costo de mano de obra (7 %) y 87,35 CUP </w:t>
      </w:r>
      <w:r w:rsidR="0079673E">
        <w:rPr>
          <w:rFonts w:ascii="Arial" w:eastAsia="Calibri" w:hAnsi="Arial" w:cs="Arial"/>
          <w:lang w:val="es-ES"/>
        </w:rPr>
        <w:t>al</w:t>
      </w:r>
      <w:r w:rsidR="0079673E" w:rsidRPr="00BE3EE1">
        <w:rPr>
          <w:rFonts w:ascii="Arial" w:eastAsia="Calibri" w:hAnsi="Arial" w:cs="Arial"/>
          <w:lang w:val="es-ES"/>
        </w:rPr>
        <w:t xml:space="preserve"> costo de energía eléctrica (4,1 %). En este caso el costo de consumibles es el que prima en gran medida, dentro del costo total de soldadura</w:t>
      </w:r>
      <w:r>
        <w:rPr>
          <w:rFonts w:ascii="Arial" w:eastAsia="Calibri" w:hAnsi="Arial" w:cs="Arial"/>
          <w:lang w:val="es-ES"/>
        </w:rPr>
        <w:t>, lo que resulta a</w:t>
      </w:r>
      <w:r w:rsidR="0079673E" w:rsidRPr="00BE3EE1">
        <w:rPr>
          <w:rFonts w:ascii="Arial" w:eastAsia="Calibri" w:hAnsi="Arial" w:cs="Arial"/>
          <w:lang w:val="es-ES"/>
        </w:rPr>
        <w:t xml:space="preserve">típico respecto a otros países donde </w:t>
      </w:r>
      <w:r>
        <w:rPr>
          <w:rFonts w:ascii="Arial" w:eastAsia="Calibri" w:hAnsi="Arial" w:cs="Arial"/>
          <w:lang w:val="es-ES"/>
        </w:rPr>
        <w:t xml:space="preserve">el costo de </w:t>
      </w:r>
      <w:r w:rsidR="0079673E" w:rsidRPr="00BE3EE1">
        <w:rPr>
          <w:rFonts w:ascii="Arial" w:eastAsia="Calibri" w:hAnsi="Arial" w:cs="Arial"/>
          <w:lang w:val="es-ES"/>
        </w:rPr>
        <w:t>mano de obra, es el que sobresale.</w:t>
      </w:r>
      <w:r w:rsidR="00D04F00">
        <w:rPr>
          <w:rFonts w:ascii="Arial" w:eastAsia="Calibri" w:hAnsi="Arial" w:cs="Arial"/>
          <w:lang w:val="es-ES"/>
        </w:rPr>
        <w:t xml:space="preserve"> </w:t>
      </w:r>
      <w:r w:rsidR="0079673E" w:rsidRPr="00BE3EE1">
        <w:rPr>
          <w:rFonts w:ascii="Arial" w:eastAsia="Calibri" w:hAnsi="Arial" w:cs="Arial"/>
          <w:lang w:val="es-ES"/>
        </w:rPr>
        <w:t>El diagrama de pastel debajo representa gráficamente el por ciento de los costos de soldadura calculados.</w:t>
      </w:r>
    </w:p>
    <w:p w14:paraId="5745230C" w14:textId="77777777" w:rsidR="0079673E" w:rsidRPr="00BE3EE1" w:rsidRDefault="0079673E" w:rsidP="0079673E">
      <w:pPr>
        <w:spacing w:after="0" w:line="360" w:lineRule="auto"/>
        <w:jc w:val="center"/>
        <w:rPr>
          <w:rFonts w:ascii="Arial" w:eastAsia="Calibri" w:hAnsi="Arial" w:cs="Arial"/>
          <w:lang w:val="en-US"/>
        </w:rPr>
      </w:pPr>
      <w:r w:rsidRPr="00BE3EE1">
        <w:rPr>
          <w:rFonts w:ascii="Arial" w:eastAsia="Calibri" w:hAnsi="Arial" w:cs="Times New Roman"/>
          <w:noProof/>
          <w:lang w:eastAsia="es-US"/>
        </w:rPr>
        <w:lastRenderedPageBreak/>
        <w:drawing>
          <wp:inline distT="0" distB="0" distL="0" distR="0" wp14:anchorId="4C29BCAB" wp14:editId="7837D1B9">
            <wp:extent cx="5844540" cy="1882140"/>
            <wp:effectExtent l="0" t="0" r="3810" b="3810"/>
            <wp:docPr id="16" name="Gráfico 16">
              <a:extLst xmlns:a="http://schemas.openxmlformats.org/drawingml/2006/main">
                <a:ext uri="{FF2B5EF4-FFF2-40B4-BE49-F238E27FC236}">
                  <a16:creationId xmlns:a16="http://schemas.microsoft.com/office/drawing/2014/main" id="{C953789B-8672-4E00-8687-B05B0AD5A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5E7135" w14:textId="77777777" w:rsidR="0079673E" w:rsidRPr="00BE3EE1" w:rsidRDefault="0079673E" w:rsidP="0079673E">
      <w:pPr>
        <w:spacing w:after="0" w:line="360" w:lineRule="auto"/>
        <w:jc w:val="center"/>
        <w:rPr>
          <w:rFonts w:ascii="Arial" w:eastAsia="Calibri" w:hAnsi="Arial" w:cs="Arial"/>
          <w:lang w:val="es-ES"/>
        </w:rPr>
      </w:pPr>
      <w:r w:rsidRPr="00BE3EE1">
        <w:rPr>
          <w:rFonts w:ascii="Arial" w:eastAsia="Calibri" w:hAnsi="Arial" w:cs="Arial"/>
          <w:lang w:val="es-ES"/>
        </w:rPr>
        <w:t>Figura 1</w:t>
      </w:r>
      <w:r>
        <w:rPr>
          <w:rFonts w:ascii="Arial" w:eastAsia="Calibri" w:hAnsi="Arial" w:cs="Arial"/>
          <w:lang w:val="es-ES"/>
        </w:rPr>
        <w:t>1</w:t>
      </w:r>
      <w:r w:rsidRPr="00BE3EE1">
        <w:rPr>
          <w:rFonts w:ascii="Arial" w:eastAsia="Calibri" w:hAnsi="Arial" w:cs="Arial"/>
          <w:lang w:val="es-ES"/>
        </w:rPr>
        <w:t>. Costos de fabricación por soldadura de la torre en por ciento del total.</w:t>
      </w:r>
    </w:p>
    <w:p w14:paraId="55AFF21C" w14:textId="4138FD6E" w:rsidR="0044040C" w:rsidRDefault="0044040C" w:rsidP="00341243">
      <w:pPr>
        <w:spacing w:before="120" w:after="120" w:line="240" w:lineRule="auto"/>
        <w:jc w:val="both"/>
        <w:rPr>
          <w:rFonts w:ascii="Arial" w:hAnsi="Arial" w:cs="Arial"/>
          <w:b/>
          <w:lang w:val="es-ES"/>
        </w:rPr>
      </w:pPr>
    </w:p>
    <w:p w14:paraId="3C76DABE" w14:textId="60D7E66E" w:rsidR="00341243" w:rsidRPr="00341243" w:rsidRDefault="002C2E73" w:rsidP="00341243">
      <w:pPr>
        <w:spacing w:before="120" w:after="120" w:line="240" w:lineRule="auto"/>
        <w:jc w:val="both"/>
        <w:rPr>
          <w:rFonts w:ascii="Arial" w:hAnsi="Arial" w:cs="Arial"/>
          <w:b/>
          <w:lang w:val="es-ES"/>
        </w:rPr>
      </w:pPr>
      <w:r w:rsidRPr="002C2E73">
        <w:rPr>
          <w:rFonts w:ascii="Arial" w:hAnsi="Arial" w:cs="Arial"/>
          <w:b/>
          <w:lang w:val="es-ES"/>
        </w:rPr>
        <w:t>Conclusiones</w:t>
      </w:r>
    </w:p>
    <w:p w14:paraId="6543D26D" w14:textId="5A9CB7A4" w:rsidR="00341243" w:rsidRDefault="002C2E73" w:rsidP="002C2E73">
      <w:pPr>
        <w:numPr>
          <w:ilvl w:val="0"/>
          <w:numId w:val="4"/>
        </w:numPr>
        <w:spacing w:before="120" w:after="120" w:line="240" w:lineRule="auto"/>
        <w:jc w:val="both"/>
        <w:rPr>
          <w:rFonts w:ascii="Arial" w:hAnsi="Arial" w:cs="Arial"/>
          <w:iCs/>
          <w:lang w:val="es-CU"/>
        </w:rPr>
      </w:pPr>
      <w:r w:rsidRPr="002C2E73">
        <w:rPr>
          <w:rFonts w:ascii="Arial" w:hAnsi="Arial" w:cs="Arial"/>
          <w:iCs/>
          <w:lang w:val="es-CU"/>
        </w:rPr>
        <w:t xml:space="preserve">Con vistas a garantizar la resistencia y calidad del producto se elaboraron </w:t>
      </w:r>
      <w:r w:rsidR="00341243">
        <w:rPr>
          <w:rFonts w:ascii="Arial" w:hAnsi="Arial" w:cs="Arial"/>
          <w:iCs/>
          <w:lang w:val="es-CU"/>
        </w:rPr>
        <w:t>y ajustaron en el taller los procedimientos para la soldadura de las torres tubulares para red de alta tensión para la empresa Planta Mecánica de VC. Por otro lado, se entrenaron y homologaron cuatro soldadores en el proceso GMAW, según los requisitos del Código AWS D1.1-2020.</w:t>
      </w:r>
    </w:p>
    <w:p w14:paraId="787205C0" w14:textId="4EBD49AA" w:rsidR="002C2E73" w:rsidRPr="002C2E73" w:rsidRDefault="00341243" w:rsidP="002C2E73">
      <w:pPr>
        <w:numPr>
          <w:ilvl w:val="0"/>
          <w:numId w:val="4"/>
        </w:numPr>
        <w:spacing w:before="120" w:after="120" w:line="240" w:lineRule="auto"/>
        <w:jc w:val="both"/>
        <w:rPr>
          <w:rFonts w:ascii="Arial" w:hAnsi="Arial" w:cs="Arial"/>
          <w:iCs/>
          <w:lang w:val="es-CU"/>
        </w:rPr>
      </w:pPr>
      <w:r>
        <w:rPr>
          <w:rFonts w:ascii="Arial" w:hAnsi="Arial" w:cs="Arial"/>
          <w:iCs/>
          <w:lang w:val="es-CU"/>
        </w:rPr>
        <w:t xml:space="preserve">Se elaboraron los </w:t>
      </w:r>
      <w:r w:rsidR="002C2E73" w:rsidRPr="002C2E73">
        <w:rPr>
          <w:rFonts w:ascii="Arial" w:hAnsi="Arial" w:cs="Arial"/>
          <w:iCs/>
          <w:lang w:val="es-CU"/>
        </w:rPr>
        <w:t>procedimientos para la inspección visual, radiográfica y ultrasónica de las torres, basados en el Código AWS D1.1-2020</w:t>
      </w:r>
      <w:r>
        <w:rPr>
          <w:rFonts w:ascii="Arial" w:hAnsi="Arial" w:cs="Arial"/>
          <w:iCs/>
          <w:lang w:val="es-CU"/>
        </w:rPr>
        <w:t>, que se aplicarían al control mediante técnicas de ensayos no destructivos</w:t>
      </w:r>
      <w:r w:rsidR="002C2E73" w:rsidRPr="002C2E73">
        <w:rPr>
          <w:rFonts w:ascii="Arial" w:hAnsi="Arial" w:cs="Arial"/>
          <w:iCs/>
          <w:lang w:val="es-CU"/>
        </w:rPr>
        <w:t xml:space="preserve">. Se elaboró además un procedimiento para el control de la linealidad del producto. </w:t>
      </w:r>
    </w:p>
    <w:p w14:paraId="52FF681E" w14:textId="3E72441C" w:rsidR="00880CDB" w:rsidRPr="00880CDB" w:rsidRDefault="0060238A" w:rsidP="00880CDB">
      <w:pPr>
        <w:numPr>
          <w:ilvl w:val="0"/>
          <w:numId w:val="4"/>
        </w:numPr>
        <w:spacing w:before="120" w:after="120" w:line="240" w:lineRule="auto"/>
        <w:jc w:val="both"/>
        <w:rPr>
          <w:rFonts w:ascii="Arial" w:hAnsi="Arial" w:cs="Arial"/>
          <w:iCs/>
          <w:lang w:val="es-CU"/>
        </w:rPr>
      </w:pPr>
      <w:r>
        <w:rPr>
          <w:rFonts w:ascii="Arial" w:hAnsi="Arial" w:cs="Arial"/>
          <w:iCs/>
          <w:lang w:val="es-CU"/>
        </w:rPr>
        <w:t>El cálculo de</w:t>
      </w:r>
      <w:r w:rsidR="00880CDB" w:rsidRPr="002C2E73">
        <w:rPr>
          <w:rFonts w:ascii="Arial" w:hAnsi="Arial" w:cs="Arial"/>
          <w:iCs/>
          <w:lang w:val="es-CU"/>
        </w:rPr>
        <w:t xml:space="preserve"> los costos de la estructura</w:t>
      </w:r>
      <w:r w:rsidR="00880CDB">
        <w:rPr>
          <w:rFonts w:ascii="Arial" w:hAnsi="Arial" w:cs="Arial"/>
          <w:iCs/>
          <w:lang w:val="es-CU"/>
        </w:rPr>
        <w:t xml:space="preserve"> </w:t>
      </w:r>
      <w:r w:rsidR="00880CDB" w:rsidRPr="00426D33">
        <w:rPr>
          <w:rFonts w:ascii="Arial" w:hAnsi="Arial" w:cs="Arial"/>
          <w:lang w:val="es-ES"/>
        </w:rPr>
        <w:t>TR H21-C3000</w:t>
      </w:r>
      <w:r w:rsidR="00880CDB">
        <w:rPr>
          <w:rFonts w:ascii="Arial" w:hAnsi="Arial" w:cs="Arial"/>
          <w:lang w:val="es-ES"/>
        </w:rPr>
        <w:t xml:space="preserve"> </w:t>
      </w:r>
      <w:r w:rsidR="00880CDB">
        <w:rPr>
          <w:rFonts w:ascii="Arial" w:hAnsi="Arial" w:cs="Arial"/>
          <w:iCs/>
          <w:lang w:val="es-CU"/>
        </w:rPr>
        <w:t xml:space="preserve">arrojó </w:t>
      </w:r>
      <w:r w:rsidR="00880CDB" w:rsidRPr="002C2E73">
        <w:rPr>
          <w:rFonts w:ascii="Arial" w:hAnsi="Arial" w:cs="Arial"/>
          <w:iCs/>
          <w:lang w:val="es-CU"/>
        </w:rPr>
        <w:t>un cost</w:t>
      </w:r>
      <w:r w:rsidR="00880CDB">
        <w:rPr>
          <w:rFonts w:ascii="Arial" w:hAnsi="Arial" w:cs="Arial"/>
          <w:iCs/>
          <w:lang w:val="es-CU"/>
        </w:rPr>
        <w:t>o</w:t>
      </w:r>
      <w:r w:rsidR="00880CDB" w:rsidRPr="002C2E73">
        <w:rPr>
          <w:rFonts w:ascii="Arial" w:hAnsi="Arial" w:cs="Arial"/>
          <w:iCs/>
          <w:lang w:val="es-CU"/>
        </w:rPr>
        <w:t xml:space="preserve"> total de soldadura de 2127,00 CUP</w:t>
      </w:r>
      <w:r w:rsidR="00880CDB">
        <w:rPr>
          <w:rFonts w:ascii="Arial" w:hAnsi="Arial" w:cs="Arial"/>
          <w:iCs/>
          <w:lang w:val="es-CU"/>
        </w:rPr>
        <w:t xml:space="preserve">, de ellos </w:t>
      </w:r>
      <w:r w:rsidR="00880CDB" w:rsidRPr="002C2E73">
        <w:rPr>
          <w:rFonts w:ascii="Arial" w:hAnsi="Arial" w:cs="Arial"/>
          <w:iCs/>
          <w:lang w:val="es-CU"/>
        </w:rPr>
        <w:t>1890,66 CUP</w:t>
      </w:r>
      <w:r w:rsidR="009E593F">
        <w:rPr>
          <w:rFonts w:ascii="Arial" w:hAnsi="Arial" w:cs="Arial"/>
          <w:iCs/>
          <w:lang w:val="es-CU"/>
        </w:rPr>
        <w:t xml:space="preserve"> de costo de consumibles de soldadura</w:t>
      </w:r>
      <w:r w:rsidR="00880CDB" w:rsidRPr="002C2E73">
        <w:rPr>
          <w:rFonts w:ascii="Arial" w:hAnsi="Arial" w:cs="Arial"/>
          <w:iCs/>
          <w:lang w:val="es-CU"/>
        </w:rPr>
        <w:t>, que representa el 88,9 % del total, 148,99 CUP de costo de la mano de obra, que representa el 7 % y 87,35 CUP de costo de energía eléctrica, que representando un 4,1 %. El costo que prima es de los consumibles de soldadura, que se acerca al 90 % del total.</w:t>
      </w:r>
    </w:p>
    <w:p w14:paraId="37DE5C71" w14:textId="21CE2156" w:rsidR="007773F4" w:rsidRPr="00E428DD" w:rsidRDefault="007773F4" w:rsidP="00E428DD">
      <w:pPr>
        <w:numPr>
          <w:ilvl w:val="0"/>
          <w:numId w:val="4"/>
        </w:numPr>
        <w:spacing w:before="120" w:after="120" w:line="240" w:lineRule="auto"/>
        <w:jc w:val="both"/>
        <w:rPr>
          <w:rFonts w:ascii="Arial" w:hAnsi="Arial" w:cs="Arial"/>
          <w:iCs/>
          <w:lang w:val="es-CU"/>
        </w:rPr>
      </w:pPr>
      <w:r w:rsidRPr="002C2E73">
        <w:rPr>
          <w:rFonts w:ascii="Arial" w:hAnsi="Arial" w:cs="Arial"/>
          <w:iCs/>
          <w:lang w:val="es-CU"/>
        </w:rPr>
        <w:t>Se demostró que es factible fabricar en el país estas torres de alta tensión tubulares</w:t>
      </w:r>
      <w:r w:rsidR="00F176DF">
        <w:rPr>
          <w:rFonts w:ascii="Arial" w:hAnsi="Arial" w:cs="Arial"/>
          <w:iCs/>
          <w:lang w:val="es-CU"/>
        </w:rPr>
        <w:t xml:space="preserve"> soldadas</w:t>
      </w:r>
      <w:r w:rsidRPr="002C2E73">
        <w:rPr>
          <w:rFonts w:ascii="Arial" w:hAnsi="Arial" w:cs="Arial"/>
          <w:iCs/>
          <w:lang w:val="es-CU"/>
        </w:rPr>
        <w:t xml:space="preserve">, </w:t>
      </w:r>
      <w:r w:rsidR="00A15DF1">
        <w:rPr>
          <w:rFonts w:ascii="Arial" w:hAnsi="Arial" w:cs="Arial"/>
          <w:iCs/>
          <w:lang w:val="es-CU"/>
        </w:rPr>
        <w:t xml:space="preserve">cumpliendo los estándares de calidad, </w:t>
      </w:r>
      <w:r w:rsidR="00F176DF">
        <w:rPr>
          <w:rFonts w:ascii="Arial" w:hAnsi="Arial" w:cs="Arial"/>
          <w:iCs/>
          <w:lang w:val="es-CU"/>
        </w:rPr>
        <w:t xml:space="preserve">de manera que por concepto de sustitución de </w:t>
      </w:r>
      <w:r w:rsidRPr="002C2E73">
        <w:rPr>
          <w:rFonts w:ascii="Arial" w:hAnsi="Arial" w:cs="Arial"/>
          <w:iCs/>
          <w:lang w:val="es-CU"/>
        </w:rPr>
        <w:t xml:space="preserve">importaciones (cada torre tiene un valor superior a los </w:t>
      </w:r>
      <w:r w:rsidR="003A16BF">
        <w:rPr>
          <w:rFonts w:ascii="Arial" w:hAnsi="Arial" w:cs="Arial"/>
          <w:iCs/>
          <w:lang w:val="es-CU"/>
        </w:rPr>
        <w:t xml:space="preserve">2 </w:t>
      </w:r>
      <w:r w:rsidRPr="002C2E73">
        <w:rPr>
          <w:rFonts w:ascii="Arial" w:hAnsi="Arial" w:cs="Arial"/>
          <w:iCs/>
          <w:lang w:val="es-CU"/>
        </w:rPr>
        <w:t xml:space="preserve">mil USD en el mercado internacional) </w:t>
      </w:r>
      <w:r w:rsidR="003A16BF">
        <w:rPr>
          <w:rFonts w:ascii="Arial" w:hAnsi="Arial" w:cs="Arial"/>
          <w:iCs/>
          <w:lang w:val="es-CU"/>
        </w:rPr>
        <w:t xml:space="preserve">se </w:t>
      </w:r>
      <w:r w:rsidR="00F176DF">
        <w:rPr>
          <w:rFonts w:ascii="Arial" w:hAnsi="Arial" w:cs="Arial"/>
          <w:iCs/>
          <w:lang w:val="es-CU"/>
        </w:rPr>
        <w:t>garantizó</w:t>
      </w:r>
      <w:r w:rsidR="003A16BF">
        <w:rPr>
          <w:rFonts w:ascii="Arial" w:hAnsi="Arial" w:cs="Arial"/>
          <w:iCs/>
        </w:rPr>
        <w:t xml:space="preserve"> un </w:t>
      </w:r>
      <w:r w:rsidRPr="00E428DD">
        <w:rPr>
          <w:rFonts w:ascii="Arial" w:hAnsi="Arial" w:cs="Arial"/>
          <w:iCs/>
          <w:lang w:val="es-CU"/>
        </w:rPr>
        <w:t>importante ahorro para el país</w:t>
      </w:r>
      <w:r w:rsidR="003A16BF">
        <w:rPr>
          <w:rFonts w:ascii="Arial" w:hAnsi="Arial" w:cs="Arial"/>
          <w:iCs/>
          <w:lang w:val="es-CU"/>
        </w:rPr>
        <w:t xml:space="preserve">, superior a los </w:t>
      </w:r>
      <w:r w:rsidRPr="00E428DD">
        <w:rPr>
          <w:rFonts w:ascii="Arial" w:hAnsi="Arial" w:cs="Arial"/>
          <w:iCs/>
          <w:lang w:val="es-CU"/>
        </w:rPr>
        <w:t xml:space="preserve">222 000.00 USD. </w:t>
      </w:r>
    </w:p>
    <w:p w14:paraId="268DE37E" w14:textId="3115703E" w:rsidR="002C2E73" w:rsidRDefault="007773F4" w:rsidP="002C2E73">
      <w:pPr>
        <w:numPr>
          <w:ilvl w:val="0"/>
          <w:numId w:val="4"/>
        </w:numPr>
        <w:spacing w:before="120" w:after="120" w:line="240" w:lineRule="auto"/>
        <w:jc w:val="both"/>
        <w:rPr>
          <w:rFonts w:ascii="Arial" w:hAnsi="Arial" w:cs="Arial"/>
          <w:iCs/>
          <w:lang w:val="es-CU"/>
        </w:rPr>
      </w:pPr>
      <w:r w:rsidRPr="002C2E73">
        <w:rPr>
          <w:rFonts w:ascii="Arial" w:hAnsi="Arial" w:cs="Arial"/>
          <w:iCs/>
          <w:lang w:val="es-CU"/>
        </w:rPr>
        <w:t xml:space="preserve">Las torres tubulares </w:t>
      </w:r>
      <w:r w:rsidR="00A259B9">
        <w:rPr>
          <w:rFonts w:ascii="Arial" w:hAnsi="Arial" w:cs="Arial"/>
          <w:iCs/>
          <w:lang w:val="es-CU"/>
        </w:rPr>
        <w:t>una vez instaladas están garantizando</w:t>
      </w:r>
      <w:r w:rsidRPr="002C2E73">
        <w:rPr>
          <w:rFonts w:ascii="Arial" w:hAnsi="Arial" w:cs="Arial"/>
          <w:iCs/>
          <w:lang w:val="es-CU"/>
        </w:rPr>
        <w:t xml:space="preserve"> una mayor estética para lugares urbanos y suburbanos y una mayor resistencia a vientos extremos, que las tradicionales torres de celosía y perfiles angulares existentes en el país.</w:t>
      </w:r>
      <w:r>
        <w:rPr>
          <w:rFonts w:ascii="Arial" w:hAnsi="Arial" w:cs="Arial"/>
          <w:iCs/>
          <w:lang w:val="es-CU"/>
        </w:rPr>
        <w:t xml:space="preserve"> </w:t>
      </w:r>
    </w:p>
    <w:p w14:paraId="1E7FD557" w14:textId="77777777" w:rsidR="00FC5791" w:rsidRDefault="00FC5791" w:rsidP="00FC5791">
      <w:pPr>
        <w:spacing w:before="120" w:after="120" w:line="240" w:lineRule="auto"/>
        <w:ind w:left="720"/>
        <w:jc w:val="both"/>
        <w:rPr>
          <w:rFonts w:ascii="Arial" w:hAnsi="Arial" w:cs="Arial"/>
          <w:iCs/>
          <w:lang w:val="es-CU"/>
        </w:rPr>
      </w:pPr>
    </w:p>
    <w:p w14:paraId="2C5D28F3" w14:textId="77777777" w:rsidR="00CD0B6C" w:rsidRPr="00FA6A6B" w:rsidRDefault="00CD0B6C" w:rsidP="00CD0B6C">
      <w:pPr>
        <w:spacing w:before="120" w:after="120" w:line="240" w:lineRule="auto"/>
        <w:jc w:val="both"/>
        <w:rPr>
          <w:rFonts w:ascii="Arial" w:hAnsi="Arial" w:cs="Arial"/>
          <w:b/>
          <w:bCs/>
          <w:iCs/>
          <w:lang w:val="es-CU"/>
        </w:rPr>
      </w:pPr>
      <w:r w:rsidRPr="00FA6A6B">
        <w:rPr>
          <w:rFonts w:ascii="Arial" w:hAnsi="Arial" w:cs="Arial"/>
          <w:b/>
          <w:bCs/>
          <w:iCs/>
          <w:lang w:val="es-CU"/>
        </w:rPr>
        <w:t>Bibliografía</w:t>
      </w:r>
    </w:p>
    <w:p w14:paraId="0CF8B365" w14:textId="77777777" w:rsidR="00CD0B6C" w:rsidRDefault="00CD0B6C" w:rsidP="00663544">
      <w:pPr>
        <w:pStyle w:val="Bibliografa"/>
        <w:numPr>
          <w:ilvl w:val="0"/>
          <w:numId w:val="10"/>
        </w:numPr>
        <w:spacing w:before="120" w:after="120" w:line="240" w:lineRule="auto"/>
        <w:jc w:val="left"/>
        <w:rPr>
          <w:lang w:val="en-US"/>
        </w:rPr>
      </w:pPr>
      <w:r w:rsidRPr="00CD0B6C">
        <w:rPr>
          <w:noProof/>
          <w:lang w:val="en-US"/>
        </w:rPr>
        <w:t xml:space="preserve">American Welding Society, 2020. </w:t>
      </w:r>
      <w:r w:rsidRPr="00CD0B6C">
        <w:rPr>
          <w:i/>
          <w:iCs/>
          <w:noProof/>
          <w:lang w:val="en-US"/>
        </w:rPr>
        <w:t xml:space="preserve">AWS D1.1 Structural Welding Code-Steel, </w:t>
      </w:r>
      <w:r w:rsidRPr="00CD0B6C">
        <w:rPr>
          <w:noProof/>
          <w:lang w:val="en-US"/>
        </w:rPr>
        <w:t>USA: American Welding Society.</w:t>
      </w:r>
    </w:p>
    <w:p w14:paraId="3C06D740" w14:textId="77777777" w:rsidR="00CD0B6C" w:rsidRPr="00CD0B6C" w:rsidRDefault="00CD0B6C" w:rsidP="00663544">
      <w:pPr>
        <w:pStyle w:val="Bibliografa"/>
        <w:numPr>
          <w:ilvl w:val="0"/>
          <w:numId w:val="10"/>
        </w:numPr>
        <w:spacing w:before="120" w:after="120" w:line="240" w:lineRule="auto"/>
        <w:jc w:val="left"/>
        <w:rPr>
          <w:lang w:val="en-US"/>
        </w:rPr>
      </w:pPr>
      <w:r w:rsidRPr="003E2A4C">
        <w:rPr>
          <w:noProof/>
          <w:lang w:val="es-US"/>
        </w:rPr>
        <w:t xml:space="preserve">Cabrera, F. P., 2022. </w:t>
      </w:r>
      <w:r w:rsidRPr="00CD0B6C">
        <w:rPr>
          <w:i/>
          <w:iCs/>
          <w:noProof/>
          <w:lang w:val="es-US"/>
        </w:rPr>
        <w:t xml:space="preserve">Industria cubana fabricará torres para lineas eléctricas de alta tensión. </w:t>
      </w:r>
      <w:r w:rsidRPr="00CD0B6C">
        <w:rPr>
          <w:noProof/>
          <w:lang w:val="en-US"/>
        </w:rPr>
        <w:t xml:space="preserve">[Online] Available at: </w:t>
      </w:r>
      <w:hyperlink r:id="rId41" w:history="1">
        <w:r w:rsidRPr="008135CE">
          <w:rPr>
            <w:rStyle w:val="Hipervnculo"/>
            <w:noProof/>
            <w:lang w:val="en-US"/>
          </w:rPr>
          <w:t>https://www.granma.cu</w:t>
        </w:r>
      </w:hyperlink>
    </w:p>
    <w:p w14:paraId="6D7C7682" w14:textId="77777777" w:rsidR="00CD0B6C" w:rsidRPr="00663544" w:rsidRDefault="00CD0B6C" w:rsidP="00663544">
      <w:pPr>
        <w:pStyle w:val="Prrafodelista"/>
        <w:numPr>
          <w:ilvl w:val="0"/>
          <w:numId w:val="10"/>
        </w:numPr>
        <w:spacing w:before="120" w:after="120" w:line="240" w:lineRule="auto"/>
        <w:rPr>
          <w:rFonts w:ascii="Arial" w:hAnsi="Arial"/>
          <w:noProof/>
        </w:rPr>
      </w:pPr>
      <w:r w:rsidRPr="00663544">
        <w:rPr>
          <w:rFonts w:ascii="Arial" w:hAnsi="Arial"/>
          <w:noProof/>
        </w:rPr>
        <w:t>Oficina Nacional de Normalización, 2009. NC ISO 3834-2:2009 Requisitos de calidad para el proceso de soldadura por fusion de materiales metalicos-Parte 2: Requisitos de calidad completo, La Habana: Cuban National Bureau of Standars.</w:t>
      </w:r>
    </w:p>
    <w:p w14:paraId="5ADB4546" w14:textId="77777777" w:rsidR="00CD0B6C" w:rsidRPr="00663544" w:rsidRDefault="00CD0B6C" w:rsidP="00663544">
      <w:pPr>
        <w:pStyle w:val="Prrafodelista"/>
        <w:numPr>
          <w:ilvl w:val="0"/>
          <w:numId w:val="10"/>
        </w:numPr>
        <w:spacing w:before="120" w:after="120" w:line="240" w:lineRule="auto"/>
        <w:rPr>
          <w:rFonts w:ascii="Arial" w:hAnsi="Arial"/>
          <w:noProof/>
        </w:rPr>
      </w:pPr>
      <w:r w:rsidRPr="00663544">
        <w:rPr>
          <w:rFonts w:ascii="Arial" w:hAnsi="Arial"/>
          <w:noProof/>
        </w:rPr>
        <w:t>Oficina Nacional de Normalización, 2011a. NC ISO 9692-1:2011 Soldadura y Procesos Afines-Recomendaciones para la preparación de la unión-Parte1, La Habana: Cuban National Bureau of Standars.</w:t>
      </w:r>
    </w:p>
    <w:p w14:paraId="28FD6593" w14:textId="77777777" w:rsidR="00676BE0" w:rsidRPr="00663544" w:rsidRDefault="00676BE0" w:rsidP="00663544">
      <w:pPr>
        <w:pStyle w:val="Prrafodelista"/>
        <w:numPr>
          <w:ilvl w:val="0"/>
          <w:numId w:val="10"/>
        </w:numPr>
        <w:spacing w:before="120" w:after="120" w:line="240" w:lineRule="auto"/>
        <w:rPr>
          <w:rFonts w:ascii="Arial" w:hAnsi="Arial"/>
          <w:noProof/>
        </w:rPr>
      </w:pPr>
      <w:r w:rsidRPr="00663544">
        <w:rPr>
          <w:rFonts w:ascii="Arial" w:hAnsi="Arial"/>
          <w:noProof/>
        </w:rPr>
        <w:t>Pozo Morejón, J. A., Ortiz Méndez, T., Herrera Artiles, A. &amp; Rodriguez Perez, M., 2021. Metodología para Establecer una Tecnología de Soldadura, Santa Clara: UCLV.</w:t>
      </w:r>
    </w:p>
    <w:p w14:paraId="1C2E7566" w14:textId="74F2A9DF" w:rsidR="005968C1" w:rsidRDefault="00676BE0" w:rsidP="00663544">
      <w:pPr>
        <w:pStyle w:val="Prrafodelista"/>
        <w:numPr>
          <w:ilvl w:val="0"/>
          <w:numId w:val="10"/>
        </w:numPr>
        <w:spacing w:before="120" w:after="120" w:line="240" w:lineRule="auto"/>
        <w:rPr>
          <w:rFonts w:ascii="Arial" w:hAnsi="Arial"/>
          <w:noProof/>
        </w:rPr>
      </w:pPr>
      <w:r w:rsidRPr="00663544">
        <w:rPr>
          <w:rFonts w:ascii="Arial" w:hAnsi="Arial"/>
          <w:noProof/>
          <w:lang w:val="en-US"/>
        </w:rPr>
        <w:lastRenderedPageBreak/>
        <w:t xml:space="preserve">The Lincoln Electric Company, 1994. The Procedure Handbook of Arc Welding. </w:t>
      </w:r>
      <w:r w:rsidRPr="00663544">
        <w:rPr>
          <w:rFonts w:ascii="Arial" w:hAnsi="Arial"/>
          <w:noProof/>
        </w:rPr>
        <w:t>13 ed. Ohio: The Linconl Electric Company.</w:t>
      </w:r>
    </w:p>
    <w:p w14:paraId="7523AEB7" w14:textId="02123185" w:rsidR="00676BE0" w:rsidRDefault="005968C1" w:rsidP="003F2DF7">
      <w:pPr>
        <w:rPr>
          <w:rFonts w:ascii="Arial" w:hAnsi="Arial"/>
          <w:b/>
          <w:bCs/>
          <w:noProof/>
        </w:rPr>
      </w:pPr>
      <w:r>
        <w:rPr>
          <w:rFonts w:ascii="Arial" w:hAnsi="Arial"/>
          <w:noProof/>
        </w:rPr>
        <w:br w:type="page"/>
      </w:r>
      <w:r w:rsidRPr="005968C1">
        <w:rPr>
          <w:rFonts w:ascii="Arial" w:hAnsi="Arial"/>
          <w:b/>
          <w:bCs/>
          <w:noProof/>
        </w:rPr>
        <w:lastRenderedPageBreak/>
        <w:t>Anexo 1. Procedimientos de soldadura</w:t>
      </w:r>
      <w:r w:rsidR="00386C3A">
        <w:rPr>
          <w:rFonts w:ascii="Arial" w:hAnsi="Arial"/>
          <w:b/>
          <w:bCs/>
          <w:noProof/>
        </w:rPr>
        <w:t xml:space="preserve"> rolo-brida</w:t>
      </w:r>
    </w:p>
    <w:p w14:paraId="58490E3E" w14:textId="423A2F16" w:rsidR="00386C3A" w:rsidRDefault="004C0B06" w:rsidP="005968C1">
      <w:pPr>
        <w:spacing w:before="120" w:after="120" w:line="240" w:lineRule="auto"/>
        <w:rPr>
          <w:rFonts w:ascii="Arial" w:hAnsi="Arial"/>
          <w:b/>
          <w:bCs/>
          <w:noProof/>
        </w:rPr>
      </w:pPr>
      <w:r>
        <w:rPr>
          <w:rFonts w:ascii="Arial" w:hAnsi="Arial"/>
          <w:b/>
          <w:bCs/>
          <w:noProof/>
        </w:rPr>
        <w:drawing>
          <wp:inline distT="0" distB="0" distL="0" distR="0" wp14:anchorId="4BA3B5A3" wp14:editId="6795A254">
            <wp:extent cx="6488349" cy="8032089"/>
            <wp:effectExtent l="0" t="0" r="825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98735" cy="8044946"/>
                    </a:xfrm>
                    <a:prstGeom prst="rect">
                      <a:avLst/>
                    </a:prstGeom>
                  </pic:spPr>
                </pic:pic>
              </a:graphicData>
            </a:graphic>
          </wp:inline>
        </w:drawing>
      </w:r>
    </w:p>
    <w:p w14:paraId="4D2D43C5" w14:textId="77777777" w:rsidR="00386C3A" w:rsidRDefault="00386C3A">
      <w:pPr>
        <w:rPr>
          <w:rFonts w:ascii="Arial" w:hAnsi="Arial"/>
          <w:b/>
          <w:bCs/>
          <w:noProof/>
        </w:rPr>
      </w:pPr>
      <w:r>
        <w:rPr>
          <w:rFonts w:ascii="Arial" w:hAnsi="Arial"/>
          <w:b/>
          <w:bCs/>
          <w:noProof/>
        </w:rPr>
        <w:br w:type="page"/>
      </w:r>
    </w:p>
    <w:p w14:paraId="11942A7E" w14:textId="49691FA3" w:rsidR="00386C3A" w:rsidRDefault="00386C3A" w:rsidP="00386C3A">
      <w:pPr>
        <w:spacing w:before="120" w:after="120" w:line="240" w:lineRule="auto"/>
        <w:rPr>
          <w:rFonts w:ascii="Arial" w:hAnsi="Arial"/>
          <w:b/>
          <w:bCs/>
          <w:noProof/>
        </w:rPr>
      </w:pPr>
      <w:r w:rsidRPr="005968C1">
        <w:rPr>
          <w:rFonts w:ascii="Arial" w:hAnsi="Arial"/>
          <w:b/>
          <w:bCs/>
          <w:noProof/>
        </w:rPr>
        <w:lastRenderedPageBreak/>
        <w:t xml:space="preserve">Anexo </w:t>
      </w:r>
      <w:r>
        <w:rPr>
          <w:rFonts w:ascii="Arial" w:hAnsi="Arial"/>
          <w:b/>
          <w:bCs/>
          <w:noProof/>
        </w:rPr>
        <w:t>2</w:t>
      </w:r>
      <w:r w:rsidRPr="005968C1">
        <w:rPr>
          <w:rFonts w:ascii="Arial" w:hAnsi="Arial"/>
          <w:b/>
          <w:bCs/>
          <w:noProof/>
        </w:rPr>
        <w:t>. Procedimientos de soldadura</w:t>
      </w:r>
      <w:r>
        <w:rPr>
          <w:rFonts w:ascii="Arial" w:hAnsi="Arial"/>
          <w:b/>
          <w:bCs/>
          <w:noProof/>
        </w:rPr>
        <w:t xml:space="preserve"> de rolo</w:t>
      </w:r>
    </w:p>
    <w:p w14:paraId="011FF658" w14:textId="6DD5A219" w:rsidR="00993BC2" w:rsidRDefault="00386C3A" w:rsidP="005968C1">
      <w:pPr>
        <w:spacing w:before="120" w:after="120" w:line="240" w:lineRule="auto"/>
        <w:rPr>
          <w:rFonts w:ascii="Arial" w:hAnsi="Arial"/>
          <w:b/>
          <w:bCs/>
          <w:noProof/>
        </w:rPr>
      </w:pPr>
      <w:r>
        <w:rPr>
          <w:rFonts w:ascii="Arial" w:hAnsi="Arial"/>
          <w:b/>
          <w:bCs/>
          <w:noProof/>
        </w:rPr>
        <w:drawing>
          <wp:inline distT="0" distB="0" distL="0" distR="0" wp14:anchorId="37B88129" wp14:editId="72816361">
            <wp:extent cx="6422745" cy="82151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2991" cy="8228244"/>
                    </a:xfrm>
                    <a:prstGeom prst="rect">
                      <a:avLst/>
                    </a:prstGeom>
                  </pic:spPr>
                </pic:pic>
              </a:graphicData>
            </a:graphic>
          </wp:inline>
        </w:drawing>
      </w:r>
    </w:p>
    <w:p w14:paraId="5B71EBB5" w14:textId="3C6C682E" w:rsidR="00386C3A" w:rsidRDefault="00386C3A" w:rsidP="005968C1">
      <w:pPr>
        <w:spacing w:before="120" w:after="120" w:line="240" w:lineRule="auto"/>
        <w:rPr>
          <w:rFonts w:ascii="Arial" w:hAnsi="Arial"/>
          <w:b/>
          <w:bCs/>
          <w:noProof/>
        </w:rPr>
      </w:pPr>
    </w:p>
    <w:p w14:paraId="25E575FE" w14:textId="6EEC5D79" w:rsidR="00386C3A" w:rsidRDefault="00386C3A" w:rsidP="005968C1">
      <w:pPr>
        <w:spacing w:before="120" w:after="120" w:line="240" w:lineRule="auto"/>
        <w:rPr>
          <w:rFonts w:ascii="Arial" w:hAnsi="Arial"/>
          <w:b/>
          <w:bCs/>
          <w:noProof/>
        </w:rPr>
      </w:pPr>
    </w:p>
    <w:p w14:paraId="7CCAE0BE" w14:textId="77777777" w:rsidR="00386C3A" w:rsidRDefault="00386C3A" w:rsidP="005968C1">
      <w:pPr>
        <w:spacing w:before="120" w:after="120" w:line="240" w:lineRule="auto"/>
        <w:rPr>
          <w:rFonts w:ascii="Arial" w:hAnsi="Arial"/>
          <w:b/>
          <w:bCs/>
          <w:noProof/>
        </w:rPr>
      </w:pPr>
    </w:p>
    <w:p w14:paraId="186671B7" w14:textId="3A499E64" w:rsidR="00386C3A" w:rsidRPr="005968C1" w:rsidRDefault="00394301" w:rsidP="005968C1">
      <w:pPr>
        <w:spacing w:before="120" w:after="120" w:line="240" w:lineRule="auto"/>
        <w:rPr>
          <w:rFonts w:ascii="Arial" w:hAnsi="Arial"/>
          <w:b/>
          <w:bCs/>
          <w:noProof/>
        </w:rPr>
      </w:pPr>
      <w:r>
        <w:rPr>
          <w:rFonts w:ascii="Arial" w:hAnsi="Arial"/>
          <w:b/>
          <w:bCs/>
          <w:noProof/>
        </w:rPr>
        <w:t xml:space="preserve">Anexo 3. Modelo en 3D de torre del tipo </w:t>
      </w:r>
      <w:r w:rsidRPr="00394301">
        <w:rPr>
          <w:rFonts w:ascii="Arial" w:hAnsi="Arial"/>
          <w:b/>
          <w:bCs/>
          <w:noProof/>
        </w:rPr>
        <w:t>TR H21-C3000</w:t>
      </w:r>
      <w:r>
        <w:rPr>
          <w:rFonts w:ascii="Arial" w:hAnsi="Arial"/>
          <w:b/>
          <w:bCs/>
          <w:noProof/>
        </w:rPr>
        <w:t xml:space="preserve"> (tramos superior e inferior)</w:t>
      </w:r>
    </w:p>
    <w:p w14:paraId="3D5A77FC" w14:textId="1625B1B0" w:rsidR="00CD0B6C" w:rsidRPr="00CD0B6C" w:rsidRDefault="00394301" w:rsidP="00663544">
      <w:pPr>
        <w:pStyle w:val="Bibliografa"/>
        <w:spacing w:before="120" w:after="120" w:line="240" w:lineRule="auto"/>
        <w:jc w:val="left"/>
        <w:rPr>
          <w:lang w:val="es-US"/>
        </w:rPr>
      </w:pPr>
      <w:r>
        <w:rPr>
          <w:rFonts w:cs="Arial"/>
          <w:noProof/>
        </w:rPr>
        <w:drawing>
          <wp:inline distT="0" distB="0" distL="0" distR="0" wp14:anchorId="3F1E5C4B" wp14:editId="7C4C39CB">
            <wp:extent cx="5837361" cy="3701491"/>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4997" cy="3706333"/>
                    </a:xfrm>
                    <a:prstGeom prst="rect">
                      <a:avLst/>
                    </a:prstGeom>
                  </pic:spPr>
                </pic:pic>
              </a:graphicData>
            </a:graphic>
          </wp:inline>
        </w:drawing>
      </w:r>
      <w:r w:rsidR="00CD0B6C" w:rsidRPr="00CD0B6C">
        <w:rPr>
          <w:noProof/>
          <w:lang w:val="es-US"/>
        </w:rPr>
        <w:br/>
      </w:r>
    </w:p>
    <w:p w14:paraId="52B9E5A6" w14:textId="1C1CA590" w:rsidR="000D6E4C" w:rsidRDefault="00394301" w:rsidP="00663544">
      <w:pPr>
        <w:spacing w:before="120" w:after="120" w:line="240" w:lineRule="auto"/>
        <w:jc w:val="both"/>
        <w:rPr>
          <w:rFonts w:ascii="Arial" w:hAnsi="Arial" w:cs="Arial"/>
          <w:iCs/>
        </w:rPr>
      </w:pPr>
      <w:r>
        <w:rPr>
          <w:rFonts w:cs="Arial"/>
          <w:noProof/>
        </w:rPr>
        <w:drawing>
          <wp:inline distT="0" distB="0" distL="0" distR="0" wp14:anchorId="7A5FA090" wp14:editId="364EDB23">
            <wp:extent cx="5825649" cy="3447220"/>
            <wp:effectExtent l="0" t="0" r="3810" b="12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4761" cy="3452612"/>
                    </a:xfrm>
                    <a:prstGeom prst="rect">
                      <a:avLst/>
                    </a:prstGeom>
                  </pic:spPr>
                </pic:pic>
              </a:graphicData>
            </a:graphic>
          </wp:inline>
        </w:drawing>
      </w:r>
    </w:p>
    <w:p w14:paraId="1208472D" w14:textId="77777777" w:rsidR="000D6E4C" w:rsidRDefault="000D6E4C">
      <w:pPr>
        <w:rPr>
          <w:rFonts w:ascii="Arial" w:hAnsi="Arial" w:cs="Arial"/>
          <w:iCs/>
        </w:rPr>
      </w:pPr>
      <w:r>
        <w:rPr>
          <w:rFonts w:ascii="Arial" w:hAnsi="Arial" w:cs="Arial"/>
          <w:iCs/>
        </w:rPr>
        <w:br w:type="page"/>
      </w:r>
    </w:p>
    <w:p w14:paraId="0EC57876" w14:textId="6A7F98DD" w:rsidR="000D6E4C" w:rsidRPr="005968C1" w:rsidRDefault="000D6E4C" w:rsidP="000D6E4C">
      <w:pPr>
        <w:spacing w:before="120" w:after="120" w:line="240" w:lineRule="auto"/>
        <w:rPr>
          <w:rFonts w:ascii="Arial" w:hAnsi="Arial"/>
          <w:b/>
          <w:bCs/>
          <w:noProof/>
        </w:rPr>
      </w:pPr>
      <w:r>
        <w:rPr>
          <w:rFonts w:ascii="Arial" w:hAnsi="Arial"/>
          <w:b/>
          <w:bCs/>
          <w:noProof/>
        </w:rPr>
        <w:lastRenderedPageBreak/>
        <w:t xml:space="preserve">Anexo 4. Modelo en 3D de torre del tipo </w:t>
      </w:r>
      <w:r w:rsidRPr="00394301">
        <w:rPr>
          <w:rFonts w:ascii="Arial" w:hAnsi="Arial"/>
          <w:b/>
          <w:bCs/>
          <w:noProof/>
        </w:rPr>
        <w:t>TR H21-C3000</w:t>
      </w:r>
      <w:r>
        <w:rPr>
          <w:rFonts w:ascii="Arial" w:hAnsi="Arial"/>
          <w:b/>
          <w:bCs/>
          <w:noProof/>
        </w:rPr>
        <w:t xml:space="preserve"> (ensamblado)</w:t>
      </w:r>
    </w:p>
    <w:p w14:paraId="501F41C9" w14:textId="75072EBD" w:rsidR="00F87187" w:rsidRPr="00CD0B6C" w:rsidRDefault="000D6E4C" w:rsidP="00663544">
      <w:pPr>
        <w:spacing w:before="120" w:after="120" w:line="240" w:lineRule="auto"/>
        <w:jc w:val="both"/>
        <w:rPr>
          <w:rFonts w:ascii="Arial" w:hAnsi="Arial" w:cs="Arial"/>
          <w:iCs/>
        </w:rPr>
      </w:pPr>
      <w:r>
        <w:rPr>
          <w:rFonts w:cs="Arial"/>
          <w:noProof/>
        </w:rPr>
        <w:drawing>
          <wp:inline distT="0" distB="0" distL="0" distR="0" wp14:anchorId="6C22B323" wp14:editId="6F5C6B19">
            <wp:extent cx="6572250" cy="375629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72250" cy="3756294"/>
                    </a:xfrm>
                    <a:prstGeom prst="rect">
                      <a:avLst/>
                    </a:prstGeom>
                  </pic:spPr>
                </pic:pic>
              </a:graphicData>
            </a:graphic>
          </wp:inline>
        </w:drawing>
      </w:r>
    </w:p>
    <w:sectPr w:rsidR="00F87187" w:rsidRPr="00CD0B6C" w:rsidSect="00D33299">
      <w:pgSz w:w="12240" w:h="15840"/>
      <w:pgMar w:top="810" w:right="81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704E1"/>
    <w:multiLevelType w:val="hybridMultilevel"/>
    <w:tmpl w:val="D18443EC"/>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40A5334A"/>
    <w:multiLevelType w:val="hybridMultilevel"/>
    <w:tmpl w:val="A92EC6AE"/>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40BF12E9"/>
    <w:multiLevelType w:val="multilevel"/>
    <w:tmpl w:val="232E0C0E"/>
    <w:lvl w:ilvl="0">
      <w:start w:val="1"/>
      <w:numFmt w:val="decimal"/>
      <w:lvlText w:val="%1."/>
      <w:lvlJc w:val="left"/>
      <w:pPr>
        <w:ind w:left="5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2574BB7"/>
    <w:multiLevelType w:val="hybridMultilevel"/>
    <w:tmpl w:val="D65664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11A2451"/>
    <w:multiLevelType w:val="multilevel"/>
    <w:tmpl w:val="232E0C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6610E7E"/>
    <w:multiLevelType w:val="hybridMultilevel"/>
    <w:tmpl w:val="AF000EB0"/>
    <w:lvl w:ilvl="0" w:tplc="A3161F94">
      <w:start w:val="2"/>
      <w:numFmt w:val="bullet"/>
      <w:lvlText w:val="-"/>
      <w:lvlJc w:val="left"/>
      <w:pPr>
        <w:ind w:left="720" w:hanging="360"/>
      </w:pPr>
      <w:rPr>
        <w:rFonts w:ascii="Arial" w:eastAsia="Calibr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581D2161"/>
    <w:multiLevelType w:val="hybridMultilevel"/>
    <w:tmpl w:val="56E64992"/>
    <w:lvl w:ilvl="0" w:tplc="A3161F94">
      <w:start w:val="2"/>
      <w:numFmt w:val="bullet"/>
      <w:lvlText w:val="-"/>
      <w:lvlJc w:val="left"/>
      <w:pPr>
        <w:ind w:left="720" w:hanging="360"/>
      </w:pPr>
      <w:rPr>
        <w:rFonts w:ascii="Arial" w:eastAsia="Calibr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 w15:restartNumberingAfterBreak="0">
    <w:nsid w:val="5C197832"/>
    <w:multiLevelType w:val="hybridMultilevel"/>
    <w:tmpl w:val="F672209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6941216A"/>
    <w:multiLevelType w:val="hybridMultilevel"/>
    <w:tmpl w:val="1878FD84"/>
    <w:lvl w:ilvl="0" w:tplc="5C0A000F">
      <w:start w:val="1"/>
      <w:numFmt w:val="decimal"/>
      <w:lvlText w:val="%1."/>
      <w:lvlJc w:val="left"/>
      <w:pPr>
        <w:ind w:left="1008" w:hanging="360"/>
      </w:pPr>
      <w:rPr>
        <w:rFonts w:hint="default"/>
      </w:r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9" w15:restartNumberingAfterBreak="0">
    <w:nsid w:val="6B4C232B"/>
    <w:multiLevelType w:val="hybridMultilevel"/>
    <w:tmpl w:val="D7D22B96"/>
    <w:lvl w:ilvl="0" w:tplc="A3161F94">
      <w:start w:val="2"/>
      <w:numFmt w:val="bullet"/>
      <w:lvlText w:val="-"/>
      <w:lvlJc w:val="left"/>
      <w:pPr>
        <w:ind w:left="720" w:hanging="360"/>
      </w:pPr>
      <w:rPr>
        <w:rFonts w:ascii="Arial" w:eastAsia="Calibr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3"/>
  </w:num>
  <w:num w:numId="5">
    <w:abstractNumId w:val="2"/>
  </w:num>
  <w:num w:numId="6">
    <w:abstractNumId w:val="9"/>
  </w:num>
  <w:num w:numId="7">
    <w:abstractNumId w:val="6"/>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38"/>
    <w:rsid w:val="0000070C"/>
    <w:rsid w:val="000120D2"/>
    <w:rsid w:val="000322E4"/>
    <w:rsid w:val="00043EEB"/>
    <w:rsid w:val="000454B0"/>
    <w:rsid w:val="00071DDC"/>
    <w:rsid w:val="00093A1E"/>
    <w:rsid w:val="000A29BC"/>
    <w:rsid w:val="000A2EC6"/>
    <w:rsid w:val="000A3DA5"/>
    <w:rsid w:val="000D06BF"/>
    <w:rsid w:val="000D6E4C"/>
    <w:rsid w:val="000F6CDF"/>
    <w:rsid w:val="001118FE"/>
    <w:rsid w:val="00127EC0"/>
    <w:rsid w:val="0013414D"/>
    <w:rsid w:val="001525E7"/>
    <w:rsid w:val="00192D8F"/>
    <w:rsid w:val="001A43B8"/>
    <w:rsid w:val="001B04B9"/>
    <w:rsid w:val="001C0793"/>
    <w:rsid w:val="001D3A43"/>
    <w:rsid w:val="00224385"/>
    <w:rsid w:val="00231181"/>
    <w:rsid w:val="00240D33"/>
    <w:rsid w:val="00247AEC"/>
    <w:rsid w:val="00257731"/>
    <w:rsid w:val="002872CA"/>
    <w:rsid w:val="00293F0E"/>
    <w:rsid w:val="002B558A"/>
    <w:rsid w:val="002C25F5"/>
    <w:rsid w:val="002C2E73"/>
    <w:rsid w:val="002F3540"/>
    <w:rsid w:val="00313592"/>
    <w:rsid w:val="00324F63"/>
    <w:rsid w:val="00334C67"/>
    <w:rsid w:val="00341243"/>
    <w:rsid w:val="00343D56"/>
    <w:rsid w:val="00375A3C"/>
    <w:rsid w:val="00386C3A"/>
    <w:rsid w:val="00390F48"/>
    <w:rsid w:val="00394301"/>
    <w:rsid w:val="003A16BF"/>
    <w:rsid w:val="003D3132"/>
    <w:rsid w:val="003D7CE6"/>
    <w:rsid w:val="003F2DF7"/>
    <w:rsid w:val="00405A85"/>
    <w:rsid w:val="00426D33"/>
    <w:rsid w:val="0044040C"/>
    <w:rsid w:val="004454C7"/>
    <w:rsid w:val="0046111B"/>
    <w:rsid w:val="00463EFD"/>
    <w:rsid w:val="004A0616"/>
    <w:rsid w:val="004C0B06"/>
    <w:rsid w:val="004C5A16"/>
    <w:rsid w:val="004C79C5"/>
    <w:rsid w:val="004E1AA6"/>
    <w:rsid w:val="004F4B6C"/>
    <w:rsid w:val="004F732D"/>
    <w:rsid w:val="00506BBF"/>
    <w:rsid w:val="00541D51"/>
    <w:rsid w:val="00544373"/>
    <w:rsid w:val="00586BB2"/>
    <w:rsid w:val="005968C1"/>
    <w:rsid w:val="005D2108"/>
    <w:rsid w:val="005E2C2F"/>
    <w:rsid w:val="005F4555"/>
    <w:rsid w:val="0060238A"/>
    <w:rsid w:val="00622A5D"/>
    <w:rsid w:val="00623600"/>
    <w:rsid w:val="00655584"/>
    <w:rsid w:val="00663544"/>
    <w:rsid w:val="00676BE0"/>
    <w:rsid w:val="006A2171"/>
    <w:rsid w:val="006C2846"/>
    <w:rsid w:val="006C606D"/>
    <w:rsid w:val="006E4AC6"/>
    <w:rsid w:val="00705027"/>
    <w:rsid w:val="00754882"/>
    <w:rsid w:val="007773F4"/>
    <w:rsid w:val="00785C97"/>
    <w:rsid w:val="007920FC"/>
    <w:rsid w:val="0079673E"/>
    <w:rsid w:val="007A530A"/>
    <w:rsid w:val="007B5C7E"/>
    <w:rsid w:val="007C670D"/>
    <w:rsid w:val="007F6DF2"/>
    <w:rsid w:val="007F7631"/>
    <w:rsid w:val="00812DBA"/>
    <w:rsid w:val="008340BD"/>
    <w:rsid w:val="00840EEC"/>
    <w:rsid w:val="00874578"/>
    <w:rsid w:val="00880CDB"/>
    <w:rsid w:val="008B5AFF"/>
    <w:rsid w:val="008D0DC4"/>
    <w:rsid w:val="008D7A53"/>
    <w:rsid w:val="0092205A"/>
    <w:rsid w:val="009714AE"/>
    <w:rsid w:val="00993BC2"/>
    <w:rsid w:val="00994124"/>
    <w:rsid w:val="009C493A"/>
    <w:rsid w:val="009C6270"/>
    <w:rsid w:val="009E593F"/>
    <w:rsid w:val="00A15DF1"/>
    <w:rsid w:val="00A259B9"/>
    <w:rsid w:val="00A44138"/>
    <w:rsid w:val="00A65347"/>
    <w:rsid w:val="00AA2CF8"/>
    <w:rsid w:val="00AB3841"/>
    <w:rsid w:val="00AE3A2E"/>
    <w:rsid w:val="00B03DC1"/>
    <w:rsid w:val="00B148F6"/>
    <w:rsid w:val="00BA765D"/>
    <w:rsid w:val="00BB2FD6"/>
    <w:rsid w:val="00BB5F46"/>
    <w:rsid w:val="00BC3760"/>
    <w:rsid w:val="00BE3EE1"/>
    <w:rsid w:val="00C17DCD"/>
    <w:rsid w:val="00C30A4F"/>
    <w:rsid w:val="00C53625"/>
    <w:rsid w:val="00C61FEC"/>
    <w:rsid w:val="00C87B38"/>
    <w:rsid w:val="00C93E8A"/>
    <w:rsid w:val="00C96709"/>
    <w:rsid w:val="00CD0753"/>
    <w:rsid w:val="00CD0B6C"/>
    <w:rsid w:val="00CD5CD9"/>
    <w:rsid w:val="00D04F00"/>
    <w:rsid w:val="00D26D98"/>
    <w:rsid w:val="00D33299"/>
    <w:rsid w:val="00D50800"/>
    <w:rsid w:val="00DF4075"/>
    <w:rsid w:val="00DF5DC3"/>
    <w:rsid w:val="00E02890"/>
    <w:rsid w:val="00E0329C"/>
    <w:rsid w:val="00E36638"/>
    <w:rsid w:val="00E428DD"/>
    <w:rsid w:val="00E45338"/>
    <w:rsid w:val="00E531A6"/>
    <w:rsid w:val="00E82015"/>
    <w:rsid w:val="00EF7CB6"/>
    <w:rsid w:val="00F04A00"/>
    <w:rsid w:val="00F1094B"/>
    <w:rsid w:val="00F176DF"/>
    <w:rsid w:val="00F327C9"/>
    <w:rsid w:val="00F70A71"/>
    <w:rsid w:val="00F801EE"/>
    <w:rsid w:val="00F82AC6"/>
    <w:rsid w:val="00F84309"/>
    <w:rsid w:val="00F87187"/>
    <w:rsid w:val="00F91675"/>
    <w:rsid w:val="00FA016C"/>
    <w:rsid w:val="00FA6A6B"/>
    <w:rsid w:val="00FA79BA"/>
    <w:rsid w:val="00FB6DA5"/>
    <w:rsid w:val="00FC5791"/>
    <w:rsid w:val="00FF69D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3E336"/>
  <w15:docId w15:val="{B4E5E8AD-B678-4174-A010-F0F76161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06BF"/>
    <w:pPr>
      <w:ind w:left="720"/>
      <w:contextualSpacing/>
    </w:pPr>
  </w:style>
  <w:style w:type="table" w:styleId="Tablaconcuadrcula">
    <w:name w:val="Table Grid"/>
    <w:basedOn w:val="Tablanormal"/>
    <w:uiPriority w:val="39"/>
    <w:rsid w:val="002C2E73"/>
    <w:pPr>
      <w:spacing w:after="0" w:line="240" w:lineRule="auto"/>
      <w:jc w:val="both"/>
    </w:pPr>
    <w:rPr>
      <w:rFonts w:ascii="Arial" w:hAnsi="Arial"/>
      <w:iCs/>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C2E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E73"/>
    <w:rPr>
      <w:rFonts w:ascii="Tahoma" w:hAnsi="Tahoma" w:cs="Tahoma"/>
      <w:sz w:val="16"/>
      <w:szCs w:val="16"/>
    </w:rPr>
  </w:style>
  <w:style w:type="paragraph" w:styleId="Bibliografa">
    <w:name w:val="Bibliography"/>
    <w:basedOn w:val="Normal"/>
    <w:next w:val="Normal"/>
    <w:uiPriority w:val="37"/>
    <w:unhideWhenUsed/>
    <w:rsid w:val="00CD0B6C"/>
    <w:pPr>
      <w:spacing w:after="0" w:line="360" w:lineRule="auto"/>
      <w:jc w:val="both"/>
    </w:pPr>
    <w:rPr>
      <w:rFonts w:ascii="Arial" w:hAnsi="Arial"/>
      <w:lang w:val="es-ES"/>
    </w:rPr>
  </w:style>
  <w:style w:type="character" w:styleId="Hipervnculo">
    <w:name w:val="Hyperlink"/>
    <w:basedOn w:val="Fuentedeprrafopredeter"/>
    <w:uiPriority w:val="99"/>
    <w:unhideWhenUsed/>
    <w:rsid w:val="00CD0B6C"/>
    <w:rPr>
      <w:color w:val="0000FF" w:themeColor="hyperlink"/>
      <w:u w:val="single"/>
    </w:rPr>
  </w:style>
  <w:style w:type="character" w:styleId="Refdecomentario">
    <w:name w:val="annotation reference"/>
    <w:basedOn w:val="Fuentedeprrafopredeter"/>
    <w:uiPriority w:val="99"/>
    <w:semiHidden/>
    <w:unhideWhenUsed/>
    <w:rsid w:val="006C2846"/>
    <w:rPr>
      <w:sz w:val="16"/>
      <w:szCs w:val="16"/>
    </w:rPr>
  </w:style>
  <w:style w:type="paragraph" w:styleId="Textocomentario">
    <w:name w:val="annotation text"/>
    <w:basedOn w:val="Normal"/>
    <w:link w:val="TextocomentarioCar"/>
    <w:uiPriority w:val="99"/>
    <w:semiHidden/>
    <w:unhideWhenUsed/>
    <w:rsid w:val="006C28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2846"/>
    <w:rPr>
      <w:sz w:val="20"/>
      <w:szCs w:val="20"/>
    </w:rPr>
  </w:style>
  <w:style w:type="paragraph" w:styleId="Asuntodelcomentario">
    <w:name w:val="annotation subject"/>
    <w:basedOn w:val="Textocomentario"/>
    <w:next w:val="Textocomentario"/>
    <w:link w:val="AsuntodelcomentarioCar"/>
    <w:uiPriority w:val="99"/>
    <w:semiHidden/>
    <w:unhideWhenUsed/>
    <w:rsid w:val="006C2846"/>
    <w:rPr>
      <w:b/>
      <w:bCs/>
    </w:rPr>
  </w:style>
  <w:style w:type="character" w:customStyle="1" w:styleId="AsuntodelcomentarioCar">
    <w:name w:val="Asunto del comentario Car"/>
    <w:basedOn w:val="TextocomentarioCar"/>
    <w:link w:val="Asuntodelcomentario"/>
    <w:uiPriority w:val="99"/>
    <w:semiHidden/>
    <w:rsid w:val="006C2846"/>
    <w:rPr>
      <w:b/>
      <w:bCs/>
      <w:sz w:val="20"/>
      <w:szCs w:val="20"/>
    </w:rPr>
  </w:style>
  <w:style w:type="character" w:styleId="Textoennegrita">
    <w:name w:val="Strong"/>
    <w:basedOn w:val="Fuentedeprrafopredeter"/>
    <w:uiPriority w:val="22"/>
    <w:qFormat/>
    <w:rsid w:val="001A4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85016">
      <w:bodyDiv w:val="1"/>
      <w:marLeft w:val="0"/>
      <w:marRight w:val="0"/>
      <w:marTop w:val="0"/>
      <w:marBottom w:val="0"/>
      <w:divBdr>
        <w:top w:val="none" w:sz="0" w:space="0" w:color="auto"/>
        <w:left w:val="none" w:sz="0" w:space="0" w:color="auto"/>
        <w:bottom w:val="none" w:sz="0" w:space="0" w:color="auto"/>
        <w:right w:val="none" w:sz="0" w:space="0" w:color="auto"/>
      </w:divBdr>
    </w:div>
    <w:div w:id="156737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oleObject" Target="embeddings/oleObject4.bin"/><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image" Target="media/image22.png"/><Relationship Id="rId47" Type="http://schemas.microsoft.com/office/2007/relationships/hdphoto" Target="media/hdphoto8.wdp"/><Relationship Id="rId50" Type="http://schemas.openxmlformats.org/officeDocument/2006/relationships/image" Target="media/image26.png"/><Relationship Id="rId7" Type="http://schemas.openxmlformats.org/officeDocument/2006/relationships/image" Target="media/image2.jpe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chart" Target="charts/chart1.xml"/><Relationship Id="rId45" Type="http://schemas.microsoft.com/office/2007/relationships/hdphoto" Target="media/hdphoto7.wdp"/><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7.png"/><Relationship Id="rId43" Type="http://schemas.microsoft.com/office/2007/relationships/hdphoto" Target="media/hdphoto6.wdp"/><Relationship Id="rId48" Type="http://schemas.openxmlformats.org/officeDocument/2006/relationships/image" Target="media/image25.png"/><Relationship Id="rId8" Type="http://schemas.openxmlformats.org/officeDocument/2006/relationships/image" Target="media/image3.jpeg"/><Relationship Id="rId51" Type="http://schemas.microsoft.com/office/2007/relationships/hdphoto" Target="media/hdphoto10.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oleObject" Target="embeddings/oleObject1.bin"/><Relationship Id="rId41" Type="http://schemas.openxmlformats.org/officeDocument/2006/relationships/hyperlink" Target="https://www.granma.cu"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image" Target="media/image18.png"/><Relationship Id="rId49" Type="http://schemas.microsoft.com/office/2007/relationships/hdphoto" Target="media/hdphoto9.wdp"/></Relationships>
</file>

<file path=word/charts/_rels/chart1.xml.rels><?xml version="1.0" encoding="UTF-8" standalone="yes"?>
<Relationships xmlns="http://schemas.openxmlformats.org/package/2006/relationships"><Relationship Id="rId2" Type="http://schemas.openxmlformats.org/officeDocument/2006/relationships/oleObject" Target="file:///D:\Universidad\Mec&#225;nica\Tesis\Tesis%20de%20Frank\Estructura%20de%20la%20tesis\C&#225;lculo%20de%20costos%20de%20soldadura-Grafico.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29439052676555E-3"/>
          <c:y val="0.1705950010559025"/>
          <c:w val="0.84959952983602727"/>
          <c:h val="0.68814372341388363"/>
        </c:manualLayout>
      </c:layout>
      <c:pie3DChart>
        <c:varyColors val="1"/>
        <c:ser>
          <c:idx val="0"/>
          <c:order val="0"/>
          <c:cat>
            <c:strRef>
              <c:f>Hoja1!$B$2:$D$2</c:f>
              <c:strCache>
                <c:ptCount val="3"/>
                <c:pt idx="0">
                  <c:v>Costo de los consumibles </c:v>
                </c:pt>
                <c:pt idx="1">
                  <c:v>Costo de Mano de Obra</c:v>
                </c:pt>
                <c:pt idx="2">
                  <c:v>Costo de la energía eléctrica</c:v>
                </c:pt>
              </c:strCache>
            </c:strRef>
          </c:cat>
          <c:val>
            <c:numRef>
              <c:f>Hoja1!$B$3:$D$3</c:f>
            </c:numRef>
          </c:val>
          <c:extLst>
            <c:ext xmlns:c16="http://schemas.microsoft.com/office/drawing/2014/chart" uri="{C3380CC4-5D6E-409C-BE32-E72D297353CC}">
              <c16:uniqueId val="{00000000-F914-4E6A-B759-7842F2F012CA}"/>
            </c:ext>
          </c:extLst>
        </c:ser>
        <c:ser>
          <c:idx val="1"/>
          <c:order val="1"/>
          <c:cat>
            <c:strRef>
              <c:f>Hoja1!$B$2:$D$2</c:f>
              <c:strCache>
                <c:ptCount val="3"/>
                <c:pt idx="0">
                  <c:v>Costo de los consumibles </c:v>
                </c:pt>
                <c:pt idx="1">
                  <c:v>Costo de Mano de Obra</c:v>
                </c:pt>
                <c:pt idx="2">
                  <c:v>Costo de la energía eléctrica</c:v>
                </c:pt>
              </c:strCache>
            </c:strRef>
          </c:cat>
          <c:val>
            <c:numRef>
              <c:f>Hoja1!$B$4:$D$4</c:f>
            </c:numRef>
          </c:val>
          <c:extLst>
            <c:ext xmlns:c16="http://schemas.microsoft.com/office/drawing/2014/chart" uri="{C3380CC4-5D6E-409C-BE32-E72D297353CC}">
              <c16:uniqueId val="{00000001-F914-4E6A-B759-7842F2F012CA}"/>
            </c:ext>
          </c:extLst>
        </c:ser>
        <c:ser>
          <c:idx val="2"/>
          <c:order val="2"/>
          <c:cat>
            <c:strRef>
              <c:f>Hoja1!$B$2:$D$2</c:f>
              <c:strCache>
                <c:ptCount val="3"/>
                <c:pt idx="0">
                  <c:v>Costo de los consumibles </c:v>
                </c:pt>
                <c:pt idx="1">
                  <c:v>Costo de Mano de Obra</c:v>
                </c:pt>
                <c:pt idx="2">
                  <c:v>Costo de la energía eléctrica</c:v>
                </c:pt>
              </c:strCache>
            </c:strRef>
          </c:cat>
          <c:val>
            <c:numRef>
              <c:f>Hoja1!$B$5:$D$5</c:f>
            </c:numRef>
          </c:val>
          <c:extLst>
            <c:ext xmlns:c16="http://schemas.microsoft.com/office/drawing/2014/chart" uri="{C3380CC4-5D6E-409C-BE32-E72D297353CC}">
              <c16:uniqueId val="{00000002-F914-4E6A-B759-7842F2F012CA}"/>
            </c:ext>
          </c:extLst>
        </c:ser>
        <c:ser>
          <c:idx val="3"/>
          <c:order val="3"/>
          <c:cat>
            <c:strRef>
              <c:f>Hoja1!$B$2:$D$2</c:f>
              <c:strCache>
                <c:ptCount val="3"/>
                <c:pt idx="0">
                  <c:v>Costo de los consumibles </c:v>
                </c:pt>
                <c:pt idx="1">
                  <c:v>Costo de Mano de Obra</c:v>
                </c:pt>
                <c:pt idx="2">
                  <c:v>Costo de la energía eléctrica</c:v>
                </c:pt>
              </c:strCache>
            </c:strRef>
          </c:cat>
          <c:val>
            <c:numRef>
              <c:f>Hoja1!$B$6:$D$6</c:f>
            </c:numRef>
          </c:val>
          <c:extLst>
            <c:ext xmlns:c16="http://schemas.microsoft.com/office/drawing/2014/chart" uri="{C3380CC4-5D6E-409C-BE32-E72D297353CC}">
              <c16:uniqueId val="{00000003-F914-4E6A-B759-7842F2F012CA}"/>
            </c:ext>
          </c:extLst>
        </c:ser>
        <c:ser>
          <c:idx val="4"/>
          <c:order val="4"/>
          <c:cat>
            <c:strRef>
              <c:f>Hoja1!$B$2:$D$2</c:f>
              <c:strCache>
                <c:ptCount val="3"/>
                <c:pt idx="0">
                  <c:v>Costo de los consumibles </c:v>
                </c:pt>
                <c:pt idx="1">
                  <c:v>Costo de Mano de Obra</c:v>
                </c:pt>
                <c:pt idx="2">
                  <c:v>Costo de la energía eléctrica</c:v>
                </c:pt>
              </c:strCache>
            </c:strRef>
          </c:cat>
          <c:val>
            <c:numRef>
              <c:f>Hoja1!$B$7:$D$7</c:f>
            </c:numRef>
          </c:val>
          <c:extLst>
            <c:ext xmlns:c16="http://schemas.microsoft.com/office/drawing/2014/chart" uri="{C3380CC4-5D6E-409C-BE32-E72D297353CC}">
              <c16:uniqueId val="{00000004-F914-4E6A-B759-7842F2F012CA}"/>
            </c:ext>
          </c:extLst>
        </c:ser>
        <c:ser>
          <c:idx val="5"/>
          <c:order val="5"/>
          <c:cat>
            <c:strRef>
              <c:f>Hoja1!$B$2:$D$2</c:f>
              <c:strCache>
                <c:ptCount val="3"/>
                <c:pt idx="0">
                  <c:v>Costo de los consumibles </c:v>
                </c:pt>
                <c:pt idx="1">
                  <c:v>Costo de Mano de Obra</c:v>
                </c:pt>
                <c:pt idx="2">
                  <c:v>Costo de la energía eléctrica</c:v>
                </c:pt>
              </c:strCache>
            </c:strRef>
          </c:cat>
          <c:val>
            <c:numRef>
              <c:f>Hoja1!$B$8:$D$8</c:f>
            </c:numRef>
          </c:val>
          <c:extLst>
            <c:ext xmlns:c16="http://schemas.microsoft.com/office/drawing/2014/chart" uri="{C3380CC4-5D6E-409C-BE32-E72D297353CC}">
              <c16:uniqueId val="{00000005-F914-4E6A-B759-7842F2F012CA}"/>
            </c:ext>
          </c:extLst>
        </c:ser>
        <c:ser>
          <c:idx val="6"/>
          <c:order val="6"/>
          <c:cat>
            <c:strRef>
              <c:f>Hoja1!$B$2:$D$2</c:f>
              <c:strCache>
                <c:ptCount val="3"/>
                <c:pt idx="0">
                  <c:v>Costo de los consumibles </c:v>
                </c:pt>
                <c:pt idx="1">
                  <c:v>Costo de Mano de Obra</c:v>
                </c:pt>
                <c:pt idx="2">
                  <c:v>Costo de la energía eléctrica</c:v>
                </c:pt>
              </c:strCache>
            </c:strRef>
          </c:cat>
          <c:val>
            <c:numRef>
              <c:f>Hoja1!$B$9:$D$9</c:f>
            </c:numRef>
          </c:val>
          <c:extLst>
            <c:ext xmlns:c16="http://schemas.microsoft.com/office/drawing/2014/chart" uri="{C3380CC4-5D6E-409C-BE32-E72D297353CC}">
              <c16:uniqueId val="{00000006-F914-4E6A-B759-7842F2F012CA}"/>
            </c:ext>
          </c:extLst>
        </c:ser>
        <c:ser>
          <c:idx val="7"/>
          <c:order val="7"/>
          <c:cat>
            <c:strRef>
              <c:f>Hoja1!$B$2:$D$2</c:f>
              <c:strCache>
                <c:ptCount val="3"/>
                <c:pt idx="0">
                  <c:v>Costo de los consumibles </c:v>
                </c:pt>
                <c:pt idx="1">
                  <c:v>Costo de Mano de Obra</c:v>
                </c:pt>
                <c:pt idx="2">
                  <c:v>Costo de la energía eléctrica</c:v>
                </c:pt>
              </c:strCache>
            </c:strRef>
          </c:cat>
          <c:val>
            <c:numRef>
              <c:f>Hoja1!$B$10:$D$10</c:f>
            </c:numRef>
          </c:val>
          <c:extLst>
            <c:ext xmlns:c16="http://schemas.microsoft.com/office/drawing/2014/chart" uri="{C3380CC4-5D6E-409C-BE32-E72D297353CC}">
              <c16:uniqueId val="{00000007-F914-4E6A-B759-7842F2F012CA}"/>
            </c:ext>
          </c:extLst>
        </c:ser>
        <c:ser>
          <c:idx val="8"/>
          <c:order val="8"/>
          <c:cat>
            <c:strRef>
              <c:f>Hoja1!$B$2:$D$2</c:f>
              <c:strCache>
                <c:ptCount val="3"/>
                <c:pt idx="0">
                  <c:v>Costo de los consumibles </c:v>
                </c:pt>
                <c:pt idx="1">
                  <c:v>Costo de Mano de Obra</c:v>
                </c:pt>
                <c:pt idx="2">
                  <c:v>Costo de la energía eléctrica</c:v>
                </c:pt>
              </c:strCache>
            </c:strRef>
          </c:cat>
          <c:val>
            <c:numRef>
              <c:f>Hoja1!$B$11:$D$11</c:f>
            </c:numRef>
          </c:val>
          <c:extLst>
            <c:ext xmlns:c16="http://schemas.microsoft.com/office/drawing/2014/chart" uri="{C3380CC4-5D6E-409C-BE32-E72D297353CC}">
              <c16:uniqueId val="{00000008-F914-4E6A-B759-7842F2F012CA}"/>
            </c:ext>
          </c:extLst>
        </c:ser>
        <c:ser>
          <c:idx val="9"/>
          <c:order val="9"/>
          <c:cat>
            <c:strRef>
              <c:f>Hoja1!$B$2:$D$2</c:f>
              <c:strCache>
                <c:ptCount val="3"/>
                <c:pt idx="0">
                  <c:v>Costo de los consumibles </c:v>
                </c:pt>
                <c:pt idx="1">
                  <c:v>Costo de Mano de Obra</c:v>
                </c:pt>
                <c:pt idx="2">
                  <c:v>Costo de la energía eléctrica</c:v>
                </c:pt>
              </c:strCache>
            </c:strRef>
          </c:cat>
          <c:val>
            <c:numRef>
              <c:f>Hoja1!$B$12:$D$12</c:f>
            </c:numRef>
          </c:val>
          <c:extLst>
            <c:ext xmlns:c16="http://schemas.microsoft.com/office/drawing/2014/chart" uri="{C3380CC4-5D6E-409C-BE32-E72D297353CC}">
              <c16:uniqueId val="{00000009-F914-4E6A-B759-7842F2F012CA}"/>
            </c:ext>
          </c:extLst>
        </c:ser>
        <c:ser>
          <c:idx val="10"/>
          <c:order val="10"/>
          <c:cat>
            <c:strRef>
              <c:f>Hoja1!$B$2:$D$2</c:f>
              <c:strCache>
                <c:ptCount val="3"/>
                <c:pt idx="0">
                  <c:v>Costo de los consumibles </c:v>
                </c:pt>
                <c:pt idx="1">
                  <c:v>Costo de Mano de Obra</c:v>
                </c:pt>
                <c:pt idx="2">
                  <c:v>Costo de la energía eléctrica</c:v>
                </c:pt>
              </c:strCache>
            </c:strRef>
          </c:cat>
          <c:val>
            <c:numRef>
              <c:f>Hoja1!$B$13:$D$13</c:f>
            </c:numRef>
          </c:val>
          <c:extLst>
            <c:ext xmlns:c16="http://schemas.microsoft.com/office/drawing/2014/chart" uri="{C3380CC4-5D6E-409C-BE32-E72D297353CC}">
              <c16:uniqueId val="{0000000A-F914-4E6A-B759-7842F2F012CA}"/>
            </c:ext>
          </c:extLst>
        </c:ser>
        <c:ser>
          <c:idx val="11"/>
          <c:order val="11"/>
          <c:cat>
            <c:strRef>
              <c:f>Hoja1!$B$2:$D$2</c:f>
              <c:strCache>
                <c:ptCount val="3"/>
                <c:pt idx="0">
                  <c:v>Costo de los consumibles </c:v>
                </c:pt>
                <c:pt idx="1">
                  <c:v>Costo de Mano de Obra</c:v>
                </c:pt>
                <c:pt idx="2">
                  <c:v>Costo de la energía eléctrica</c:v>
                </c:pt>
              </c:strCache>
            </c:strRef>
          </c:cat>
          <c:val>
            <c:numRef>
              <c:f>Hoja1!$B$14:$D$14</c:f>
            </c:numRef>
          </c:val>
          <c:extLst>
            <c:ext xmlns:c16="http://schemas.microsoft.com/office/drawing/2014/chart" uri="{C3380CC4-5D6E-409C-BE32-E72D297353CC}">
              <c16:uniqueId val="{0000000B-F914-4E6A-B759-7842F2F012CA}"/>
            </c:ext>
          </c:extLst>
        </c:ser>
        <c:ser>
          <c:idx val="12"/>
          <c:order val="12"/>
          <c:cat>
            <c:strRef>
              <c:f>Hoja1!$B$2:$D$2</c:f>
              <c:strCache>
                <c:ptCount val="3"/>
                <c:pt idx="0">
                  <c:v>Costo de los consumibles </c:v>
                </c:pt>
                <c:pt idx="1">
                  <c:v>Costo de Mano de Obra</c:v>
                </c:pt>
                <c:pt idx="2">
                  <c:v>Costo de la energía eléctrica</c:v>
                </c:pt>
              </c:strCache>
            </c:strRef>
          </c:cat>
          <c:val>
            <c:numRef>
              <c:f>Hoja1!$B$15:$D$15</c:f>
            </c:numRef>
          </c:val>
          <c:extLst>
            <c:ext xmlns:c16="http://schemas.microsoft.com/office/drawing/2014/chart" uri="{C3380CC4-5D6E-409C-BE32-E72D297353CC}">
              <c16:uniqueId val="{0000000C-F914-4E6A-B759-7842F2F012CA}"/>
            </c:ext>
          </c:extLst>
        </c:ser>
        <c:ser>
          <c:idx val="13"/>
          <c:order val="13"/>
          <c:cat>
            <c:strRef>
              <c:f>Hoja1!$B$2:$D$2</c:f>
              <c:strCache>
                <c:ptCount val="3"/>
                <c:pt idx="0">
                  <c:v>Costo de los consumibles </c:v>
                </c:pt>
                <c:pt idx="1">
                  <c:v>Costo de Mano de Obra</c:v>
                </c:pt>
                <c:pt idx="2">
                  <c:v>Costo de la energía eléctrica</c:v>
                </c:pt>
              </c:strCache>
            </c:strRef>
          </c:cat>
          <c:val>
            <c:numRef>
              <c:f>Hoja1!$B$16:$D$16</c:f>
            </c:numRef>
          </c:val>
          <c:extLst>
            <c:ext xmlns:c16="http://schemas.microsoft.com/office/drawing/2014/chart" uri="{C3380CC4-5D6E-409C-BE32-E72D297353CC}">
              <c16:uniqueId val="{0000000D-F914-4E6A-B759-7842F2F012CA}"/>
            </c:ext>
          </c:extLst>
        </c:ser>
        <c:ser>
          <c:idx val="14"/>
          <c:order val="14"/>
          <c:cat>
            <c:strRef>
              <c:f>Hoja1!$B$2:$D$2</c:f>
              <c:strCache>
                <c:ptCount val="3"/>
                <c:pt idx="0">
                  <c:v>Costo de los consumibles </c:v>
                </c:pt>
                <c:pt idx="1">
                  <c:v>Costo de Mano de Obra</c:v>
                </c:pt>
                <c:pt idx="2">
                  <c:v>Costo de la energía eléctrica</c:v>
                </c:pt>
              </c:strCache>
            </c:strRef>
          </c:cat>
          <c:val>
            <c:numRef>
              <c:f>Hoja1!$B$17:$D$17</c:f>
            </c:numRef>
          </c:val>
          <c:extLst>
            <c:ext xmlns:c16="http://schemas.microsoft.com/office/drawing/2014/chart" uri="{C3380CC4-5D6E-409C-BE32-E72D297353CC}">
              <c16:uniqueId val="{0000000E-F914-4E6A-B759-7842F2F012CA}"/>
            </c:ext>
          </c:extLst>
        </c:ser>
        <c:ser>
          <c:idx val="15"/>
          <c:order val="15"/>
          <c:cat>
            <c:strRef>
              <c:f>Hoja1!$B$2:$D$2</c:f>
              <c:strCache>
                <c:ptCount val="3"/>
                <c:pt idx="0">
                  <c:v>Costo de los consumibles </c:v>
                </c:pt>
                <c:pt idx="1">
                  <c:v>Costo de Mano de Obra</c:v>
                </c:pt>
                <c:pt idx="2">
                  <c:v>Costo de la energía eléctrica</c:v>
                </c:pt>
              </c:strCache>
            </c:strRef>
          </c:cat>
          <c:val>
            <c:numRef>
              <c:f>Hoja1!$B$18:$D$18</c:f>
            </c:numRef>
          </c:val>
          <c:extLst>
            <c:ext xmlns:c16="http://schemas.microsoft.com/office/drawing/2014/chart" uri="{C3380CC4-5D6E-409C-BE32-E72D297353CC}">
              <c16:uniqueId val="{0000000F-F914-4E6A-B759-7842F2F012CA}"/>
            </c:ext>
          </c:extLst>
        </c:ser>
        <c:ser>
          <c:idx val="16"/>
          <c:order val="16"/>
          <c:cat>
            <c:strRef>
              <c:f>Hoja1!$B$2:$D$2</c:f>
              <c:strCache>
                <c:ptCount val="3"/>
                <c:pt idx="0">
                  <c:v>Costo de los consumibles </c:v>
                </c:pt>
                <c:pt idx="1">
                  <c:v>Costo de Mano de Obra</c:v>
                </c:pt>
                <c:pt idx="2">
                  <c:v>Costo de la energía eléctrica</c:v>
                </c:pt>
              </c:strCache>
            </c:strRef>
          </c:cat>
          <c:val>
            <c:numRef>
              <c:f>Hoja1!$B$19:$D$19</c:f>
            </c:numRef>
          </c:val>
          <c:extLst>
            <c:ext xmlns:c16="http://schemas.microsoft.com/office/drawing/2014/chart" uri="{C3380CC4-5D6E-409C-BE32-E72D297353CC}">
              <c16:uniqueId val="{00000010-F914-4E6A-B759-7842F2F012CA}"/>
            </c:ext>
          </c:extLst>
        </c:ser>
        <c:ser>
          <c:idx val="17"/>
          <c:order val="17"/>
          <c:cat>
            <c:strRef>
              <c:f>Hoja1!$B$2:$D$2</c:f>
              <c:strCache>
                <c:ptCount val="3"/>
                <c:pt idx="0">
                  <c:v>Costo de los consumibles </c:v>
                </c:pt>
                <c:pt idx="1">
                  <c:v>Costo de Mano de Obra</c:v>
                </c:pt>
                <c:pt idx="2">
                  <c:v>Costo de la energía eléctrica</c:v>
                </c:pt>
              </c:strCache>
            </c:strRef>
          </c:cat>
          <c:val>
            <c:numRef>
              <c:f>Hoja1!$B$20:$D$20</c:f>
            </c:numRef>
          </c:val>
          <c:extLst>
            <c:ext xmlns:c16="http://schemas.microsoft.com/office/drawing/2014/chart" uri="{C3380CC4-5D6E-409C-BE32-E72D297353CC}">
              <c16:uniqueId val="{00000011-F914-4E6A-B759-7842F2F012CA}"/>
            </c:ext>
          </c:extLst>
        </c:ser>
        <c:ser>
          <c:idx val="18"/>
          <c:order val="18"/>
          <c:cat>
            <c:strRef>
              <c:f>Hoja1!$B$2:$D$2</c:f>
              <c:strCache>
                <c:ptCount val="3"/>
                <c:pt idx="0">
                  <c:v>Costo de los consumibles </c:v>
                </c:pt>
                <c:pt idx="1">
                  <c:v>Costo de Mano de Obra</c:v>
                </c:pt>
                <c:pt idx="2">
                  <c:v>Costo de la energía eléctrica</c:v>
                </c:pt>
              </c:strCache>
            </c:strRef>
          </c:cat>
          <c:val>
            <c:numRef>
              <c:f>Hoja1!$B$21:$D$21</c:f>
            </c:numRef>
          </c:val>
          <c:extLst>
            <c:ext xmlns:c16="http://schemas.microsoft.com/office/drawing/2014/chart" uri="{C3380CC4-5D6E-409C-BE32-E72D297353CC}">
              <c16:uniqueId val="{00000012-F914-4E6A-B759-7842F2F012CA}"/>
            </c:ext>
          </c:extLst>
        </c:ser>
        <c:ser>
          <c:idx val="19"/>
          <c:order val="19"/>
          <c:cat>
            <c:strRef>
              <c:f>Hoja1!$B$2:$D$2</c:f>
              <c:strCache>
                <c:ptCount val="3"/>
                <c:pt idx="0">
                  <c:v>Costo de los consumibles </c:v>
                </c:pt>
                <c:pt idx="1">
                  <c:v>Costo de Mano de Obra</c:v>
                </c:pt>
                <c:pt idx="2">
                  <c:v>Costo de la energía eléctrica</c:v>
                </c:pt>
              </c:strCache>
            </c:strRef>
          </c:cat>
          <c:val>
            <c:numRef>
              <c:f>Hoja1!$B$22:$D$22</c:f>
            </c:numRef>
          </c:val>
          <c:extLst>
            <c:ext xmlns:c16="http://schemas.microsoft.com/office/drawing/2014/chart" uri="{C3380CC4-5D6E-409C-BE32-E72D297353CC}">
              <c16:uniqueId val="{00000013-F914-4E6A-B759-7842F2F012CA}"/>
            </c:ext>
          </c:extLst>
        </c:ser>
        <c:ser>
          <c:idx val="20"/>
          <c:order val="20"/>
          <c:cat>
            <c:strRef>
              <c:f>Hoja1!$B$2:$D$2</c:f>
              <c:strCache>
                <c:ptCount val="3"/>
                <c:pt idx="0">
                  <c:v>Costo de los consumibles </c:v>
                </c:pt>
                <c:pt idx="1">
                  <c:v>Costo de Mano de Obra</c:v>
                </c:pt>
                <c:pt idx="2">
                  <c:v>Costo de la energía eléctrica</c:v>
                </c:pt>
              </c:strCache>
            </c:strRef>
          </c:cat>
          <c:val>
            <c:numRef>
              <c:f>Hoja1!$B$23:$D$23</c:f>
            </c:numRef>
          </c:val>
          <c:extLst>
            <c:ext xmlns:c16="http://schemas.microsoft.com/office/drawing/2014/chart" uri="{C3380CC4-5D6E-409C-BE32-E72D297353CC}">
              <c16:uniqueId val="{00000014-F914-4E6A-B759-7842F2F012CA}"/>
            </c:ext>
          </c:extLst>
        </c:ser>
        <c:ser>
          <c:idx val="21"/>
          <c:order val="21"/>
          <c:cat>
            <c:strRef>
              <c:f>Hoja1!$B$2:$D$2</c:f>
              <c:strCache>
                <c:ptCount val="3"/>
                <c:pt idx="0">
                  <c:v>Costo de los consumibles </c:v>
                </c:pt>
                <c:pt idx="1">
                  <c:v>Costo de Mano de Obra</c:v>
                </c:pt>
                <c:pt idx="2">
                  <c:v>Costo de la energía eléctrica</c:v>
                </c:pt>
              </c:strCache>
            </c:strRef>
          </c:cat>
          <c:val>
            <c:numRef>
              <c:f>Hoja1!$B$24:$D$24</c:f>
            </c:numRef>
          </c:val>
          <c:extLst>
            <c:ext xmlns:c16="http://schemas.microsoft.com/office/drawing/2014/chart" uri="{C3380CC4-5D6E-409C-BE32-E72D297353CC}">
              <c16:uniqueId val="{00000015-F914-4E6A-B759-7842F2F012CA}"/>
            </c:ext>
          </c:extLst>
        </c:ser>
        <c:ser>
          <c:idx val="22"/>
          <c:order val="22"/>
          <c:cat>
            <c:strRef>
              <c:f>Hoja1!$B$2:$D$2</c:f>
              <c:strCache>
                <c:ptCount val="3"/>
                <c:pt idx="0">
                  <c:v>Costo de los consumibles </c:v>
                </c:pt>
                <c:pt idx="1">
                  <c:v>Costo de Mano de Obra</c:v>
                </c:pt>
                <c:pt idx="2">
                  <c:v>Costo de la energía eléctrica</c:v>
                </c:pt>
              </c:strCache>
            </c:strRef>
          </c:cat>
          <c:val>
            <c:numRef>
              <c:f>Hoja1!$B$25:$D$25</c:f>
            </c:numRef>
          </c:val>
          <c:extLst>
            <c:ext xmlns:c16="http://schemas.microsoft.com/office/drawing/2014/chart" uri="{C3380CC4-5D6E-409C-BE32-E72D297353CC}">
              <c16:uniqueId val="{00000016-F914-4E6A-B759-7842F2F012CA}"/>
            </c:ext>
          </c:extLst>
        </c:ser>
        <c:ser>
          <c:idx val="23"/>
          <c:order val="23"/>
          <c:cat>
            <c:strRef>
              <c:f>Hoja1!$B$2:$D$2</c:f>
              <c:strCache>
                <c:ptCount val="3"/>
                <c:pt idx="0">
                  <c:v>Costo de los consumibles </c:v>
                </c:pt>
                <c:pt idx="1">
                  <c:v>Costo de Mano de Obra</c:v>
                </c:pt>
                <c:pt idx="2">
                  <c:v>Costo de la energía eléctrica</c:v>
                </c:pt>
              </c:strCache>
            </c:strRef>
          </c:cat>
          <c:val>
            <c:numRef>
              <c:f>Hoja1!$B$26:$D$26</c:f>
            </c:numRef>
          </c:val>
          <c:extLst>
            <c:ext xmlns:c16="http://schemas.microsoft.com/office/drawing/2014/chart" uri="{C3380CC4-5D6E-409C-BE32-E72D297353CC}">
              <c16:uniqueId val="{00000017-F914-4E6A-B759-7842F2F012CA}"/>
            </c:ext>
          </c:extLst>
        </c:ser>
        <c:ser>
          <c:idx val="24"/>
          <c:order val="24"/>
          <c:cat>
            <c:strRef>
              <c:f>Hoja1!$B$2:$D$2</c:f>
              <c:strCache>
                <c:ptCount val="3"/>
                <c:pt idx="0">
                  <c:v>Costo de los consumibles </c:v>
                </c:pt>
                <c:pt idx="1">
                  <c:v>Costo de Mano de Obra</c:v>
                </c:pt>
                <c:pt idx="2">
                  <c:v>Costo de la energía eléctrica</c:v>
                </c:pt>
              </c:strCache>
            </c:strRef>
          </c:cat>
          <c:val>
            <c:numRef>
              <c:f>Hoja1!$B$27:$D$27</c:f>
            </c:numRef>
          </c:val>
          <c:extLst>
            <c:ext xmlns:c16="http://schemas.microsoft.com/office/drawing/2014/chart" uri="{C3380CC4-5D6E-409C-BE32-E72D297353CC}">
              <c16:uniqueId val="{00000018-F914-4E6A-B759-7842F2F012CA}"/>
            </c:ext>
          </c:extLst>
        </c:ser>
        <c:ser>
          <c:idx val="25"/>
          <c:order val="25"/>
          <c:cat>
            <c:strRef>
              <c:f>Hoja1!$B$2:$D$2</c:f>
              <c:strCache>
                <c:ptCount val="3"/>
                <c:pt idx="0">
                  <c:v>Costo de los consumibles </c:v>
                </c:pt>
                <c:pt idx="1">
                  <c:v>Costo de Mano de Obra</c:v>
                </c:pt>
                <c:pt idx="2">
                  <c:v>Costo de la energía eléctrica</c:v>
                </c:pt>
              </c:strCache>
            </c:strRef>
          </c:cat>
          <c:val>
            <c:numRef>
              <c:f>Hoja1!$B$28:$D$28</c:f>
            </c:numRef>
          </c:val>
          <c:extLst>
            <c:ext xmlns:c16="http://schemas.microsoft.com/office/drawing/2014/chart" uri="{C3380CC4-5D6E-409C-BE32-E72D297353CC}">
              <c16:uniqueId val="{00000019-F914-4E6A-B759-7842F2F012CA}"/>
            </c:ext>
          </c:extLst>
        </c:ser>
        <c:ser>
          <c:idx val="26"/>
          <c:order val="26"/>
          <c:cat>
            <c:strRef>
              <c:f>Hoja1!$B$2:$D$2</c:f>
              <c:strCache>
                <c:ptCount val="3"/>
                <c:pt idx="0">
                  <c:v>Costo de los consumibles </c:v>
                </c:pt>
                <c:pt idx="1">
                  <c:v>Costo de Mano de Obra</c:v>
                </c:pt>
                <c:pt idx="2">
                  <c:v>Costo de la energía eléctrica</c:v>
                </c:pt>
              </c:strCache>
            </c:strRef>
          </c:cat>
          <c:val>
            <c:numRef>
              <c:f>Hoja1!$B$29:$D$29</c:f>
            </c:numRef>
          </c:val>
          <c:extLst>
            <c:ext xmlns:c16="http://schemas.microsoft.com/office/drawing/2014/chart" uri="{C3380CC4-5D6E-409C-BE32-E72D297353CC}">
              <c16:uniqueId val="{0000001A-F914-4E6A-B759-7842F2F012CA}"/>
            </c:ext>
          </c:extLst>
        </c:ser>
        <c:ser>
          <c:idx val="27"/>
          <c:order val="27"/>
          <c:cat>
            <c:strRef>
              <c:f>Hoja1!$B$2:$D$2</c:f>
              <c:strCache>
                <c:ptCount val="3"/>
                <c:pt idx="0">
                  <c:v>Costo de los consumibles </c:v>
                </c:pt>
                <c:pt idx="1">
                  <c:v>Costo de Mano de Obra</c:v>
                </c:pt>
                <c:pt idx="2">
                  <c:v>Costo de la energía eléctrica</c:v>
                </c:pt>
              </c:strCache>
            </c:strRef>
          </c:cat>
          <c:val>
            <c:numRef>
              <c:f>Hoja1!$B$30:$D$30</c:f>
            </c:numRef>
          </c:val>
          <c:extLst>
            <c:ext xmlns:c16="http://schemas.microsoft.com/office/drawing/2014/chart" uri="{C3380CC4-5D6E-409C-BE32-E72D297353CC}">
              <c16:uniqueId val="{0000001B-F914-4E6A-B759-7842F2F012CA}"/>
            </c:ext>
          </c:extLst>
        </c:ser>
        <c:ser>
          <c:idx val="28"/>
          <c:order val="28"/>
          <c:cat>
            <c:strRef>
              <c:f>Hoja1!$B$2:$D$2</c:f>
              <c:strCache>
                <c:ptCount val="3"/>
                <c:pt idx="0">
                  <c:v>Costo de los consumibles </c:v>
                </c:pt>
                <c:pt idx="1">
                  <c:v>Costo de Mano de Obra</c:v>
                </c:pt>
                <c:pt idx="2">
                  <c:v>Costo de la energía eléctrica</c:v>
                </c:pt>
              </c:strCache>
            </c:strRef>
          </c:cat>
          <c:val>
            <c:numRef>
              <c:f>Hoja1!$B$31:$D$31</c:f>
            </c:numRef>
          </c:val>
          <c:extLst>
            <c:ext xmlns:c16="http://schemas.microsoft.com/office/drawing/2014/chart" uri="{C3380CC4-5D6E-409C-BE32-E72D297353CC}">
              <c16:uniqueId val="{0000001C-F914-4E6A-B759-7842F2F012CA}"/>
            </c:ext>
          </c:extLst>
        </c:ser>
        <c:ser>
          <c:idx val="29"/>
          <c:order val="29"/>
          <c:cat>
            <c:strRef>
              <c:f>Hoja1!$B$2:$D$2</c:f>
              <c:strCache>
                <c:ptCount val="3"/>
                <c:pt idx="0">
                  <c:v>Costo de los consumibles </c:v>
                </c:pt>
                <c:pt idx="1">
                  <c:v>Costo de Mano de Obra</c:v>
                </c:pt>
                <c:pt idx="2">
                  <c:v>Costo de la energía eléctrica</c:v>
                </c:pt>
              </c:strCache>
            </c:strRef>
          </c:cat>
          <c:val>
            <c:numRef>
              <c:f>Hoja1!$B$32:$D$32</c:f>
            </c:numRef>
          </c:val>
          <c:extLst>
            <c:ext xmlns:c16="http://schemas.microsoft.com/office/drawing/2014/chart" uri="{C3380CC4-5D6E-409C-BE32-E72D297353CC}">
              <c16:uniqueId val="{0000001D-F914-4E6A-B759-7842F2F012CA}"/>
            </c:ext>
          </c:extLst>
        </c:ser>
        <c:ser>
          <c:idx val="30"/>
          <c:order val="30"/>
          <c:cat>
            <c:strRef>
              <c:f>Hoja1!$B$2:$D$2</c:f>
              <c:strCache>
                <c:ptCount val="3"/>
                <c:pt idx="0">
                  <c:v>Costo de los consumibles </c:v>
                </c:pt>
                <c:pt idx="1">
                  <c:v>Costo de Mano de Obra</c:v>
                </c:pt>
                <c:pt idx="2">
                  <c:v>Costo de la energía eléctrica</c:v>
                </c:pt>
              </c:strCache>
            </c:strRef>
          </c:cat>
          <c:val>
            <c:numRef>
              <c:f>Hoja1!$B$33:$D$33</c:f>
            </c:numRef>
          </c:val>
          <c:extLst>
            <c:ext xmlns:c16="http://schemas.microsoft.com/office/drawing/2014/chart" uri="{C3380CC4-5D6E-409C-BE32-E72D297353CC}">
              <c16:uniqueId val="{0000001E-F914-4E6A-B759-7842F2F012CA}"/>
            </c:ext>
          </c:extLst>
        </c:ser>
        <c:ser>
          <c:idx val="31"/>
          <c:order val="31"/>
          <c:cat>
            <c:strRef>
              <c:f>Hoja1!$B$2:$D$2</c:f>
              <c:strCache>
                <c:ptCount val="3"/>
                <c:pt idx="0">
                  <c:v>Costo de los consumibles </c:v>
                </c:pt>
                <c:pt idx="1">
                  <c:v>Costo de Mano de Obra</c:v>
                </c:pt>
                <c:pt idx="2">
                  <c:v>Costo de la energía eléctrica</c:v>
                </c:pt>
              </c:strCache>
            </c:strRef>
          </c:cat>
          <c:val>
            <c:numRef>
              <c:f>Hoja1!$B$34:$D$34</c:f>
            </c:numRef>
          </c:val>
          <c:extLst>
            <c:ext xmlns:c16="http://schemas.microsoft.com/office/drawing/2014/chart" uri="{C3380CC4-5D6E-409C-BE32-E72D297353CC}">
              <c16:uniqueId val="{0000001F-F914-4E6A-B759-7842F2F012CA}"/>
            </c:ext>
          </c:extLst>
        </c:ser>
        <c:ser>
          <c:idx val="32"/>
          <c:order val="32"/>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1-F914-4E6A-B759-7842F2F012CA}"/>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3-F914-4E6A-B759-7842F2F012CA}"/>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5-F914-4E6A-B759-7842F2F012CA}"/>
              </c:ext>
            </c:extLst>
          </c:dPt>
          <c:dLbls>
            <c:dLbl>
              <c:idx val="0"/>
              <c:layout>
                <c:manualLayout>
                  <c:x val="5.2492273094054145E-2"/>
                  <c:y val="-2.2188833282496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914-4E6A-B759-7842F2F012CA}"/>
                </c:ext>
              </c:extLst>
            </c:dLbl>
            <c:dLbl>
              <c:idx val="1"/>
              <c:layout>
                <c:manualLayout>
                  <c:x val="-3.0373731724156045E-2"/>
                  <c:y val="-5.1533192497279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914-4E6A-B759-7842F2F012CA}"/>
                </c:ext>
              </c:extLst>
            </c:dLbl>
            <c:dLbl>
              <c:idx val="2"/>
              <c:layout>
                <c:manualLayout>
                  <c:x val="4.6389692409425518E-2"/>
                  <c:y val="-2.3315521714735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914-4E6A-B759-7842F2F012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Hoja1!$B$2:$D$2</c:f>
              <c:strCache>
                <c:ptCount val="3"/>
                <c:pt idx="0">
                  <c:v>Costo de los consumibles </c:v>
                </c:pt>
                <c:pt idx="1">
                  <c:v>Costo de Mano de Obra</c:v>
                </c:pt>
                <c:pt idx="2">
                  <c:v>Costo de la energía eléctrica</c:v>
                </c:pt>
              </c:strCache>
            </c:strRef>
          </c:cat>
          <c:val>
            <c:numRef>
              <c:f>Hoja1!$B$35:$D$35</c:f>
              <c:numCache>
                <c:formatCode>0.0</c:formatCode>
                <c:ptCount val="3"/>
                <c:pt idx="0">
                  <c:v>88.888575458392097</c:v>
                </c:pt>
                <c:pt idx="1">
                  <c:v>7.0047014574518105</c:v>
                </c:pt>
                <c:pt idx="2">
                  <c:v>4.106723084156088</c:v>
                </c:pt>
              </c:numCache>
            </c:numRef>
          </c:val>
          <c:extLst>
            <c:ext xmlns:c16="http://schemas.microsoft.com/office/drawing/2014/chart" uri="{C3380CC4-5D6E-409C-BE32-E72D297353CC}">
              <c16:uniqueId val="{00000026-F914-4E6A-B759-7842F2F012C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60099652048922103"/>
          <c:y val="0.13852912782453916"/>
          <c:w val="0.3972222222222222"/>
          <c:h val="0.7273712553172232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U"/>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b:Source>
    <b:Tag>Ame</b:Tag>
    <b:SourceType>Report</b:SourceType>
    <b:Guid>{8DDC2DD7-E8D3-4A80-B231-788789BC7183}</b:Guid>
    <b:Author>
      <b:Author>
        <b:Corporate>American Welding Society</b:Corporate>
      </b:Author>
    </b:Author>
    <b:Title>AWS D1.1 Structural Welding Code-Steel</b:Title>
    <b:Year>2020</b:Year>
    <b:Publisher>American Welding Society</b:Publisher>
    <b:City>USA</b:City>
    <b:RefOrder>7</b:RefOrder>
  </b:Source>
  <b:Source>
    <b:Tag>Ofi09</b:Tag>
    <b:SourceType>Report</b:SourceType>
    <b:Guid>{601AA17B-EBAE-496F-BBCF-C0B5B6B9BD86}</b:Guid>
    <b:Author>
      <b:Author>
        <b:Corporate>Oficina Nacional de Normalización</b:Corporate>
      </b:Author>
    </b:Author>
    <b:Title>NC ISO 3834-2:2009 Requisitos de calidad para el proceso de soldadura por fusion de materiales metalicos-Parte 2: Requisitos de calidad completo</b:Title>
    <b:Year>2009</b:Year>
    <b:Publisher>Cuban National Bureau of Standars</b:Publisher>
    <b:City>La Habana</b:City>
    <b:RefOrder>15</b:RefOrder>
  </b:Source>
  <b:Source>
    <b:Tag>Gru24</b:Tag>
    <b:SourceType>InternetSite</b:SourceType>
    <b:Guid>{0D258053-D40A-4CA3-8ACA-AFE0848D06E3}</b:Guid>
    <b:Title>Energía</b:Title>
    <b:Author>
      <b:Author>
        <b:Corporate>Grupo NH</b:Corporate>
      </b:Author>
    </b:Author>
    <b:YearAccessed>2024</b:YearAccessed>
    <b:MonthAccessed>Septiembre</b:MonthAccessed>
    <b:DayAccessed>20</b:DayAccessed>
    <b:URL>https://www.gruponh.com.ar</b:URL>
    <b:Year>2024</b:Year>
    <b:RefOrder>2</b:RefOrder>
  </b:Source>
</b:Sources>
</file>

<file path=customXml/itemProps1.xml><?xml version="1.0" encoding="utf-8"?>
<ds:datastoreItem xmlns:ds="http://schemas.openxmlformats.org/officeDocument/2006/customXml" ds:itemID="{292BFBD6-9910-425B-ADF5-33E4BFC2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5013</Words>
  <Characters>27574</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GABY</dc:creator>
  <cp:lastModifiedBy>Juan Alberto Pozo Morejon</cp:lastModifiedBy>
  <cp:revision>2</cp:revision>
  <dcterms:created xsi:type="dcterms:W3CDTF">2025-09-16T14:52:00Z</dcterms:created>
  <dcterms:modified xsi:type="dcterms:W3CDTF">2025-09-16T14:52:00Z</dcterms:modified>
</cp:coreProperties>
</file>