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E59A21" w14:textId="181EBEF8" w:rsidR="00E912D0" w:rsidRDefault="00286D80" w:rsidP="00667F10">
      <w:pPr>
        <w:spacing w:after="0"/>
        <w:jc w:val="center"/>
        <w:rPr>
          <w:rFonts w:ascii="Times New Roman" w:hAnsi="Times New Roman" w:cs="Times New Roman"/>
          <w:b/>
          <w:sz w:val="28"/>
          <w:szCs w:val="28"/>
        </w:rPr>
      </w:pPr>
      <w:r w:rsidRPr="00286D80">
        <w:rPr>
          <w:rFonts w:ascii="Times New Roman" w:hAnsi="Times New Roman" w:cs="Times New Roman"/>
          <w:b/>
          <w:sz w:val="28"/>
          <w:szCs w:val="28"/>
        </w:rPr>
        <w:t>TALLER RESILIENCIA HÍDRICA MEDIANTE LA DIGITALIZACIÓN ESTRUCTURAS 2025</w:t>
      </w:r>
    </w:p>
    <w:p w14:paraId="6E90F360" w14:textId="77777777" w:rsidR="00286D80" w:rsidRDefault="00286D80" w:rsidP="00667F10">
      <w:pPr>
        <w:spacing w:after="0"/>
        <w:jc w:val="center"/>
        <w:rPr>
          <w:rFonts w:ascii="Times New Roman" w:hAnsi="Times New Roman" w:cs="Times New Roman"/>
          <w:b/>
          <w:sz w:val="24"/>
          <w:szCs w:val="24"/>
        </w:rPr>
      </w:pPr>
    </w:p>
    <w:p w14:paraId="4CC0A216" w14:textId="74D445F9" w:rsidR="008A1C16" w:rsidRPr="004D59BB" w:rsidRDefault="004D59BB" w:rsidP="004D59BB">
      <w:pPr>
        <w:spacing w:after="0"/>
        <w:jc w:val="center"/>
        <w:rPr>
          <w:rFonts w:ascii="Times New Roman" w:hAnsi="Times New Roman" w:cs="Times New Roman"/>
          <w:b/>
          <w:bCs/>
          <w:sz w:val="28"/>
          <w:szCs w:val="28"/>
        </w:rPr>
      </w:pPr>
      <w:r w:rsidRPr="004D59BB">
        <w:rPr>
          <w:rFonts w:ascii="Times New Roman" w:hAnsi="Times New Roman" w:cs="Times New Roman"/>
          <w:b/>
          <w:bCs/>
          <w:sz w:val="28"/>
          <w:szCs w:val="28"/>
        </w:rPr>
        <w:t>Balance hídrico en la Cuenca Hidrográfica Sagua La Chica</w:t>
      </w:r>
      <w:r w:rsidR="009061A5" w:rsidRPr="004D59BB">
        <w:rPr>
          <w:rFonts w:ascii="Times New Roman" w:hAnsi="Times New Roman" w:cs="Times New Roman"/>
          <w:b/>
          <w:bCs/>
          <w:sz w:val="28"/>
          <w:szCs w:val="28"/>
        </w:rPr>
        <w:t>.</w:t>
      </w:r>
    </w:p>
    <w:p w14:paraId="55D08869" w14:textId="77777777" w:rsidR="004D59BB" w:rsidRDefault="004D59BB" w:rsidP="00667F10">
      <w:pPr>
        <w:spacing w:after="0"/>
        <w:jc w:val="center"/>
        <w:rPr>
          <w:rFonts w:ascii="Times New Roman" w:hAnsi="Times New Roman" w:cs="Times New Roman"/>
          <w:b/>
          <w:i/>
          <w:sz w:val="28"/>
          <w:szCs w:val="28"/>
        </w:rPr>
      </w:pPr>
    </w:p>
    <w:p w14:paraId="77E5CC9F" w14:textId="0B22EC51" w:rsidR="008A1C16" w:rsidRPr="00286D80" w:rsidRDefault="004D59BB" w:rsidP="00667F10">
      <w:pPr>
        <w:spacing w:after="0"/>
        <w:jc w:val="center"/>
        <w:rPr>
          <w:rFonts w:ascii="Times New Roman" w:hAnsi="Times New Roman" w:cs="Times New Roman"/>
          <w:b/>
          <w:bCs/>
          <w:i/>
          <w:iCs/>
          <w:sz w:val="28"/>
          <w:szCs w:val="28"/>
          <w:lang w:val="en-US"/>
        </w:rPr>
      </w:pPr>
      <w:r w:rsidRPr="00286D80">
        <w:rPr>
          <w:rFonts w:ascii="Times New Roman" w:hAnsi="Times New Roman" w:cs="Times New Roman"/>
          <w:b/>
          <w:bCs/>
          <w:i/>
          <w:iCs/>
          <w:sz w:val="28"/>
          <w:szCs w:val="28"/>
          <w:lang w:val="en-US"/>
        </w:rPr>
        <w:t xml:space="preserve">Water Balance Analysis in the </w:t>
      </w:r>
      <w:proofErr w:type="spellStart"/>
      <w:r w:rsidRPr="00286D80">
        <w:rPr>
          <w:rFonts w:ascii="Times New Roman" w:hAnsi="Times New Roman" w:cs="Times New Roman"/>
          <w:b/>
          <w:bCs/>
          <w:i/>
          <w:iCs/>
          <w:sz w:val="28"/>
          <w:szCs w:val="28"/>
          <w:lang w:val="en-US"/>
        </w:rPr>
        <w:t>Sagua</w:t>
      </w:r>
      <w:proofErr w:type="spellEnd"/>
      <w:r w:rsidRPr="00286D80">
        <w:rPr>
          <w:rFonts w:ascii="Times New Roman" w:hAnsi="Times New Roman" w:cs="Times New Roman"/>
          <w:b/>
          <w:bCs/>
          <w:i/>
          <w:iCs/>
          <w:sz w:val="28"/>
          <w:szCs w:val="28"/>
          <w:lang w:val="en-US"/>
        </w:rPr>
        <w:t xml:space="preserve"> La Chica Watershed</w:t>
      </w:r>
      <w:r w:rsidR="009061A5" w:rsidRPr="00286D80">
        <w:rPr>
          <w:rFonts w:ascii="Times New Roman" w:hAnsi="Times New Roman" w:cs="Times New Roman"/>
          <w:b/>
          <w:bCs/>
          <w:i/>
          <w:iCs/>
          <w:sz w:val="28"/>
          <w:szCs w:val="28"/>
          <w:lang w:val="en-US"/>
        </w:rPr>
        <w:t>.</w:t>
      </w:r>
    </w:p>
    <w:p w14:paraId="32587E41" w14:textId="77777777" w:rsidR="002E0882" w:rsidRPr="00286D80" w:rsidRDefault="002E0882" w:rsidP="00FF3346">
      <w:pPr>
        <w:spacing w:after="0" w:line="360" w:lineRule="auto"/>
        <w:rPr>
          <w:rFonts w:ascii="Times New Roman" w:hAnsi="Times New Roman" w:cs="Times New Roman"/>
          <w:b/>
          <w:bCs/>
          <w:sz w:val="24"/>
          <w:szCs w:val="24"/>
          <w:lang w:val="en-US"/>
        </w:rPr>
      </w:pPr>
    </w:p>
    <w:p w14:paraId="07F040AF" w14:textId="3C807832" w:rsidR="008A1C16" w:rsidRPr="009D5E02" w:rsidRDefault="004D59BB" w:rsidP="00FF334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Daniela María </w:t>
      </w:r>
      <w:proofErr w:type="spellStart"/>
      <w:r>
        <w:rPr>
          <w:rFonts w:ascii="Times New Roman" w:hAnsi="Times New Roman" w:cs="Times New Roman"/>
          <w:b/>
          <w:sz w:val="24"/>
          <w:szCs w:val="24"/>
        </w:rPr>
        <w:t>Cobiellas</w:t>
      </w:r>
      <w:proofErr w:type="spellEnd"/>
      <w:r>
        <w:rPr>
          <w:rFonts w:ascii="Times New Roman" w:hAnsi="Times New Roman" w:cs="Times New Roman"/>
          <w:b/>
          <w:sz w:val="24"/>
          <w:szCs w:val="24"/>
        </w:rPr>
        <w:t xml:space="preserve"> Castro</w:t>
      </w:r>
      <w:r w:rsidR="009D5E02">
        <w:rPr>
          <w:rFonts w:ascii="Times New Roman" w:hAnsi="Times New Roman" w:cs="Times New Roman"/>
          <w:b/>
          <w:sz w:val="24"/>
          <w:szCs w:val="24"/>
          <w:vertAlign w:val="superscript"/>
        </w:rPr>
        <w:t>1</w:t>
      </w:r>
      <w:r w:rsidR="009D5E02">
        <w:rPr>
          <w:rFonts w:ascii="Times New Roman" w:hAnsi="Times New Roman" w:cs="Times New Roman"/>
          <w:b/>
          <w:sz w:val="24"/>
          <w:szCs w:val="24"/>
        </w:rPr>
        <w:t xml:space="preserve">, </w:t>
      </w:r>
      <w:bookmarkStart w:id="0" w:name="_Hlk204123879"/>
      <w:r>
        <w:rPr>
          <w:rFonts w:ascii="Times New Roman" w:hAnsi="Times New Roman" w:cs="Times New Roman"/>
          <w:b/>
          <w:sz w:val="24"/>
          <w:szCs w:val="24"/>
        </w:rPr>
        <w:t xml:space="preserve">Lamberto </w:t>
      </w:r>
      <w:proofErr w:type="spellStart"/>
      <w:r>
        <w:rPr>
          <w:rFonts w:ascii="Times New Roman" w:hAnsi="Times New Roman" w:cs="Times New Roman"/>
          <w:b/>
          <w:sz w:val="24"/>
          <w:szCs w:val="24"/>
        </w:rPr>
        <w:t>Alvarez</w:t>
      </w:r>
      <w:proofErr w:type="spellEnd"/>
      <w:r>
        <w:rPr>
          <w:rFonts w:ascii="Times New Roman" w:hAnsi="Times New Roman" w:cs="Times New Roman"/>
          <w:b/>
          <w:sz w:val="24"/>
          <w:szCs w:val="24"/>
        </w:rPr>
        <w:t xml:space="preserve"> Gil</w:t>
      </w:r>
      <w:bookmarkEnd w:id="0"/>
      <w:r w:rsidR="009D5E02">
        <w:rPr>
          <w:rFonts w:ascii="Times New Roman" w:hAnsi="Times New Roman" w:cs="Times New Roman"/>
          <w:b/>
          <w:sz w:val="24"/>
          <w:szCs w:val="24"/>
          <w:vertAlign w:val="superscript"/>
        </w:rPr>
        <w:t>2</w:t>
      </w:r>
      <w:r w:rsidR="00286D80">
        <w:rPr>
          <w:rFonts w:ascii="Times New Roman" w:hAnsi="Times New Roman" w:cs="Times New Roman"/>
          <w:b/>
          <w:sz w:val="24"/>
          <w:szCs w:val="24"/>
        </w:rPr>
        <w:t>.</w:t>
      </w:r>
      <w:r w:rsidR="009D5E02">
        <w:rPr>
          <w:rFonts w:ascii="Times New Roman" w:hAnsi="Times New Roman" w:cs="Times New Roman"/>
          <w:b/>
          <w:sz w:val="24"/>
          <w:szCs w:val="24"/>
        </w:rPr>
        <w:t xml:space="preserve"> </w:t>
      </w:r>
    </w:p>
    <w:p w14:paraId="26EE2E7A" w14:textId="77777777" w:rsidR="009D5E02" w:rsidRDefault="009D5E02" w:rsidP="00FF3346">
      <w:pPr>
        <w:spacing w:after="0" w:line="360" w:lineRule="auto"/>
        <w:rPr>
          <w:rFonts w:ascii="Times New Roman" w:hAnsi="Times New Roman" w:cs="Times New Roman"/>
          <w:sz w:val="24"/>
          <w:szCs w:val="24"/>
        </w:rPr>
      </w:pPr>
    </w:p>
    <w:p w14:paraId="1A79BAF1" w14:textId="2AB4C9DB" w:rsidR="00E912D0" w:rsidRDefault="00E912D0" w:rsidP="00FF3346">
      <w:pPr>
        <w:spacing w:after="0" w:line="360" w:lineRule="auto"/>
        <w:rPr>
          <w:rFonts w:ascii="Times New Roman" w:hAnsi="Times New Roman" w:cs="Times New Roman"/>
          <w:sz w:val="24"/>
          <w:szCs w:val="24"/>
        </w:rPr>
      </w:pPr>
      <w:r w:rsidRPr="00E912D0">
        <w:rPr>
          <w:rFonts w:ascii="Times New Roman" w:hAnsi="Times New Roman" w:cs="Times New Roman"/>
          <w:sz w:val="24"/>
          <w:szCs w:val="24"/>
        </w:rPr>
        <w:t>1-</w:t>
      </w:r>
      <w:r w:rsidR="004D59BB" w:rsidRPr="004D59BB">
        <w:t xml:space="preserve"> </w:t>
      </w:r>
      <w:r w:rsidR="004D59BB" w:rsidRPr="004D59BB">
        <w:rPr>
          <w:rFonts w:ascii="Times New Roman" w:hAnsi="Times New Roman" w:cs="Times New Roman"/>
          <w:sz w:val="24"/>
          <w:szCs w:val="24"/>
        </w:rPr>
        <w:t xml:space="preserve">Daniela María </w:t>
      </w:r>
      <w:proofErr w:type="spellStart"/>
      <w:r w:rsidR="004D59BB" w:rsidRPr="004D59BB">
        <w:rPr>
          <w:rFonts w:ascii="Times New Roman" w:hAnsi="Times New Roman" w:cs="Times New Roman"/>
          <w:sz w:val="24"/>
          <w:szCs w:val="24"/>
        </w:rPr>
        <w:t>Cobiellas</w:t>
      </w:r>
      <w:proofErr w:type="spellEnd"/>
      <w:r w:rsidR="004D59BB" w:rsidRPr="004D59BB">
        <w:rPr>
          <w:rFonts w:ascii="Times New Roman" w:hAnsi="Times New Roman" w:cs="Times New Roman"/>
          <w:sz w:val="24"/>
          <w:szCs w:val="24"/>
        </w:rPr>
        <w:t xml:space="preserve"> Castro</w:t>
      </w:r>
      <w:r w:rsidRPr="00E912D0">
        <w:rPr>
          <w:rFonts w:ascii="Times New Roman" w:hAnsi="Times New Roman" w:cs="Times New Roman"/>
          <w:sz w:val="24"/>
          <w:szCs w:val="24"/>
        </w:rPr>
        <w:t xml:space="preserve">. </w:t>
      </w:r>
      <w:bookmarkStart w:id="1" w:name="_Hlk204123893"/>
      <w:r w:rsidR="00286D80" w:rsidRPr="00286D80">
        <w:rPr>
          <w:rFonts w:ascii="Times New Roman" w:hAnsi="Times New Roman" w:cs="Times New Roman"/>
          <w:sz w:val="24"/>
          <w:szCs w:val="24"/>
        </w:rPr>
        <w:t>Universidad Central “Marta Abreu” de Las Villas, Facultad de Construcciones</w:t>
      </w:r>
      <w:r w:rsidRPr="00E912D0">
        <w:rPr>
          <w:rFonts w:ascii="Times New Roman" w:hAnsi="Times New Roman" w:cs="Times New Roman"/>
          <w:sz w:val="24"/>
          <w:szCs w:val="24"/>
        </w:rPr>
        <w:t xml:space="preserve">, </w:t>
      </w:r>
      <w:r w:rsidR="00286D80">
        <w:rPr>
          <w:rFonts w:ascii="Times New Roman" w:hAnsi="Times New Roman" w:cs="Times New Roman"/>
          <w:sz w:val="24"/>
          <w:szCs w:val="24"/>
        </w:rPr>
        <w:t>Cuba</w:t>
      </w:r>
      <w:r w:rsidRPr="00E912D0">
        <w:rPr>
          <w:rFonts w:ascii="Times New Roman" w:hAnsi="Times New Roman" w:cs="Times New Roman"/>
          <w:sz w:val="24"/>
          <w:szCs w:val="24"/>
        </w:rPr>
        <w:t>. E-mail:</w:t>
      </w:r>
      <w:r w:rsidR="00286D80">
        <w:rPr>
          <w:rFonts w:ascii="Times New Roman" w:hAnsi="Times New Roman" w:cs="Times New Roman"/>
          <w:sz w:val="24"/>
          <w:szCs w:val="24"/>
        </w:rPr>
        <w:t xml:space="preserve"> </w:t>
      </w:r>
      <w:bookmarkEnd w:id="1"/>
      <w:r w:rsidR="00286D80">
        <w:rPr>
          <w:rFonts w:ascii="Times New Roman" w:hAnsi="Times New Roman" w:cs="Times New Roman"/>
          <w:sz w:val="24"/>
          <w:szCs w:val="24"/>
        </w:rPr>
        <w:t>dcobiellas@uclv.cu</w:t>
      </w:r>
    </w:p>
    <w:p w14:paraId="4B056101" w14:textId="7A7AEF21" w:rsidR="00E912D0" w:rsidRDefault="00E912D0" w:rsidP="00FF3346">
      <w:pPr>
        <w:spacing w:after="0" w:line="360" w:lineRule="auto"/>
        <w:rPr>
          <w:rFonts w:ascii="Times New Roman" w:hAnsi="Times New Roman" w:cs="Times New Roman"/>
          <w:sz w:val="24"/>
          <w:szCs w:val="24"/>
        </w:rPr>
      </w:pPr>
      <w:r>
        <w:rPr>
          <w:rFonts w:ascii="Times New Roman" w:hAnsi="Times New Roman" w:cs="Times New Roman"/>
          <w:sz w:val="24"/>
          <w:szCs w:val="24"/>
        </w:rPr>
        <w:t>2-</w:t>
      </w:r>
      <w:r w:rsidRPr="00E912D0">
        <w:rPr>
          <w:rFonts w:ascii="Times New Roman" w:hAnsi="Times New Roman" w:cs="Times New Roman"/>
          <w:sz w:val="24"/>
          <w:szCs w:val="24"/>
        </w:rPr>
        <w:t xml:space="preserve"> </w:t>
      </w:r>
      <w:r w:rsidR="00286D80" w:rsidRPr="00286D80">
        <w:rPr>
          <w:rFonts w:ascii="Times New Roman" w:hAnsi="Times New Roman" w:cs="Times New Roman"/>
          <w:sz w:val="24"/>
          <w:szCs w:val="24"/>
        </w:rPr>
        <w:t xml:space="preserve">Lamberto </w:t>
      </w:r>
      <w:proofErr w:type="spellStart"/>
      <w:r w:rsidR="00286D80" w:rsidRPr="00286D80">
        <w:rPr>
          <w:rFonts w:ascii="Times New Roman" w:hAnsi="Times New Roman" w:cs="Times New Roman"/>
          <w:sz w:val="24"/>
          <w:szCs w:val="24"/>
        </w:rPr>
        <w:t>Alvarez</w:t>
      </w:r>
      <w:proofErr w:type="spellEnd"/>
      <w:r w:rsidR="00286D80" w:rsidRPr="00286D80">
        <w:rPr>
          <w:rFonts w:ascii="Times New Roman" w:hAnsi="Times New Roman" w:cs="Times New Roman"/>
          <w:sz w:val="24"/>
          <w:szCs w:val="24"/>
        </w:rPr>
        <w:t xml:space="preserve"> Gil</w:t>
      </w:r>
      <w:r w:rsidR="00286D80">
        <w:rPr>
          <w:rFonts w:ascii="Times New Roman" w:hAnsi="Times New Roman" w:cs="Times New Roman"/>
          <w:sz w:val="24"/>
          <w:szCs w:val="24"/>
        </w:rPr>
        <w:t>.</w:t>
      </w:r>
      <w:r w:rsidRPr="00E912D0">
        <w:rPr>
          <w:rFonts w:ascii="Times New Roman" w:hAnsi="Times New Roman" w:cs="Times New Roman"/>
          <w:sz w:val="24"/>
          <w:szCs w:val="24"/>
        </w:rPr>
        <w:t xml:space="preserve"> </w:t>
      </w:r>
      <w:r w:rsidR="00286D80" w:rsidRPr="00286D80">
        <w:rPr>
          <w:rFonts w:ascii="Times New Roman" w:hAnsi="Times New Roman" w:cs="Times New Roman"/>
          <w:sz w:val="24"/>
          <w:szCs w:val="24"/>
        </w:rPr>
        <w:t xml:space="preserve">Universidad Central “Marta Abreu” de Las Villas, Facultad de Construcciones, Cuba. E-mail: </w:t>
      </w:r>
      <w:r w:rsidR="004460AD">
        <w:rPr>
          <w:rFonts w:ascii="Times New Roman" w:hAnsi="Times New Roman" w:cs="Times New Roman"/>
          <w:sz w:val="24"/>
          <w:szCs w:val="24"/>
        </w:rPr>
        <w:t>lambertoag</w:t>
      </w:r>
      <w:r w:rsidR="00286D80" w:rsidRPr="00286D80">
        <w:rPr>
          <w:rFonts w:ascii="Times New Roman" w:hAnsi="Times New Roman" w:cs="Times New Roman"/>
          <w:sz w:val="24"/>
          <w:szCs w:val="24"/>
        </w:rPr>
        <w:t>@uclv.cu</w:t>
      </w:r>
    </w:p>
    <w:p w14:paraId="286738B5" w14:textId="77777777" w:rsidR="00E912D0" w:rsidRDefault="00E912D0" w:rsidP="00FF3346">
      <w:pPr>
        <w:spacing w:after="0" w:line="360" w:lineRule="auto"/>
        <w:rPr>
          <w:rFonts w:ascii="Times New Roman" w:hAnsi="Times New Roman" w:cs="Times New Roman"/>
          <w:b/>
          <w:sz w:val="24"/>
          <w:szCs w:val="24"/>
        </w:rPr>
      </w:pPr>
    </w:p>
    <w:p w14:paraId="1AF74D53" w14:textId="73C563D1" w:rsidR="008A1C16" w:rsidRDefault="008A1C16"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Resumen:</w:t>
      </w:r>
      <w:r w:rsidR="009061A5" w:rsidRPr="009061A5">
        <w:rPr>
          <w:rFonts w:ascii="Times New Roman" w:hAnsi="Times New Roman" w:cs="Times New Roman"/>
          <w:sz w:val="24"/>
          <w:szCs w:val="24"/>
        </w:rPr>
        <w:t xml:space="preserve"> </w:t>
      </w:r>
      <w:r w:rsidR="004D59BB" w:rsidRPr="004D59BB">
        <w:rPr>
          <w:rFonts w:ascii="Times New Roman" w:hAnsi="Times New Roman" w:cs="Times New Roman"/>
          <w:sz w:val="24"/>
          <w:szCs w:val="24"/>
        </w:rPr>
        <w:t>La presente investigación aborda la modelación del balance hídrico en la cuenca hidrográfica Sagua la Chica, con el objetivo de elaborar el balance de agua en una cuenca hidrográfica considerando el esquema hidráulico mediante la utilización el módulo SIMGES del programa de gestión y soporte a la decisión AQUATOOL, se modelaron cinco escenarios bajo diferente condiciones, que permitieron el uso de los números de prioridad y reglas de operación para su gestión y manejo de los recursos hídricos, los escenarios fueron evaluados con respecto a los porcientos de garantía de cumplimiento de las demandas por escenarios y para un antes y después del uso de restricciones y prioridades. Los resultados se presentan en forma de gráficos, que representan los déficits mensuales de cada demanda, el volumen de agua transportada por conducciones y tomas, y los gráficos correspondientes al comportamiento mensual de los volúmenes de los embalses y las aportaciones. Tres de los cinco escenarios modelados obtuvieron un resultado favorable con un 100% de cumplimiento de las demandas en el sistema, con este resultado se llegó a la conclusión de que la cuenca hidrográfica Sagua La Chica presenta una buena disponibilidad hídrica que da margen para la planificación de medidas de restricción para el posterior enfrentamiento ante situaciones de estrés hídrico</w:t>
      </w:r>
      <w:r w:rsidR="009061A5">
        <w:rPr>
          <w:rFonts w:ascii="Times New Roman" w:hAnsi="Times New Roman" w:cs="Times New Roman"/>
          <w:sz w:val="24"/>
          <w:szCs w:val="24"/>
        </w:rPr>
        <w:t>.</w:t>
      </w:r>
    </w:p>
    <w:p w14:paraId="1C5E2D44" w14:textId="05706532" w:rsidR="008A1C16" w:rsidRPr="005754D8" w:rsidRDefault="008A1C16" w:rsidP="005754D8">
      <w:pPr>
        <w:pStyle w:val="Prrafodelista"/>
        <w:numPr>
          <w:ilvl w:val="0"/>
          <w:numId w:val="1"/>
        </w:numPr>
        <w:spacing w:after="0" w:line="360" w:lineRule="auto"/>
        <w:jc w:val="both"/>
        <w:rPr>
          <w:rFonts w:ascii="Times New Roman" w:hAnsi="Times New Roman" w:cs="Times New Roman"/>
          <w:sz w:val="24"/>
          <w:szCs w:val="24"/>
        </w:rPr>
      </w:pPr>
      <w:r w:rsidRPr="005754D8">
        <w:rPr>
          <w:rFonts w:ascii="Times New Roman" w:hAnsi="Times New Roman" w:cs="Times New Roman"/>
          <w:b/>
          <w:sz w:val="24"/>
          <w:szCs w:val="24"/>
        </w:rPr>
        <w:t>Problemática:</w:t>
      </w:r>
      <w:r w:rsidR="009061A5" w:rsidRPr="005754D8">
        <w:rPr>
          <w:rFonts w:ascii="Times New Roman" w:hAnsi="Times New Roman" w:cs="Times New Roman"/>
          <w:b/>
          <w:sz w:val="24"/>
          <w:szCs w:val="24"/>
        </w:rPr>
        <w:t xml:space="preserve"> </w:t>
      </w:r>
      <w:r w:rsidR="00623FF8" w:rsidRPr="00623FF8">
        <w:rPr>
          <w:rFonts w:ascii="Times New Roman" w:hAnsi="Times New Roman" w:cs="Times New Roman"/>
          <w:sz w:val="24"/>
          <w:szCs w:val="24"/>
        </w:rPr>
        <w:t xml:space="preserve">Digitalización del proceso del balance de agua en cuencas hidrográficas para satisfacer las demandas de agua de los clientes y preservar los </w:t>
      </w:r>
      <w:r w:rsidR="00623FF8" w:rsidRPr="00623FF8">
        <w:rPr>
          <w:rFonts w:ascii="Times New Roman" w:hAnsi="Times New Roman" w:cs="Times New Roman"/>
          <w:sz w:val="24"/>
          <w:szCs w:val="24"/>
        </w:rPr>
        <w:lastRenderedPageBreak/>
        <w:t>recursos hídricos disponibles en la infraestructura hidráulica en la cuenca Sagua La Chica gestionada por la Empresa de Aprovechamiento Hidráulico de Villa Clara.</w:t>
      </w:r>
    </w:p>
    <w:p w14:paraId="63FB4173" w14:textId="6C84C614" w:rsidR="008A1C16" w:rsidRPr="00623FF8" w:rsidRDefault="008A1C16" w:rsidP="00623FF8">
      <w:pPr>
        <w:pStyle w:val="Prrafodelista"/>
        <w:numPr>
          <w:ilvl w:val="0"/>
          <w:numId w:val="8"/>
        </w:numPr>
        <w:spacing w:after="233" w:line="360" w:lineRule="auto"/>
        <w:ind w:left="255" w:right="23"/>
        <w:jc w:val="both"/>
        <w:rPr>
          <w:rFonts w:ascii="Times New Roman" w:hAnsi="Times New Roman" w:cs="Times New Roman"/>
          <w:bCs/>
          <w:sz w:val="24"/>
          <w:szCs w:val="24"/>
        </w:rPr>
      </w:pPr>
      <w:r w:rsidRPr="005754D8">
        <w:rPr>
          <w:rFonts w:ascii="Times New Roman" w:hAnsi="Times New Roman" w:cs="Times New Roman"/>
          <w:b/>
          <w:sz w:val="24"/>
          <w:szCs w:val="24"/>
        </w:rPr>
        <w:t>Objetivo</w:t>
      </w:r>
      <w:r w:rsidR="009061A5" w:rsidRPr="005754D8">
        <w:rPr>
          <w:rFonts w:ascii="Times New Roman" w:hAnsi="Times New Roman" w:cs="Times New Roman"/>
          <w:b/>
          <w:sz w:val="24"/>
          <w:szCs w:val="24"/>
        </w:rPr>
        <w:t>(</w:t>
      </w:r>
      <w:r w:rsidRPr="005754D8">
        <w:rPr>
          <w:rFonts w:ascii="Times New Roman" w:hAnsi="Times New Roman" w:cs="Times New Roman"/>
          <w:b/>
          <w:sz w:val="24"/>
          <w:szCs w:val="24"/>
        </w:rPr>
        <w:t>s</w:t>
      </w:r>
      <w:r w:rsidR="009061A5" w:rsidRPr="005754D8">
        <w:rPr>
          <w:rFonts w:ascii="Times New Roman" w:hAnsi="Times New Roman" w:cs="Times New Roman"/>
          <w:b/>
          <w:sz w:val="24"/>
          <w:szCs w:val="24"/>
        </w:rPr>
        <w:t>)</w:t>
      </w:r>
      <w:r w:rsidRPr="005754D8">
        <w:rPr>
          <w:rFonts w:ascii="Times New Roman" w:hAnsi="Times New Roman" w:cs="Times New Roman"/>
          <w:b/>
          <w:sz w:val="24"/>
          <w:szCs w:val="24"/>
        </w:rPr>
        <w:t>:</w:t>
      </w:r>
      <w:r w:rsidR="00623FF8">
        <w:rPr>
          <w:rFonts w:ascii="Times New Roman" w:hAnsi="Times New Roman" w:cs="Times New Roman"/>
          <w:b/>
          <w:sz w:val="24"/>
          <w:szCs w:val="24"/>
        </w:rPr>
        <w:t xml:space="preserve"> </w:t>
      </w:r>
      <w:r w:rsidR="00623FF8">
        <w:rPr>
          <w:rFonts w:ascii="Times New Roman" w:hAnsi="Times New Roman" w:cs="Times New Roman"/>
          <w:bCs/>
          <w:sz w:val="24"/>
          <w:szCs w:val="24"/>
        </w:rPr>
        <w:t>E</w:t>
      </w:r>
      <w:r w:rsidR="00623FF8" w:rsidRPr="00623FF8">
        <w:rPr>
          <w:rFonts w:ascii="Times New Roman" w:hAnsi="Times New Roman" w:cs="Times New Roman"/>
          <w:sz w:val="24"/>
          <w:szCs w:val="24"/>
        </w:rPr>
        <w:t xml:space="preserve">laborar el balance de agua en una cuenca hidrográfica considerando el esquema hidráulico. </w:t>
      </w:r>
      <w:r w:rsidR="00623FF8" w:rsidRPr="00623FF8">
        <w:rPr>
          <w:rFonts w:ascii="Times New Roman" w:hAnsi="Times New Roman" w:cs="Times New Roman"/>
          <w:bCs/>
          <w:sz w:val="24"/>
          <w:szCs w:val="24"/>
        </w:rPr>
        <w:t>Caso de estudio Cuenca Sagua La Chica. Establecer el marco teórico considerando las variables que intervienen en los métodos de balance de agua en cuencas hidrográficas. Proponer un procedimiento general para realizar el balance hídrico mediante la aplicación de métodos y técnicas a través de programas de computación AQUATOOL y su aplicación a un caso de estudio: Sagua La Chica.</w:t>
      </w:r>
      <w:r w:rsidR="00623FF8">
        <w:rPr>
          <w:rFonts w:ascii="Times New Roman" w:hAnsi="Times New Roman" w:cs="Times New Roman"/>
          <w:bCs/>
          <w:sz w:val="24"/>
          <w:szCs w:val="24"/>
        </w:rPr>
        <w:t xml:space="preserve"> </w:t>
      </w:r>
      <w:r w:rsidR="00623FF8" w:rsidRPr="00623FF8">
        <w:rPr>
          <w:rFonts w:ascii="Times New Roman" w:hAnsi="Times New Roman" w:cs="Times New Roman"/>
          <w:bCs/>
          <w:sz w:val="24"/>
          <w:szCs w:val="24"/>
        </w:rPr>
        <w:t>Analizar los resultados obtenidos en la gestión y Balance Hídrico de la Cuenca Sagua La Chica.</w:t>
      </w:r>
    </w:p>
    <w:p w14:paraId="390AB803" w14:textId="5C7A2509" w:rsidR="008A1C16" w:rsidRPr="005754D8" w:rsidRDefault="008A1C16" w:rsidP="005754D8">
      <w:pPr>
        <w:pStyle w:val="Prrafodelista"/>
        <w:numPr>
          <w:ilvl w:val="0"/>
          <w:numId w:val="1"/>
        </w:numPr>
        <w:spacing w:after="0" w:line="360" w:lineRule="auto"/>
        <w:jc w:val="both"/>
        <w:rPr>
          <w:rFonts w:ascii="Times New Roman" w:hAnsi="Times New Roman" w:cs="Times New Roman"/>
          <w:b/>
          <w:sz w:val="24"/>
          <w:szCs w:val="24"/>
        </w:rPr>
      </w:pPr>
      <w:r w:rsidRPr="005754D8">
        <w:rPr>
          <w:rFonts w:ascii="Times New Roman" w:hAnsi="Times New Roman" w:cs="Times New Roman"/>
          <w:b/>
          <w:sz w:val="24"/>
          <w:szCs w:val="24"/>
        </w:rPr>
        <w:t>Metodología:</w:t>
      </w:r>
      <w:r w:rsidR="009061A5" w:rsidRPr="005754D8">
        <w:rPr>
          <w:rFonts w:ascii="Times New Roman" w:hAnsi="Times New Roman" w:cs="Times New Roman"/>
          <w:b/>
          <w:sz w:val="24"/>
          <w:szCs w:val="24"/>
        </w:rPr>
        <w:t xml:space="preserve"> </w:t>
      </w:r>
      <w:r w:rsidR="004460AD">
        <w:rPr>
          <w:rFonts w:ascii="Times New Roman" w:hAnsi="Times New Roman" w:cs="Times New Roman"/>
          <w:sz w:val="24"/>
          <w:szCs w:val="24"/>
        </w:rPr>
        <w:t xml:space="preserve">El procedimiento utilizado ha sido propuesto por el autor con una serie de pasos a seguir para el Cálculo del Balance hídrico en la cuenca hidrográfica Sagua la Chica utilizando el programa de soporte a la decisión AQUATOOL+. </w:t>
      </w:r>
    </w:p>
    <w:p w14:paraId="17BD4667" w14:textId="77777777" w:rsidR="00623FF8" w:rsidRPr="004460AD" w:rsidRDefault="008A1C16" w:rsidP="004460AD">
      <w:pPr>
        <w:pStyle w:val="Prrafodelista"/>
        <w:numPr>
          <w:ilvl w:val="0"/>
          <w:numId w:val="1"/>
        </w:numPr>
        <w:spacing w:after="0" w:line="360" w:lineRule="auto"/>
        <w:jc w:val="both"/>
        <w:rPr>
          <w:rFonts w:ascii="Times New Roman" w:hAnsi="Times New Roman" w:cs="Times New Roman"/>
          <w:b/>
          <w:sz w:val="24"/>
          <w:szCs w:val="24"/>
        </w:rPr>
      </w:pPr>
      <w:r w:rsidRPr="005754D8">
        <w:rPr>
          <w:rFonts w:ascii="Times New Roman" w:hAnsi="Times New Roman" w:cs="Times New Roman"/>
          <w:b/>
          <w:sz w:val="24"/>
          <w:szCs w:val="24"/>
        </w:rPr>
        <w:t>Resultados y discusión:</w:t>
      </w:r>
      <w:r w:rsidR="009061A5" w:rsidRPr="005754D8">
        <w:rPr>
          <w:rFonts w:ascii="Times New Roman" w:hAnsi="Times New Roman" w:cs="Times New Roman"/>
          <w:b/>
          <w:sz w:val="24"/>
          <w:szCs w:val="24"/>
        </w:rPr>
        <w:t xml:space="preserve"> </w:t>
      </w:r>
      <w:r w:rsidR="00623FF8" w:rsidRPr="004460AD">
        <w:rPr>
          <w:rFonts w:ascii="Times New Roman" w:hAnsi="Times New Roman" w:cs="Times New Roman"/>
          <w:sz w:val="24"/>
          <w:szCs w:val="24"/>
        </w:rPr>
        <w:t>Como resultado general tenemos 5 escenarios en los que se han gestionado los recursos hídricos de manera prioritaria, consciente, y a criterio propio, se ha estudiado el comportamiento de un mismo volumen de agua en cinco escenarios diferentes, dos de ellos para casos de sequía, y tres para la disponibilidad de recursos. Tres de los cinco escenarios obtuvieron resultados favorables con un porciento de cumplimiento de las garantías de un 100% mientras que los otros dos obtuvieron un 85% y un 81%.</w:t>
      </w:r>
    </w:p>
    <w:p w14:paraId="62C9390E" w14:textId="06A23663" w:rsidR="008A1C16" w:rsidRPr="004460AD" w:rsidRDefault="008A1C16" w:rsidP="00623FF8">
      <w:pPr>
        <w:pStyle w:val="Prrafodelista"/>
        <w:numPr>
          <w:ilvl w:val="0"/>
          <w:numId w:val="1"/>
        </w:numPr>
        <w:spacing w:after="0" w:line="360" w:lineRule="auto"/>
        <w:jc w:val="both"/>
        <w:rPr>
          <w:rFonts w:ascii="Times New Roman" w:hAnsi="Times New Roman" w:cs="Times New Roman"/>
          <w:sz w:val="24"/>
          <w:szCs w:val="24"/>
        </w:rPr>
      </w:pPr>
      <w:r w:rsidRPr="005754D8">
        <w:rPr>
          <w:rFonts w:ascii="Times New Roman" w:hAnsi="Times New Roman" w:cs="Times New Roman"/>
          <w:b/>
          <w:sz w:val="24"/>
          <w:szCs w:val="24"/>
        </w:rPr>
        <w:t>Conclusiones:</w:t>
      </w:r>
      <w:r w:rsidR="009061A5" w:rsidRPr="005754D8">
        <w:rPr>
          <w:rFonts w:ascii="Times New Roman" w:hAnsi="Times New Roman" w:cs="Times New Roman"/>
          <w:b/>
          <w:sz w:val="24"/>
          <w:szCs w:val="24"/>
        </w:rPr>
        <w:t xml:space="preserve"> </w:t>
      </w:r>
      <w:r w:rsidR="00623FF8" w:rsidRPr="00623FF8">
        <w:rPr>
          <w:rFonts w:ascii="Times New Roman" w:hAnsi="Times New Roman" w:cs="Times New Roman"/>
          <w:sz w:val="24"/>
          <w:szCs w:val="24"/>
        </w:rPr>
        <w:t xml:space="preserve">Una buena gestión y planificación hidráulica puede aumentar los porcientos de garantía del cumplimiento de la demanda ya que esto no depende del volumen total del sistema sino de la cantidad de demandas que puedes abastecer con el mismo volumen en cada </w:t>
      </w:r>
      <w:proofErr w:type="spellStart"/>
      <w:proofErr w:type="gramStart"/>
      <w:r w:rsidR="00623FF8" w:rsidRPr="00623FF8">
        <w:rPr>
          <w:rFonts w:ascii="Times New Roman" w:hAnsi="Times New Roman" w:cs="Times New Roman"/>
          <w:sz w:val="24"/>
          <w:szCs w:val="24"/>
        </w:rPr>
        <w:t>caso.</w:t>
      </w:r>
      <w:r w:rsidR="00623FF8" w:rsidRPr="004460AD">
        <w:rPr>
          <w:rFonts w:ascii="Times New Roman" w:hAnsi="Times New Roman" w:cs="Times New Roman"/>
          <w:sz w:val="24"/>
          <w:szCs w:val="24"/>
        </w:rPr>
        <w:t>Tres</w:t>
      </w:r>
      <w:proofErr w:type="spellEnd"/>
      <w:proofErr w:type="gramEnd"/>
      <w:r w:rsidR="00623FF8" w:rsidRPr="004460AD">
        <w:rPr>
          <w:rFonts w:ascii="Times New Roman" w:hAnsi="Times New Roman" w:cs="Times New Roman"/>
          <w:sz w:val="24"/>
          <w:szCs w:val="24"/>
        </w:rPr>
        <w:t xml:space="preserve"> de los cinco escenarios estudiados obtuvieron resultados favorables con un porciento de garantías del cumplimiento de la demanda de un 100%, mientras que los dos restantes obtuvieron un 85% y un 81%.</w:t>
      </w:r>
    </w:p>
    <w:p w14:paraId="7EAE7806" w14:textId="77777777" w:rsidR="00623FF8" w:rsidRDefault="00623FF8" w:rsidP="00FF3346">
      <w:pPr>
        <w:spacing w:after="0" w:line="360" w:lineRule="auto"/>
        <w:jc w:val="both"/>
        <w:rPr>
          <w:rFonts w:ascii="Times New Roman" w:hAnsi="Times New Roman" w:cs="Times New Roman"/>
          <w:b/>
          <w:i/>
          <w:sz w:val="24"/>
          <w:szCs w:val="24"/>
        </w:rPr>
      </w:pPr>
    </w:p>
    <w:p w14:paraId="168FA970" w14:textId="77777777" w:rsidR="00687487" w:rsidRPr="00687487" w:rsidRDefault="009061A5" w:rsidP="00687487">
      <w:pPr>
        <w:rPr>
          <w:rFonts w:ascii="Times New Roman" w:hAnsi="Times New Roman" w:cs="Times New Roman"/>
          <w:i/>
          <w:iCs/>
          <w:sz w:val="24"/>
          <w:szCs w:val="24"/>
          <w:lang w:val="en-US"/>
        </w:rPr>
      </w:pPr>
      <w:r w:rsidRPr="00687487">
        <w:rPr>
          <w:rFonts w:ascii="Times New Roman" w:hAnsi="Times New Roman" w:cs="Times New Roman"/>
          <w:b/>
          <w:i/>
          <w:sz w:val="24"/>
          <w:szCs w:val="24"/>
          <w:lang w:val="en-US"/>
        </w:rPr>
        <w:t>Abstract:</w:t>
      </w:r>
      <w:r w:rsidRPr="00687487">
        <w:rPr>
          <w:rFonts w:ascii="Times New Roman" w:hAnsi="Times New Roman" w:cs="Times New Roman"/>
          <w:sz w:val="24"/>
          <w:szCs w:val="24"/>
          <w:lang w:val="en-US"/>
        </w:rPr>
        <w:t xml:space="preserve"> </w:t>
      </w:r>
      <w:r w:rsidR="00687487" w:rsidRPr="00687487">
        <w:rPr>
          <w:rFonts w:ascii="Times New Roman" w:hAnsi="Times New Roman" w:cs="Times New Roman"/>
          <w:i/>
          <w:iCs/>
          <w:sz w:val="24"/>
          <w:szCs w:val="24"/>
          <w:lang w:val="en-US"/>
        </w:rPr>
        <w:t xml:space="preserve">This research addresses the modeling of the water balance in the </w:t>
      </w:r>
      <w:proofErr w:type="spellStart"/>
      <w:r w:rsidR="00687487" w:rsidRPr="00687487">
        <w:rPr>
          <w:rFonts w:ascii="Times New Roman" w:hAnsi="Times New Roman" w:cs="Times New Roman"/>
          <w:i/>
          <w:iCs/>
          <w:sz w:val="24"/>
          <w:szCs w:val="24"/>
          <w:lang w:val="en-US"/>
        </w:rPr>
        <w:t>Sagua</w:t>
      </w:r>
      <w:proofErr w:type="spellEnd"/>
      <w:r w:rsidR="00687487" w:rsidRPr="00687487">
        <w:rPr>
          <w:rFonts w:ascii="Times New Roman" w:hAnsi="Times New Roman" w:cs="Times New Roman"/>
          <w:i/>
          <w:iCs/>
          <w:sz w:val="24"/>
          <w:szCs w:val="24"/>
          <w:lang w:val="en-US"/>
        </w:rPr>
        <w:t xml:space="preserve"> la Chica hydrographic basin, with the objective of preparing the water balance in a </w:t>
      </w:r>
      <w:r w:rsidR="00687487" w:rsidRPr="00687487">
        <w:rPr>
          <w:rFonts w:ascii="Times New Roman" w:hAnsi="Times New Roman" w:cs="Times New Roman"/>
          <w:i/>
          <w:iCs/>
          <w:sz w:val="24"/>
          <w:szCs w:val="24"/>
          <w:lang w:val="en-US"/>
        </w:rPr>
        <w:lastRenderedPageBreak/>
        <w:t xml:space="preserve">hydrographic basin considering the hydraulic scheme through the use of the SIMGES module of the management and decision support program AQUATOOL, five scenarios were modeled under different conditions, which allowed the use of priority numbers and operating rules for their management and handling of water resources, the scenarios were evaluated with respect to the percentages of guarantee of compliance with the demands. by scenarios and for a before and after the use of restrictions and priorities. The results are presented in the form of graphs, which represent the monthly deficits of each demand, the volume of water transported by pipes and intakes, and the graphs corresponding to the monthly behavior of the volumes of the reservoirs and the contributions. Three of the five modeled scenarios achieved a favorable outcome, with 100% compliance with system demands. This result led to the conclusion that the </w:t>
      </w:r>
      <w:proofErr w:type="spellStart"/>
      <w:r w:rsidR="00687487" w:rsidRPr="00687487">
        <w:rPr>
          <w:rFonts w:ascii="Times New Roman" w:hAnsi="Times New Roman" w:cs="Times New Roman"/>
          <w:i/>
          <w:iCs/>
          <w:sz w:val="24"/>
          <w:szCs w:val="24"/>
          <w:lang w:val="en-US"/>
        </w:rPr>
        <w:t>Sagua</w:t>
      </w:r>
      <w:proofErr w:type="spellEnd"/>
      <w:r w:rsidR="00687487" w:rsidRPr="00687487">
        <w:rPr>
          <w:rFonts w:ascii="Times New Roman" w:hAnsi="Times New Roman" w:cs="Times New Roman"/>
          <w:i/>
          <w:iCs/>
          <w:sz w:val="24"/>
          <w:szCs w:val="24"/>
          <w:lang w:val="en-US"/>
        </w:rPr>
        <w:t xml:space="preserve"> La Chica watershed has good water availability, allowing for the planning of restriction measures to address subsequent water stress situations.</w:t>
      </w:r>
    </w:p>
    <w:p w14:paraId="57DC946E" w14:textId="2063DA32" w:rsidR="009061A5" w:rsidRPr="00687487" w:rsidRDefault="009061A5" w:rsidP="00FF3346">
      <w:pPr>
        <w:spacing w:after="0" w:line="360" w:lineRule="auto"/>
        <w:jc w:val="both"/>
        <w:rPr>
          <w:rFonts w:ascii="Times New Roman" w:hAnsi="Times New Roman" w:cs="Times New Roman"/>
          <w:sz w:val="24"/>
          <w:szCs w:val="24"/>
          <w:lang w:val="en-US"/>
        </w:rPr>
      </w:pPr>
    </w:p>
    <w:p w14:paraId="44373500" w14:textId="2AB34C54" w:rsidR="009061A5" w:rsidRDefault="009061A5" w:rsidP="00FF3346">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w:t>
      </w:r>
      <w:r w:rsidR="004D59BB" w:rsidRPr="001E33CF">
        <w:rPr>
          <w:rFonts w:ascii="Arial" w:hAnsi="Arial" w:cs="Arial"/>
          <w:szCs w:val="20"/>
        </w:rPr>
        <w:t>AQUATOOL, Balance hídrico, Cuencas Hidrográficas, SIMGES</w:t>
      </w:r>
      <w:r>
        <w:rPr>
          <w:rFonts w:ascii="Times New Roman" w:hAnsi="Times New Roman" w:cs="Times New Roman"/>
          <w:sz w:val="24"/>
          <w:szCs w:val="24"/>
        </w:rPr>
        <w:t>.</w:t>
      </w:r>
    </w:p>
    <w:p w14:paraId="14F91034" w14:textId="77777777" w:rsidR="009061A5" w:rsidRDefault="009061A5" w:rsidP="00FF3346">
      <w:pPr>
        <w:spacing w:after="0" w:line="360" w:lineRule="auto"/>
        <w:jc w:val="both"/>
        <w:rPr>
          <w:rFonts w:ascii="Times New Roman" w:hAnsi="Times New Roman" w:cs="Times New Roman"/>
          <w:sz w:val="24"/>
          <w:szCs w:val="24"/>
        </w:rPr>
      </w:pPr>
    </w:p>
    <w:p w14:paraId="31EF4E25" w14:textId="03B48397" w:rsidR="009061A5" w:rsidRPr="00286D80" w:rsidRDefault="009061A5" w:rsidP="00FF3346">
      <w:pPr>
        <w:spacing w:after="0" w:line="360" w:lineRule="auto"/>
        <w:jc w:val="both"/>
        <w:rPr>
          <w:rFonts w:ascii="Times New Roman" w:hAnsi="Times New Roman" w:cs="Times New Roman"/>
          <w:b/>
          <w:i/>
          <w:sz w:val="24"/>
          <w:szCs w:val="24"/>
          <w:lang w:val="en-US"/>
        </w:rPr>
      </w:pPr>
      <w:r w:rsidRPr="004D59BB">
        <w:rPr>
          <w:rFonts w:ascii="Times New Roman" w:hAnsi="Times New Roman" w:cs="Times New Roman"/>
          <w:b/>
          <w:i/>
          <w:sz w:val="24"/>
          <w:szCs w:val="24"/>
          <w:lang w:val="en-US"/>
        </w:rPr>
        <w:t>Keywords:</w:t>
      </w:r>
      <w:r w:rsidRPr="004D59BB">
        <w:rPr>
          <w:rFonts w:ascii="Times New Roman" w:hAnsi="Times New Roman" w:cs="Times New Roman"/>
          <w:sz w:val="24"/>
          <w:szCs w:val="24"/>
          <w:lang w:val="en-US"/>
        </w:rPr>
        <w:t xml:space="preserve"> </w:t>
      </w:r>
      <w:r w:rsidR="004D59BB" w:rsidRPr="00286D80">
        <w:rPr>
          <w:rFonts w:ascii="Times New Roman" w:hAnsi="Times New Roman" w:cs="Times New Roman"/>
          <w:bCs/>
          <w:i/>
          <w:sz w:val="24"/>
          <w:szCs w:val="24"/>
          <w:lang w:val="en-US"/>
        </w:rPr>
        <w:t>AQUATOOL, Water Balance, Watershed, SIMGES</w:t>
      </w:r>
      <w:r w:rsidR="00E912D0" w:rsidRPr="00286D80">
        <w:rPr>
          <w:rFonts w:ascii="Times New Roman" w:hAnsi="Times New Roman" w:cs="Times New Roman"/>
          <w:b/>
          <w:i/>
          <w:sz w:val="24"/>
          <w:szCs w:val="24"/>
          <w:lang w:val="en-US"/>
        </w:rPr>
        <w:t>.</w:t>
      </w:r>
    </w:p>
    <w:p w14:paraId="44959E35" w14:textId="77777777" w:rsidR="00A21A1F" w:rsidRPr="00286D80" w:rsidRDefault="00A21A1F" w:rsidP="00FF3346">
      <w:pPr>
        <w:spacing w:after="0" w:line="360" w:lineRule="auto"/>
        <w:jc w:val="both"/>
        <w:rPr>
          <w:rFonts w:ascii="Times New Roman" w:hAnsi="Times New Roman" w:cs="Times New Roman"/>
          <w:b/>
          <w:i/>
          <w:sz w:val="24"/>
          <w:szCs w:val="24"/>
          <w:lang w:val="en-US"/>
        </w:rPr>
      </w:pPr>
    </w:p>
    <w:p w14:paraId="3AE33D02" w14:textId="77777777" w:rsidR="00A21A1F" w:rsidRDefault="00A21A1F"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14:paraId="66852CC8" w14:textId="77777777" w:rsidR="001E272A" w:rsidRPr="001E272A" w:rsidRDefault="001E272A" w:rsidP="001E272A">
      <w:pPr>
        <w:spacing w:after="0" w:line="360" w:lineRule="auto"/>
        <w:jc w:val="both"/>
        <w:rPr>
          <w:rFonts w:ascii="Times New Roman" w:hAnsi="Times New Roman" w:cs="Times New Roman"/>
          <w:sz w:val="24"/>
          <w:szCs w:val="24"/>
        </w:rPr>
      </w:pPr>
      <w:r w:rsidRPr="001E272A">
        <w:rPr>
          <w:rFonts w:ascii="Times New Roman" w:hAnsi="Times New Roman" w:cs="Times New Roman"/>
          <w:sz w:val="24"/>
          <w:szCs w:val="24"/>
        </w:rPr>
        <w:t xml:space="preserve">El balance hídrico consiste en la cuantificación de la oferta y la demanda de agua. Este balance puede realizarse para distintos períodos (horas, días, meses, estaciones del año) y diferentes escalas (microcuenca, subcuenca, cuenca) (Chiriboga y Mac </w:t>
      </w:r>
      <w:proofErr w:type="spellStart"/>
      <w:r w:rsidRPr="001E272A">
        <w:rPr>
          <w:rFonts w:ascii="Times New Roman" w:hAnsi="Times New Roman" w:cs="Times New Roman"/>
          <w:sz w:val="24"/>
          <w:szCs w:val="24"/>
        </w:rPr>
        <w:t>Aleese</w:t>
      </w:r>
      <w:proofErr w:type="spellEnd"/>
      <w:r w:rsidRPr="001E272A">
        <w:rPr>
          <w:rFonts w:ascii="Times New Roman" w:hAnsi="Times New Roman" w:cs="Times New Roman"/>
          <w:sz w:val="24"/>
          <w:szCs w:val="24"/>
        </w:rPr>
        <w:t>, 2005). El objetivo de este proceso es establecer una relación entre las variables que intervienen en el ciclo hidrológico con el objetivo de interpretar el comportamiento del agua.</w:t>
      </w:r>
    </w:p>
    <w:p w14:paraId="1E13F0BD" w14:textId="1A93F297" w:rsidR="001E272A" w:rsidRPr="001E272A" w:rsidRDefault="001E272A" w:rsidP="00FE7B54">
      <w:pPr>
        <w:spacing w:after="0" w:line="360" w:lineRule="auto"/>
        <w:jc w:val="both"/>
        <w:rPr>
          <w:rFonts w:ascii="Times New Roman" w:hAnsi="Times New Roman" w:cs="Times New Roman"/>
          <w:sz w:val="24"/>
          <w:szCs w:val="24"/>
        </w:rPr>
      </w:pPr>
      <w:r w:rsidRPr="001E272A">
        <w:rPr>
          <w:rFonts w:ascii="Times New Roman" w:hAnsi="Times New Roman" w:cs="Times New Roman"/>
          <w:sz w:val="24"/>
          <w:szCs w:val="24"/>
        </w:rPr>
        <w:t>A continuación</w:t>
      </w:r>
      <w:r w:rsidR="00687487">
        <w:rPr>
          <w:rFonts w:ascii="Times New Roman" w:hAnsi="Times New Roman" w:cs="Times New Roman"/>
          <w:sz w:val="24"/>
          <w:szCs w:val="24"/>
        </w:rPr>
        <w:t>, s</w:t>
      </w:r>
      <w:r w:rsidRPr="001E272A">
        <w:rPr>
          <w:rFonts w:ascii="Times New Roman" w:hAnsi="Times New Roman" w:cs="Times New Roman"/>
          <w:sz w:val="24"/>
          <w:szCs w:val="24"/>
        </w:rPr>
        <w:t>e propondrá un procedimiento para la creación del esquema de usuario mediante el módulo SIMGES del programa AQUATOOL, el cual se aplicará a un caso de estudio específico a través de cinco escenarios diferentes. Tras ejecutar la gestión en los cinco escenarios, se realizará un análisis y comparación de los resultados obtenidos en cada caso.</w:t>
      </w:r>
    </w:p>
    <w:p w14:paraId="6C3C2091" w14:textId="50556F9A" w:rsidR="00B35921" w:rsidRPr="00B35921" w:rsidRDefault="001E272A" w:rsidP="00B35921">
      <w:pPr>
        <w:spacing w:after="0" w:line="360" w:lineRule="auto"/>
        <w:jc w:val="both"/>
        <w:rPr>
          <w:rFonts w:ascii="Times New Roman" w:hAnsi="Times New Roman" w:cs="Times New Roman"/>
          <w:sz w:val="24"/>
          <w:szCs w:val="24"/>
        </w:rPr>
      </w:pPr>
      <w:r w:rsidRPr="001E272A">
        <w:rPr>
          <w:rFonts w:ascii="Times New Roman" w:hAnsi="Times New Roman" w:cs="Times New Roman"/>
          <w:sz w:val="24"/>
          <w:szCs w:val="24"/>
        </w:rPr>
        <w:t>La presente investigación tiene como campo de acción la cuenca hidrográfica Sagua La Chica para el año 2024. El objeto de estudio radicará en el procedimiento para la elaboración y ejecución del esquema de usuario mediante el módulo SIMGES del programa AQUATOOL.</w:t>
      </w:r>
    </w:p>
    <w:p w14:paraId="1E25C150" w14:textId="1DD76B4D" w:rsidR="00A21A1F" w:rsidRDefault="00A21A1F" w:rsidP="00FE7B54">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p>
    <w:p w14:paraId="1A40ED0B" w14:textId="7CCD5AC3" w:rsidR="001E272A" w:rsidRDefault="001E272A" w:rsidP="00FE7B5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2.1</w:t>
      </w:r>
      <w:r w:rsidRPr="001E272A">
        <w:rPr>
          <w:rFonts w:ascii="Times New Roman" w:hAnsi="Times New Roman" w:cs="Times New Roman"/>
          <w:b/>
          <w:sz w:val="24"/>
          <w:szCs w:val="24"/>
        </w:rPr>
        <w:t xml:space="preserve"> </w:t>
      </w:r>
      <w:r>
        <w:rPr>
          <w:rFonts w:ascii="Times New Roman" w:hAnsi="Times New Roman" w:cs="Times New Roman"/>
          <w:b/>
          <w:sz w:val="24"/>
          <w:szCs w:val="24"/>
        </w:rPr>
        <w:t>Procedimiento para la obtención del Balance Hídrico</w:t>
      </w:r>
    </w:p>
    <w:p w14:paraId="2C843C3B" w14:textId="77777777" w:rsidR="001E272A" w:rsidRPr="001E272A" w:rsidRDefault="001E272A" w:rsidP="00FE7B54">
      <w:pPr>
        <w:spacing w:after="0" w:line="360" w:lineRule="auto"/>
        <w:jc w:val="both"/>
        <w:rPr>
          <w:rFonts w:ascii="Times New Roman" w:hAnsi="Times New Roman" w:cs="Times New Roman"/>
          <w:sz w:val="24"/>
          <w:szCs w:val="24"/>
        </w:rPr>
      </w:pPr>
      <w:r w:rsidRPr="001E272A">
        <w:rPr>
          <w:rFonts w:ascii="Times New Roman" w:hAnsi="Times New Roman" w:cs="Times New Roman"/>
          <w:sz w:val="24"/>
          <w:szCs w:val="24"/>
        </w:rPr>
        <w:lastRenderedPageBreak/>
        <w:t>El modelo SIMGES es un modelo general para la Simulación de la Gestión de Cuencas, sistemas de recursos hidráulicos complejos, en los que se dispone de elementos de regulación o almacenamiento tanto superficiales como subterráneos, de captación, de transporte, de utilización y consumo (</w:t>
      </w:r>
      <w:proofErr w:type="spellStart"/>
      <w:r w:rsidRPr="001E272A">
        <w:rPr>
          <w:rFonts w:ascii="Times New Roman" w:hAnsi="Times New Roman" w:cs="Times New Roman"/>
          <w:sz w:val="24"/>
          <w:szCs w:val="24"/>
        </w:rPr>
        <w:t>Alvarez</w:t>
      </w:r>
      <w:proofErr w:type="spellEnd"/>
      <w:r w:rsidRPr="001E272A">
        <w:rPr>
          <w:rFonts w:ascii="Times New Roman" w:hAnsi="Times New Roman" w:cs="Times New Roman"/>
          <w:sz w:val="24"/>
          <w:szCs w:val="24"/>
        </w:rPr>
        <w:t>, 2015b; Solera et al., 2015</w:t>
      </w:r>
    </w:p>
    <w:p w14:paraId="2975CEF7" w14:textId="68076059" w:rsidR="00A21A1F" w:rsidRDefault="001E272A" w:rsidP="00FE7B54">
      <w:pPr>
        <w:spacing w:after="0" w:line="360" w:lineRule="auto"/>
        <w:jc w:val="both"/>
        <w:rPr>
          <w:rFonts w:ascii="Times New Roman" w:hAnsi="Times New Roman" w:cs="Times New Roman"/>
          <w:sz w:val="24"/>
          <w:szCs w:val="24"/>
        </w:rPr>
      </w:pPr>
      <w:r w:rsidRPr="001E272A">
        <w:rPr>
          <w:rFonts w:ascii="Times New Roman" w:hAnsi="Times New Roman" w:cs="Times New Roman"/>
          <w:sz w:val="24"/>
          <w:szCs w:val="24"/>
        </w:rPr>
        <w:t>La gestión de los recursos hidráulicos se efectúa mediante reglas de operación que tienden a mantener un nivel similar de llenado en los embalses a partir de unas curvas de volumen del embalse. La simulación y gestión del sistema superficial se efectúan mediante el uso de un algoritmo de optimización de redes de flujo conservativo. Dicho algoritmo se encarga de determinar el flujo en el sistema tratando de satisfacer al máximo los objetivos múltiples de minimización de déficits, y de máxima adaptación a las curvas de volúmenes objetivo de embalse y objetivos de producción hidroeléctrica (</w:t>
      </w:r>
      <w:proofErr w:type="spellStart"/>
      <w:r w:rsidRPr="001E272A">
        <w:rPr>
          <w:rFonts w:ascii="Times New Roman" w:hAnsi="Times New Roman" w:cs="Times New Roman"/>
          <w:sz w:val="24"/>
          <w:szCs w:val="24"/>
        </w:rPr>
        <w:t>Alvarez</w:t>
      </w:r>
      <w:proofErr w:type="spellEnd"/>
      <w:r w:rsidRPr="001E272A">
        <w:rPr>
          <w:rFonts w:ascii="Times New Roman" w:hAnsi="Times New Roman" w:cs="Times New Roman"/>
          <w:sz w:val="24"/>
          <w:szCs w:val="24"/>
        </w:rPr>
        <w:t>, 2015b).</w:t>
      </w:r>
    </w:p>
    <w:p w14:paraId="27919659" w14:textId="3A0F0AD8" w:rsidR="00A21A1F" w:rsidRDefault="001E272A" w:rsidP="00FE7B54">
      <w:pPr>
        <w:spacing w:after="0" w:line="360" w:lineRule="auto"/>
        <w:jc w:val="both"/>
        <w:rPr>
          <w:rFonts w:ascii="Times New Roman" w:hAnsi="Times New Roman" w:cs="Times New Roman"/>
          <w:b/>
          <w:sz w:val="24"/>
          <w:szCs w:val="24"/>
        </w:rPr>
      </w:pPr>
      <w:r w:rsidRPr="001E272A">
        <w:rPr>
          <w:rFonts w:ascii="Times New Roman" w:hAnsi="Times New Roman" w:cs="Times New Roman"/>
          <w:b/>
          <w:sz w:val="24"/>
          <w:szCs w:val="24"/>
        </w:rPr>
        <w:t>2.2</w:t>
      </w:r>
      <w:bookmarkStart w:id="2" w:name="_Toc203379948"/>
      <w:r w:rsidRPr="001E272A">
        <w:rPr>
          <w:rFonts w:ascii="Arial" w:hAnsi="Arial" w:cs="Arial"/>
          <w:szCs w:val="20"/>
        </w:rPr>
        <w:t xml:space="preserve"> </w:t>
      </w:r>
      <w:r w:rsidRPr="001E272A">
        <w:rPr>
          <w:rFonts w:ascii="Times New Roman" w:hAnsi="Times New Roman" w:cs="Times New Roman"/>
          <w:b/>
          <w:sz w:val="24"/>
          <w:szCs w:val="24"/>
        </w:rPr>
        <w:t>Propuesta de metodología para el cálculo del balance hídrico con el programa de apoyo a la decisión AQUATOOL en Cuencas Hidrográficas:</w:t>
      </w:r>
      <w:bookmarkEnd w:id="2"/>
    </w:p>
    <w:p w14:paraId="0EBBDEEB" w14:textId="77777777" w:rsidR="001E272A" w:rsidRPr="00FE7B54" w:rsidRDefault="001E272A" w:rsidP="00623FF8">
      <w:pPr>
        <w:pStyle w:val="Prrafodelista"/>
        <w:numPr>
          <w:ilvl w:val="0"/>
          <w:numId w:val="2"/>
        </w:numPr>
        <w:spacing w:after="0" w:line="360" w:lineRule="auto"/>
        <w:ind w:left="0" w:right="23" w:firstLine="0"/>
        <w:jc w:val="both"/>
        <w:rPr>
          <w:rFonts w:ascii="Times New Roman" w:hAnsi="Times New Roman" w:cs="Times New Roman"/>
          <w:sz w:val="24"/>
          <w:szCs w:val="24"/>
        </w:rPr>
      </w:pPr>
      <w:r w:rsidRPr="00FE7B54">
        <w:rPr>
          <w:rFonts w:ascii="Times New Roman" w:hAnsi="Times New Roman" w:cs="Times New Roman"/>
          <w:sz w:val="24"/>
          <w:szCs w:val="24"/>
        </w:rPr>
        <w:t>Definir los elementos del esquema de la cuenca según corresponda y teniendo en cuenta las características definidas en Solera et al. (2015) el manual de usuario del programa.</w:t>
      </w:r>
    </w:p>
    <w:p w14:paraId="58638B60" w14:textId="77777777" w:rsidR="001E272A" w:rsidRPr="00FE7B54" w:rsidRDefault="001E272A" w:rsidP="00623FF8">
      <w:pPr>
        <w:pStyle w:val="Prrafodelista"/>
        <w:numPr>
          <w:ilvl w:val="0"/>
          <w:numId w:val="2"/>
        </w:numPr>
        <w:spacing w:after="0" w:line="360" w:lineRule="auto"/>
        <w:ind w:left="0" w:right="23" w:firstLine="0"/>
        <w:jc w:val="both"/>
        <w:rPr>
          <w:rFonts w:ascii="Times New Roman" w:hAnsi="Times New Roman" w:cs="Times New Roman"/>
          <w:sz w:val="24"/>
          <w:szCs w:val="24"/>
        </w:rPr>
      </w:pPr>
      <w:r w:rsidRPr="00FE7B54">
        <w:rPr>
          <w:rFonts w:ascii="Times New Roman" w:hAnsi="Times New Roman" w:cs="Times New Roman"/>
          <w:sz w:val="24"/>
          <w:szCs w:val="24"/>
        </w:rPr>
        <w:t>Para la utilización del modelo, el usuario debe confeccionar un esquema de la cuenca o sistema utilizando los elementos mencionados para esto se deberá definir una serie de nodos en el sistema hidráulico.</w:t>
      </w:r>
    </w:p>
    <w:p w14:paraId="7DE6CFF1" w14:textId="77777777" w:rsidR="001E272A" w:rsidRPr="00FE7B54" w:rsidRDefault="001E272A" w:rsidP="00623FF8">
      <w:pPr>
        <w:pStyle w:val="Prrafodelista"/>
        <w:numPr>
          <w:ilvl w:val="0"/>
          <w:numId w:val="2"/>
        </w:numPr>
        <w:spacing w:after="0" w:line="360" w:lineRule="auto"/>
        <w:ind w:left="0" w:right="23" w:firstLine="0"/>
        <w:jc w:val="both"/>
        <w:rPr>
          <w:rFonts w:ascii="Times New Roman" w:hAnsi="Times New Roman" w:cs="Times New Roman"/>
          <w:sz w:val="24"/>
          <w:szCs w:val="24"/>
        </w:rPr>
      </w:pPr>
      <w:r w:rsidRPr="00FE7B54">
        <w:rPr>
          <w:rFonts w:ascii="Times New Roman" w:hAnsi="Times New Roman" w:cs="Times New Roman"/>
          <w:sz w:val="24"/>
          <w:szCs w:val="24"/>
        </w:rPr>
        <w:t>Definir las conducciones que existen entre los distintos nudos, así como el tipo de conducción al que pertenecen.</w:t>
      </w:r>
    </w:p>
    <w:p w14:paraId="1AC44A3D" w14:textId="77777777" w:rsidR="001E272A" w:rsidRPr="00FE7B54" w:rsidRDefault="001E272A" w:rsidP="00623FF8">
      <w:pPr>
        <w:pStyle w:val="Prrafodelista"/>
        <w:numPr>
          <w:ilvl w:val="0"/>
          <w:numId w:val="2"/>
        </w:numPr>
        <w:spacing w:after="0" w:line="360" w:lineRule="auto"/>
        <w:ind w:left="0" w:right="23" w:firstLine="0"/>
        <w:jc w:val="both"/>
        <w:rPr>
          <w:rFonts w:ascii="Times New Roman" w:hAnsi="Times New Roman" w:cs="Times New Roman"/>
          <w:sz w:val="24"/>
          <w:szCs w:val="24"/>
        </w:rPr>
      </w:pPr>
      <w:r w:rsidRPr="00FE7B54">
        <w:rPr>
          <w:rFonts w:ascii="Times New Roman" w:hAnsi="Times New Roman" w:cs="Times New Roman"/>
          <w:sz w:val="24"/>
          <w:szCs w:val="24"/>
        </w:rPr>
        <w:t>Ubicar en el esquema las aportaciones intermedias que puedan llegar a algún nudo o al embalse, de no haber, se definirán las aportaciones correspondientes a cada embalse del sistema.</w:t>
      </w:r>
    </w:p>
    <w:p w14:paraId="7760B909" w14:textId="77777777" w:rsidR="001E272A" w:rsidRPr="00FE7B54" w:rsidRDefault="001E272A" w:rsidP="00623FF8">
      <w:pPr>
        <w:pStyle w:val="Prrafodelista"/>
        <w:numPr>
          <w:ilvl w:val="0"/>
          <w:numId w:val="2"/>
        </w:numPr>
        <w:spacing w:after="0" w:line="360" w:lineRule="auto"/>
        <w:ind w:left="0" w:right="23" w:firstLine="0"/>
        <w:jc w:val="both"/>
        <w:rPr>
          <w:rFonts w:ascii="Times New Roman" w:hAnsi="Times New Roman" w:cs="Times New Roman"/>
          <w:sz w:val="24"/>
          <w:szCs w:val="24"/>
        </w:rPr>
      </w:pPr>
      <w:r w:rsidRPr="00FE7B54">
        <w:rPr>
          <w:rFonts w:ascii="Times New Roman" w:hAnsi="Times New Roman" w:cs="Times New Roman"/>
          <w:sz w:val="24"/>
          <w:szCs w:val="24"/>
        </w:rPr>
        <w:t>Se situarán las demandas; por cada demanda deberá existir un nudo de toma y un nudo de retorno, en el caso de la existencia de algún acuífero se definirán los que puedan ser explotados por bombeo o reciben algún retorno por infiltración.</w:t>
      </w:r>
    </w:p>
    <w:p w14:paraId="6E866610" w14:textId="77777777" w:rsidR="001E272A" w:rsidRPr="00FE7B54" w:rsidRDefault="001E272A" w:rsidP="00623FF8">
      <w:pPr>
        <w:pStyle w:val="Prrafodelista"/>
        <w:numPr>
          <w:ilvl w:val="0"/>
          <w:numId w:val="2"/>
        </w:numPr>
        <w:spacing w:after="0" w:line="360" w:lineRule="auto"/>
        <w:ind w:left="0" w:right="23" w:firstLine="0"/>
        <w:jc w:val="both"/>
        <w:rPr>
          <w:rFonts w:ascii="Times New Roman" w:hAnsi="Times New Roman" w:cs="Times New Roman"/>
          <w:sz w:val="24"/>
          <w:szCs w:val="24"/>
        </w:rPr>
      </w:pPr>
      <w:r w:rsidRPr="00FE7B54">
        <w:rPr>
          <w:rFonts w:ascii="Times New Roman" w:hAnsi="Times New Roman" w:cs="Times New Roman"/>
          <w:sz w:val="24"/>
          <w:szCs w:val="24"/>
        </w:rPr>
        <w:t>Identificara los nudos de donde parten los flujos destinados a aguas superficiales y aquellos donde se incorporan los bombeos adicionales (Acuíferos).</w:t>
      </w:r>
    </w:p>
    <w:p w14:paraId="6E1FCB18" w14:textId="350673A4" w:rsidR="001E272A" w:rsidRPr="00FE7B54" w:rsidRDefault="001E272A" w:rsidP="00623FF8">
      <w:pPr>
        <w:pStyle w:val="Prrafodelista"/>
        <w:numPr>
          <w:ilvl w:val="0"/>
          <w:numId w:val="2"/>
        </w:numPr>
        <w:spacing w:after="0" w:line="360" w:lineRule="auto"/>
        <w:ind w:left="0" w:right="23" w:firstLine="0"/>
        <w:jc w:val="both"/>
        <w:rPr>
          <w:rFonts w:ascii="Times New Roman" w:hAnsi="Times New Roman" w:cs="Times New Roman"/>
          <w:sz w:val="24"/>
          <w:szCs w:val="24"/>
        </w:rPr>
      </w:pPr>
      <w:r w:rsidRPr="00FE7B54">
        <w:rPr>
          <w:rFonts w:ascii="Times New Roman" w:hAnsi="Times New Roman" w:cs="Times New Roman"/>
          <w:sz w:val="24"/>
          <w:szCs w:val="24"/>
        </w:rPr>
        <w:t xml:space="preserve">Deberá definir los sistemas de restricción para las situaciones de alarma del sistema. Una vez realizados los pasos anteriores queda completado el esquema </w:t>
      </w:r>
      <w:r w:rsidRPr="00FE7B54">
        <w:rPr>
          <w:rFonts w:ascii="Times New Roman" w:hAnsi="Times New Roman" w:cs="Times New Roman"/>
          <w:sz w:val="24"/>
          <w:szCs w:val="24"/>
        </w:rPr>
        <w:lastRenderedPageBreak/>
        <w:t>hidráulico del sistema, con esto se deberán introducir los datos correspondientes a cada elemento del sistema hidráulico. Una vez terminado este paso podemos ejecutar y esperar los resultados.</w:t>
      </w:r>
    </w:p>
    <w:p w14:paraId="538F2FEC" w14:textId="364FDB77" w:rsidR="001E272A" w:rsidRDefault="001E272A" w:rsidP="00FE7B54">
      <w:pPr>
        <w:spacing w:after="0" w:line="360" w:lineRule="auto"/>
        <w:jc w:val="both"/>
        <w:rPr>
          <w:rFonts w:ascii="Times New Roman" w:hAnsi="Times New Roman" w:cs="Times New Roman"/>
          <w:b/>
          <w:sz w:val="24"/>
          <w:szCs w:val="24"/>
        </w:rPr>
      </w:pPr>
      <w:r w:rsidRPr="001E272A">
        <w:rPr>
          <w:rFonts w:ascii="Times New Roman" w:hAnsi="Times New Roman" w:cs="Times New Roman"/>
          <w:b/>
          <w:sz w:val="24"/>
          <w:szCs w:val="24"/>
        </w:rPr>
        <w:t>2.3</w:t>
      </w:r>
      <w:r>
        <w:rPr>
          <w:rFonts w:ascii="Times New Roman" w:hAnsi="Times New Roman" w:cs="Times New Roman"/>
          <w:b/>
          <w:sz w:val="24"/>
          <w:szCs w:val="24"/>
        </w:rPr>
        <w:t xml:space="preserve"> Caracterización de la cuenca Sagua la Chica</w:t>
      </w:r>
    </w:p>
    <w:p w14:paraId="6846EA74" w14:textId="77777777" w:rsidR="008106E7" w:rsidRDefault="001E272A" w:rsidP="00FE7B54">
      <w:pPr>
        <w:spacing w:after="0" w:line="360" w:lineRule="auto"/>
        <w:ind w:right="23"/>
        <w:jc w:val="both"/>
        <w:rPr>
          <w:rFonts w:ascii="Times New Roman" w:hAnsi="Times New Roman" w:cs="Times New Roman"/>
          <w:sz w:val="24"/>
          <w:szCs w:val="24"/>
        </w:rPr>
      </w:pPr>
      <w:r w:rsidRPr="001E272A">
        <w:rPr>
          <w:rFonts w:ascii="Times New Roman" w:hAnsi="Times New Roman" w:cs="Times New Roman"/>
          <w:sz w:val="24"/>
          <w:szCs w:val="24"/>
        </w:rPr>
        <w:t xml:space="preserve">El área total de La cuenca Sagua La Chica es de 1017 km². Sus límites geográficos son por el oeste la cuenca del río Sagua La Grande, por el sur las cuencas de los ríos </w:t>
      </w:r>
      <w:proofErr w:type="spellStart"/>
      <w:r w:rsidRPr="001E272A">
        <w:rPr>
          <w:rFonts w:ascii="Times New Roman" w:hAnsi="Times New Roman" w:cs="Times New Roman"/>
          <w:sz w:val="24"/>
          <w:szCs w:val="24"/>
        </w:rPr>
        <w:t>Agabama</w:t>
      </w:r>
      <w:proofErr w:type="spellEnd"/>
      <w:r w:rsidRPr="001E272A">
        <w:rPr>
          <w:rFonts w:ascii="Times New Roman" w:hAnsi="Times New Roman" w:cs="Times New Roman"/>
          <w:sz w:val="24"/>
          <w:szCs w:val="24"/>
        </w:rPr>
        <w:t xml:space="preserve"> y Zaza, y por el este las de los ríos Manacas, Grimoso y </w:t>
      </w:r>
      <w:proofErr w:type="spellStart"/>
      <w:r w:rsidRPr="001E272A">
        <w:rPr>
          <w:rFonts w:ascii="Times New Roman" w:hAnsi="Times New Roman" w:cs="Times New Roman"/>
          <w:sz w:val="24"/>
          <w:szCs w:val="24"/>
        </w:rPr>
        <w:t>Jinaguayabo</w:t>
      </w:r>
      <w:proofErr w:type="spellEnd"/>
      <w:r w:rsidRPr="001E272A">
        <w:rPr>
          <w:rFonts w:ascii="Times New Roman" w:hAnsi="Times New Roman" w:cs="Times New Roman"/>
          <w:sz w:val="24"/>
          <w:szCs w:val="24"/>
        </w:rPr>
        <w:t>. Al norte, la cuenca desemboca en la Bahía de Buenavista, a unos 5 km del poblado El Santo.</w:t>
      </w:r>
    </w:p>
    <w:p w14:paraId="4E047B80" w14:textId="2FFB2F6B" w:rsidR="001E272A" w:rsidRPr="008106E7" w:rsidRDefault="001E272A" w:rsidP="00FE7B54">
      <w:pPr>
        <w:spacing w:after="0" w:line="360" w:lineRule="auto"/>
        <w:ind w:right="23"/>
        <w:jc w:val="both"/>
        <w:rPr>
          <w:rFonts w:ascii="Times New Roman" w:hAnsi="Times New Roman" w:cs="Times New Roman"/>
          <w:sz w:val="24"/>
          <w:szCs w:val="24"/>
        </w:rPr>
      </w:pPr>
      <w:r w:rsidRPr="008106E7">
        <w:rPr>
          <w:rFonts w:ascii="Times New Roman" w:hAnsi="Times New Roman" w:cs="Times New Roman"/>
          <w:sz w:val="24"/>
          <w:szCs w:val="24"/>
        </w:rPr>
        <w:t>El Sistema Sagua La Chica se ubica al noroeste de la provincia y comprende la cuenca hidrológica del río del mismo nombre. Está conformado por los embalses Minerva y La Quinta, las derivadoras Camajuaní y Pavón, y los canales magistrales Calabazar y Chiqui Gómez, que constituyen las fuentes de los sistemas de riego Calabazar-</w:t>
      </w:r>
      <w:proofErr w:type="spellStart"/>
      <w:r w:rsidRPr="008106E7">
        <w:rPr>
          <w:rFonts w:ascii="Times New Roman" w:hAnsi="Times New Roman" w:cs="Times New Roman"/>
          <w:sz w:val="24"/>
          <w:szCs w:val="24"/>
        </w:rPr>
        <w:t>Purio</w:t>
      </w:r>
      <w:proofErr w:type="spellEnd"/>
      <w:r w:rsidRPr="008106E7">
        <w:rPr>
          <w:rFonts w:ascii="Times New Roman" w:hAnsi="Times New Roman" w:cs="Times New Roman"/>
          <w:sz w:val="24"/>
          <w:szCs w:val="24"/>
        </w:rPr>
        <w:t>, con 13,800 ha, y Chiqui Gómez, con 8,400 ha netas. Además, este sistema incluye 65.3 ha de estanques para la acuicultura y aporta el 36% del agua que consume la ciudad de Santa Clara.</w:t>
      </w:r>
    </w:p>
    <w:p w14:paraId="43A04637" w14:textId="76B28810" w:rsidR="00687487" w:rsidRPr="008106E7" w:rsidRDefault="001E272A" w:rsidP="00687487">
      <w:pPr>
        <w:spacing w:after="120" w:line="360" w:lineRule="auto"/>
        <w:ind w:right="23"/>
        <w:jc w:val="both"/>
        <w:rPr>
          <w:rFonts w:ascii="Times New Roman" w:hAnsi="Times New Roman" w:cs="Times New Roman"/>
          <w:sz w:val="24"/>
          <w:szCs w:val="24"/>
        </w:rPr>
      </w:pPr>
      <w:r w:rsidRPr="008106E7">
        <w:rPr>
          <w:rFonts w:ascii="Times New Roman" w:hAnsi="Times New Roman" w:cs="Times New Roman"/>
          <w:sz w:val="24"/>
          <w:szCs w:val="24"/>
        </w:rPr>
        <w:t>El embalse “Minerva”, en el curso medio de Sagua La Chica, tiene como vinculación directa el abasto a Santa Clara con un caudal de 800 l/s y 27 ha dedicadas a la acuicultura. El resto de la entrega es para compensar el riego a partir de la Derivadora Pavón, donde se bifurca hacia ambos márgenes por los Canales Magistrales.</w:t>
      </w:r>
    </w:p>
    <w:tbl>
      <w:tblPr>
        <w:tblW w:w="954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8"/>
        <w:gridCol w:w="1466"/>
        <w:gridCol w:w="1274"/>
        <w:gridCol w:w="1268"/>
        <w:gridCol w:w="1344"/>
        <w:gridCol w:w="1654"/>
        <w:gridCol w:w="1746"/>
      </w:tblGrid>
      <w:tr w:rsidR="00687487" w:rsidRPr="008106E7" w14:paraId="17ACEE89" w14:textId="77777777" w:rsidTr="00F7182D">
        <w:trPr>
          <w:trHeight w:val="561"/>
        </w:trPr>
        <w:tc>
          <w:tcPr>
            <w:tcW w:w="788" w:type="dxa"/>
            <w:shd w:val="clear" w:color="auto" w:fill="auto"/>
          </w:tcPr>
          <w:p w14:paraId="4ED056EE" w14:textId="77777777" w:rsidR="00687487" w:rsidRPr="008106E7" w:rsidRDefault="00687487" w:rsidP="00F7182D">
            <w:pPr>
              <w:spacing w:after="0" w:line="360" w:lineRule="auto"/>
              <w:ind w:left="255" w:right="23"/>
              <w:jc w:val="center"/>
              <w:rPr>
                <w:rFonts w:ascii="Times New Roman" w:hAnsi="Times New Roman" w:cs="Times New Roman"/>
                <w:sz w:val="24"/>
                <w:szCs w:val="24"/>
              </w:rPr>
            </w:pPr>
            <w:r w:rsidRPr="008106E7">
              <w:rPr>
                <w:rFonts w:ascii="Times New Roman" w:hAnsi="Times New Roman" w:cs="Times New Roman"/>
                <w:sz w:val="24"/>
                <w:szCs w:val="24"/>
              </w:rPr>
              <w:t>No</w:t>
            </w:r>
          </w:p>
        </w:tc>
        <w:tc>
          <w:tcPr>
            <w:tcW w:w="1466" w:type="dxa"/>
            <w:shd w:val="clear" w:color="auto" w:fill="auto"/>
          </w:tcPr>
          <w:p w14:paraId="29A3BCAF" w14:textId="77777777" w:rsidR="00687487" w:rsidRPr="008106E7" w:rsidRDefault="00687487" w:rsidP="00F7182D">
            <w:pPr>
              <w:spacing w:after="0" w:line="360" w:lineRule="auto"/>
              <w:ind w:left="255" w:right="23"/>
              <w:jc w:val="center"/>
              <w:rPr>
                <w:rFonts w:ascii="Times New Roman" w:hAnsi="Times New Roman" w:cs="Times New Roman"/>
                <w:sz w:val="24"/>
                <w:szCs w:val="24"/>
              </w:rPr>
            </w:pPr>
            <w:r w:rsidRPr="008106E7">
              <w:rPr>
                <w:rFonts w:ascii="Times New Roman" w:hAnsi="Times New Roman" w:cs="Times New Roman"/>
                <w:sz w:val="24"/>
                <w:szCs w:val="24"/>
              </w:rPr>
              <w:t>Tipo de Fuente</w:t>
            </w:r>
          </w:p>
        </w:tc>
        <w:tc>
          <w:tcPr>
            <w:tcW w:w="7286" w:type="dxa"/>
            <w:gridSpan w:val="5"/>
            <w:shd w:val="clear" w:color="auto" w:fill="auto"/>
          </w:tcPr>
          <w:p w14:paraId="098A3F59" w14:textId="77777777" w:rsidR="00687487" w:rsidRPr="008106E7" w:rsidRDefault="00687487" w:rsidP="00F7182D">
            <w:pPr>
              <w:spacing w:after="0" w:line="360" w:lineRule="auto"/>
              <w:ind w:left="255" w:right="23"/>
              <w:jc w:val="center"/>
              <w:rPr>
                <w:rFonts w:ascii="Times New Roman" w:hAnsi="Times New Roman" w:cs="Times New Roman"/>
                <w:sz w:val="24"/>
                <w:szCs w:val="24"/>
              </w:rPr>
            </w:pPr>
            <w:r w:rsidRPr="008106E7">
              <w:rPr>
                <w:rFonts w:ascii="Times New Roman" w:hAnsi="Times New Roman" w:cs="Times New Roman"/>
                <w:sz w:val="24"/>
                <w:szCs w:val="24"/>
              </w:rPr>
              <w:t>Parámetros</w:t>
            </w:r>
          </w:p>
        </w:tc>
      </w:tr>
      <w:tr w:rsidR="00687487" w:rsidRPr="008106E7" w14:paraId="4EB2D91F" w14:textId="77777777" w:rsidTr="00F7182D">
        <w:trPr>
          <w:trHeight w:val="1029"/>
        </w:trPr>
        <w:tc>
          <w:tcPr>
            <w:tcW w:w="788" w:type="dxa"/>
            <w:shd w:val="clear" w:color="auto" w:fill="auto"/>
          </w:tcPr>
          <w:p w14:paraId="6047AFE5" w14:textId="77777777" w:rsidR="00687487" w:rsidRPr="008106E7" w:rsidRDefault="00687487" w:rsidP="00F7182D">
            <w:pPr>
              <w:spacing w:after="0" w:line="360" w:lineRule="auto"/>
              <w:ind w:left="255" w:right="23"/>
              <w:jc w:val="center"/>
              <w:rPr>
                <w:rFonts w:ascii="Times New Roman" w:hAnsi="Times New Roman" w:cs="Times New Roman"/>
                <w:sz w:val="24"/>
                <w:szCs w:val="24"/>
              </w:rPr>
            </w:pPr>
          </w:p>
        </w:tc>
        <w:tc>
          <w:tcPr>
            <w:tcW w:w="1466" w:type="dxa"/>
            <w:shd w:val="clear" w:color="auto" w:fill="auto"/>
          </w:tcPr>
          <w:p w14:paraId="3933D1E3" w14:textId="77777777" w:rsidR="00687487" w:rsidRPr="008106E7" w:rsidRDefault="00687487" w:rsidP="00F7182D">
            <w:pPr>
              <w:spacing w:after="0" w:line="360" w:lineRule="auto"/>
              <w:ind w:left="255" w:right="23"/>
              <w:jc w:val="center"/>
              <w:rPr>
                <w:rFonts w:ascii="Times New Roman" w:hAnsi="Times New Roman" w:cs="Times New Roman"/>
                <w:sz w:val="24"/>
                <w:szCs w:val="24"/>
              </w:rPr>
            </w:pPr>
          </w:p>
          <w:p w14:paraId="1407C84F" w14:textId="77777777" w:rsidR="00687487" w:rsidRPr="008106E7" w:rsidRDefault="00687487" w:rsidP="00F7182D">
            <w:pPr>
              <w:spacing w:after="0" w:line="360" w:lineRule="auto"/>
              <w:ind w:left="255" w:right="23"/>
              <w:jc w:val="center"/>
              <w:rPr>
                <w:rFonts w:ascii="Times New Roman" w:hAnsi="Times New Roman" w:cs="Times New Roman"/>
                <w:sz w:val="24"/>
                <w:szCs w:val="24"/>
              </w:rPr>
            </w:pPr>
            <w:r w:rsidRPr="008106E7">
              <w:rPr>
                <w:rFonts w:ascii="Times New Roman" w:hAnsi="Times New Roman" w:cs="Times New Roman"/>
                <w:sz w:val="24"/>
                <w:szCs w:val="24"/>
              </w:rPr>
              <w:t>Nombre Presa</w:t>
            </w:r>
          </w:p>
        </w:tc>
        <w:tc>
          <w:tcPr>
            <w:tcW w:w="1274" w:type="dxa"/>
            <w:shd w:val="clear" w:color="auto" w:fill="auto"/>
          </w:tcPr>
          <w:p w14:paraId="099C462F" w14:textId="77777777" w:rsidR="00687487" w:rsidRPr="008106E7" w:rsidRDefault="00687487" w:rsidP="00F7182D">
            <w:pPr>
              <w:spacing w:after="0" w:line="360" w:lineRule="auto"/>
              <w:ind w:left="255" w:right="23"/>
              <w:jc w:val="center"/>
              <w:rPr>
                <w:rFonts w:ascii="Times New Roman" w:hAnsi="Times New Roman" w:cs="Times New Roman"/>
                <w:sz w:val="24"/>
                <w:szCs w:val="24"/>
              </w:rPr>
            </w:pPr>
            <w:r w:rsidRPr="008106E7">
              <w:rPr>
                <w:rFonts w:ascii="Times New Roman" w:hAnsi="Times New Roman" w:cs="Times New Roman"/>
                <w:sz w:val="24"/>
                <w:szCs w:val="24"/>
              </w:rPr>
              <w:t>Vol. Normal</w:t>
            </w:r>
          </w:p>
          <w:p w14:paraId="4B3D377D" w14:textId="77777777" w:rsidR="00687487" w:rsidRPr="008106E7" w:rsidRDefault="00687487" w:rsidP="00F7182D">
            <w:pPr>
              <w:spacing w:after="0" w:line="360" w:lineRule="auto"/>
              <w:ind w:left="255" w:right="23"/>
              <w:jc w:val="center"/>
              <w:rPr>
                <w:rFonts w:ascii="Times New Roman" w:hAnsi="Times New Roman" w:cs="Times New Roman"/>
                <w:sz w:val="24"/>
                <w:szCs w:val="24"/>
              </w:rPr>
            </w:pPr>
            <w:r w:rsidRPr="008106E7">
              <w:rPr>
                <w:rFonts w:ascii="Times New Roman" w:hAnsi="Times New Roman" w:cs="Times New Roman"/>
                <w:sz w:val="24"/>
                <w:szCs w:val="24"/>
              </w:rPr>
              <w:t>(hm3)</w:t>
            </w:r>
          </w:p>
        </w:tc>
        <w:tc>
          <w:tcPr>
            <w:tcW w:w="1268" w:type="dxa"/>
            <w:shd w:val="clear" w:color="auto" w:fill="auto"/>
          </w:tcPr>
          <w:p w14:paraId="06869C04" w14:textId="77777777" w:rsidR="00687487" w:rsidRPr="008106E7" w:rsidRDefault="00687487" w:rsidP="00F7182D">
            <w:pPr>
              <w:spacing w:after="0" w:line="360" w:lineRule="auto"/>
              <w:ind w:left="255" w:right="23"/>
              <w:jc w:val="center"/>
              <w:rPr>
                <w:rFonts w:ascii="Times New Roman" w:hAnsi="Times New Roman" w:cs="Times New Roman"/>
                <w:sz w:val="24"/>
                <w:szCs w:val="24"/>
              </w:rPr>
            </w:pPr>
            <w:r w:rsidRPr="008106E7">
              <w:rPr>
                <w:rFonts w:ascii="Times New Roman" w:hAnsi="Times New Roman" w:cs="Times New Roman"/>
                <w:sz w:val="24"/>
                <w:szCs w:val="24"/>
              </w:rPr>
              <w:t>Vol. Mínimo</w:t>
            </w:r>
          </w:p>
          <w:p w14:paraId="751C049D" w14:textId="77777777" w:rsidR="00687487" w:rsidRPr="008106E7" w:rsidRDefault="00687487" w:rsidP="00F7182D">
            <w:pPr>
              <w:spacing w:after="0" w:line="360" w:lineRule="auto"/>
              <w:ind w:left="255" w:right="23"/>
              <w:jc w:val="center"/>
              <w:rPr>
                <w:rFonts w:ascii="Times New Roman" w:hAnsi="Times New Roman" w:cs="Times New Roman"/>
                <w:sz w:val="24"/>
                <w:szCs w:val="24"/>
              </w:rPr>
            </w:pPr>
            <w:r w:rsidRPr="008106E7">
              <w:rPr>
                <w:rFonts w:ascii="Times New Roman" w:hAnsi="Times New Roman" w:cs="Times New Roman"/>
                <w:sz w:val="24"/>
                <w:szCs w:val="24"/>
              </w:rPr>
              <w:t>(hm3)</w:t>
            </w:r>
          </w:p>
        </w:tc>
        <w:tc>
          <w:tcPr>
            <w:tcW w:w="1344" w:type="dxa"/>
            <w:shd w:val="clear" w:color="auto" w:fill="auto"/>
          </w:tcPr>
          <w:p w14:paraId="4EE9FFF5" w14:textId="77777777" w:rsidR="00687487" w:rsidRPr="008106E7" w:rsidRDefault="00687487" w:rsidP="00F7182D">
            <w:pPr>
              <w:spacing w:after="0" w:line="360" w:lineRule="auto"/>
              <w:ind w:left="255" w:right="23"/>
              <w:jc w:val="center"/>
              <w:rPr>
                <w:rFonts w:ascii="Times New Roman" w:hAnsi="Times New Roman" w:cs="Times New Roman"/>
                <w:sz w:val="24"/>
                <w:szCs w:val="24"/>
              </w:rPr>
            </w:pPr>
            <w:r w:rsidRPr="008106E7">
              <w:rPr>
                <w:rFonts w:ascii="Times New Roman" w:hAnsi="Times New Roman" w:cs="Times New Roman"/>
                <w:sz w:val="24"/>
                <w:szCs w:val="24"/>
              </w:rPr>
              <w:t>Vol. Máximo</w:t>
            </w:r>
          </w:p>
          <w:p w14:paraId="020D3CD7" w14:textId="77777777" w:rsidR="00687487" w:rsidRPr="008106E7" w:rsidRDefault="00687487" w:rsidP="00F7182D">
            <w:pPr>
              <w:spacing w:after="0" w:line="360" w:lineRule="auto"/>
              <w:ind w:left="255" w:right="23"/>
              <w:jc w:val="center"/>
              <w:rPr>
                <w:rFonts w:ascii="Times New Roman" w:hAnsi="Times New Roman" w:cs="Times New Roman"/>
                <w:sz w:val="24"/>
                <w:szCs w:val="24"/>
              </w:rPr>
            </w:pPr>
            <w:r w:rsidRPr="008106E7">
              <w:rPr>
                <w:rFonts w:ascii="Times New Roman" w:hAnsi="Times New Roman" w:cs="Times New Roman"/>
                <w:sz w:val="24"/>
                <w:szCs w:val="24"/>
              </w:rPr>
              <w:t>(hm3)</w:t>
            </w:r>
          </w:p>
        </w:tc>
        <w:tc>
          <w:tcPr>
            <w:tcW w:w="0" w:type="auto"/>
            <w:shd w:val="clear" w:color="auto" w:fill="auto"/>
          </w:tcPr>
          <w:p w14:paraId="50E3A79F" w14:textId="77777777" w:rsidR="00687487" w:rsidRPr="008106E7" w:rsidRDefault="00687487" w:rsidP="00F7182D">
            <w:pPr>
              <w:spacing w:after="0" w:line="360" w:lineRule="auto"/>
              <w:ind w:left="255" w:right="23"/>
              <w:jc w:val="center"/>
              <w:rPr>
                <w:rFonts w:ascii="Times New Roman" w:hAnsi="Times New Roman" w:cs="Times New Roman"/>
                <w:sz w:val="24"/>
                <w:szCs w:val="24"/>
              </w:rPr>
            </w:pPr>
            <w:r w:rsidRPr="008106E7">
              <w:rPr>
                <w:rFonts w:ascii="Times New Roman" w:hAnsi="Times New Roman" w:cs="Times New Roman"/>
                <w:sz w:val="24"/>
                <w:szCs w:val="24"/>
              </w:rPr>
              <w:t>Entrega</w:t>
            </w:r>
          </w:p>
          <w:p w14:paraId="48A25C59" w14:textId="77777777" w:rsidR="00687487" w:rsidRPr="008106E7" w:rsidRDefault="00687487" w:rsidP="00F7182D">
            <w:pPr>
              <w:spacing w:after="0" w:line="360" w:lineRule="auto"/>
              <w:ind w:left="255" w:right="23"/>
              <w:jc w:val="center"/>
              <w:rPr>
                <w:rFonts w:ascii="Times New Roman" w:hAnsi="Times New Roman" w:cs="Times New Roman"/>
                <w:sz w:val="24"/>
                <w:szCs w:val="24"/>
              </w:rPr>
            </w:pPr>
            <w:r w:rsidRPr="008106E7">
              <w:rPr>
                <w:rFonts w:ascii="Times New Roman" w:hAnsi="Times New Roman" w:cs="Times New Roman"/>
                <w:sz w:val="24"/>
                <w:szCs w:val="24"/>
              </w:rPr>
              <w:t>Garantizada</w:t>
            </w:r>
          </w:p>
          <w:p w14:paraId="17BDAE28" w14:textId="77777777" w:rsidR="00687487" w:rsidRPr="008106E7" w:rsidRDefault="00687487" w:rsidP="00F7182D">
            <w:pPr>
              <w:spacing w:after="0" w:line="360" w:lineRule="auto"/>
              <w:ind w:left="255" w:right="23"/>
              <w:jc w:val="center"/>
              <w:rPr>
                <w:rFonts w:ascii="Times New Roman" w:hAnsi="Times New Roman" w:cs="Times New Roman"/>
                <w:sz w:val="24"/>
                <w:szCs w:val="24"/>
              </w:rPr>
            </w:pPr>
            <w:r w:rsidRPr="008106E7">
              <w:rPr>
                <w:rFonts w:ascii="Times New Roman" w:hAnsi="Times New Roman" w:cs="Times New Roman"/>
                <w:sz w:val="24"/>
                <w:szCs w:val="24"/>
              </w:rPr>
              <w:t>(hm3)</w:t>
            </w:r>
          </w:p>
        </w:tc>
        <w:tc>
          <w:tcPr>
            <w:tcW w:w="1746" w:type="dxa"/>
            <w:shd w:val="clear" w:color="auto" w:fill="auto"/>
          </w:tcPr>
          <w:p w14:paraId="62CEF69E" w14:textId="77777777" w:rsidR="00687487" w:rsidRPr="008106E7" w:rsidRDefault="00687487" w:rsidP="00F7182D">
            <w:pPr>
              <w:spacing w:after="0" w:line="360" w:lineRule="auto"/>
              <w:ind w:left="255" w:right="23"/>
              <w:jc w:val="center"/>
              <w:rPr>
                <w:rFonts w:ascii="Times New Roman" w:hAnsi="Times New Roman" w:cs="Times New Roman"/>
                <w:sz w:val="24"/>
                <w:szCs w:val="24"/>
              </w:rPr>
            </w:pPr>
            <w:r w:rsidRPr="008106E7">
              <w:rPr>
                <w:rFonts w:ascii="Times New Roman" w:hAnsi="Times New Roman" w:cs="Times New Roman"/>
                <w:sz w:val="24"/>
                <w:szCs w:val="24"/>
              </w:rPr>
              <w:t>Nivel Mínimo</w:t>
            </w:r>
          </w:p>
          <w:p w14:paraId="38D7ED2E" w14:textId="77777777" w:rsidR="00687487" w:rsidRPr="008106E7" w:rsidRDefault="00687487" w:rsidP="00F7182D">
            <w:pPr>
              <w:spacing w:after="0" w:line="360" w:lineRule="auto"/>
              <w:ind w:left="255" w:right="23"/>
              <w:jc w:val="center"/>
              <w:rPr>
                <w:rFonts w:ascii="Times New Roman" w:hAnsi="Times New Roman" w:cs="Times New Roman"/>
                <w:sz w:val="24"/>
                <w:szCs w:val="24"/>
              </w:rPr>
            </w:pPr>
            <w:r w:rsidRPr="008106E7">
              <w:rPr>
                <w:rFonts w:ascii="Times New Roman" w:hAnsi="Times New Roman" w:cs="Times New Roman"/>
                <w:sz w:val="24"/>
                <w:szCs w:val="24"/>
              </w:rPr>
              <w:t>Operación (m)</w:t>
            </w:r>
          </w:p>
        </w:tc>
      </w:tr>
      <w:tr w:rsidR="00687487" w:rsidRPr="008106E7" w14:paraId="550725DA" w14:textId="77777777" w:rsidTr="00F7182D">
        <w:trPr>
          <w:trHeight w:val="434"/>
        </w:trPr>
        <w:tc>
          <w:tcPr>
            <w:tcW w:w="788" w:type="dxa"/>
            <w:shd w:val="clear" w:color="auto" w:fill="auto"/>
          </w:tcPr>
          <w:p w14:paraId="3E406B2E" w14:textId="77777777" w:rsidR="00687487" w:rsidRPr="008106E7" w:rsidRDefault="00687487" w:rsidP="00F7182D">
            <w:pPr>
              <w:spacing w:after="0" w:line="360" w:lineRule="auto"/>
              <w:ind w:left="255" w:right="23"/>
              <w:jc w:val="center"/>
              <w:rPr>
                <w:rFonts w:ascii="Times New Roman" w:hAnsi="Times New Roman" w:cs="Times New Roman"/>
                <w:sz w:val="24"/>
                <w:szCs w:val="24"/>
              </w:rPr>
            </w:pPr>
            <w:r w:rsidRPr="008106E7">
              <w:rPr>
                <w:rFonts w:ascii="Times New Roman" w:hAnsi="Times New Roman" w:cs="Times New Roman"/>
                <w:sz w:val="24"/>
                <w:szCs w:val="24"/>
              </w:rPr>
              <w:t>1</w:t>
            </w:r>
          </w:p>
        </w:tc>
        <w:tc>
          <w:tcPr>
            <w:tcW w:w="1466" w:type="dxa"/>
            <w:shd w:val="clear" w:color="auto" w:fill="auto"/>
          </w:tcPr>
          <w:p w14:paraId="485C9349" w14:textId="77777777" w:rsidR="00687487" w:rsidRPr="008106E7" w:rsidRDefault="00687487" w:rsidP="00F7182D">
            <w:pPr>
              <w:spacing w:after="0" w:line="360" w:lineRule="auto"/>
              <w:ind w:left="255" w:right="23"/>
              <w:jc w:val="center"/>
              <w:rPr>
                <w:rFonts w:ascii="Times New Roman" w:hAnsi="Times New Roman" w:cs="Times New Roman"/>
                <w:sz w:val="24"/>
                <w:szCs w:val="24"/>
              </w:rPr>
            </w:pPr>
            <w:r w:rsidRPr="008106E7">
              <w:rPr>
                <w:rFonts w:ascii="Times New Roman" w:hAnsi="Times New Roman" w:cs="Times New Roman"/>
                <w:sz w:val="24"/>
                <w:szCs w:val="24"/>
              </w:rPr>
              <w:t>Minerva</w:t>
            </w:r>
          </w:p>
        </w:tc>
        <w:tc>
          <w:tcPr>
            <w:tcW w:w="1274" w:type="dxa"/>
            <w:shd w:val="clear" w:color="auto" w:fill="auto"/>
          </w:tcPr>
          <w:p w14:paraId="228B2D9D" w14:textId="77777777" w:rsidR="00687487" w:rsidRPr="008106E7" w:rsidRDefault="00687487" w:rsidP="00F7182D">
            <w:pPr>
              <w:spacing w:after="0" w:line="360" w:lineRule="auto"/>
              <w:ind w:left="255" w:right="23"/>
              <w:jc w:val="center"/>
              <w:rPr>
                <w:rFonts w:ascii="Times New Roman" w:hAnsi="Times New Roman" w:cs="Times New Roman"/>
                <w:sz w:val="24"/>
                <w:szCs w:val="24"/>
              </w:rPr>
            </w:pPr>
            <w:r w:rsidRPr="008106E7">
              <w:rPr>
                <w:rFonts w:ascii="Times New Roman" w:hAnsi="Times New Roman" w:cs="Times New Roman"/>
                <w:sz w:val="24"/>
                <w:szCs w:val="24"/>
              </w:rPr>
              <w:t>123.000</w:t>
            </w:r>
          </w:p>
        </w:tc>
        <w:tc>
          <w:tcPr>
            <w:tcW w:w="1268" w:type="dxa"/>
            <w:shd w:val="clear" w:color="auto" w:fill="auto"/>
          </w:tcPr>
          <w:p w14:paraId="5061AE8F" w14:textId="77777777" w:rsidR="00687487" w:rsidRPr="008106E7" w:rsidRDefault="00687487" w:rsidP="00F7182D">
            <w:pPr>
              <w:spacing w:after="0" w:line="360" w:lineRule="auto"/>
              <w:ind w:left="255" w:right="23"/>
              <w:jc w:val="center"/>
              <w:rPr>
                <w:rFonts w:ascii="Times New Roman" w:hAnsi="Times New Roman" w:cs="Times New Roman"/>
                <w:sz w:val="24"/>
                <w:szCs w:val="24"/>
              </w:rPr>
            </w:pPr>
            <w:r w:rsidRPr="008106E7">
              <w:rPr>
                <w:rFonts w:ascii="Times New Roman" w:hAnsi="Times New Roman" w:cs="Times New Roman"/>
                <w:sz w:val="24"/>
                <w:szCs w:val="24"/>
              </w:rPr>
              <w:t>5.000</w:t>
            </w:r>
          </w:p>
        </w:tc>
        <w:tc>
          <w:tcPr>
            <w:tcW w:w="1344" w:type="dxa"/>
            <w:shd w:val="clear" w:color="auto" w:fill="auto"/>
          </w:tcPr>
          <w:p w14:paraId="4E728B93" w14:textId="77777777" w:rsidR="00687487" w:rsidRPr="008106E7" w:rsidRDefault="00687487" w:rsidP="00F7182D">
            <w:pPr>
              <w:spacing w:after="0" w:line="360" w:lineRule="auto"/>
              <w:ind w:left="255" w:right="23"/>
              <w:jc w:val="center"/>
              <w:rPr>
                <w:rFonts w:ascii="Times New Roman" w:hAnsi="Times New Roman" w:cs="Times New Roman"/>
                <w:sz w:val="24"/>
                <w:szCs w:val="24"/>
              </w:rPr>
            </w:pPr>
            <w:r w:rsidRPr="008106E7">
              <w:rPr>
                <w:rFonts w:ascii="Times New Roman" w:hAnsi="Times New Roman" w:cs="Times New Roman"/>
                <w:sz w:val="24"/>
                <w:szCs w:val="24"/>
              </w:rPr>
              <w:t>195.600</w:t>
            </w:r>
          </w:p>
        </w:tc>
        <w:tc>
          <w:tcPr>
            <w:tcW w:w="0" w:type="auto"/>
            <w:shd w:val="clear" w:color="auto" w:fill="auto"/>
          </w:tcPr>
          <w:p w14:paraId="1B616843" w14:textId="77777777" w:rsidR="00687487" w:rsidRPr="008106E7" w:rsidRDefault="00687487" w:rsidP="00F7182D">
            <w:pPr>
              <w:spacing w:after="0" w:line="360" w:lineRule="auto"/>
              <w:ind w:left="255" w:right="23"/>
              <w:jc w:val="center"/>
              <w:rPr>
                <w:rFonts w:ascii="Times New Roman" w:hAnsi="Times New Roman" w:cs="Times New Roman"/>
                <w:sz w:val="24"/>
                <w:szCs w:val="24"/>
              </w:rPr>
            </w:pPr>
            <w:r w:rsidRPr="008106E7">
              <w:rPr>
                <w:rFonts w:ascii="Times New Roman" w:hAnsi="Times New Roman" w:cs="Times New Roman"/>
                <w:sz w:val="24"/>
                <w:szCs w:val="24"/>
              </w:rPr>
              <w:t>72.900</w:t>
            </w:r>
          </w:p>
        </w:tc>
        <w:tc>
          <w:tcPr>
            <w:tcW w:w="1746" w:type="dxa"/>
            <w:shd w:val="clear" w:color="auto" w:fill="auto"/>
          </w:tcPr>
          <w:p w14:paraId="02E98E5D" w14:textId="77777777" w:rsidR="00687487" w:rsidRPr="008106E7" w:rsidRDefault="00687487" w:rsidP="00F7182D">
            <w:pPr>
              <w:spacing w:after="0" w:line="360" w:lineRule="auto"/>
              <w:ind w:left="255" w:right="23"/>
              <w:jc w:val="center"/>
              <w:rPr>
                <w:rFonts w:ascii="Times New Roman" w:hAnsi="Times New Roman" w:cs="Times New Roman"/>
                <w:sz w:val="24"/>
                <w:szCs w:val="24"/>
              </w:rPr>
            </w:pPr>
            <w:r w:rsidRPr="008106E7">
              <w:rPr>
                <w:rFonts w:ascii="Times New Roman" w:hAnsi="Times New Roman" w:cs="Times New Roman"/>
                <w:sz w:val="24"/>
                <w:szCs w:val="24"/>
              </w:rPr>
              <w:t>77.30</w:t>
            </w:r>
          </w:p>
        </w:tc>
      </w:tr>
      <w:tr w:rsidR="00687487" w:rsidRPr="008106E7" w14:paraId="79174157" w14:textId="77777777" w:rsidTr="00F7182D">
        <w:trPr>
          <w:trHeight w:val="397"/>
        </w:trPr>
        <w:tc>
          <w:tcPr>
            <w:tcW w:w="788" w:type="dxa"/>
            <w:shd w:val="clear" w:color="auto" w:fill="auto"/>
          </w:tcPr>
          <w:p w14:paraId="0E441283" w14:textId="77777777" w:rsidR="00687487" w:rsidRPr="008106E7" w:rsidRDefault="00687487" w:rsidP="00F7182D">
            <w:pPr>
              <w:spacing w:after="0" w:line="360" w:lineRule="auto"/>
              <w:ind w:left="255" w:right="23"/>
              <w:jc w:val="center"/>
              <w:rPr>
                <w:rFonts w:ascii="Times New Roman" w:hAnsi="Times New Roman" w:cs="Times New Roman"/>
                <w:sz w:val="24"/>
                <w:szCs w:val="24"/>
              </w:rPr>
            </w:pPr>
            <w:r w:rsidRPr="008106E7">
              <w:rPr>
                <w:rFonts w:ascii="Times New Roman" w:hAnsi="Times New Roman" w:cs="Times New Roman"/>
                <w:sz w:val="24"/>
                <w:szCs w:val="24"/>
              </w:rPr>
              <w:t>2</w:t>
            </w:r>
          </w:p>
        </w:tc>
        <w:tc>
          <w:tcPr>
            <w:tcW w:w="1466" w:type="dxa"/>
            <w:shd w:val="clear" w:color="auto" w:fill="auto"/>
          </w:tcPr>
          <w:p w14:paraId="6486EECC" w14:textId="77777777" w:rsidR="00687487" w:rsidRPr="008106E7" w:rsidRDefault="00687487" w:rsidP="00F7182D">
            <w:pPr>
              <w:spacing w:after="0" w:line="360" w:lineRule="auto"/>
              <w:ind w:left="255" w:right="23"/>
              <w:jc w:val="center"/>
              <w:rPr>
                <w:rFonts w:ascii="Times New Roman" w:hAnsi="Times New Roman" w:cs="Times New Roman"/>
                <w:sz w:val="24"/>
                <w:szCs w:val="24"/>
              </w:rPr>
            </w:pPr>
            <w:r w:rsidRPr="008106E7">
              <w:rPr>
                <w:rFonts w:ascii="Times New Roman" w:hAnsi="Times New Roman" w:cs="Times New Roman"/>
                <w:sz w:val="24"/>
                <w:szCs w:val="24"/>
              </w:rPr>
              <w:t>La Quinta</w:t>
            </w:r>
          </w:p>
        </w:tc>
        <w:tc>
          <w:tcPr>
            <w:tcW w:w="1274" w:type="dxa"/>
            <w:shd w:val="clear" w:color="auto" w:fill="auto"/>
          </w:tcPr>
          <w:p w14:paraId="278405B1" w14:textId="77777777" w:rsidR="00687487" w:rsidRPr="008106E7" w:rsidRDefault="00687487" w:rsidP="00F7182D">
            <w:pPr>
              <w:spacing w:after="0" w:line="360" w:lineRule="auto"/>
              <w:ind w:left="255" w:right="23"/>
              <w:jc w:val="center"/>
              <w:rPr>
                <w:rFonts w:ascii="Times New Roman" w:hAnsi="Times New Roman" w:cs="Times New Roman"/>
                <w:sz w:val="24"/>
                <w:szCs w:val="24"/>
              </w:rPr>
            </w:pPr>
            <w:r w:rsidRPr="008106E7">
              <w:rPr>
                <w:rFonts w:ascii="Times New Roman" w:hAnsi="Times New Roman" w:cs="Times New Roman"/>
                <w:sz w:val="24"/>
                <w:szCs w:val="24"/>
              </w:rPr>
              <w:t>29.631</w:t>
            </w:r>
          </w:p>
        </w:tc>
        <w:tc>
          <w:tcPr>
            <w:tcW w:w="1268" w:type="dxa"/>
            <w:shd w:val="clear" w:color="auto" w:fill="auto"/>
          </w:tcPr>
          <w:p w14:paraId="0EDB1B44" w14:textId="77777777" w:rsidR="00687487" w:rsidRPr="008106E7" w:rsidRDefault="00687487" w:rsidP="00F7182D">
            <w:pPr>
              <w:spacing w:after="0" w:line="360" w:lineRule="auto"/>
              <w:ind w:left="255" w:right="23"/>
              <w:jc w:val="center"/>
              <w:rPr>
                <w:rFonts w:ascii="Times New Roman" w:hAnsi="Times New Roman" w:cs="Times New Roman"/>
                <w:sz w:val="24"/>
                <w:szCs w:val="24"/>
              </w:rPr>
            </w:pPr>
            <w:r w:rsidRPr="008106E7">
              <w:rPr>
                <w:rFonts w:ascii="Times New Roman" w:hAnsi="Times New Roman" w:cs="Times New Roman"/>
                <w:sz w:val="24"/>
                <w:szCs w:val="24"/>
              </w:rPr>
              <w:t>2.171</w:t>
            </w:r>
          </w:p>
        </w:tc>
        <w:tc>
          <w:tcPr>
            <w:tcW w:w="1344" w:type="dxa"/>
            <w:shd w:val="clear" w:color="auto" w:fill="auto"/>
          </w:tcPr>
          <w:p w14:paraId="06B1A984" w14:textId="77777777" w:rsidR="00687487" w:rsidRPr="008106E7" w:rsidRDefault="00687487" w:rsidP="00F7182D">
            <w:pPr>
              <w:spacing w:after="0" w:line="360" w:lineRule="auto"/>
              <w:ind w:left="255" w:right="23"/>
              <w:jc w:val="center"/>
              <w:rPr>
                <w:rFonts w:ascii="Times New Roman" w:hAnsi="Times New Roman" w:cs="Times New Roman"/>
                <w:sz w:val="24"/>
                <w:szCs w:val="24"/>
              </w:rPr>
            </w:pPr>
            <w:r w:rsidRPr="008106E7">
              <w:rPr>
                <w:rFonts w:ascii="Times New Roman" w:hAnsi="Times New Roman" w:cs="Times New Roman"/>
                <w:sz w:val="24"/>
                <w:szCs w:val="24"/>
              </w:rPr>
              <w:t>48.340</w:t>
            </w:r>
          </w:p>
        </w:tc>
        <w:tc>
          <w:tcPr>
            <w:tcW w:w="0" w:type="auto"/>
            <w:shd w:val="clear" w:color="auto" w:fill="auto"/>
          </w:tcPr>
          <w:p w14:paraId="68C0EE10" w14:textId="77777777" w:rsidR="00687487" w:rsidRPr="008106E7" w:rsidRDefault="00687487" w:rsidP="00F7182D">
            <w:pPr>
              <w:spacing w:after="0" w:line="360" w:lineRule="auto"/>
              <w:ind w:left="255" w:right="23"/>
              <w:jc w:val="center"/>
              <w:rPr>
                <w:rFonts w:ascii="Times New Roman" w:hAnsi="Times New Roman" w:cs="Times New Roman"/>
                <w:sz w:val="24"/>
                <w:szCs w:val="24"/>
              </w:rPr>
            </w:pPr>
            <w:r w:rsidRPr="008106E7">
              <w:rPr>
                <w:rFonts w:ascii="Times New Roman" w:hAnsi="Times New Roman" w:cs="Times New Roman"/>
                <w:sz w:val="24"/>
                <w:szCs w:val="24"/>
              </w:rPr>
              <w:t>41.300</w:t>
            </w:r>
          </w:p>
        </w:tc>
        <w:tc>
          <w:tcPr>
            <w:tcW w:w="1746" w:type="dxa"/>
            <w:shd w:val="clear" w:color="auto" w:fill="auto"/>
          </w:tcPr>
          <w:p w14:paraId="4C79D618" w14:textId="77777777" w:rsidR="00687487" w:rsidRPr="008106E7" w:rsidRDefault="00687487" w:rsidP="00F7182D">
            <w:pPr>
              <w:spacing w:after="0" w:line="360" w:lineRule="auto"/>
              <w:ind w:left="255" w:right="23"/>
              <w:jc w:val="center"/>
              <w:rPr>
                <w:rFonts w:ascii="Times New Roman" w:hAnsi="Times New Roman" w:cs="Times New Roman"/>
                <w:sz w:val="24"/>
                <w:szCs w:val="24"/>
              </w:rPr>
            </w:pPr>
            <w:r w:rsidRPr="008106E7">
              <w:rPr>
                <w:rFonts w:ascii="Times New Roman" w:hAnsi="Times New Roman" w:cs="Times New Roman"/>
                <w:sz w:val="24"/>
                <w:szCs w:val="24"/>
              </w:rPr>
              <w:t>53.28</w:t>
            </w:r>
          </w:p>
        </w:tc>
      </w:tr>
    </w:tbl>
    <w:p w14:paraId="0C3292A8" w14:textId="42F29D81" w:rsidR="00687487" w:rsidRDefault="00687487" w:rsidP="00687487">
      <w:pPr>
        <w:spacing w:before="120" w:after="120" w:line="360" w:lineRule="auto"/>
        <w:ind w:left="259" w:right="29"/>
        <w:jc w:val="center"/>
        <w:rPr>
          <w:rFonts w:ascii="Times New Roman" w:hAnsi="Times New Roman" w:cs="Times New Roman"/>
          <w:sz w:val="20"/>
          <w:szCs w:val="20"/>
        </w:rPr>
      </w:pPr>
      <w:bookmarkStart w:id="3" w:name="_Toc203373259"/>
      <w:r w:rsidRPr="008106E7">
        <w:rPr>
          <w:rFonts w:ascii="Times New Roman" w:hAnsi="Times New Roman" w:cs="Times New Roman"/>
          <w:sz w:val="20"/>
          <w:szCs w:val="20"/>
        </w:rPr>
        <w:t xml:space="preserve">Tabla </w:t>
      </w:r>
      <w:r>
        <w:rPr>
          <w:rFonts w:ascii="Times New Roman" w:hAnsi="Times New Roman" w:cs="Times New Roman"/>
          <w:sz w:val="20"/>
          <w:szCs w:val="20"/>
        </w:rPr>
        <w:t>5</w:t>
      </w:r>
      <w:r w:rsidRPr="008106E7">
        <w:rPr>
          <w:rFonts w:ascii="Times New Roman" w:hAnsi="Times New Roman" w:cs="Times New Roman"/>
          <w:sz w:val="20"/>
          <w:szCs w:val="20"/>
        </w:rPr>
        <w:t>. Datos de las fuentes de la cuenca Sagua La Chica. Fuente: EAH-VC</w:t>
      </w:r>
      <w:bookmarkEnd w:id="3"/>
    </w:p>
    <w:p w14:paraId="7372E8B0" w14:textId="3A0D85D1" w:rsidR="00687487" w:rsidRDefault="00687487" w:rsidP="00687487">
      <w:pPr>
        <w:spacing w:before="120" w:after="120" w:line="360" w:lineRule="auto"/>
        <w:ind w:left="259" w:right="29"/>
        <w:jc w:val="center"/>
        <w:rPr>
          <w:rFonts w:ascii="Times New Roman" w:hAnsi="Times New Roman" w:cs="Times New Roman"/>
          <w:sz w:val="20"/>
          <w:szCs w:val="20"/>
        </w:rPr>
      </w:pPr>
    </w:p>
    <w:p w14:paraId="33D38323" w14:textId="77777777" w:rsidR="00687487" w:rsidRPr="008106E7" w:rsidRDefault="00687487" w:rsidP="00687487">
      <w:pPr>
        <w:spacing w:before="120" w:after="120" w:line="360" w:lineRule="auto"/>
        <w:ind w:left="259" w:right="29"/>
        <w:jc w:val="center"/>
        <w:rPr>
          <w:rFonts w:ascii="Times New Roman" w:hAnsi="Times New Roman"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1574"/>
        <w:gridCol w:w="3160"/>
      </w:tblGrid>
      <w:tr w:rsidR="00687487" w:rsidRPr="008106E7" w14:paraId="2FC218EA" w14:textId="77777777" w:rsidTr="00F7182D">
        <w:trPr>
          <w:jc w:val="center"/>
        </w:trPr>
        <w:tc>
          <w:tcPr>
            <w:tcW w:w="0" w:type="auto"/>
            <w:shd w:val="clear" w:color="auto" w:fill="auto"/>
          </w:tcPr>
          <w:p w14:paraId="0B30E7D0" w14:textId="77777777" w:rsidR="00687487" w:rsidRPr="008106E7" w:rsidRDefault="00687487" w:rsidP="00F7182D">
            <w:pPr>
              <w:spacing w:after="0" w:line="360" w:lineRule="auto"/>
              <w:ind w:left="255" w:right="23"/>
              <w:jc w:val="center"/>
              <w:rPr>
                <w:rFonts w:ascii="Times New Roman" w:hAnsi="Times New Roman" w:cs="Times New Roman"/>
                <w:sz w:val="24"/>
                <w:szCs w:val="24"/>
              </w:rPr>
            </w:pPr>
            <w:r w:rsidRPr="008106E7">
              <w:rPr>
                <w:rFonts w:ascii="Times New Roman" w:hAnsi="Times New Roman" w:cs="Times New Roman"/>
                <w:sz w:val="24"/>
                <w:szCs w:val="24"/>
              </w:rPr>
              <w:lastRenderedPageBreak/>
              <w:t>No.</w:t>
            </w:r>
          </w:p>
        </w:tc>
        <w:tc>
          <w:tcPr>
            <w:tcW w:w="0" w:type="auto"/>
            <w:shd w:val="clear" w:color="auto" w:fill="auto"/>
          </w:tcPr>
          <w:p w14:paraId="6E39D38D" w14:textId="77777777" w:rsidR="00687487" w:rsidRPr="008106E7" w:rsidRDefault="00687487" w:rsidP="00F7182D">
            <w:pPr>
              <w:spacing w:after="0" w:line="360" w:lineRule="auto"/>
              <w:ind w:left="255" w:right="23"/>
              <w:jc w:val="center"/>
              <w:rPr>
                <w:rFonts w:ascii="Times New Roman" w:hAnsi="Times New Roman" w:cs="Times New Roman"/>
                <w:sz w:val="24"/>
                <w:szCs w:val="24"/>
              </w:rPr>
            </w:pPr>
            <w:r w:rsidRPr="008106E7">
              <w:rPr>
                <w:rFonts w:ascii="Times New Roman" w:hAnsi="Times New Roman" w:cs="Times New Roman"/>
                <w:sz w:val="24"/>
                <w:szCs w:val="24"/>
              </w:rPr>
              <w:t>Derivadora</w:t>
            </w:r>
          </w:p>
        </w:tc>
        <w:tc>
          <w:tcPr>
            <w:tcW w:w="0" w:type="auto"/>
            <w:shd w:val="clear" w:color="auto" w:fill="auto"/>
          </w:tcPr>
          <w:p w14:paraId="3B75C2E2" w14:textId="77777777" w:rsidR="00687487" w:rsidRPr="008106E7" w:rsidRDefault="00687487" w:rsidP="00F7182D">
            <w:pPr>
              <w:spacing w:after="0" w:line="360" w:lineRule="auto"/>
              <w:ind w:left="255" w:right="23"/>
              <w:jc w:val="center"/>
              <w:rPr>
                <w:rFonts w:ascii="Times New Roman" w:hAnsi="Times New Roman" w:cs="Times New Roman"/>
                <w:sz w:val="24"/>
                <w:szCs w:val="24"/>
              </w:rPr>
            </w:pPr>
            <w:r w:rsidRPr="008106E7">
              <w:rPr>
                <w:rFonts w:ascii="Times New Roman" w:hAnsi="Times New Roman" w:cs="Times New Roman"/>
                <w:sz w:val="24"/>
                <w:szCs w:val="24"/>
              </w:rPr>
              <w:t>Entrega Garantizada (Hm3)</w:t>
            </w:r>
          </w:p>
        </w:tc>
      </w:tr>
      <w:tr w:rsidR="00687487" w:rsidRPr="008106E7" w14:paraId="68BE0E34" w14:textId="77777777" w:rsidTr="00F7182D">
        <w:trPr>
          <w:jc w:val="center"/>
        </w:trPr>
        <w:tc>
          <w:tcPr>
            <w:tcW w:w="0" w:type="auto"/>
            <w:shd w:val="clear" w:color="auto" w:fill="auto"/>
          </w:tcPr>
          <w:p w14:paraId="4442A76B" w14:textId="77777777" w:rsidR="00687487" w:rsidRPr="008106E7" w:rsidRDefault="00687487" w:rsidP="00F7182D">
            <w:pPr>
              <w:spacing w:after="0" w:line="360" w:lineRule="auto"/>
              <w:ind w:left="255" w:right="23"/>
              <w:jc w:val="center"/>
              <w:rPr>
                <w:rFonts w:ascii="Times New Roman" w:hAnsi="Times New Roman" w:cs="Times New Roman"/>
                <w:sz w:val="24"/>
                <w:szCs w:val="24"/>
              </w:rPr>
            </w:pPr>
            <w:r w:rsidRPr="008106E7">
              <w:rPr>
                <w:rFonts w:ascii="Times New Roman" w:hAnsi="Times New Roman" w:cs="Times New Roman"/>
                <w:sz w:val="24"/>
                <w:szCs w:val="24"/>
              </w:rPr>
              <w:t>1</w:t>
            </w:r>
          </w:p>
        </w:tc>
        <w:tc>
          <w:tcPr>
            <w:tcW w:w="0" w:type="auto"/>
            <w:shd w:val="clear" w:color="auto" w:fill="auto"/>
          </w:tcPr>
          <w:p w14:paraId="4C1D889D" w14:textId="77777777" w:rsidR="00687487" w:rsidRPr="008106E7" w:rsidRDefault="00687487" w:rsidP="00F7182D">
            <w:pPr>
              <w:spacing w:after="0" w:line="360" w:lineRule="auto"/>
              <w:ind w:left="255" w:right="23"/>
              <w:jc w:val="center"/>
              <w:rPr>
                <w:rFonts w:ascii="Times New Roman" w:hAnsi="Times New Roman" w:cs="Times New Roman"/>
                <w:sz w:val="24"/>
                <w:szCs w:val="24"/>
              </w:rPr>
            </w:pPr>
            <w:r w:rsidRPr="008106E7">
              <w:rPr>
                <w:rFonts w:ascii="Times New Roman" w:hAnsi="Times New Roman" w:cs="Times New Roman"/>
                <w:sz w:val="24"/>
                <w:szCs w:val="24"/>
              </w:rPr>
              <w:t>Pavón</w:t>
            </w:r>
          </w:p>
        </w:tc>
        <w:tc>
          <w:tcPr>
            <w:tcW w:w="0" w:type="auto"/>
            <w:shd w:val="clear" w:color="auto" w:fill="auto"/>
          </w:tcPr>
          <w:p w14:paraId="240ED996" w14:textId="77777777" w:rsidR="00687487" w:rsidRPr="008106E7" w:rsidRDefault="00687487" w:rsidP="00F7182D">
            <w:pPr>
              <w:spacing w:after="0" w:line="360" w:lineRule="auto"/>
              <w:ind w:left="255" w:right="23"/>
              <w:jc w:val="center"/>
              <w:rPr>
                <w:rFonts w:ascii="Times New Roman" w:hAnsi="Times New Roman" w:cs="Times New Roman"/>
                <w:sz w:val="24"/>
                <w:szCs w:val="24"/>
              </w:rPr>
            </w:pPr>
            <w:r w:rsidRPr="008106E7">
              <w:rPr>
                <w:rFonts w:ascii="Times New Roman" w:hAnsi="Times New Roman" w:cs="Times New Roman"/>
                <w:sz w:val="24"/>
                <w:szCs w:val="24"/>
              </w:rPr>
              <w:t>44.800</w:t>
            </w:r>
          </w:p>
        </w:tc>
      </w:tr>
      <w:tr w:rsidR="00687487" w:rsidRPr="008106E7" w14:paraId="13E4B485" w14:textId="77777777" w:rsidTr="00F7182D">
        <w:trPr>
          <w:jc w:val="center"/>
        </w:trPr>
        <w:tc>
          <w:tcPr>
            <w:tcW w:w="0" w:type="auto"/>
            <w:shd w:val="clear" w:color="auto" w:fill="auto"/>
          </w:tcPr>
          <w:p w14:paraId="5E33E25D" w14:textId="77777777" w:rsidR="00687487" w:rsidRPr="008106E7" w:rsidRDefault="00687487" w:rsidP="00F7182D">
            <w:pPr>
              <w:spacing w:after="0" w:line="360" w:lineRule="auto"/>
              <w:ind w:left="255" w:right="23"/>
              <w:jc w:val="center"/>
              <w:rPr>
                <w:rFonts w:ascii="Times New Roman" w:hAnsi="Times New Roman" w:cs="Times New Roman"/>
                <w:sz w:val="24"/>
                <w:szCs w:val="24"/>
              </w:rPr>
            </w:pPr>
            <w:r w:rsidRPr="008106E7">
              <w:rPr>
                <w:rFonts w:ascii="Times New Roman" w:hAnsi="Times New Roman" w:cs="Times New Roman"/>
                <w:sz w:val="24"/>
                <w:szCs w:val="24"/>
              </w:rPr>
              <w:t>2</w:t>
            </w:r>
          </w:p>
        </w:tc>
        <w:tc>
          <w:tcPr>
            <w:tcW w:w="0" w:type="auto"/>
            <w:shd w:val="clear" w:color="auto" w:fill="auto"/>
          </w:tcPr>
          <w:p w14:paraId="07800532" w14:textId="77777777" w:rsidR="00687487" w:rsidRPr="008106E7" w:rsidRDefault="00687487" w:rsidP="00F7182D">
            <w:pPr>
              <w:spacing w:after="0" w:line="360" w:lineRule="auto"/>
              <w:ind w:left="255" w:right="23"/>
              <w:jc w:val="center"/>
              <w:rPr>
                <w:rFonts w:ascii="Times New Roman" w:hAnsi="Times New Roman" w:cs="Times New Roman"/>
                <w:sz w:val="24"/>
                <w:szCs w:val="24"/>
              </w:rPr>
            </w:pPr>
            <w:r w:rsidRPr="008106E7">
              <w:rPr>
                <w:rFonts w:ascii="Times New Roman" w:hAnsi="Times New Roman" w:cs="Times New Roman"/>
                <w:sz w:val="24"/>
                <w:szCs w:val="24"/>
              </w:rPr>
              <w:t>Camajuaní</w:t>
            </w:r>
          </w:p>
        </w:tc>
        <w:tc>
          <w:tcPr>
            <w:tcW w:w="0" w:type="auto"/>
            <w:shd w:val="clear" w:color="auto" w:fill="auto"/>
          </w:tcPr>
          <w:p w14:paraId="555408DC" w14:textId="77777777" w:rsidR="00687487" w:rsidRPr="008106E7" w:rsidRDefault="00687487" w:rsidP="00F7182D">
            <w:pPr>
              <w:spacing w:after="0" w:line="360" w:lineRule="auto"/>
              <w:ind w:left="255" w:right="23"/>
              <w:jc w:val="center"/>
              <w:rPr>
                <w:rFonts w:ascii="Times New Roman" w:hAnsi="Times New Roman" w:cs="Times New Roman"/>
                <w:sz w:val="24"/>
                <w:szCs w:val="24"/>
              </w:rPr>
            </w:pPr>
            <w:r w:rsidRPr="008106E7">
              <w:rPr>
                <w:rFonts w:ascii="Times New Roman" w:hAnsi="Times New Roman" w:cs="Times New Roman"/>
                <w:sz w:val="24"/>
                <w:szCs w:val="24"/>
              </w:rPr>
              <w:t>3.780</w:t>
            </w:r>
          </w:p>
        </w:tc>
      </w:tr>
    </w:tbl>
    <w:p w14:paraId="0F0EF5F3" w14:textId="70914483" w:rsidR="001E272A" w:rsidRPr="00687487" w:rsidRDefault="00687487" w:rsidP="00687487">
      <w:pPr>
        <w:spacing w:after="0" w:line="360" w:lineRule="auto"/>
        <w:ind w:left="255" w:right="23"/>
        <w:jc w:val="center"/>
        <w:rPr>
          <w:rFonts w:ascii="Times New Roman" w:hAnsi="Times New Roman" w:cs="Times New Roman"/>
          <w:sz w:val="20"/>
          <w:szCs w:val="20"/>
        </w:rPr>
      </w:pPr>
      <w:r w:rsidRPr="008106E7">
        <w:rPr>
          <w:rFonts w:ascii="Times New Roman" w:hAnsi="Times New Roman" w:cs="Times New Roman"/>
          <w:sz w:val="20"/>
          <w:szCs w:val="20"/>
        </w:rPr>
        <w:t>Tabla</w:t>
      </w:r>
      <w:r>
        <w:rPr>
          <w:rFonts w:ascii="Times New Roman" w:hAnsi="Times New Roman" w:cs="Times New Roman"/>
          <w:sz w:val="20"/>
          <w:szCs w:val="20"/>
        </w:rPr>
        <w:t xml:space="preserve"> 6</w:t>
      </w:r>
      <w:r w:rsidRPr="008106E7">
        <w:rPr>
          <w:rFonts w:ascii="Times New Roman" w:hAnsi="Times New Roman" w:cs="Times New Roman"/>
          <w:sz w:val="20"/>
          <w:szCs w:val="20"/>
        </w:rPr>
        <w:t>. Datos de fuentes de las derivadoras. Fuente: EAH-VC</w:t>
      </w:r>
    </w:p>
    <w:p w14:paraId="4BFE23D9" w14:textId="77777777" w:rsidR="001E272A" w:rsidRPr="008106E7" w:rsidRDefault="001E272A" w:rsidP="008106E7">
      <w:pPr>
        <w:spacing w:after="0" w:line="360" w:lineRule="auto"/>
        <w:ind w:left="255" w:right="23"/>
        <w:jc w:val="center"/>
        <w:rPr>
          <w:rFonts w:ascii="Times New Roman" w:hAnsi="Times New Roman" w:cs="Times New Roman"/>
          <w:sz w:val="24"/>
          <w:szCs w:val="24"/>
        </w:rPr>
      </w:pPr>
      <w:r w:rsidRPr="008106E7">
        <w:rPr>
          <w:rFonts w:ascii="Times New Roman" w:hAnsi="Times New Roman" w:cs="Times New Roman"/>
          <w:noProof/>
          <w:sz w:val="24"/>
          <w:szCs w:val="24"/>
        </w:rPr>
        <w:drawing>
          <wp:inline distT="0" distB="0" distL="0" distR="0" wp14:anchorId="6B115502" wp14:editId="63F2B2DA">
            <wp:extent cx="3450093" cy="3829191"/>
            <wp:effectExtent l="0" t="0" r="0" b="0"/>
            <wp:docPr id="2" name="Imagen 4">
              <a:extLst xmlns:a="http://schemas.openxmlformats.org/drawingml/2006/main">
                <a:ext uri="{FF2B5EF4-FFF2-40B4-BE49-F238E27FC236}">
                  <a16:creationId xmlns:a16="http://schemas.microsoft.com/office/drawing/2014/main" id="{ABB75007-6CBC-4909-88A3-3173EA138A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ABB75007-6CBC-4909-88A3-3173EA138AA0}"/>
                        </a:ext>
                      </a:extLst>
                    </pic:cNvPr>
                    <pic:cNvPicPr>
                      <a:picLocks noChangeAspect="1"/>
                    </pic:cNvPicPr>
                  </pic:nvPicPr>
                  <pic:blipFill rotWithShape="1">
                    <a:blip r:embed="rId7"/>
                    <a:srcRect t="-2286" b="-1"/>
                    <a:stretch/>
                  </pic:blipFill>
                  <pic:spPr bwMode="auto">
                    <a:xfrm>
                      <a:off x="0" y="0"/>
                      <a:ext cx="3459778" cy="3839940"/>
                    </a:xfrm>
                    <a:prstGeom prst="rect">
                      <a:avLst/>
                    </a:prstGeom>
                    <a:ln>
                      <a:noFill/>
                    </a:ln>
                    <a:extLst>
                      <a:ext uri="{53640926-AAD7-44D8-BBD7-CCE9431645EC}">
                        <a14:shadowObscured xmlns:a14="http://schemas.microsoft.com/office/drawing/2010/main"/>
                      </a:ext>
                    </a:extLst>
                  </pic:spPr>
                </pic:pic>
              </a:graphicData>
            </a:graphic>
          </wp:inline>
        </w:drawing>
      </w:r>
    </w:p>
    <w:p w14:paraId="30A33D8C" w14:textId="0FFE4FF3" w:rsidR="001E272A" w:rsidRPr="00687487" w:rsidRDefault="001E272A" w:rsidP="00687487">
      <w:pPr>
        <w:spacing w:after="0" w:line="360" w:lineRule="auto"/>
        <w:ind w:left="255" w:right="23"/>
        <w:jc w:val="center"/>
        <w:rPr>
          <w:rFonts w:ascii="Times New Roman" w:hAnsi="Times New Roman" w:cs="Times New Roman"/>
          <w:sz w:val="20"/>
          <w:szCs w:val="20"/>
        </w:rPr>
      </w:pPr>
      <w:r w:rsidRPr="008106E7">
        <w:rPr>
          <w:rFonts w:ascii="Times New Roman" w:hAnsi="Times New Roman" w:cs="Times New Roman"/>
          <w:sz w:val="20"/>
          <w:szCs w:val="20"/>
        </w:rPr>
        <w:t xml:space="preserve">Figura 2. </w:t>
      </w:r>
      <w:proofErr w:type="spellStart"/>
      <w:r w:rsidRPr="008106E7">
        <w:rPr>
          <w:rFonts w:ascii="Times New Roman" w:hAnsi="Times New Roman" w:cs="Times New Roman"/>
          <w:sz w:val="20"/>
          <w:szCs w:val="20"/>
        </w:rPr>
        <w:t>Microlocalización</w:t>
      </w:r>
      <w:proofErr w:type="spellEnd"/>
      <w:r w:rsidRPr="008106E7">
        <w:rPr>
          <w:rFonts w:ascii="Times New Roman" w:hAnsi="Times New Roman" w:cs="Times New Roman"/>
          <w:sz w:val="20"/>
          <w:szCs w:val="20"/>
        </w:rPr>
        <w:t xml:space="preserve"> de la cuenca Sagua La Chica</w:t>
      </w:r>
      <w:r w:rsidRPr="008106E7">
        <w:rPr>
          <w:rFonts w:ascii="Times New Roman" w:hAnsi="Times New Roman" w:cs="Times New Roman"/>
          <w:sz w:val="24"/>
          <w:szCs w:val="24"/>
        </w:rPr>
        <w:t>.</w:t>
      </w:r>
      <w:r w:rsidR="008106E7">
        <w:rPr>
          <w:rFonts w:ascii="Times New Roman" w:hAnsi="Times New Roman" w:cs="Times New Roman"/>
          <w:sz w:val="24"/>
          <w:szCs w:val="24"/>
        </w:rPr>
        <w:t xml:space="preserve"> </w:t>
      </w:r>
      <w:r w:rsidR="008106E7" w:rsidRPr="008106E7">
        <w:rPr>
          <w:rFonts w:ascii="Times New Roman" w:hAnsi="Times New Roman" w:cs="Times New Roman"/>
          <w:sz w:val="20"/>
          <w:szCs w:val="20"/>
        </w:rPr>
        <w:t>Elaboración propia</w:t>
      </w:r>
    </w:p>
    <w:p w14:paraId="2CCDAE29" w14:textId="77777777" w:rsidR="008106E7" w:rsidRDefault="008106E7" w:rsidP="00FE7B5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2.4 Definición de los escenarios de modelación</w:t>
      </w:r>
    </w:p>
    <w:p w14:paraId="18B6C54D" w14:textId="6E88A5FD" w:rsidR="008106E7" w:rsidRPr="00FE7B54" w:rsidRDefault="008106E7" w:rsidP="00FE7B54">
      <w:pPr>
        <w:spacing w:after="0" w:line="360" w:lineRule="auto"/>
        <w:ind w:right="23"/>
        <w:jc w:val="both"/>
        <w:rPr>
          <w:rFonts w:ascii="Times New Roman" w:hAnsi="Times New Roman" w:cs="Times New Roman"/>
          <w:sz w:val="24"/>
          <w:szCs w:val="24"/>
        </w:rPr>
      </w:pPr>
      <w:r w:rsidRPr="008106E7">
        <w:rPr>
          <w:rFonts w:ascii="Times New Roman" w:hAnsi="Times New Roman" w:cs="Times New Roman"/>
          <w:sz w:val="24"/>
          <w:szCs w:val="24"/>
        </w:rPr>
        <w:t>Los escenarios elegidos para el estudio del comportamiento del agua en la cuenca hidrográfica son los propuestos a continuación. En caso del no cumplimiento de las demandas del sistema en alguno de estos escenarios daremos una solución basada en prioridades para lograr el cumplimiento de las demandas indispensables.</w:t>
      </w:r>
    </w:p>
    <w:tbl>
      <w:tblPr>
        <w:tblStyle w:val="Tablaconcuadrcula"/>
        <w:tblW w:w="9563" w:type="dxa"/>
        <w:tblInd w:w="-95" w:type="dxa"/>
        <w:tblLook w:val="04A0" w:firstRow="1" w:lastRow="0" w:firstColumn="1" w:lastColumn="0" w:noHBand="0" w:noVBand="1"/>
      </w:tblPr>
      <w:tblGrid>
        <w:gridCol w:w="2378"/>
        <w:gridCol w:w="7185"/>
      </w:tblGrid>
      <w:tr w:rsidR="008106E7" w:rsidRPr="008106E7" w14:paraId="18B59227" w14:textId="77777777" w:rsidTr="008C2336">
        <w:trPr>
          <w:trHeight w:val="975"/>
        </w:trPr>
        <w:tc>
          <w:tcPr>
            <w:tcW w:w="2378" w:type="dxa"/>
            <w:vAlign w:val="center"/>
          </w:tcPr>
          <w:p w14:paraId="36BBD6B1" w14:textId="77777777" w:rsidR="008106E7" w:rsidRPr="008106E7" w:rsidRDefault="008106E7" w:rsidP="00FE7B54">
            <w:pPr>
              <w:ind w:left="255" w:right="23" w:hanging="11"/>
              <w:jc w:val="center"/>
              <w:rPr>
                <w:rFonts w:ascii="Times New Roman" w:hAnsi="Times New Roman" w:cs="Times New Roman"/>
                <w:sz w:val="24"/>
                <w:szCs w:val="24"/>
              </w:rPr>
            </w:pPr>
            <w:r w:rsidRPr="008106E7">
              <w:rPr>
                <w:rFonts w:ascii="Times New Roman" w:hAnsi="Times New Roman" w:cs="Times New Roman"/>
                <w:sz w:val="24"/>
                <w:szCs w:val="24"/>
              </w:rPr>
              <w:t>Escenario 1</w:t>
            </w:r>
          </w:p>
        </w:tc>
        <w:tc>
          <w:tcPr>
            <w:tcW w:w="7185" w:type="dxa"/>
            <w:vAlign w:val="center"/>
          </w:tcPr>
          <w:p w14:paraId="5F281539" w14:textId="0B54CB02" w:rsidR="008106E7" w:rsidRPr="008106E7" w:rsidRDefault="008106E7" w:rsidP="00FE7B54">
            <w:pPr>
              <w:ind w:left="255" w:right="23" w:hanging="11"/>
              <w:jc w:val="both"/>
              <w:rPr>
                <w:rFonts w:ascii="Times New Roman" w:hAnsi="Times New Roman" w:cs="Times New Roman"/>
                <w:sz w:val="24"/>
                <w:szCs w:val="24"/>
              </w:rPr>
            </w:pPr>
            <w:r w:rsidRPr="008106E7">
              <w:rPr>
                <w:rFonts w:ascii="Times New Roman" w:hAnsi="Times New Roman" w:cs="Times New Roman"/>
                <w:sz w:val="24"/>
                <w:szCs w:val="24"/>
              </w:rPr>
              <w:t>Minerva+ La Quinta+ Aportes</w:t>
            </w:r>
          </w:p>
          <w:p w14:paraId="1FC30C24" w14:textId="77777777" w:rsidR="008106E7" w:rsidRPr="008106E7" w:rsidRDefault="008106E7" w:rsidP="00FE7B54">
            <w:pPr>
              <w:ind w:left="255" w:right="23" w:hanging="11"/>
              <w:jc w:val="both"/>
              <w:rPr>
                <w:rFonts w:ascii="Times New Roman" w:hAnsi="Times New Roman" w:cs="Times New Roman"/>
                <w:sz w:val="24"/>
                <w:szCs w:val="24"/>
              </w:rPr>
            </w:pPr>
            <w:r w:rsidRPr="008106E7">
              <w:rPr>
                <w:rFonts w:ascii="Times New Roman" w:hAnsi="Times New Roman" w:cs="Times New Roman"/>
                <w:sz w:val="24"/>
                <w:szCs w:val="24"/>
              </w:rPr>
              <w:t>Se consideraron los valores de aportaciones y agua disponible en ambos embalses, correspondientes a los datos de la Empresa de Aprovechamiento de Recursos Hidráulicos de Villa Clara.</w:t>
            </w:r>
          </w:p>
        </w:tc>
      </w:tr>
      <w:tr w:rsidR="008106E7" w:rsidRPr="008106E7" w14:paraId="3149E762" w14:textId="77777777" w:rsidTr="008C2336">
        <w:trPr>
          <w:trHeight w:val="777"/>
        </w:trPr>
        <w:tc>
          <w:tcPr>
            <w:tcW w:w="2378" w:type="dxa"/>
            <w:vAlign w:val="center"/>
          </w:tcPr>
          <w:p w14:paraId="08B4AA2E" w14:textId="77777777" w:rsidR="008106E7" w:rsidRPr="008106E7" w:rsidRDefault="008106E7" w:rsidP="00FE7B54">
            <w:pPr>
              <w:ind w:left="255" w:right="23" w:hanging="11"/>
              <w:jc w:val="center"/>
              <w:rPr>
                <w:rFonts w:ascii="Times New Roman" w:hAnsi="Times New Roman" w:cs="Times New Roman"/>
                <w:sz w:val="24"/>
                <w:szCs w:val="24"/>
              </w:rPr>
            </w:pPr>
            <w:r w:rsidRPr="008106E7">
              <w:rPr>
                <w:rFonts w:ascii="Times New Roman" w:hAnsi="Times New Roman" w:cs="Times New Roman"/>
                <w:sz w:val="24"/>
                <w:szCs w:val="24"/>
              </w:rPr>
              <w:t>Escenario 2</w:t>
            </w:r>
          </w:p>
        </w:tc>
        <w:tc>
          <w:tcPr>
            <w:tcW w:w="7185" w:type="dxa"/>
            <w:vAlign w:val="center"/>
          </w:tcPr>
          <w:p w14:paraId="15F1492E" w14:textId="4EFCB503" w:rsidR="008106E7" w:rsidRPr="008106E7" w:rsidRDefault="008106E7" w:rsidP="00FE7B54">
            <w:pPr>
              <w:ind w:left="255" w:right="23" w:hanging="11"/>
              <w:jc w:val="both"/>
              <w:rPr>
                <w:rFonts w:ascii="Times New Roman" w:hAnsi="Times New Roman" w:cs="Times New Roman"/>
                <w:sz w:val="24"/>
                <w:szCs w:val="24"/>
              </w:rPr>
            </w:pPr>
            <w:r w:rsidRPr="008106E7">
              <w:rPr>
                <w:rFonts w:ascii="Times New Roman" w:hAnsi="Times New Roman" w:cs="Times New Roman"/>
                <w:sz w:val="24"/>
                <w:szCs w:val="24"/>
              </w:rPr>
              <w:t>La Quinta+ Aportes</w:t>
            </w:r>
          </w:p>
          <w:p w14:paraId="64913277" w14:textId="77777777" w:rsidR="008106E7" w:rsidRPr="008106E7" w:rsidRDefault="008106E7" w:rsidP="00FE7B54">
            <w:pPr>
              <w:ind w:left="255" w:right="23" w:hanging="11"/>
              <w:jc w:val="both"/>
              <w:rPr>
                <w:rFonts w:ascii="Times New Roman" w:hAnsi="Times New Roman" w:cs="Times New Roman"/>
                <w:sz w:val="24"/>
                <w:szCs w:val="24"/>
              </w:rPr>
            </w:pPr>
            <w:r w:rsidRPr="008106E7">
              <w:rPr>
                <w:rFonts w:ascii="Times New Roman" w:hAnsi="Times New Roman" w:cs="Times New Roman"/>
                <w:sz w:val="24"/>
                <w:szCs w:val="24"/>
              </w:rPr>
              <w:t>Se considera la preservación del Embalse Minerva para el abastecimiento del acueducto del municipio de Santa Clara y se utilizan los aportes del embalse La Quinta, y los aportes de Pavón, y Alacranes-Pavón para satisfacer las demandas existentes.</w:t>
            </w:r>
          </w:p>
        </w:tc>
      </w:tr>
      <w:tr w:rsidR="008106E7" w:rsidRPr="008106E7" w14:paraId="613573DF" w14:textId="77777777" w:rsidTr="008C2336">
        <w:trPr>
          <w:trHeight w:val="975"/>
        </w:trPr>
        <w:tc>
          <w:tcPr>
            <w:tcW w:w="2378" w:type="dxa"/>
            <w:vAlign w:val="center"/>
          </w:tcPr>
          <w:p w14:paraId="7B3E6082" w14:textId="77777777" w:rsidR="008106E7" w:rsidRPr="008106E7" w:rsidRDefault="008106E7" w:rsidP="00FE7B54">
            <w:pPr>
              <w:ind w:left="255" w:right="23" w:hanging="11"/>
              <w:jc w:val="center"/>
              <w:rPr>
                <w:rFonts w:ascii="Times New Roman" w:hAnsi="Times New Roman" w:cs="Times New Roman"/>
                <w:sz w:val="24"/>
                <w:szCs w:val="24"/>
              </w:rPr>
            </w:pPr>
            <w:r w:rsidRPr="008106E7">
              <w:rPr>
                <w:rFonts w:ascii="Times New Roman" w:hAnsi="Times New Roman" w:cs="Times New Roman"/>
                <w:sz w:val="24"/>
                <w:szCs w:val="24"/>
              </w:rPr>
              <w:lastRenderedPageBreak/>
              <w:t>Escenario 3</w:t>
            </w:r>
          </w:p>
        </w:tc>
        <w:tc>
          <w:tcPr>
            <w:tcW w:w="7185" w:type="dxa"/>
            <w:vAlign w:val="center"/>
          </w:tcPr>
          <w:p w14:paraId="23094720" w14:textId="77777777" w:rsidR="008106E7" w:rsidRPr="008106E7" w:rsidRDefault="008106E7" w:rsidP="00FE7B54">
            <w:pPr>
              <w:ind w:left="255" w:right="23" w:hanging="11"/>
              <w:jc w:val="both"/>
              <w:rPr>
                <w:rFonts w:ascii="Times New Roman" w:hAnsi="Times New Roman" w:cs="Times New Roman"/>
                <w:sz w:val="24"/>
                <w:szCs w:val="24"/>
              </w:rPr>
            </w:pPr>
            <w:r w:rsidRPr="008106E7">
              <w:rPr>
                <w:rFonts w:ascii="Times New Roman" w:hAnsi="Times New Roman" w:cs="Times New Roman"/>
                <w:sz w:val="24"/>
                <w:szCs w:val="24"/>
              </w:rPr>
              <w:t>Minerva+ Aportes</w:t>
            </w:r>
          </w:p>
          <w:p w14:paraId="35FA5FAE" w14:textId="77777777" w:rsidR="008106E7" w:rsidRPr="008106E7" w:rsidRDefault="008106E7" w:rsidP="00FE7B54">
            <w:pPr>
              <w:ind w:left="255" w:right="23" w:hanging="11"/>
              <w:jc w:val="both"/>
              <w:rPr>
                <w:rFonts w:ascii="Times New Roman" w:hAnsi="Times New Roman" w:cs="Times New Roman"/>
                <w:sz w:val="24"/>
                <w:szCs w:val="24"/>
              </w:rPr>
            </w:pPr>
            <w:r w:rsidRPr="008106E7">
              <w:rPr>
                <w:rFonts w:ascii="Times New Roman" w:hAnsi="Times New Roman" w:cs="Times New Roman"/>
                <w:sz w:val="24"/>
                <w:szCs w:val="24"/>
              </w:rPr>
              <w:t>Ante la ocurrencia de una avería en el Embalse La Quita que limita su uso, se utiliza el Embalse Minerva y los aportes de Pavón, y Alacranes-Pavón para satisfacer las demandas existentes.</w:t>
            </w:r>
          </w:p>
        </w:tc>
      </w:tr>
      <w:tr w:rsidR="008106E7" w:rsidRPr="008106E7" w14:paraId="0F34EC35" w14:textId="77777777" w:rsidTr="008C2336">
        <w:trPr>
          <w:trHeight w:val="777"/>
        </w:trPr>
        <w:tc>
          <w:tcPr>
            <w:tcW w:w="2378" w:type="dxa"/>
            <w:vAlign w:val="center"/>
          </w:tcPr>
          <w:p w14:paraId="5AAB0DCC" w14:textId="77777777" w:rsidR="008106E7" w:rsidRPr="008106E7" w:rsidRDefault="008106E7" w:rsidP="00FE7B54">
            <w:pPr>
              <w:ind w:left="255" w:right="23" w:hanging="11"/>
              <w:jc w:val="center"/>
              <w:rPr>
                <w:rFonts w:ascii="Times New Roman" w:hAnsi="Times New Roman" w:cs="Times New Roman"/>
                <w:sz w:val="24"/>
                <w:szCs w:val="24"/>
              </w:rPr>
            </w:pPr>
            <w:r w:rsidRPr="008106E7">
              <w:rPr>
                <w:rFonts w:ascii="Times New Roman" w:hAnsi="Times New Roman" w:cs="Times New Roman"/>
                <w:sz w:val="24"/>
                <w:szCs w:val="24"/>
              </w:rPr>
              <w:t>Escenario 4</w:t>
            </w:r>
          </w:p>
        </w:tc>
        <w:tc>
          <w:tcPr>
            <w:tcW w:w="7185" w:type="dxa"/>
            <w:vAlign w:val="center"/>
          </w:tcPr>
          <w:p w14:paraId="6F3D3881" w14:textId="77777777" w:rsidR="008106E7" w:rsidRPr="008106E7" w:rsidRDefault="008106E7" w:rsidP="00FE7B54">
            <w:pPr>
              <w:ind w:left="255" w:right="23" w:hanging="11"/>
              <w:jc w:val="both"/>
              <w:rPr>
                <w:rFonts w:ascii="Times New Roman" w:hAnsi="Times New Roman" w:cs="Times New Roman"/>
                <w:sz w:val="24"/>
                <w:szCs w:val="24"/>
              </w:rPr>
            </w:pPr>
            <w:r w:rsidRPr="008106E7">
              <w:rPr>
                <w:rFonts w:ascii="Times New Roman" w:hAnsi="Times New Roman" w:cs="Times New Roman"/>
                <w:sz w:val="24"/>
                <w:szCs w:val="24"/>
              </w:rPr>
              <w:t>50% Minerva+ 50% La Quinta+ 50% Aportes</w:t>
            </w:r>
          </w:p>
          <w:p w14:paraId="1AAD8E33" w14:textId="77777777" w:rsidR="008106E7" w:rsidRPr="008106E7" w:rsidRDefault="008106E7" w:rsidP="00FE7B54">
            <w:pPr>
              <w:ind w:left="255" w:right="23" w:hanging="11"/>
              <w:jc w:val="both"/>
              <w:rPr>
                <w:rFonts w:ascii="Times New Roman" w:hAnsi="Times New Roman" w:cs="Times New Roman"/>
                <w:sz w:val="24"/>
                <w:szCs w:val="24"/>
              </w:rPr>
            </w:pPr>
            <w:r w:rsidRPr="008106E7">
              <w:rPr>
                <w:rFonts w:ascii="Times New Roman" w:hAnsi="Times New Roman" w:cs="Times New Roman"/>
                <w:sz w:val="24"/>
                <w:szCs w:val="24"/>
              </w:rPr>
              <w:t>Se toma solo el 50% de las aportaciones existentes.</w:t>
            </w:r>
          </w:p>
        </w:tc>
      </w:tr>
      <w:tr w:rsidR="008106E7" w:rsidRPr="008106E7" w14:paraId="0FDBB388" w14:textId="77777777" w:rsidTr="008C2336">
        <w:trPr>
          <w:trHeight w:val="813"/>
        </w:trPr>
        <w:tc>
          <w:tcPr>
            <w:tcW w:w="2378" w:type="dxa"/>
            <w:vAlign w:val="center"/>
          </w:tcPr>
          <w:p w14:paraId="7C567123" w14:textId="77777777" w:rsidR="008106E7" w:rsidRPr="008106E7" w:rsidRDefault="008106E7" w:rsidP="00FE7B54">
            <w:pPr>
              <w:ind w:left="255" w:right="23" w:hanging="11"/>
              <w:jc w:val="center"/>
              <w:rPr>
                <w:rFonts w:ascii="Times New Roman" w:hAnsi="Times New Roman" w:cs="Times New Roman"/>
                <w:sz w:val="24"/>
                <w:szCs w:val="24"/>
              </w:rPr>
            </w:pPr>
            <w:r w:rsidRPr="008106E7">
              <w:rPr>
                <w:rFonts w:ascii="Times New Roman" w:hAnsi="Times New Roman" w:cs="Times New Roman"/>
                <w:sz w:val="24"/>
                <w:szCs w:val="24"/>
              </w:rPr>
              <w:t>Escenario 5</w:t>
            </w:r>
          </w:p>
        </w:tc>
        <w:tc>
          <w:tcPr>
            <w:tcW w:w="7185" w:type="dxa"/>
            <w:vAlign w:val="center"/>
          </w:tcPr>
          <w:p w14:paraId="1B3F3B49" w14:textId="77777777" w:rsidR="008106E7" w:rsidRPr="008106E7" w:rsidRDefault="008106E7" w:rsidP="00FE7B54">
            <w:pPr>
              <w:ind w:left="255" w:right="23" w:hanging="11"/>
              <w:jc w:val="both"/>
              <w:rPr>
                <w:rFonts w:ascii="Times New Roman" w:hAnsi="Times New Roman" w:cs="Times New Roman"/>
                <w:sz w:val="24"/>
                <w:szCs w:val="24"/>
              </w:rPr>
            </w:pPr>
            <w:r w:rsidRPr="008106E7">
              <w:rPr>
                <w:rFonts w:ascii="Times New Roman" w:hAnsi="Times New Roman" w:cs="Times New Roman"/>
                <w:sz w:val="24"/>
                <w:szCs w:val="24"/>
              </w:rPr>
              <w:t>30% Minerva+ 30% La Quinta+ 30% Aportes</w:t>
            </w:r>
          </w:p>
          <w:p w14:paraId="63D224D4" w14:textId="77777777" w:rsidR="008106E7" w:rsidRPr="008106E7" w:rsidRDefault="008106E7" w:rsidP="00FE7B54">
            <w:pPr>
              <w:ind w:left="255" w:right="23" w:hanging="11"/>
              <w:jc w:val="both"/>
              <w:rPr>
                <w:rFonts w:ascii="Times New Roman" w:hAnsi="Times New Roman" w:cs="Times New Roman"/>
                <w:sz w:val="24"/>
                <w:szCs w:val="24"/>
              </w:rPr>
            </w:pPr>
            <w:r w:rsidRPr="008106E7">
              <w:rPr>
                <w:rFonts w:ascii="Times New Roman" w:hAnsi="Times New Roman" w:cs="Times New Roman"/>
                <w:sz w:val="24"/>
                <w:szCs w:val="24"/>
              </w:rPr>
              <w:t>Se toma en cuenta solo el 30% de las aportaciones.</w:t>
            </w:r>
          </w:p>
        </w:tc>
      </w:tr>
    </w:tbl>
    <w:p w14:paraId="69987469" w14:textId="00827AA5" w:rsidR="008106E7" w:rsidRPr="001E5322" w:rsidRDefault="00FE7B54" w:rsidP="00B35921">
      <w:pPr>
        <w:spacing w:after="0" w:line="360" w:lineRule="auto"/>
        <w:ind w:left="255" w:right="23" w:firstLine="720"/>
        <w:jc w:val="center"/>
        <w:rPr>
          <w:rFonts w:ascii="Arial" w:hAnsi="Arial" w:cs="Arial"/>
          <w:sz w:val="20"/>
          <w:szCs w:val="20"/>
        </w:rPr>
      </w:pPr>
      <w:r w:rsidRPr="001E5322">
        <w:rPr>
          <w:rFonts w:ascii="Times New Roman" w:hAnsi="Times New Roman" w:cs="Times New Roman"/>
          <w:sz w:val="20"/>
          <w:szCs w:val="20"/>
        </w:rPr>
        <w:t xml:space="preserve">Tabla </w:t>
      </w:r>
      <w:r w:rsidRPr="001E5322">
        <w:rPr>
          <w:rFonts w:ascii="Times New Roman" w:hAnsi="Times New Roman" w:cs="Times New Roman"/>
          <w:i/>
          <w:iCs/>
          <w:sz w:val="20"/>
          <w:szCs w:val="20"/>
        </w:rPr>
        <w:fldChar w:fldCharType="begin"/>
      </w:r>
      <w:r w:rsidRPr="001E5322">
        <w:rPr>
          <w:rFonts w:ascii="Times New Roman" w:hAnsi="Times New Roman" w:cs="Times New Roman"/>
          <w:sz w:val="20"/>
          <w:szCs w:val="20"/>
        </w:rPr>
        <w:instrText xml:space="preserve"> SEQ Tabla \* ARABIC </w:instrText>
      </w:r>
      <w:r w:rsidRPr="001E5322">
        <w:rPr>
          <w:rFonts w:ascii="Times New Roman" w:hAnsi="Times New Roman" w:cs="Times New Roman"/>
          <w:i/>
          <w:iCs/>
          <w:sz w:val="20"/>
          <w:szCs w:val="20"/>
        </w:rPr>
        <w:fldChar w:fldCharType="separate"/>
      </w:r>
      <w:r w:rsidRPr="001E5322">
        <w:rPr>
          <w:rFonts w:ascii="Times New Roman" w:hAnsi="Times New Roman" w:cs="Times New Roman"/>
          <w:sz w:val="20"/>
          <w:szCs w:val="20"/>
        </w:rPr>
        <w:t>7</w:t>
      </w:r>
      <w:r w:rsidRPr="001E5322">
        <w:rPr>
          <w:rFonts w:ascii="Times New Roman" w:hAnsi="Times New Roman" w:cs="Times New Roman"/>
          <w:i/>
          <w:iCs/>
          <w:sz w:val="20"/>
          <w:szCs w:val="20"/>
        </w:rPr>
        <w:fldChar w:fldCharType="end"/>
      </w:r>
      <w:r w:rsidRPr="001E5322">
        <w:rPr>
          <w:rFonts w:ascii="Times New Roman" w:hAnsi="Times New Roman" w:cs="Times New Roman"/>
          <w:sz w:val="20"/>
          <w:szCs w:val="20"/>
        </w:rPr>
        <w:t>. Escenarios de Modelación. Elaboración propia</w:t>
      </w:r>
    </w:p>
    <w:p w14:paraId="1741AC27" w14:textId="039D5B35" w:rsidR="00A21A1F" w:rsidRDefault="00A21A1F" w:rsidP="00FF3346">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p>
    <w:p w14:paraId="2777D7E2" w14:textId="77777777" w:rsidR="00FE7B54" w:rsidRDefault="008106E7" w:rsidP="00FE7B54">
      <w:pPr>
        <w:ind w:right="23" w:hanging="11"/>
        <w:jc w:val="both"/>
        <w:rPr>
          <w:rFonts w:ascii="Times New Roman" w:hAnsi="Times New Roman" w:cs="Times New Roman"/>
          <w:sz w:val="24"/>
          <w:szCs w:val="24"/>
        </w:rPr>
      </w:pPr>
      <w:r w:rsidRPr="00FE7B54">
        <w:rPr>
          <w:rFonts w:ascii="Times New Roman" w:hAnsi="Times New Roman" w:cs="Times New Roman"/>
          <w:sz w:val="24"/>
          <w:szCs w:val="24"/>
        </w:rPr>
        <w:t>Posteriormente se pone en práctica el procedimiento propuesto para la elaboración del esquema de usuario, se explica cada uno de los pasos y proceso en la toma de decisiones para satisfacer las demandas prioritarias en cada uno de los escenarios recreados y por último se expone, analiza y comparan los resultados del balance hídrico y la gestión de los recursos hidráulicos en la cuenca hidrográfica Sagua la Chica.</w:t>
      </w:r>
    </w:p>
    <w:p w14:paraId="2476316B" w14:textId="09E064AA" w:rsidR="008106E7" w:rsidRDefault="00FE7B54" w:rsidP="00FE7B54">
      <w:pPr>
        <w:spacing w:after="0" w:line="360" w:lineRule="auto"/>
        <w:jc w:val="both"/>
        <w:rPr>
          <w:rFonts w:ascii="Times New Roman" w:hAnsi="Times New Roman" w:cs="Times New Roman"/>
          <w:b/>
          <w:sz w:val="24"/>
          <w:szCs w:val="24"/>
        </w:rPr>
      </w:pPr>
      <w:r w:rsidRPr="00FE7B54">
        <w:rPr>
          <w:rFonts w:ascii="Times New Roman" w:hAnsi="Times New Roman" w:cs="Times New Roman"/>
          <w:b/>
          <w:sz w:val="24"/>
          <w:szCs w:val="24"/>
        </w:rPr>
        <w:t>3.1</w:t>
      </w:r>
      <w:r w:rsidR="008106E7" w:rsidRPr="00FE7B54">
        <w:rPr>
          <w:rFonts w:ascii="Times New Roman" w:hAnsi="Times New Roman" w:cs="Times New Roman"/>
          <w:b/>
          <w:sz w:val="24"/>
          <w:szCs w:val="24"/>
        </w:rPr>
        <w:t xml:space="preserve"> </w:t>
      </w:r>
      <w:r>
        <w:rPr>
          <w:rFonts w:ascii="Times New Roman" w:hAnsi="Times New Roman" w:cs="Times New Roman"/>
          <w:b/>
          <w:sz w:val="24"/>
          <w:szCs w:val="24"/>
        </w:rPr>
        <w:t xml:space="preserve">Escenario </w:t>
      </w:r>
      <w:r w:rsidR="00687487">
        <w:rPr>
          <w:rFonts w:ascii="Times New Roman" w:hAnsi="Times New Roman" w:cs="Times New Roman"/>
          <w:b/>
          <w:sz w:val="24"/>
          <w:szCs w:val="24"/>
        </w:rPr>
        <w:t>número</w:t>
      </w:r>
      <w:r>
        <w:rPr>
          <w:rFonts w:ascii="Times New Roman" w:hAnsi="Times New Roman" w:cs="Times New Roman"/>
          <w:b/>
          <w:sz w:val="24"/>
          <w:szCs w:val="24"/>
        </w:rPr>
        <w:t xml:space="preserve"> 1. Minerva+ La Quinta+ Aportes</w:t>
      </w:r>
    </w:p>
    <w:p w14:paraId="728EBDF3" w14:textId="77777777" w:rsidR="00FE7B54" w:rsidRPr="00FE7B54" w:rsidRDefault="00FE7B54" w:rsidP="00FE7B54">
      <w:pPr>
        <w:spacing w:after="0" w:line="360" w:lineRule="auto"/>
        <w:ind w:right="23"/>
        <w:jc w:val="both"/>
        <w:rPr>
          <w:rFonts w:ascii="Times New Roman" w:hAnsi="Times New Roman" w:cs="Times New Roman"/>
          <w:sz w:val="24"/>
          <w:szCs w:val="24"/>
        </w:rPr>
      </w:pPr>
      <w:r w:rsidRPr="00FE7B54">
        <w:rPr>
          <w:rFonts w:ascii="Times New Roman" w:hAnsi="Times New Roman" w:cs="Times New Roman"/>
          <w:sz w:val="24"/>
          <w:szCs w:val="24"/>
        </w:rPr>
        <w:t>Teniendo en cuenta la metodología y pasos propuestos anteriormente para la modelación de cuencas hidrográfica mediante el programa AQUATOOL se continuará con la confección del esquema de usuario.</w:t>
      </w:r>
    </w:p>
    <w:p w14:paraId="691A107B" w14:textId="77777777" w:rsidR="00FE7B54" w:rsidRPr="001E33CF" w:rsidRDefault="00FE7B54" w:rsidP="00FE7B54">
      <w:pPr>
        <w:spacing w:after="0" w:line="360" w:lineRule="auto"/>
        <w:ind w:right="23" w:firstLine="15"/>
        <w:jc w:val="both"/>
        <w:rPr>
          <w:rFonts w:ascii="Arial" w:hAnsi="Arial" w:cs="Arial"/>
        </w:rPr>
      </w:pPr>
      <w:r w:rsidRPr="00FE7B54">
        <w:rPr>
          <w:rFonts w:ascii="Times New Roman" w:hAnsi="Times New Roman" w:cs="Times New Roman"/>
          <w:sz w:val="24"/>
          <w:szCs w:val="24"/>
        </w:rPr>
        <w:t>Elementos del Esquema</w:t>
      </w:r>
      <w:r w:rsidRPr="001E33CF">
        <w:rPr>
          <w:rFonts w:ascii="Arial" w:hAnsi="Arial" w:cs="Arial"/>
        </w:rPr>
        <w:t>.</w:t>
      </w:r>
    </w:p>
    <w:p w14:paraId="27F72C9B" w14:textId="279BB158" w:rsidR="00FE7B54" w:rsidRPr="001E33CF" w:rsidRDefault="00FE7B54" w:rsidP="00FE7B54">
      <w:pPr>
        <w:pStyle w:val="Descripcin"/>
        <w:keepNext/>
        <w:spacing w:before="120" w:after="120" w:line="360" w:lineRule="auto"/>
        <w:ind w:left="255" w:right="23" w:hanging="11"/>
        <w:rPr>
          <w:rFonts w:ascii="Arial" w:hAnsi="Arial" w:cs="Arial"/>
          <w:b/>
          <w:bCs/>
          <w:i w:val="0"/>
          <w:iCs w:val="0"/>
          <w:color w:val="auto"/>
          <w:sz w:val="20"/>
          <w:szCs w:val="20"/>
        </w:rPr>
      </w:pPr>
    </w:p>
    <w:tbl>
      <w:tblPr>
        <w:tblStyle w:val="Tablaconcuadrcula"/>
        <w:tblW w:w="0" w:type="auto"/>
        <w:jc w:val="center"/>
        <w:tblLook w:val="04A0" w:firstRow="1" w:lastRow="0" w:firstColumn="1" w:lastColumn="0" w:noHBand="0" w:noVBand="1"/>
      </w:tblPr>
      <w:tblGrid>
        <w:gridCol w:w="2439"/>
        <w:gridCol w:w="1240"/>
      </w:tblGrid>
      <w:tr w:rsidR="00FE7B54" w:rsidRPr="00FE7B54" w14:paraId="1B7F5C90" w14:textId="77777777" w:rsidTr="00FE7B54">
        <w:trPr>
          <w:jc w:val="center"/>
        </w:trPr>
        <w:tc>
          <w:tcPr>
            <w:tcW w:w="2439" w:type="dxa"/>
          </w:tcPr>
          <w:p w14:paraId="5076FBB1" w14:textId="77777777" w:rsidR="00FE7B54" w:rsidRPr="00FE7B54" w:rsidRDefault="00FE7B54" w:rsidP="00FE7B54">
            <w:pPr>
              <w:ind w:left="255" w:right="23"/>
              <w:jc w:val="both"/>
              <w:rPr>
                <w:rFonts w:ascii="Times New Roman" w:hAnsi="Times New Roman" w:cs="Times New Roman"/>
                <w:sz w:val="24"/>
                <w:szCs w:val="24"/>
              </w:rPr>
            </w:pPr>
            <w:r w:rsidRPr="00FE7B54">
              <w:rPr>
                <w:rFonts w:ascii="Times New Roman" w:hAnsi="Times New Roman" w:cs="Times New Roman"/>
                <w:sz w:val="24"/>
                <w:szCs w:val="24"/>
              </w:rPr>
              <w:t>Elementos</w:t>
            </w:r>
          </w:p>
        </w:tc>
        <w:tc>
          <w:tcPr>
            <w:tcW w:w="1240" w:type="dxa"/>
          </w:tcPr>
          <w:p w14:paraId="7FA296C7" w14:textId="77777777" w:rsidR="00FE7B54" w:rsidRPr="00FE7B54" w:rsidRDefault="00FE7B54" w:rsidP="00FE7B54">
            <w:pPr>
              <w:ind w:left="255" w:right="23"/>
              <w:jc w:val="both"/>
              <w:rPr>
                <w:rFonts w:ascii="Times New Roman" w:hAnsi="Times New Roman" w:cs="Times New Roman"/>
                <w:sz w:val="24"/>
                <w:szCs w:val="24"/>
              </w:rPr>
            </w:pPr>
            <w:r w:rsidRPr="00FE7B54">
              <w:rPr>
                <w:rFonts w:ascii="Times New Roman" w:hAnsi="Times New Roman" w:cs="Times New Roman"/>
                <w:sz w:val="24"/>
                <w:szCs w:val="24"/>
              </w:rPr>
              <w:t>Unidad</w:t>
            </w:r>
          </w:p>
        </w:tc>
      </w:tr>
      <w:tr w:rsidR="00FE7B54" w:rsidRPr="00FE7B54" w14:paraId="363876BA" w14:textId="77777777" w:rsidTr="00FE7B54">
        <w:trPr>
          <w:jc w:val="center"/>
        </w:trPr>
        <w:tc>
          <w:tcPr>
            <w:tcW w:w="2439" w:type="dxa"/>
          </w:tcPr>
          <w:p w14:paraId="000EB4FE" w14:textId="77777777" w:rsidR="00FE7B54" w:rsidRPr="00FE7B54" w:rsidRDefault="00FE7B54" w:rsidP="00FE7B54">
            <w:pPr>
              <w:ind w:left="255" w:right="23"/>
              <w:jc w:val="both"/>
              <w:rPr>
                <w:rFonts w:ascii="Times New Roman" w:hAnsi="Times New Roman" w:cs="Times New Roman"/>
                <w:sz w:val="24"/>
                <w:szCs w:val="24"/>
              </w:rPr>
            </w:pPr>
            <w:r w:rsidRPr="00FE7B54">
              <w:rPr>
                <w:rFonts w:ascii="Times New Roman" w:hAnsi="Times New Roman" w:cs="Times New Roman"/>
                <w:sz w:val="24"/>
                <w:szCs w:val="24"/>
              </w:rPr>
              <w:t>Embalses</w:t>
            </w:r>
          </w:p>
        </w:tc>
        <w:tc>
          <w:tcPr>
            <w:tcW w:w="1240" w:type="dxa"/>
          </w:tcPr>
          <w:p w14:paraId="4F421BFC" w14:textId="77777777" w:rsidR="00FE7B54" w:rsidRPr="00FE7B54" w:rsidRDefault="00FE7B54" w:rsidP="00FE7B54">
            <w:pPr>
              <w:ind w:left="255" w:right="23"/>
              <w:jc w:val="both"/>
              <w:rPr>
                <w:rFonts w:ascii="Times New Roman" w:hAnsi="Times New Roman" w:cs="Times New Roman"/>
                <w:sz w:val="24"/>
                <w:szCs w:val="24"/>
              </w:rPr>
            </w:pPr>
            <w:r w:rsidRPr="00FE7B54">
              <w:rPr>
                <w:rFonts w:ascii="Times New Roman" w:hAnsi="Times New Roman" w:cs="Times New Roman"/>
                <w:sz w:val="24"/>
                <w:szCs w:val="24"/>
              </w:rPr>
              <w:t>2</w:t>
            </w:r>
          </w:p>
        </w:tc>
      </w:tr>
      <w:tr w:rsidR="00FE7B54" w:rsidRPr="00FE7B54" w14:paraId="20C0359E" w14:textId="77777777" w:rsidTr="00FE7B54">
        <w:trPr>
          <w:jc w:val="center"/>
        </w:trPr>
        <w:tc>
          <w:tcPr>
            <w:tcW w:w="2439" w:type="dxa"/>
          </w:tcPr>
          <w:p w14:paraId="2F2F9F6E" w14:textId="77777777" w:rsidR="00FE7B54" w:rsidRPr="00FE7B54" w:rsidRDefault="00FE7B54" w:rsidP="00FE7B54">
            <w:pPr>
              <w:ind w:left="255" w:right="23"/>
              <w:jc w:val="both"/>
              <w:rPr>
                <w:rFonts w:ascii="Times New Roman" w:hAnsi="Times New Roman" w:cs="Times New Roman"/>
                <w:sz w:val="24"/>
                <w:szCs w:val="24"/>
              </w:rPr>
            </w:pPr>
            <w:r w:rsidRPr="00FE7B54">
              <w:rPr>
                <w:rFonts w:ascii="Times New Roman" w:hAnsi="Times New Roman" w:cs="Times New Roman"/>
                <w:sz w:val="24"/>
                <w:szCs w:val="24"/>
              </w:rPr>
              <w:t>Nudos</w:t>
            </w:r>
          </w:p>
        </w:tc>
        <w:tc>
          <w:tcPr>
            <w:tcW w:w="1240" w:type="dxa"/>
          </w:tcPr>
          <w:p w14:paraId="5103FAFA" w14:textId="77777777" w:rsidR="00FE7B54" w:rsidRPr="00FE7B54" w:rsidRDefault="00FE7B54" w:rsidP="00FE7B54">
            <w:pPr>
              <w:ind w:left="255" w:right="23"/>
              <w:jc w:val="both"/>
              <w:rPr>
                <w:rFonts w:ascii="Times New Roman" w:hAnsi="Times New Roman" w:cs="Times New Roman"/>
                <w:sz w:val="24"/>
                <w:szCs w:val="24"/>
              </w:rPr>
            </w:pPr>
            <w:r w:rsidRPr="00FE7B54">
              <w:rPr>
                <w:rFonts w:ascii="Times New Roman" w:hAnsi="Times New Roman" w:cs="Times New Roman"/>
                <w:sz w:val="24"/>
                <w:szCs w:val="24"/>
              </w:rPr>
              <w:t>6</w:t>
            </w:r>
          </w:p>
        </w:tc>
      </w:tr>
      <w:tr w:rsidR="00FE7B54" w:rsidRPr="00FE7B54" w14:paraId="54B83433" w14:textId="77777777" w:rsidTr="00FE7B54">
        <w:trPr>
          <w:jc w:val="center"/>
        </w:trPr>
        <w:tc>
          <w:tcPr>
            <w:tcW w:w="2439" w:type="dxa"/>
          </w:tcPr>
          <w:p w14:paraId="08D5BE5A" w14:textId="77777777" w:rsidR="00FE7B54" w:rsidRPr="00FE7B54" w:rsidRDefault="00FE7B54" w:rsidP="00FE7B54">
            <w:pPr>
              <w:ind w:left="255" w:right="23"/>
              <w:jc w:val="both"/>
              <w:rPr>
                <w:rFonts w:ascii="Times New Roman" w:hAnsi="Times New Roman" w:cs="Times New Roman"/>
                <w:sz w:val="24"/>
                <w:szCs w:val="24"/>
              </w:rPr>
            </w:pPr>
            <w:r w:rsidRPr="00FE7B54">
              <w:rPr>
                <w:rFonts w:ascii="Times New Roman" w:hAnsi="Times New Roman" w:cs="Times New Roman"/>
                <w:sz w:val="24"/>
                <w:szCs w:val="24"/>
              </w:rPr>
              <w:t>Conducciones</w:t>
            </w:r>
          </w:p>
        </w:tc>
        <w:tc>
          <w:tcPr>
            <w:tcW w:w="1240" w:type="dxa"/>
          </w:tcPr>
          <w:p w14:paraId="0AF42EE8" w14:textId="77777777" w:rsidR="00FE7B54" w:rsidRPr="00FE7B54" w:rsidRDefault="00FE7B54" w:rsidP="00FE7B54">
            <w:pPr>
              <w:ind w:left="255" w:right="23"/>
              <w:jc w:val="both"/>
              <w:rPr>
                <w:rFonts w:ascii="Times New Roman" w:hAnsi="Times New Roman" w:cs="Times New Roman"/>
                <w:sz w:val="24"/>
                <w:szCs w:val="24"/>
              </w:rPr>
            </w:pPr>
            <w:r w:rsidRPr="00FE7B54">
              <w:rPr>
                <w:rFonts w:ascii="Times New Roman" w:hAnsi="Times New Roman" w:cs="Times New Roman"/>
                <w:sz w:val="24"/>
                <w:szCs w:val="24"/>
              </w:rPr>
              <w:t>7</w:t>
            </w:r>
          </w:p>
        </w:tc>
      </w:tr>
      <w:tr w:rsidR="00FE7B54" w:rsidRPr="00FE7B54" w14:paraId="4C0EA1D4" w14:textId="77777777" w:rsidTr="00FE7B54">
        <w:trPr>
          <w:jc w:val="center"/>
        </w:trPr>
        <w:tc>
          <w:tcPr>
            <w:tcW w:w="2439" w:type="dxa"/>
          </w:tcPr>
          <w:p w14:paraId="39B77207" w14:textId="77777777" w:rsidR="00FE7B54" w:rsidRPr="00FE7B54" w:rsidRDefault="00FE7B54" w:rsidP="00FE7B54">
            <w:pPr>
              <w:ind w:left="255" w:right="23"/>
              <w:jc w:val="both"/>
              <w:rPr>
                <w:rFonts w:ascii="Times New Roman" w:hAnsi="Times New Roman" w:cs="Times New Roman"/>
                <w:sz w:val="24"/>
                <w:szCs w:val="24"/>
              </w:rPr>
            </w:pPr>
            <w:r w:rsidRPr="00FE7B54">
              <w:rPr>
                <w:rFonts w:ascii="Times New Roman" w:hAnsi="Times New Roman" w:cs="Times New Roman"/>
                <w:sz w:val="24"/>
                <w:szCs w:val="24"/>
              </w:rPr>
              <w:t>Aportaciones</w:t>
            </w:r>
          </w:p>
        </w:tc>
        <w:tc>
          <w:tcPr>
            <w:tcW w:w="1240" w:type="dxa"/>
          </w:tcPr>
          <w:p w14:paraId="4D9E46CA" w14:textId="77777777" w:rsidR="00FE7B54" w:rsidRPr="00FE7B54" w:rsidRDefault="00FE7B54" w:rsidP="00FE7B54">
            <w:pPr>
              <w:ind w:left="255" w:right="23"/>
              <w:jc w:val="both"/>
              <w:rPr>
                <w:rFonts w:ascii="Times New Roman" w:hAnsi="Times New Roman" w:cs="Times New Roman"/>
                <w:sz w:val="24"/>
                <w:szCs w:val="24"/>
              </w:rPr>
            </w:pPr>
            <w:r w:rsidRPr="00FE7B54">
              <w:rPr>
                <w:rFonts w:ascii="Times New Roman" w:hAnsi="Times New Roman" w:cs="Times New Roman"/>
                <w:sz w:val="24"/>
                <w:szCs w:val="24"/>
              </w:rPr>
              <w:t>4</w:t>
            </w:r>
          </w:p>
        </w:tc>
      </w:tr>
      <w:tr w:rsidR="00FE7B54" w:rsidRPr="00FE7B54" w14:paraId="4DBFAD79" w14:textId="77777777" w:rsidTr="00FE7B54">
        <w:trPr>
          <w:jc w:val="center"/>
        </w:trPr>
        <w:tc>
          <w:tcPr>
            <w:tcW w:w="2439" w:type="dxa"/>
          </w:tcPr>
          <w:p w14:paraId="686311D0" w14:textId="77777777" w:rsidR="00FE7B54" w:rsidRPr="00FE7B54" w:rsidRDefault="00FE7B54" w:rsidP="00FE7B54">
            <w:pPr>
              <w:ind w:left="255" w:right="23"/>
              <w:jc w:val="both"/>
              <w:rPr>
                <w:rFonts w:ascii="Times New Roman" w:hAnsi="Times New Roman" w:cs="Times New Roman"/>
                <w:sz w:val="24"/>
                <w:szCs w:val="24"/>
              </w:rPr>
            </w:pPr>
            <w:r w:rsidRPr="00FE7B54">
              <w:rPr>
                <w:rFonts w:ascii="Times New Roman" w:hAnsi="Times New Roman" w:cs="Times New Roman"/>
                <w:sz w:val="24"/>
                <w:szCs w:val="24"/>
              </w:rPr>
              <w:t>Demandas</w:t>
            </w:r>
          </w:p>
        </w:tc>
        <w:tc>
          <w:tcPr>
            <w:tcW w:w="1240" w:type="dxa"/>
          </w:tcPr>
          <w:p w14:paraId="3BAF4390" w14:textId="77777777" w:rsidR="00FE7B54" w:rsidRPr="00FE7B54" w:rsidRDefault="00FE7B54" w:rsidP="00FE7B54">
            <w:pPr>
              <w:ind w:left="255" w:right="23"/>
              <w:jc w:val="both"/>
              <w:rPr>
                <w:rFonts w:ascii="Times New Roman" w:hAnsi="Times New Roman" w:cs="Times New Roman"/>
                <w:sz w:val="24"/>
                <w:szCs w:val="24"/>
              </w:rPr>
            </w:pPr>
            <w:r w:rsidRPr="00FE7B54">
              <w:rPr>
                <w:rFonts w:ascii="Times New Roman" w:hAnsi="Times New Roman" w:cs="Times New Roman"/>
                <w:sz w:val="24"/>
                <w:szCs w:val="24"/>
              </w:rPr>
              <w:t>13</w:t>
            </w:r>
          </w:p>
        </w:tc>
      </w:tr>
      <w:tr w:rsidR="00FE7B54" w:rsidRPr="00FE7B54" w14:paraId="6DE48D49" w14:textId="77777777" w:rsidTr="00FE7B54">
        <w:trPr>
          <w:jc w:val="center"/>
        </w:trPr>
        <w:tc>
          <w:tcPr>
            <w:tcW w:w="2439" w:type="dxa"/>
          </w:tcPr>
          <w:p w14:paraId="4D6EE3B5" w14:textId="77777777" w:rsidR="00FE7B54" w:rsidRPr="00FE7B54" w:rsidRDefault="00FE7B54" w:rsidP="00FE7B54">
            <w:pPr>
              <w:ind w:left="255" w:right="23"/>
              <w:jc w:val="both"/>
              <w:rPr>
                <w:rFonts w:ascii="Times New Roman" w:hAnsi="Times New Roman" w:cs="Times New Roman"/>
                <w:sz w:val="24"/>
                <w:szCs w:val="24"/>
              </w:rPr>
            </w:pPr>
            <w:r w:rsidRPr="00FE7B54">
              <w:rPr>
                <w:rFonts w:ascii="Times New Roman" w:hAnsi="Times New Roman" w:cs="Times New Roman"/>
                <w:sz w:val="24"/>
                <w:szCs w:val="24"/>
              </w:rPr>
              <w:t>Tomas</w:t>
            </w:r>
          </w:p>
        </w:tc>
        <w:tc>
          <w:tcPr>
            <w:tcW w:w="1240" w:type="dxa"/>
          </w:tcPr>
          <w:p w14:paraId="32226E0C" w14:textId="77777777" w:rsidR="00FE7B54" w:rsidRPr="00FE7B54" w:rsidRDefault="00FE7B54" w:rsidP="00FE7B54">
            <w:pPr>
              <w:ind w:left="255" w:right="23"/>
              <w:jc w:val="both"/>
              <w:rPr>
                <w:rFonts w:ascii="Times New Roman" w:hAnsi="Times New Roman" w:cs="Times New Roman"/>
                <w:sz w:val="24"/>
                <w:szCs w:val="24"/>
              </w:rPr>
            </w:pPr>
            <w:r w:rsidRPr="00FE7B54">
              <w:rPr>
                <w:rFonts w:ascii="Times New Roman" w:hAnsi="Times New Roman" w:cs="Times New Roman"/>
                <w:sz w:val="24"/>
                <w:szCs w:val="24"/>
              </w:rPr>
              <w:t>13</w:t>
            </w:r>
          </w:p>
        </w:tc>
      </w:tr>
      <w:tr w:rsidR="00FE7B54" w:rsidRPr="00FE7B54" w14:paraId="2765A831" w14:textId="77777777" w:rsidTr="00FE7B54">
        <w:trPr>
          <w:jc w:val="center"/>
        </w:trPr>
        <w:tc>
          <w:tcPr>
            <w:tcW w:w="2439" w:type="dxa"/>
          </w:tcPr>
          <w:p w14:paraId="740D1BEF" w14:textId="77777777" w:rsidR="00FE7B54" w:rsidRPr="00FE7B54" w:rsidRDefault="00FE7B54" w:rsidP="00FE7B54">
            <w:pPr>
              <w:ind w:left="255" w:right="23"/>
              <w:jc w:val="both"/>
              <w:rPr>
                <w:rFonts w:ascii="Times New Roman" w:hAnsi="Times New Roman" w:cs="Times New Roman"/>
                <w:sz w:val="24"/>
                <w:szCs w:val="24"/>
              </w:rPr>
            </w:pPr>
            <w:r w:rsidRPr="00FE7B54">
              <w:rPr>
                <w:rFonts w:ascii="Times New Roman" w:hAnsi="Times New Roman" w:cs="Times New Roman"/>
                <w:sz w:val="24"/>
                <w:szCs w:val="24"/>
              </w:rPr>
              <w:t>Retornos</w:t>
            </w:r>
          </w:p>
        </w:tc>
        <w:tc>
          <w:tcPr>
            <w:tcW w:w="1240" w:type="dxa"/>
          </w:tcPr>
          <w:p w14:paraId="35F587C0" w14:textId="77777777" w:rsidR="00FE7B54" w:rsidRPr="00FE7B54" w:rsidRDefault="00FE7B54" w:rsidP="00FE7B54">
            <w:pPr>
              <w:ind w:left="255" w:right="23"/>
              <w:jc w:val="both"/>
              <w:rPr>
                <w:rFonts w:ascii="Times New Roman" w:hAnsi="Times New Roman" w:cs="Times New Roman"/>
                <w:sz w:val="24"/>
                <w:szCs w:val="24"/>
              </w:rPr>
            </w:pPr>
            <w:r w:rsidRPr="00FE7B54">
              <w:rPr>
                <w:rFonts w:ascii="Times New Roman" w:hAnsi="Times New Roman" w:cs="Times New Roman"/>
                <w:sz w:val="24"/>
                <w:szCs w:val="24"/>
              </w:rPr>
              <w:t>1</w:t>
            </w:r>
          </w:p>
        </w:tc>
      </w:tr>
    </w:tbl>
    <w:p w14:paraId="01F238AB" w14:textId="28A7B7DA" w:rsidR="00FE7B54" w:rsidRPr="00FE7B54" w:rsidRDefault="00FE7B54" w:rsidP="00FE7B54">
      <w:pPr>
        <w:spacing w:before="120" w:after="120" w:line="240" w:lineRule="auto"/>
        <w:ind w:left="259" w:right="29"/>
        <w:jc w:val="center"/>
        <w:rPr>
          <w:rFonts w:ascii="Times New Roman" w:hAnsi="Times New Roman" w:cs="Times New Roman"/>
          <w:sz w:val="20"/>
          <w:szCs w:val="20"/>
        </w:rPr>
      </w:pPr>
      <w:bookmarkStart w:id="4" w:name="_Toc203373261"/>
      <w:r w:rsidRPr="00FE7B54">
        <w:rPr>
          <w:rFonts w:ascii="Times New Roman" w:hAnsi="Times New Roman" w:cs="Times New Roman"/>
          <w:sz w:val="20"/>
          <w:szCs w:val="20"/>
        </w:rPr>
        <w:t xml:space="preserve">Tabla </w:t>
      </w:r>
      <w:r w:rsidRPr="00FE7B54">
        <w:rPr>
          <w:rFonts w:ascii="Times New Roman" w:hAnsi="Times New Roman" w:cs="Times New Roman"/>
          <w:sz w:val="20"/>
          <w:szCs w:val="20"/>
        </w:rPr>
        <w:fldChar w:fldCharType="begin"/>
      </w:r>
      <w:r w:rsidRPr="00FE7B54">
        <w:rPr>
          <w:rFonts w:ascii="Times New Roman" w:hAnsi="Times New Roman" w:cs="Times New Roman"/>
          <w:sz w:val="20"/>
          <w:szCs w:val="20"/>
        </w:rPr>
        <w:instrText xml:space="preserve"> SEQ Tabla \* ARABIC </w:instrText>
      </w:r>
      <w:r w:rsidRPr="00FE7B54">
        <w:rPr>
          <w:rFonts w:ascii="Times New Roman" w:hAnsi="Times New Roman" w:cs="Times New Roman"/>
          <w:sz w:val="20"/>
          <w:szCs w:val="20"/>
        </w:rPr>
        <w:fldChar w:fldCharType="separate"/>
      </w:r>
      <w:r w:rsidRPr="00FE7B54">
        <w:rPr>
          <w:rFonts w:ascii="Times New Roman" w:hAnsi="Times New Roman" w:cs="Times New Roman"/>
          <w:sz w:val="20"/>
          <w:szCs w:val="20"/>
        </w:rPr>
        <w:t>8</w:t>
      </w:r>
      <w:r w:rsidRPr="00FE7B54">
        <w:rPr>
          <w:rFonts w:ascii="Times New Roman" w:hAnsi="Times New Roman" w:cs="Times New Roman"/>
          <w:sz w:val="20"/>
          <w:szCs w:val="20"/>
        </w:rPr>
        <w:fldChar w:fldCharType="end"/>
      </w:r>
      <w:r w:rsidRPr="00FE7B54">
        <w:rPr>
          <w:rFonts w:ascii="Times New Roman" w:hAnsi="Times New Roman" w:cs="Times New Roman"/>
          <w:sz w:val="20"/>
          <w:szCs w:val="20"/>
        </w:rPr>
        <w:t xml:space="preserve"> Elementos del esquema de usuario.</w:t>
      </w:r>
      <w:bookmarkEnd w:id="4"/>
      <w:r>
        <w:rPr>
          <w:rFonts w:ascii="Times New Roman" w:hAnsi="Times New Roman" w:cs="Times New Roman"/>
          <w:sz w:val="20"/>
          <w:szCs w:val="20"/>
        </w:rPr>
        <w:t xml:space="preserve"> Elaboración propia</w:t>
      </w:r>
    </w:p>
    <w:p w14:paraId="4474BBEE" w14:textId="77777777" w:rsidR="00FE7B54" w:rsidRPr="00FE7B54" w:rsidRDefault="00FE7B54" w:rsidP="003233C1">
      <w:pPr>
        <w:spacing w:after="0" w:line="360" w:lineRule="auto"/>
        <w:ind w:right="23"/>
        <w:jc w:val="both"/>
        <w:rPr>
          <w:rFonts w:ascii="Times New Roman" w:hAnsi="Times New Roman" w:cs="Times New Roman"/>
          <w:sz w:val="24"/>
          <w:szCs w:val="24"/>
        </w:rPr>
      </w:pPr>
      <w:r w:rsidRPr="00FE7B54">
        <w:rPr>
          <w:rFonts w:ascii="Times New Roman" w:hAnsi="Times New Roman" w:cs="Times New Roman"/>
          <w:sz w:val="24"/>
          <w:szCs w:val="24"/>
        </w:rPr>
        <w:t>Una vez realizados los pasos propuestos queda elaborado el esquema hidráulico perteneciente a la cuenca hidrográfica Sagua La Chica para el año 2024:</w:t>
      </w:r>
    </w:p>
    <w:p w14:paraId="4D5A8210" w14:textId="77777777" w:rsidR="00FE7B54" w:rsidRPr="00FE7B54" w:rsidRDefault="00FE7B54" w:rsidP="00FE7B54">
      <w:pPr>
        <w:spacing w:line="360" w:lineRule="auto"/>
        <w:ind w:left="255" w:right="23"/>
        <w:jc w:val="both"/>
        <w:rPr>
          <w:rFonts w:ascii="Times New Roman" w:hAnsi="Times New Roman" w:cs="Times New Roman"/>
          <w:sz w:val="24"/>
          <w:szCs w:val="24"/>
        </w:rPr>
      </w:pPr>
      <w:r w:rsidRPr="00FE7B54">
        <w:rPr>
          <w:rFonts w:ascii="Times New Roman" w:hAnsi="Times New Roman" w:cs="Times New Roman"/>
          <w:noProof/>
          <w:sz w:val="24"/>
          <w:szCs w:val="24"/>
        </w:rPr>
        <w:lastRenderedPageBreak/>
        <w:drawing>
          <wp:inline distT="0" distB="0" distL="0" distR="0" wp14:anchorId="7BAF0236" wp14:editId="03F4D559">
            <wp:extent cx="4920342" cy="297499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654" t="17006" r="22097" b="8519"/>
                    <a:stretch/>
                  </pic:blipFill>
                  <pic:spPr bwMode="auto">
                    <a:xfrm>
                      <a:off x="0" y="0"/>
                      <a:ext cx="4939350" cy="2986491"/>
                    </a:xfrm>
                    <a:prstGeom prst="rect">
                      <a:avLst/>
                    </a:prstGeom>
                    <a:ln>
                      <a:noFill/>
                    </a:ln>
                    <a:extLst>
                      <a:ext uri="{53640926-AAD7-44D8-BBD7-CCE9431645EC}">
                        <a14:shadowObscured xmlns:a14="http://schemas.microsoft.com/office/drawing/2010/main"/>
                      </a:ext>
                    </a:extLst>
                  </pic:spPr>
                </pic:pic>
              </a:graphicData>
            </a:graphic>
          </wp:inline>
        </w:drawing>
      </w:r>
    </w:p>
    <w:p w14:paraId="243C802C" w14:textId="62A8674C" w:rsidR="00FE7B54" w:rsidRPr="00FE7B54" w:rsidRDefault="00FE7B54" w:rsidP="00FE7B54">
      <w:pPr>
        <w:spacing w:before="120" w:after="120" w:line="360" w:lineRule="auto"/>
        <w:ind w:left="255" w:right="23"/>
        <w:jc w:val="center"/>
        <w:rPr>
          <w:rFonts w:ascii="Times New Roman" w:hAnsi="Times New Roman" w:cs="Times New Roman"/>
          <w:sz w:val="20"/>
          <w:szCs w:val="20"/>
        </w:rPr>
      </w:pPr>
      <w:r w:rsidRPr="00FE7B54">
        <w:rPr>
          <w:rFonts w:ascii="Times New Roman" w:hAnsi="Times New Roman" w:cs="Times New Roman"/>
          <w:sz w:val="20"/>
          <w:szCs w:val="20"/>
        </w:rPr>
        <w:t>Figura 3. Esquema hidráulico.</w:t>
      </w:r>
      <w:r>
        <w:rPr>
          <w:rFonts w:ascii="Times New Roman" w:hAnsi="Times New Roman" w:cs="Times New Roman"/>
          <w:sz w:val="20"/>
          <w:szCs w:val="20"/>
        </w:rPr>
        <w:t xml:space="preserve"> Elaboración propia</w:t>
      </w:r>
    </w:p>
    <w:p w14:paraId="400DE217" w14:textId="77777777" w:rsidR="00FE7B54" w:rsidRPr="00FE7B54" w:rsidRDefault="00FE7B54" w:rsidP="00FE7B54">
      <w:pPr>
        <w:spacing w:after="0" w:line="360" w:lineRule="auto"/>
        <w:ind w:right="23" w:firstLine="15"/>
        <w:jc w:val="both"/>
        <w:rPr>
          <w:rFonts w:ascii="Times New Roman" w:hAnsi="Times New Roman" w:cs="Times New Roman"/>
          <w:sz w:val="24"/>
          <w:szCs w:val="24"/>
        </w:rPr>
      </w:pPr>
      <w:r w:rsidRPr="00FE7B54">
        <w:rPr>
          <w:rFonts w:ascii="Times New Roman" w:hAnsi="Times New Roman" w:cs="Times New Roman"/>
          <w:sz w:val="24"/>
          <w:szCs w:val="24"/>
        </w:rPr>
        <w:t>A continuación, deberán añadir los datos correspondientes a cada elemento, una vez ejecutemos el programa, deberemos validar el esquema de usuario hasta lograr que este esté correcto.</w:t>
      </w:r>
    </w:p>
    <w:p w14:paraId="6FA7587B" w14:textId="77777777" w:rsidR="00FE7B54" w:rsidRPr="00FE7B54" w:rsidRDefault="00FE7B54" w:rsidP="00FE7B54">
      <w:pPr>
        <w:spacing w:after="0" w:line="360" w:lineRule="auto"/>
        <w:ind w:right="23" w:firstLine="15"/>
        <w:jc w:val="both"/>
        <w:rPr>
          <w:rFonts w:ascii="Times New Roman" w:hAnsi="Times New Roman" w:cs="Times New Roman"/>
          <w:sz w:val="24"/>
          <w:szCs w:val="24"/>
        </w:rPr>
      </w:pPr>
      <w:r w:rsidRPr="00FE7B54">
        <w:rPr>
          <w:rFonts w:ascii="Times New Roman" w:hAnsi="Times New Roman" w:cs="Times New Roman"/>
          <w:sz w:val="24"/>
          <w:szCs w:val="24"/>
        </w:rPr>
        <w:t>Una vez ejecutado el modelo se podrán ver los resultados, el programa los brindará como tabla y como gráfico, se deberá verificar el cumplimiento de las demandas propuestas y el correcto funcionamiento de las tomas y las conducciones.</w:t>
      </w:r>
    </w:p>
    <w:p w14:paraId="01FA5582" w14:textId="77777777" w:rsidR="00FE7B54" w:rsidRPr="00FE7B54" w:rsidRDefault="00FE7B54" w:rsidP="00FE7B54">
      <w:pPr>
        <w:spacing w:after="0" w:line="360" w:lineRule="auto"/>
        <w:ind w:right="23"/>
        <w:jc w:val="both"/>
        <w:rPr>
          <w:rFonts w:ascii="Times New Roman" w:hAnsi="Times New Roman" w:cs="Times New Roman"/>
          <w:sz w:val="24"/>
          <w:szCs w:val="24"/>
        </w:rPr>
      </w:pPr>
      <w:r w:rsidRPr="00FE7B54">
        <w:rPr>
          <w:rFonts w:ascii="Times New Roman" w:hAnsi="Times New Roman" w:cs="Times New Roman"/>
          <w:sz w:val="24"/>
          <w:szCs w:val="24"/>
        </w:rPr>
        <w:t xml:space="preserve"> En este caso los resultados son favorables ya que el volumen de los aportes y volúmenes de embalses cumplen con la demanda por usuario dándonos un máximo déficit mensual y máximo déficit cada dos meses iguales a cero, un número de fallos anuales iguales a cero, fallo máximo para periodos de un año, dos años y diez años iguales a cero, por tanto, la de garantía de satisfacción resultante para las demandas corresponde a un 100 %.</w:t>
      </w:r>
    </w:p>
    <w:p w14:paraId="62A27192" w14:textId="2F6FD797" w:rsidR="00FE7B54" w:rsidRPr="00FE7B54" w:rsidRDefault="00FE7B54" w:rsidP="00FE7B5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3.2</w:t>
      </w:r>
      <w:r w:rsidRPr="00FE7B54">
        <w:rPr>
          <w:rFonts w:ascii="Times New Roman" w:hAnsi="Times New Roman" w:cs="Times New Roman"/>
          <w:b/>
          <w:sz w:val="24"/>
          <w:szCs w:val="24"/>
        </w:rPr>
        <w:t xml:space="preserve"> Escenario número 2. La Quinta+ Aportes.</w:t>
      </w:r>
    </w:p>
    <w:p w14:paraId="0CEBD00C" w14:textId="77777777" w:rsidR="00FE7B54" w:rsidRPr="00FE7B54" w:rsidRDefault="00FE7B54" w:rsidP="00FE7B54">
      <w:pPr>
        <w:spacing w:after="0" w:line="360" w:lineRule="auto"/>
        <w:jc w:val="both"/>
        <w:rPr>
          <w:rFonts w:ascii="Times New Roman" w:hAnsi="Times New Roman" w:cs="Times New Roman"/>
          <w:sz w:val="24"/>
          <w:szCs w:val="24"/>
          <w:lang w:val="es-MX"/>
        </w:rPr>
      </w:pPr>
      <w:r w:rsidRPr="00FE7B54">
        <w:rPr>
          <w:rFonts w:ascii="Times New Roman" w:hAnsi="Times New Roman" w:cs="Times New Roman"/>
          <w:sz w:val="24"/>
          <w:szCs w:val="24"/>
          <w:lang w:val="es-MX"/>
        </w:rPr>
        <w:t>Para este escenario se preserva el Embalse Minerva para el abastecimiento del acueducto del municipio de Santa Clara y se utilizan los aportes del embalse La Quinta, los aportes de Pavón, y Alacranes-Pavón para satisfacer las demandas existentes, para lograr ver el comportamiento del sistema en este caso, aplicaremos dos Reglas de Operación (RO) de Umbral.</w:t>
      </w:r>
    </w:p>
    <w:p w14:paraId="4D992650" w14:textId="77777777" w:rsidR="00FE7B54" w:rsidRPr="00FE7B54" w:rsidRDefault="00FE7B54" w:rsidP="00FE7B54">
      <w:pPr>
        <w:spacing w:after="0" w:line="360" w:lineRule="auto"/>
        <w:jc w:val="both"/>
        <w:rPr>
          <w:rFonts w:ascii="Times New Roman" w:hAnsi="Times New Roman" w:cs="Times New Roman"/>
          <w:sz w:val="24"/>
          <w:szCs w:val="24"/>
          <w:lang w:val="es-MX"/>
        </w:rPr>
      </w:pPr>
      <w:r w:rsidRPr="00FE7B54">
        <w:rPr>
          <w:rFonts w:ascii="Times New Roman" w:hAnsi="Times New Roman" w:cs="Times New Roman"/>
          <w:sz w:val="24"/>
          <w:szCs w:val="24"/>
          <w:lang w:val="es-MX"/>
        </w:rPr>
        <w:lastRenderedPageBreak/>
        <w:t>La primera RO corresponde al embalse Minerva, las tomas señaladas podrán abastecerse siempre y cuando el valor del volumen del embalse no baje de 140 hm3 esta regla se aplicará a las demandas directas del embalse Minerva, y al ser el máximo valor que alcanza el embalse no serán abastecidas, dejaremos fuera de esta RO a las demandas que se quieren abastecer con este embalse, quedando así restringido el uso del embalse Minerva.</w:t>
      </w:r>
    </w:p>
    <w:p w14:paraId="075FAF9F" w14:textId="77777777" w:rsidR="00FE7B54" w:rsidRPr="00FE7B54" w:rsidRDefault="00FE7B54" w:rsidP="00FE7B54">
      <w:pPr>
        <w:spacing w:after="0" w:line="360" w:lineRule="auto"/>
        <w:jc w:val="both"/>
        <w:rPr>
          <w:rFonts w:ascii="Times New Roman" w:hAnsi="Times New Roman" w:cs="Times New Roman"/>
          <w:sz w:val="24"/>
          <w:szCs w:val="24"/>
          <w:lang w:val="es-MX"/>
        </w:rPr>
      </w:pPr>
      <w:r w:rsidRPr="00FE7B54">
        <w:rPr>
          <w:rFonts w:ascii="Times New Roman" w:hAnsi="Times New Roman" w:cs="Times New Roman"/>
          <w:sz w:val="24"/>
          <w:szCs w:val="24"/>
          <w:lang w:val="es-MX"/>
        </w:rPr>
        <w:t>La segunda RO corresponde al embalse La Quinta en este caso el valor mínimo del volumen es 5 hm3, por tanto, la reserva en este embalse no descenderá de este nivel y bastará para abastecer las demandas del sistema. Esta RO se aplicará a las demás demandas del sistema que se necesiten abastecer con el embalse La Quinta.</w:t>
      </w:r>
    </w:p>
    <w:p w14:paraId="7CE11118" w14:textId="77777777" w:rsidR="00FE7B54" w:rsidRPr="00FE7B54" w:rsidRDefault="00FE7B54" w:rsidP="00FE7B54">
      <w:pPr>
        <w:spacing w:after="0" w:line="360" w:lineRule="auto"/>
        <w:jc w:val="both"/>
        <w:rPr>
          <w:rFonts w:ascii="Times New Roman" w:hAnsi="Times New Roman" w:cs="Times New Roman"/>
          <w:sz w:val="24"/>
          <w:szCs w:val="24"/>
          <w:lang w:val="es-MX"/>
        </w:rPr>
      </w:pPr>
      <w:r w:rsidRPr="00FE7B54">
        <w:rPr>
          <w:rFonts w:ascii="Times New Roman" w:hAnsi="Times New Roman" w:cs="Times New Roman"/>
          <w:sz w:val="24"/>
          <w:szCs w:val="24"/>
          <w:lang w:val="es-MX"/>
        </w:rPr>
        <w:t>Como resultado tenemos una regulación en ambos embalses que permiten la satisfacción de las 10 demandas que por su ubicación pudieron ser abastecidas con el embalse La Quinta además de la demanda para la que se quiere reservar el embalse Minerva. No obstante, en el proceso quedaron 2 demandas a las que no se pudo abastecer por ser demandas directas del embalse Minerva en regulación y no estar al alcance del embalse La Quinta.</w:t>
      </w:r>
    </w:p>
    <w:p w14:paraId="7EF504CA" w14:textId="77777777" w:rsidR="001725CA" w:rsidRDefault="00FE7B54" w:rsidP="001725CA">
      <w:pPr>
        <w:spacing w:after="0" w:line="360" w:lineRule="auto"/>
        <w:jc w:val="both"/>
        <w:rPr>
          <w:rFonts w:ascii="Times New Roman" w:hAnsi="Times New Roman" w:cs="Times New Roman"/>
          <w:sz w:val="24"/>
          <w:szCs w:val="24"/>
          <w:lang w:val="es-MX"/>
        </w:rPr>
      </w:pPr>
      <w:r w:rsidRPr="00FE7B54">
        <w:rPr>
          <w:rFonts w:ascii="Times New Roman" w:hAnsi="Times New Roman" w:cs="Times New Roman"/>
          <w:sz w:val="24"/>
          <w:szCs w:val="24"/>
          <w:lang w:val="es-MX"/>
        </w:rPr>
        <w:t>En consecuencia, este escenario presenta una garantía promedio general del cumplimiento de las demandas en el sistema de un 84,6%.</w:t>
      </w:r>
      <w:bookmarkStart w:id="5" w:name="_Toc203379955"/>
    </w:p>
    <w:p w14:paraId="2E5A1FE7" w14:textId="1C7C2785" w:rsidR="001725CA" w:rsidRPr="001725CA" w:rsidRDefault="001725CA" w:rsidP="001725CA">
      <w:pPr>
        <w:spacing w:after="0" w:line="360" w:lineRule="auto"/>
        <w:jc w:val="both"/>
        <w:rPr>
          <w:rFonts w:ascii="Times New Roman" w:hAnsi="Times New Roman" w:cs="Times New Roman"/>
          <w:b/>
          <w:sz w:val="24"/>
          <w:szCs w:val="24"/>
        </w:rPr>
      </w:pPr>
      <w:r w:rsidRPr="001725CA">
        <w:rPr>
          <w:rFonts w:ascii="Times New Roman" w:hAnsi="Times New Roman" w:cs="Times New Roman"/>
          <w:b/>
          <w:sz w:val="24"/>
          <w:szCs w:val="24"/>
        </w:rPr>
        <w:t>3.3 Escenario número 3. Minerva+ Aportes.</w:t>
      </w:r>
      <w:bookmarkEnd w:id="5"/>
    </w:p>
    <w:p w14:paraId="5286A806" w14:textId="77777777" w:rsidR="001725CA" w:rsidRPr="001725CA" w:rsidRDefault="001725CA" w:rsidP="001725CA">
      <w:pPr>
        <w:spacing w:after="0" w:line="360" w:lineRule="auto"/>
        <w:jc w:val="both"/>
        <w:rPr>
          <w:rFonts w:ascii="Times New Roman" w:hAnsi="Times New Roman" w:cs="Times New Roman"/>
          <w:sz w:val="24"/>
          <w:szCs w:val="24"/>
          <w:lang w:val="es-MX"/>
        </w:rPr>
      </w:pPr>
      <w:r w:rsidRPr="001725CA">
        <w:rPr>
          <w:rFonts w:ascii="Times New Roman" w:hAnsi="Times New Roman" w:cs="Times New Roman"/>
          <w:sz w:val="24"/>
          <w:szCs w:val="24"/>
          <w:lang w:val="es-MX"/>
        </w:rPr>
        <w:t>En este escenario recrearemos la ocurrencia de una avería en el Embalse La Quinta que limita su uso, se utilizará el Embalse Minerva y los aportes de Pavón, y Alacranes-Pavón para satisfacer las demandas existentes en el sistema haciendo uso del esquema del sistema anteriormente elaborado.</w:t>
      </w:r>
    </w:p>
    <w:p w14:paraId="12E8D67C" w14:textId="77777777" w:rsidR="001725CA" w:rsidRPr="001725CA" w:rsidRDefault="001725CA" w:rsidP="001725CA">
      <w:pPr>
        <w:spacing w:after="0" w:line="360" w:lineRule="auto"/>
        <w:jc w:val="both"/>
        <w:rPr>
          <w:rFonts w:ascii="Times New Roman" w:hAnsi="Times New Roman" w:cs="Times New Roman"/>
          <w:sz w:val="24"/>
          <w:szCs w:val="24"/>
          <w:lang w:val="es-MX"/>
        </w:rPr>
      </w:pPr>
      <w:r w:rsidRPr="001725CA">
        <w:rPr>
          <w:rFonts w:ascii="Times New Roman" w:hAnsi="Times New Roman" w:cs="Times New Roman"/>
          <w:sz w:val="24"/>
          <w:szCs w:val="24"/>
          <w:lang w:val="es-MX"/>
        </w:rPr>
        <w:t>En este caso fue necesario el uso de una sola Regla de Operación (RO) anteriormente explicada en el escenario número 2, las cual describimos como RO de Minerva y las condiciones fueron las siguientes las demandas serán abastecidas con el embalse Minerva siempre que el embalse este por encima de los 20 hm3 y será abastecida con el embalse La Quinta siempre que el volumen del embalse este por encima de 23 hm3, al ser este el volumen máximo del embalse La Quinta, las demandas serán abastecidas con el Embalse Minerva.</w:t>
      </w:r>
    </w:p>
    <w:p w14:paraId="09790088" w14:textId="77777777" w:rsidR="001725CA" w:rsidRPr="001725CA" w:rsidRDefault="001725CA" w:rsidP="001725CA">
      <w:pPr>
        <w:spacing w:after="0" w:line="360" w:lineRule="auto"/>
        <w:jc w:val="both"/>
        <w:rPr>
          <w:rFonts w:ascii="Times New Roman" w:hAnsi="Times New Roman" w:cs="Times New Roman"/>
          <w:sz w:val="24"/>
          <w:szCs w:val="24"/>
          <w:lang w:val="es-MX"/>
        </w:rPr>
      </w:pPr>
      <w:r w:rsidRPr="001725CA">
        <w:rPr>
          <w:rFonts w:ascii="Times New Roman" w:hAnsi="Times New Roman" w:cs="Times New Roman"/>
          <w:sz w:val="24"/>
          <w:szCs w:val="24"/>
          <w:lang w:val="es-MX"/>
        </w:rPr>
        <w:lastRenderedPageBreak/>
        <w:t>En consecuencia, nuestros resultados son favorables una vez ejecutado el procedimiento logramos el abastecimiento de todas las demandas con éxito teniendo como resultado una garantía general de satisfacción de la demanda de un 100%.</w:t>
      </w:r>
    </w:p>
    <w:p w14:paraId="57F915C4" w14:textId="4F4FDADA" w:rsidR="001725CA" w:rsidRPr="001725CA" w:rsidRDefault="001725CA" w:rsidP="001725CA">
      <w:pPr>
        <w:spacing w:after="0" w:line="360" w:lineRule="auto"/>
        <w:jc w:val="both"/>
        <w:rPr>
          <w:rFonts w:ascii="Times New Roman" w:hAnsi="Times New Roman" w:cs="Times New Roman"/>
          <w:b/>
          <w:bCs/>
          <w:sz w:val="24"/>
          <w:szCs w:val="24"/>
          <w:lang w:val="es-MX"/>
        </w:rPr>
      </w:pPr>
      <w:r w:rsidRPr="001725CA">
        <w:rPr>
          <w:rFonts w:ascii="Times New Roman" w:hAnsi="Times New Roman" w:cs="Times New Roman"/>
          <w:b/>
          <w:bCs/>
          <w:sz w:val="24"/>
          <w:szCs w:val="24"/>
          <w:lang w:val="es-MX"/>
        </w:rPr>
        <w:t>3.4</w:t>
      </w:r>
      <w:r>
        <w:rPr>
          <w:rFonts w:ascii="Arial" w:hAnsi="Arial" w:cs="Arial"/>
          <w:b/>
          <w:bCs/>
        </w:rPr>
        <w:t xml:space="preserve"> </w:t>
      </w:r>
      <w:r w:rsidRPr="001725CA">
        <w:rPr>
          <w:rFonts w:ascii="Times New Roman" w:hAnsi="Times New Roman" w:cs="Times New Roman"/>
          <w:b/>
          <w:bCs/>
          <w:sz w:val="24"/>
          <w:szCs w:val="24"/>
          <w:lang w:val="es-MX"/>
        </w:rPr>
        <w:t>Escenario número 4. 50% Minerva+ 50% La Quinta+ 50% Aportes</w:t>
      </w:r>
    </w:p>
    <w:p w14:paraId="25A482D5" w14:textId="021AC4B5" w:rsidR="001725CA" w:rsidRPr="001725CA" w:rsidRDefault="001725CA" w:rsidP="001725CA">
      <w:pPr>
        <w:spacing w:after="0" w:line="360" w:lineRule="auto"/>
        <w:jc w:val="both"/>
        <w:rPr>
          <w:rFonts w:ascii="Times New Roman" w:hAnsi="Times New Roman" w:cs="Times New Roman"/>
          <w:sz w:val="24"/>
          <w:szCs w:val="24"/>
          <w:lang w:val="es-MX"/>
        </w:rPr>
      </w:pPr>
      <w:r w:rsidRPr="001725CA">
        <w:rPr>
          <w:rFonts w:ascii="Times New Roman" w:hAnsi="Times New Roman" w:cs="Times New Roman"/>
          <w:sz w:val="24"/>
          <w:szCs w:val="24"/>
          <w:lang w:val="es-MX"/>
        </w:rPr>
        <w:t>Para este escenario se mantuvo el mismo esquema de usuario, se realizó una reducción las aportaciones del sistema y volumen de los embalses de un 50%.</w:t>
      </w:r>
    </w:p>
    <w:p w14:paraId="709CCF78" w14:textId="77777777" w:rsidR="001725CA" w:rsidRDefault="001725CA" w:rsidP="001725CA">
      <w:pPr>
        <w:spacing w:after="0" w:line="360" w:lineRule="auto"/>
        <w:jc w:val="both"/>
        <w:rPr>
          <w:rFonts w:ascii="Times New Roman" w:hAnsi="Times New Roman" w:cs="Times New Roman"/>
          <w:sz w:val="24"/>
          <w:szCs w:val="24"/>
          <w:lang w:val="es-MX"/>
        </w:rPr>
      </w:pPr>
      <w:r w:rsidRPr="001725CA">
        <w:rPr>
          <w:rFonts w:ascii="Times New Roman" w:hAnsi="Times New Roman" w:cs="Times New Roman"/>
          <w:sz w:val="24"/>
          <w:szCs w:val="24"/>
          <w:lang w:val="es-MX"/>
        </w:rPr>
        <w:t>En este caso los resultados son favorables ya que al igual que el escenario #1, el volumen de los aportes y volúmenes de los embalses cumplen con la demanda por usuario obteniendo un máximo déficit mensual y máximo déficit cada dos meses iguales a cero, un numero de fallos anuales iguales a cero, fallo máximo para periodos de un año, dos años y diez años iguales a cero, por tanto, la de garantía de satisfacción resultante para las demandas corresponde a un 100</w:t>
      </w:r>
      <w:r w:rsidRPr="001E33CF">
        <w:rPr>
          <w:rFonts w:ascii="Arial" w:hAnsi="Arial" w:cs="Arial"/>
        </w:rPr>
        <w:t xml:space="preserve"> </w:t>
      </w:r>
      <w:r w:rsidRPr="001725CA">
        <w:rPr>
          <w:rFonts w:ascii="Times New Roman" w:hAnsi="Times New Roman" w:cs="Times New Roman"/>
          <w:sz w:val="24"/>
          <w:szCs w:val="24"/>
          <w:lang w:val="es-MX"/>
        </w:rPr>
        <w:t>%.</w:t>
      </w:r>
    </w:p>
    <w:p w14:paraId="7F2B3CDC" w14:textId="461A0E21" w:rsidR="001725CA" w:rsidRPr="001725CA" w:rsidRDefault="001725CA" w:rsidP="001725CA">
      <w:pPr>
        <w:spacing w:after="0" w:line="360" w:lineRule="auto"/>
        <w:jc w:val="both"/>
        <w:rPr>
          <w:rFonts w:ascii="Times New Roman" w:hAnsi="Times New Roman" w:cs="Times New Roman"/>
          <w:b/>
          <w:bCs/>
          <w:sz w:val="24"/>
          <w:szCs w:val="24"/>
          <w:lang w:val="es-MX"/>
        </w:rPr>
      </w:pPr>
      <w:r w:rsidRPr="001725CA">
        <w:rPr>
          <w:rFonts w:ascii="Times New Roman" w:hAnsi="Times New Roman" w:cs="Times New Roman"/>
          <w:b/>
          <w:bCs/>
          <w:sz w:val="24"/>
          <w:szCs w:val="24"/>
          <w:lang w:val="es-MX"/>
        </w:rPr>
        <w:t>3.5</w:t>
      </w:r>
      <w:bookmarkStart w:id="6" w:name="_Toc203379957"/>
      <w:r w:rsidRPr="001725CA">
        <w:rPr>
          <w:rFonts w:ascii="Times New Roman" w:hAnsi="Times New Roman" w:cs="Times New Roman"/>
          <w:b/>
          <w:bCs/>
          <w:sz w:val="24"/>
          <w:szCs w:val="24"/>
          <w:lang w:val="es-MX"/>
        </w:rPr>
        <w:t xml:space="preserve"> Escenario número 5. 30% Minerva+ 30% La Quinta+ 30% Aportes.</w:t>
      </w:r>
      <w:bookmarkEnd w:id="6"/>
    </w:p>
    <w:p w14:paraId="38CAC9F8" w14:textId="77777777" w:rsidR="001725CA" w:rsidRPr="001725CA" w:rsidRDefault="001725CA" w:rsidP="001725CA">
      <w:pPr>
        <w:spacing w:after="0" w:line="360" w:lineRule="auto"/>
        <w:jc w:val="both"/>
        <w:rPr>
          <w:rFonts w:ascii="Times New Roman" w:hAnsi="Times New Roman" w:cs="Times New Roman"/>
          <w:sz w:val="24"/>
          <w:szCs w:val="24"/>
          <w:lang w:val="es-MX"/>
        </w:rPr>
      </w:pPr>
      <w:r w:rsidRPr="001725CA">
        <w:rPr>
          <w:rFonts w:ascii="Times New Roman" w:hAnsi="Times New Roman" w:cs="Times New Roman"/>
          <w:sz w:val="24"/>
          <w:szCs w:val="24"/>
          <w:lang w:val="es-MX"/>
        </w:rPr>
        <w:t>En este escenario número 5 se mantuvo el mismo esquema del sistema y se realiza una reducción de las aportaciones del sistema y volúmenes del embalse hasta un 30% dándole paso a una situación de disponibilidad de recursos hídricos critica.</w:t>
      </w:r>
    </w:p>
    <w:p w14:paraId="56B30749" w14:textId="77777777" w:rsidR="001725CA" w:rsidRPr="001725CA" w:rsidRDefault="001725CA" w:rsidP="001725CA">
      <w:pPr>
        <w:spacing w:after="0" w:line="360" w:lineRule="auto"/>
        <w:jc w:val="both"/>
        <w:rPr>
          <w:rFonts w:ascii="Times New Roman" w:hAnsi="Times New Roman" w:cs="Times New Roman"/>
          <w:sz w:val="24"/>
          <w:szCs w:val="24"/>
          <w:lang w:val="es-MX"/>
        </w:rPr>
      </w:pPr>
      <w:r w:rsidRPr="001725CA">
        <w:rPr>
          <w:rFonts w:ascii="Times New Roman" w:hAnsi="Times New Roman" w:cs="Times New Roman"/>
          <w:sz w:val="24"/>
          <w:szCs w:val="24"/>
          <w:lang w:val="es-MX"/>
        </w:rPr>
        <w:t>El sistema presento una garantía promedio del cumplimiento de las demandas de un 78%. Teniendo en cuenta esto procedemos a gestionar y planificar el uso de los recursos hídricos en el sistema mediante el uso de los números de prioridad, normas de restricción o sistemas de alarma Posteriormente se establecen los números de prioridad por tomas correspondientes a las demandas:</w:t>
      </w:r>
    </w:p>
    <w:p w14:paraId="2D2B4D58" w14:textId="77777777" w:rsidR="001725CA" w:rsidRPr="001725CA" w:rsidRDefault="001725CA" w:rsidP="001725CA">
      <w:pPr>
        <w:spacing w:after="0" w:line="360" w:lineRule="auto"/>
        <w:jc w:val="both"/>
        <w:rPr>
          <w:rFonts w:ascii="Times New Roman" w:hAnsi="Times New Roman" w:cs="Times New Roman"/>
          <w:sz w:val="24"/>
          <w:szCs w:val="24"/>
          <w:lang w:val="es-MX"/>
        </w:rPr>
      </w:pPr>
      <w:r w:rsidRPr="001725CA">
        <w:rPr>
          <w:rFonts w:ascii="Times New Roman" w:hAnsi="Times New Roman" w:cs="Times New Roman"/>
          <w:sz w:val="24"/>
          <w:szCs w:val="24"/>
          <w:lang w:val="es-MX"/>
        </w:rPr>
        <w:t>Como resultado 10 de las demandas del sistema presentan un déficit mensual, y los 3 restantes son abastecidas con éxito, a continuación, se muestra una grafico de los porcientos de garantía del cumplimiento perteneciente a las demandas con déficit:</w:t>
      </w:r>
    </w:p>
    <w:p w14:paraId="7142E9EE" w14:textId="77777777" w:rsidR="001725CA" w:rsidRPr="001725CA" w:rsidRDefault="001725CA" w:rsidP="001725CA">
      <w:pPr>
        <w:spacing w:after="0" w:line="360" w:lineRule="auto"/>
        <w:jc w:val="center"/>
        <w:rPr>
          <w:rFonts w:ascii="Times New Roman" w:hAnsi="Times New Roman" w:cs="Times New Roman"/>
          <w:sz w:val="24"/>
          <w:szCs w:val="24"/>
          <w:lang w:val="es-MX"/>
        </w:rPr>
      </w:pPr>
      <w:r w:rsidRPr="001725CA">
        <w:rPr>
          <w:rFonts w:ascii="Times New Roman" w:hAnsi="Times New Roman" w:cs="Times New Roman"/>
          <w:noProof/>
          <w:sz w:val="24"/>
          <w:szCs w:val="24"/>
          <w:lang w:val="es-MX"/>
        </w:rPr>
        <w:drawing>
          <wp:inline distT="0" distB="0" distL="0" distR="0" wp14:anchorId="2BB8C7C3" wp14:editId="6AD44C4B">
            <wp:extent cx="3904179" cy="2044558"/>
            <wp:effectExtent l="0" t="0" r="1270" b="13335"/>
            <wp:docPr id="26" name="Gráfico 26">
              <a:extLst xmlns:a="http://schemas.openxmlformats.org/drawingml/2006/main">
                <a:ext uri="{FF2B5EF4-FFF2-40B4-BE49-F238E27FC236}">
                  <a16:creationId xmlns:a16="http://schemas.microsoft.com/office/drawing/2014/main" id="{9819EB6D-E39E-4B5E-BD33-F6B0AF3CD3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F153BCF" w14:textId="78FF335D" w:rsidR="001725CA" w:rsidRPr="001725CA" w:rsidRDefault="001725CA" w:rsidP="001725CA">
      <w:pPr>
        <w:spacing w:after="0" w:line="360" w:lineRule="auto"/>
        <w:jc w:val="center"/>
        <w:rPr>
          <w:rFonts w:ascii="Times New Roman" w:hAnsi="Times New Roman" w:cs="Times New Roman"/>
          <w:sz w:val="20"/>
          <w:szCs w:val="20"/>
          <w:lang w:val="es-MX"/>
        </w:rPr>
      </w:pPr>
      <w:r w:rsidRPr="001725CA">
        <w:rPr>
          <w:rFonts w:ascii="Times New Roman" w:hAnsi="Times New Roman" w:cs="Times New Roman"/>
          <w:sz w:val="20"/>
          <w:szCs w:val="20"/>
          <w:lang w:val="es-MX"/>
        </w:rPr>
        <w:lastRenderedPageBreak/>
        <w:t>Figura 7. Gráfico del porciento de garantía por demandas con déficit.</w:t>
      </w:r>
      <w:r>
        <w:rPr>
          <w:rFonts w:ascii="Times New Roman" w:hAnsi="Times New Roman" w:cs="Times New Roman"/>
          <w:sz w:val="20"/>
          <w:szCs w:val="20"/>
          <w:lang w:val="es-MX"/>
        </w:rPr>
        <w:t xml:space="preserve"> Elaboración propia</w:t>
      </w:r>
    </w:p>
    <w:p w14:paraId="5CA440D9" w14:textId="77777777" w:rsidR="001725CA" w:rsidRPr="001725CA" w:rsidRDefault="001725CA" w:rsidP="001725CA">
      <w:pPr>
        <w:spacing w:after="0" w:line="360" w:lineRule="auto"/>
        <w:jc w:val="both"/>
        <w:rPr>
          <w:rFonts w:ascii="Times New Roman" w:hAnsi="Times New Roman" w:cs="Times New Roman"/>
          <w:sz w:val="24"/>
          <w:szCs w:val="24"/>
          <w:lang w:val="es-MX"/>
        </w:rPr>
      </w:pPr>
      <w:r w:rsidRPr="001725CA">
        <w:rPr>
          <w:rFonts w:ascii="Times New Roman" w:hAnsi="Times New Roman" w:cs="Times New Roman"/>
          <w:sz w:val="24"/>
          <w:szCs w:val="24"/>
          <w:lang w:val="es-MX"/>
        </w:rPr>
        <w:t>Una vez ejecutado el procedimiento percibiremos que en dependencia de las prioridades que otorguemos, el sistema puede mejorar en el cumplimiento de las demandas priorizadas disminuyendo el déficit en estas hasta donde se pueda con el volumen de agua existente en el sistema, esto no hará disminuir el déficit en el sistema general, sino que lo distribuirá de manera que pueda cumplir con el orden de prioridad y aumentara los porcientos de garantía general del cumplimiento de las demandas con respecto a las anteriormente calculadas con déficit en el sistema, a continuación mostramos el grafico anterior con las mismas demandas anteriormente con déficit para sus nuevos valores una vez establecidos los números de prioridad.</w:t>
      </w:r>
    </w:p>
    <w:p w14:paraId="2458BE11" w14:textId="77777777" w:rsidR="001725CA" w:rsidRPr="001725CA" w:rsidRDefault="001725CA" w:rsidP="001725CA">
      <w:pPr>
        <w:spacing w:after="0" w:line="360" w:lineRule="auto"/>
        <w:jc w:val="center"/>
        <w:rPr>
          <w:rFonts w:ascii="Times New Roman" w:hAnsi="Times New Roman" w:cs="Times New Roman"/>
          <w:sz w:val="24"/>
          <w:szCs w:val="24"/>
          <w:lang w:val="es-MX"/>
        </w:rPr>
      </w:pPr>
      <w:r w:rsidRPr="001725CA">
        <w:rPr>
          <w:rFonts w:ascii="Times New Roman" w:hAnsi="Times New Roman" w:cs="Times New Roman"/>
          <w:noProof/>
          <w:sz w:val="24"/>
          <w:szCs w:val="24"/>
          <w:lang w:val="es-MX"/>
        </w:rPr>
        <w:drawing>
          <wp:inline distT="0" distB="0" distL="0" distR="0" wp14:anchorId="6D7FCBE2" wp14:editId="5ABD9A01">
            <wp:extent cx="3638145" cy="1906622"/>
            <wp:effectExtent l="0" t="0" r="635" b="17780"/>
            <wp:docPr id="28" name="Gráfico 28">
              <a:extLst xmlns:a="http://schemas.openxmlformats.org/drawingml/2006/main">
                <a:ext uri="{FF2B5EF4-FFF2-40B4-BE49-F238E27FC236}">
                  <a16:creationId xmlns:a16="http://schemas.microsoft.com/office/drawing/2014/main" id="{435EFA3C-642D-4345-8237-ECD33D60A8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B8067F7" w14:textId="7A53EA9B" w:rsidR="001725CA" w:rsidRPr="001725CA" w:rsidRDefault="001725CA" w:rsidP="001725CA">
      <w:pPr>
        <w:spacing w:after="0" w:line="360" w:lineRule="auto"/>
        <w:jc w:val="center"/>
        <w:rPr>
          <w:rFonts w:ascii="Times New Roman" w:hAnsi="Times New Roman" w:cs="Times New Roman"/>
          <w:sz w:val="20"/>
          <w:szCs w:val="20"/>
          <w:lang w:val="es-MX"/>
        </w:rPr>
      </w:pPr>
      <w:r w:rsidRPr="001725CA">
        <w:rPr>
          <w:rFonts w:ascii="Times New Roman" w:hAnsi="Times New Roman" w:cs="Times New Roman"/>
          <w:sz w:val="20"/>
          <w:szCs w:val="20"/>
          <w:lang w:val="es-MX"/>
        </w:rPr>
        <w:t>Figura 8. Gráfico del porciento de garantía por demandas con déficit.</w:t>
      </w:r>
      <w:r>
        <w:rPr>
          <w:rFonts w:ascii="Times New Roman" w:hAnsi="Times New Roman" w:cs="Times New Roman"/>
          <w:sz w:val="20"/>
          <w:szCs w:val="20"/>
          <w:lang w:val="es-MX"/>
        </w:rPr>
        <w:t xml:space="preserve"> Elaboración propia</w:t>
      </w:r>
    </w:p>
    <w:p w14:paraId="08216E1D" w14:textId="77777777" w:rsidR="001725CA" w:rsidRPr="001725CA" w:rsidRDefault="001725CA" w:rsidP="001725CA">
      <w:pPr>
        <w:spacing w:after="0" w:line="360" w:lineRule="auto"/>
        <w:jc w:val="both"/>
        <w:rPr>
          <w:rFonts w:ascii="Times New Roman" w:hAnsi="Times New Roman" w:cs="Times New Roman"/>
          <w:sz w:val="24"/>
          <w:szCs w:val="24"/>
          <w:lang w:val="es-MX"/>
        </w:rPr>
      </w:pPr>
      <w:r w:rsidRPr="001725CA">
        <w:rPr>
          <w:rFonts w:ascii="Times New Roman" w:hAnsi="Times New Roman" w:cs="Times New Roman"/>
          <w:sz w:val="24"/>
          <w:szCs w:val="24"/>
          <w:lang w:val="es-MX"/>
        </w:rPr>
        <w:t>En consecuencia, con este nuevo orden obtuvimos un valor de garantía promedio de las demandas con déficit de un 85.86%, con 7 demandas abastecidas con éxito y 6 demandas con déficit mensuales. Mientas que el promedio de garantías general incluyendo todas las demandas es de un 89.1%.</w:t>
      </w:r>
    </w:p>
    <w:p w14:paraId="0589F9EC" w14:textId="77777777" w:rsidR="001725CA" w:rsidRPr="001725CA" w:rsidRDefault="001725CA" w:rsidP="001725CA">
      <w:pPr>
        <w:spacing w:after="0" w:line="360" w:lineRule="auto"/>
        <w:jc w:val="center"/>
        <w:rPr>
          <w:rFonts w:ascii="Times New Roman" w:hAnsi="Times New Roman" w:cs="Times New Roman"/>
          <w:sz w:val="24"/>
          <w:szCs w:val="24"/>
          <w:lang w:val="es-MX"/>
        </w:rPr>
      </w:pPr>
      <w:r w:rsidRPr="001725CA">
        <w:rPr>
          <w:rFonts w:ascii="Times New Roman" w:hAnsi="Times New Roman" w:cs="Times New Roman"/>
          <w:noProof/>
          <w:sz w:val="24"/>
          <w:szCs w:val="24"/>
          <w:lang w:val="es-MX"/>
        </w:rPr>
        <w:drawing>
          <wp:inline distT="0" distB="0" distL="0" distR="0" wp14:anchorId="36CA10C6" wp14:editId="00F251CD">
            <wp:extent cx="3544584" cy="2034283"/>
            <wp:effectExtent l="0" t="0" r="17780" b="4445"/>
            <wp:docPr id="32" name="Gráfico 32">
              <a:extLst xmlns:a="http://schemas.openxmlformats.org/drawingml/2006/main">
                <a:ext uri="{FF2B5EF4-FFF2-40B4-BE49-F238E27FC236}">
                  <a16:creationId xmlns:a16="http://schemas.microsoft.com/office/drawing/2014/main" id="{D9C4E48B-558F-4720-BD4E-388A5ECA91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9458CBB" w14:textId="0A111767" w:rsidR="001725CA" w:rsidRPr="001725CA" w:rsidRDefault="001725CA" w:rsidP="001725CA">
      <w:pPr>
        <w:spacing w:after="0" w:line="360" w:lineRule="auto"/>
        <w:jc w:val="center"/>
        <w:rPr>
          <w:rFonts w:ascii="Times New Roman" w:hAnsi="Times New Roman" w:cs="Times New Roman"/>
          <w:sz w:val="20"/>
          <w:szCs w:val="20"/>
          <w:lang w:val="es-MX"/>
        </w:rPr>
      </w:pPr>
      <w:r w:rsidRPr="001725CA">
        <w:rPr>
          <w:rFonts w:ascii="Times New Roman" w:hAnsi="Times New Roman" w:cs="Times New Roman"/>
          <w:sz w:val="20"/>
          <w:szCs w:val="20"/>
          <w:lang w:val="es-MX"/>
        </w:rPr>
        <w:t>Figura 9. Gráfico de garantías generales por demandas del sistema.</w:t>
      </w:r>
      <w:r>
        <w:rPr>
          <w:rFonts w:ascii="Times New Roman" w:hAnsi="Times New Roman" w:cs="Times New Roman"/>
          <w:sz w:val="20"/>
          <w:szCs w:val="20"/>
          <w:lang w:val="es-MX"/>
        </w:rPr>
        <w:t xml:space="preserve"> Elaboración propia.</w:t>
      </w:r>
    </w:p>
    <w:p w14:paraId="22734D55" w14:textId="2CFFB054" w:rsidR="001725CA" w:rsidRPr="001725CA" w:rsidRDefault="001725CA" w:rsidP="001725CA">
      <w:pPr>
        <w:spacing w:after="0" w:line="360" w:lineRule="auto"/>
        <w:jc w:val="both"/>
        <w:rPr>
          <w:rFonts w:ascii="Times New Roman" w:hAnsi="Times New Roman" w:cs="Times New Roman"/>
          <w:b/>
          <w:bCs/>
          <w:sz w:val="24"/>
          <w:szCs w:val="24"/>
          <w:lang w:val="es-MX"/>
        </w:rPr>
      </w:pPr>
      <w:bookmarkStart w:id="7" w:name="_Toc203379958"/>
      <w:r>
        <w:rPr>
          <w:rFonts w:ascii="Times New Roman" w:hAnsi="Times New Roman" w:cs="Times New Roman"/>
          <w:b/>
          <w:bCs/>
          <w:sz w:val="24"/>
          <w:szCs w:val="24"/>
          <w:lang w:val="es-MX"/>
        </w:rPr>
        <w:t xml:space="preserve">3.6 </w:t>
      </w:r>
      <w:r w:rsidRPr="001725CA">
        <w:rPr>
          <w:rFonts w:ascii="Times New Roman" w:hAnsi="Times New Roman" w:cs="Times New Roman"/>
          <w:b/>
          <w:bCs/>
          <w:sz w:val="24"/>
          <w:szCs w:val="24"/>
          <w:lang w:val="es-MX"/>
        </w:rPr>
        <w:t>Resultados generales.</w:t>
      </w:r>
      <w:bookmarkEnd w:id="7"/>
    </w:p>
    <w:p w14:paraId="3C6A72F2" w14:textId="77777777" w:rsidR="001725CA" w:rsidRPr="001725CA" w:rsidRDefault="001725CA" w:rsidP="001725CA">
      <w:pPr>
        <w:spacing w:after="0" w:line="360" w:lineRule="auto"/>
        <w:jc w:val="both"/>
        <w:rPr>
          <w:rFonts w:ascii="Times New Roman" w:hAnsi="Times New Roman" w:cs="Times New Roman"/>
          <w:sz w:val="24"/>
          <w:szCs w:val="24"/>
          <w:lang w:val="es-MX"/>
        </w:rPr>
      </w:pPr>
      <w:r w:rsidRPr="001725CA">
        <w:rPr>
          <w:rFonts w:ascii="Times New Roman" w:hAnsi="Times New Roman" w:cs="Times New Roman"/>
          <w:sz w:val="24"/>
          <w:szCs w:val="24"/>
          <w:lang w:val="es-MX"/>
        </w:rPr>
        <w:lastRenderedPageBreak/>
        <w:t>Como resultado general tenemos 5 escenarios en los que se han gestionado los recursos hídricos de manera prioritaria, consciente, y a criterio propio, se ha estudiado el comportamiento de un mismo volumen de agua en cinco escenarios diferentes, dos de ellos para casos de sequía, y tres para la disponibilidad de recursos. Tres de los cinco escenarios obtuvieron resultados favorables con un porciento de cumplimiento de las garantías de un 100% mientras que los otros dos obtuvieron un 85% y un 81%.</w:t>
      </w:r>
    </w:p>
    <w:p w14:paraId="5AC8892D" w14:textId="77777777" w:rsidR="001725CA" w:rsidRPr="001725CA" w:rsidRDefault="001725CA" w:rsidP="001725CA">
      <w:pPr>
        <w:spacing w:after="0" w:line="360" w:lineRule="auto"/>
        <w:jc w:val="both"/>
        <w:rPr>
          <w:rFonts w:ascii="Times New Roman" w:hAnsi="Times New Roman" w:cs="Times New Roman"/>
          <w:sz w:val="24"/>
          <w:szCs w:val="24"/>
          <w:lang w:val="es-MX"/>
        </w:rPr>
      </w:pPr>
      <w:r w:rsidRPr="001725CA">
        <w:rPr>
          <w:rFonts w:ascii="Times New Roman" w:hAnsi="Times New Roman" w:cs="Times New Roman"/>
          <w:sz w:val="24"/>
          <w:szCs w:val="24"/>
          <w:lang w:val="es-MX"/>
        </w:rPr>
        <w:t>La cuenca hidrográfica Sagua La Chica presenta una buena disponibilidad</w:t>
      </w:r>
      <w:r w:rsidRPr="001E33CF">
        <w:rPr>
          <w:rFonts w:ascii="Arial" w:hAnsi="Arial" w:cs="Arial"/>
          <w:szCs w:val="20"/>
        </w:rPr>
        <w:t xml:space="preserve"> </w:t>
      </w:r>
      <w:r w:rsidRPr="001725CA">
        <w:rPr>
          <w:rFonts w:ascii="Times New Roman" w:hAnsi="Times New Roman" w:cs="Times New Roman"/>
          <w:sz w:val="24"/>
          <w:szCs w:val="24"/>
          <w:lang w:val="es-MX"/>
        </w:rPr>
        <w:t>hídrica que permite una gran cantidad de variables para la gestión integrada de los recursos hídricos por lo tanto es posible el planeamiento de una estrategia para lograr un mejor abastecimiento a las demandas existentes.</w:t>
      </w:r>
    </w:p>
    <w:p w14:paraId="5A436654" w14:textId="77777777" w:rsidR="001725CA" w:rsidRPr="001725CA" w:rsidRDefault="001725CA" w:rsidP="001725CA">
      <w:pPr>
        <w:spacing w:after="0" w:line="360" w:lineRule="auto"/>
        <w:jc w:val="both"/>
        <w:rPr>
          <w:rFonts w:ascii="Times New Roman" w:hAnsi="Times New Roman" w:cs="Times New Roman"/>
          <w:sz w:val="24"/>
          <w:szCs w:val="24"/>
          <w:lang w:val="es-MX"/>
        </w:rPr>
      </w:pPr>
      <w:r w:rsidRPr="001725CA">
        <w:rPr>
          <w:rFonts w:ascii="Times New Roman" w:hAnsi="Times New Roman" w:cs="Times New Roman"/>
          <w:sz w:val="24"/>
          <w:szCs w:val="24"/>
          <w:lang w:val="es-MX"/>
        </w:rPr>
        <w:t>En el caso de los escenarios número 5 y número 2 no fueron abastecidas con éxito todas las demandas, pero se logró una mejor gestión y una visión clara del comportamiento de los recursos disponibles ante ambas situaciones.</w:t>
      </w:r>
    </w:p>
    <w:p w14:paraId="66B97C54" w14:textId="77777777" w:rsidR="001725CA" w:rsidRPr="001725CA" w:rsidRDefault="001725CA" w:rsidP="001725CA">
      <w:pPr>
        <w:spacing w:after="0" w:line="360" w:lineRule="auto"/>
        <w:jc w:val="both"/>
        <w:rPr>
          <w:rFonts w:ascii="Times New Roman" w:hAnsi="Times New Roman" w:cs="Times New Roman"/>
          <w:sz w:val="24"/>
          <w:szCs w:val="24"/>
          <w:lang w:val="es-MX"/>
        </w:rPr>
      </w:pPr>
      <w:r w:rsidRPr="001725CA">
        <w:rPr>
          <w:rFonts w:ascii="Times New Roman" w:hAnsi="Times New Roman" w:cs="Times New Roman"/>
          <w:sz w:val="24"/>
          <w:szCs w:val="24"/>
          <w:lang w:val="es-MX"/>
        </w:rPr>
        <w:t>A continuación, se presenta la figura 10. Correspondiente a un gráfico comparativo de los 5 escenarios según el promedio de porcientos de garantía del cumplimiento de la demanda y la figura 11 del comportamiento de todas las demandas del sistema en los cinco escenarios estudiados.</w:t>
      </w:r>
    </w:p>
    <w:p w14:paraId="74E39E38" w14:textId="77777777" w:rsidR="001725CA" w:rsidRPr="001725CA" w:rsidRDefault="001725CA" w:rsidP="001725CA">
      <w:pPr>
        <w:spacing w:after="0" w:line="360" w:lineRule="auto"/>
        <w:jc w:val="center"/>
        <w:rPr>
          <w:rFonts w:ascii="Times New Roman" w:hAnsi="Times New Roman" w:cs="Times New Roman"/>
          <w:sz w:val="24"/>
          <w:szCs w:val="24"/>
          <w:lang w:val="es-MX"/>
        </w:rPr>
      </w:pPr>
      <w:r w:rsidRPr="001725CA">
        <w:rPr>
          <w:rFonts w:ascii="Times New Roman" w:hAnsi="Times New Roman" w:cs="Times New Roman"/>
          <w:noProof/>
          <w:sz w:val="24"/>
          <w:szCs w:val="24"/>
          <w:lang w:val="es-MX"/>
        </w:rPr>
        <w:drawing>
          <wp:inline distT="0" distB="0" distL="0" distR="0" wp14:anchorId="6D8A1CC4" wp14:editId="667E888E">
            <wp:extent cx="3647325" cy="1962364"/>
            <wp:effectExtent l="0" t="0" r="10795" b="0"/>
            <wp:docPr id="7" name="Gráfico 7">
              <a:extLst xmlns:a="http://schemas.openxmlformats.org/drawingml/2006/main">
                <a:ext uri="{FF2B5EF4-FFF2-40B4-BE49-F238E27FC236}">
                  <a16:creationId xmlns:a16="http://schemas.microsoft.com/office/drawing/2014/main" id="{29E36646-FBC0-4E51-ACC0-C0E09038F6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0AE0672" w14:textId="4330D368" w:rsidR="003233C1" w:rsidRPr="00B35921" w:rsidRDefault="001725CA" w:rsidP="00B35921">
      <w:pPr>
        <w:spacing w:after="0" w:line="360" w:lineRule="auto"/>
        <w:jc w:val="center"/>
        <w:rPr>
          <w:rFonts w:ascii="Times New Roman" w:hAnsi="Times New Roman" w:cs="Times New Roman"/>
          <w:sz w:val="20"/>
          <w:szCs w:val="20"/>
          <w:lang w:val="es-MX"/>
        </w:rPr>
      </w:pPr>
      <w:r w:rsidRPr="001725CA">
        <w:rPr>
          <w:rFonts w:ascii="Times New Roman" w:hAnsi="Times New Roman" w:cs="Times New Roman"/>
          <w:sz w:val="20"/>
          <w:szCs w:val="20"/>
          <w:lang w:val="es-MX"/>
        </w:rPr>
        <w:t>Figura 10. Gráfico de garantías promedio por escenarios.</w:t>
      </w:r>
      <w:r>
        <w:rPr>
          <w:rFonts w:ascii="Times New Roman" w:hAnsi="Times New Roman" w:cs="Times New Roman"/>
          <w:sz w:val="20"/>
          <w:szCs w:val="20"/>
          <w:lang w:val="es-MX"/>
        </w:rPr>
        <w:t xml:space="preserve"> Elaboración propia</w:t>
      </w:r>
    </w:p>
    <w:p w14:paraId="606C865F" w14:textId="437D8041" w:rsidR="00FF3346" w:rsidRPr="00623FF8"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 xml:space="preserve">4. </w:t>
      </w:r>
      <w:r w:rsidRPr="00623FF8">
        <w:rPr>
          <w:rFonts w:ascii="Times New Roman" w:hAnsi="Times New Roman" w:cs="Times New Roman"/>
          <w:b/>
          <w:sz w:val="24"/>
          <w:szCs w:val="24"/>
        </w:rPr>
        <w:t>Conclusiones</w:t>
      </w:r>
    </w:p>
    <w:p w14:paraId="20A86778" w14:textId="48CAD805" w:rsidR="001725CA" w:rsidRPr="00623FF8" w:rsidRDefault="001725CA" w:rsidP="00623FF8">
      <w:pPr>
        <w:pStyle w:val="Prrafodelista"/>
        <w:numPr>
          <w:ilvl w:val="0"/>
          <w:numId w:val="6"/>
        </w:numPr>
        <w:tabs>
          <w:tab w:val="left" w:pos="630"/>
        </w:tabs>
        <w:spacing w:after="0" w:line="360" w:lineRule="auto"/>
        <w:ind w:left="0" w:firstLine="0"/>
        <w:jc w:val="both"/>
        <w:rPr>
          <w:rFonts w:ascii="Times New Roman" w:hAnsi="Times New Roman" w:cs="Times New Roman"/>
          <w:sz w:val="24"/>
          <w:szCs w:val="24"/>
          <w:lang w:val="es-MX"/>
        </w:rPr>
      </w:pPr>
      <w:r w:rsidRPr="00623FF8">
        <w:rPr>
          <w:rFonts w:ascii="Times New Roman" w:hAnsi="Times New Roman" w:cs="Times New Roman"/>
          <w:sz w:val="24"/>
          <w:szCs w:val="24"/>
          <w:lang w:val="es-MX"/>
        </w:rPr>
        <w:t>Fueron analizadas 55 bibliografías de los cuales 41 son de los últimos 20 años, y 22 de hace 5 años.</w:t>
      </w:r>
    </w:p>
    <w:p w14:paraId="7796351E" w14:textId="77777777" w:rsidR="001725CA" w:rsidRPr="00623FF8" w:rsidRDefault="001725CA" w:rsidP="00623FF8">
      <w:pPr>
        <w:pStyle w:val="Prrafodelista"/>
        <w:numPr>
          <w:ilvl w:val="0"/>
          <w:numId w:val="6"/>
        </w:numPr>
        <w:tabs>
          <w:tab w:val="left" w:pos="630"/>
        </w:tabs>
        <w:spacing w:after="0" w:line="360" w:lineRule="auto"/>
        <w:ind w:left="0" w:firstLine="0"/>
        <w:jc w:val="both"/>
        <w:rPr>
          <w:rFonts w:ascii="Times New Roman" w:hAnsi="Times New Roman" w:cs="Times New Roman"/>
          <w:sz w:val="24"/>
          <w:szCs w:val="24"/>
          <w:lang w:val="es-MX"/>
        </w:rPr>
      </w:pPr>
      <w:r w:rsidRPr="00623FF8">
        <w:rPr>
          <w:rFonts w:ascii="Times New Roman" w:hAnsi="Times New Roman" w:cs="Times New Roman"/>
          <w:sz w:val="24"/>
          <w:szCs w:val="24"/>
          <w:lang w:val="es-MX"/>
        </w:rPr>
        <w:t>Se confeccionó un procedimiento para la elaboración del esquema de usuario que consta de 7 pasos siendo de vital importancia la definición de los elementos; embalses, aportaciones y demandas.</w:t>
      </w:r>
    </w:p>
    <w:p w14:paraId="5880A786" w14:textId="77777777" w:rsidR="001725CA" w:rsidRPr="00623FF8" w:rsidRDefault="001725CA" w:rsidP="00623FF8">
      <w:pPr>
        <w:pStyle w:val="Prrafodelista"/>
        <w:numPr>
          <w:ilvl w:val="0"/>
          <w:numId w:val="6"/>
        </w:numPr>
        <w:tabs>
          <w:tab w:val="left" w:pos="630"/>
        </w:tabs>
        <w:spacing w:after="0" w:line="360" w:lineRule="auto"/>
        <w:ind w:left="0" w:firstLine="0"/>
        <w:jc w:val="both"/>
        <w:rPr>
          <w:rFonts w:ascii="Times New Roman" w:hAnsi="Times New Roman" w:cs="Times New Roman"/>
          <w:sz w:val="24"/>
          <w:szCs w:val="24"/>
          <w:lang w:val="es-MX"/>
        </w:rPr>
      </w:pPr>
      <w:r w:rsidRPr="00623FF8">
        <w:rPr>
          <w:rFonts w:ascii="Times New Roman" w:hAnsi="Times New Roman" w:cs="Times New Roman"/>
          <w:sz w:val="24"/>
          <w:szCs w:val="24"/>
          <w:lang w:val="es-MX"/>
        </w:rPr>
        <w:lastRenderedPageBreak/>
        <w:t>Una buena gestión y planificación hidráulica puede aumentar los porcientos de garantía del cumplimiento de la demanda ya que esto no depende del volumen total del sistema sino de la cantidad de demandas que puedes abastecer con el mismo volumen en cada caso.</w:t>
      </w:r>
    </w:p>
    <w:p w14:paraId="48CE318E" w14:textId="3E0C80DD" w:rsidR="00FF3346" w:rsidRDefault="001725CA" w:rsidP="00623FF8">
      <w:pPr>
        <w:pStyle w:val="Prrafodelista"/>
        <w:numPr>
          <w:ilvl w:val="0"/>
          <w:numId w:val="6"/>
        </w:numPr>
        <w:tabs>
          <w:tab w:val="left" w:pos="630"/>
        </w:tabs>
        <w:spacing w:after="0" w:line="360" w:lineRule="auto"/>
        <w:ind w:left="0" w:firstLine="0"/>
        <w:jc w:val="both"/>
        <w:rPr>
          <w:rFonts w:ascii="Times New Roman" w:hAnsi="Times New Roman" w:cs="Times New Roman"/>
          <w:sz w:val="24"/>
          <w:szCs w:val="24"/>
          <w:lang w:val="es-MX"/>
        </w:rPr>
      </w:pPr>
      <w:r w:rsidRPr="00623FF8">
        <w:rPr>
          <w:rFonts w:ascii="Times New Roman" w:hAnsi="Times New Roman" w:cs="Times New Roman"/>
          <w:sz w:val="24"/>
          <w:szCs w:val="24"/>
          <w:lang w:val="es-MX"/>
        </w:rPr>
        <w:t>Tres de los cinco escenarios estudiados obtuvieron resultados favorables con un porciento de garantías del cumplimiento de la demanda de un 100%, mientras que los dos restantes obtuvieron un 85% y un 81%.</w:t>
      </w:r>
    </w:p>
    <w:p w14:paraId="00B865D9" w14:textId="77777777" w:rsidR="00623FF8" w:rsidRPr="00623FF8" w:rsidRDefault="00623FF8" w:rsidP="00623FF8">
      <w:pPr>
        <w:pStyle w:val="Prrafodelista"/>
        <w:tabs>
          <w:tab w:val="left" w:pos="630"/>
        </w:tabs>
        <w:spacing w:after="0" w:line="360" w:lineRule="auto"/>
        <w:ind w:left="0"/>
        <w:jc w:val="both"/>
        <w:rPr>
          <w:rFonts w:ascii="Times New Roman" w:hAnsi="Times New Roman" w:cs="Times New Roman"/>
          <w:sz w:val="24"/>
          <w:szCs w:val="24"/>
          <w:lang w:val="es-MX"/>
        </w:rPr>
      </w:pPr>
    </w:p>
    <w:p w14:paraId="294FEF53" w14:textId="77777777"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5. Referencias bibliográficas</w:t>
      </w:r>
    </w:p>
    <w:p w14:paraId="7531339B" w14:textId="77777777" w:rsidR="00623FF8" w:rsidRPr="001E33CF" w:rsidRDefault="00623FF8" w:rsidP="00623FF8">
      <w:pPr>
        <w:pStyle w:val="EndNoteBibliography"/>
        <w:spacing w:after="0"/>
        <w:ind w:left="720" w:hanging="720"/>
      </w:pPr>
      <w:r w:rsidRPr="001E33CF">
        <w:t xml:space="preserve">Alberdi, R., y Erba, D. A. (2022). </w:t>
      </w:r>
      <w:r w:rsidRPr="001E33CF">
        <w:rPr>
          <w:i/>
        </w:rPr>
        <w:t>Introducción a los Sistemas de Información Geográfica (SIG) aplicados al catastro</w:t>
      </w:r>
      <w:r w:rsidRPr="001E33CF">
        <w:t xml:space="preserve"> (j. Editorial Universidad Católica de Santa Fe, Ed.). Editorial Universidad Católica de Santa Fe. https://books.google.com.cu/books?id=tvZ2EAAAQBAJ </w:t>
      </w:r>
    </w:p>
    <w:p w14:paraId="7B95BFF0" w14:textId="77777777" w:rsidR="00623FF8" w:rsidRPr="001E33CF" w:rsidRDefault="00623FF8" w:rsidP="00623FF8">
      <w:pPr>
        <w:pStyle w:val="EndNoteBibliography"/>
        <w:spacing w:after="0"/>
        <w:ind w:left="720" w:hanging="720"/>
      </w:pPr>
      <w:r w:rsidRPr="001E33CF">
        <w:t xml:space="preserve">Almorox, J., Hontoria, C., y Benito, M. (2008). Comparación de algunos métodos de estimación de la evapotranspiración en Uruguay. </w:t>
      </w:r>
      <w:r w:rsidRPr="001E33CF">
        <w:rPr>
          <w:i/>
        </w:rPr>
        <w:t>Revista Ingeniería Química</w:t>
      </w:r>
      <w:r w:rsidRPr="001E33CF">
        <w:t>,</w:t>
      </w:r>
      <w:r w:rsidRPr="001E33CF">
        <w:rPr>
          <w:i/>
        </w:rPr>
        <w:t xml:space="preserve"> 33</w:t>
      </w:r>
      <w:r w:rsidRPr="001E33CF">
        <w:t xml:space="preserve">, 5-9. https://www.researchgate.net/profile/J-Almorox-2/publication/280830934_COMPARACION_DE_ALGUNOS_METODOS_DE_ESTIMACION_DE_LA_EVAPOTRANSPIRACION_EN_URUGUAY/links/57da651908ae72d72ea1675a/COMPARACION-DE-ALGUNOS-METODOS-DE-ESTIMACION-DE-LA-EVAPOTRANSPIRACION-EN-URUGUAY.pdf?origin=journalDetail&amp;_tp=eyJwYWdlIjoiam91cm5hbERldGFpbCJ9 </w:t>
      </w:r>
    </w:p>
    <w:p w14:paraId="3AF14A0E" w14:textId="77777777" w:rsidR="00623FF8" w:rsidRPr="001E33CF" w:rsidRDefault="00623FF8" w:rsidP="00623FF8">
      <w:pPr>
        <w:pStyle w:val="EndNoteBibliography"/>
        <w:spacing w:after="0"/>
        <w:ind w:left="720" w:hanging="720"/>
      </w:pPr>
      <w:r w:rsidRPr="001E33CF">
        <w:t xml:space="preserve">Alvarez, J. A. (2015a). Manual de Usuario Modelo OPTIGES. Versión 3.03.01. Optimizacion de la Gestion de Esquemas de Recursos Hidricos </w:t>
      </w:r>
      <w:r w:rsidRPr="001E33CF">
        <w:rPr>
          <w:i/>
        </w:rPr>
        <w:t>universidad Politécnica De Valencia: València, Spain</w:t>
      </w:r>
      <w:r w:rsidRPr="001E33CF">
        <w:t xml:space="preserve">. https://aquatool.webs.upv.es/files/manuales/aquatool/ManOptigesEsp.pdf </w:t>
      </w:r>
    </w:p>
    <w:p w14:paraId="55B2DC44" w14:textId="77777777" w:rsidR="00623FF8" w:rsidRPr="001E33CF" w:rsidRDefault="00623FF8" w:rsidP="00623FF8">
      <w:pPr>
        <w:pStyle w:val="EndNoteBibliography"/>
        <w:spacing w:after="0"/>
        <w:ind w:left="720" w:hanging="720"/>
      </w:pPr>
      <w:r w:rsidRPr="001E33CF">
        <w:t xml:space="preserve">Alvarez, J. A. (2015b). </w:t>
      </w:r>
      <w:r w:rsidRPr="001E33CF">
        <w:rPr>
          <w:i/>
        </w:rPr>
        <w:t>Manual del Usuario Modelo SIMGES. Versión 3.03.01. Simulación de la Gestión de Recursos Hídricos, incluyendo Utilización Conjunta</w:t>
      </w:r>
      <w:r w:rsidRPr="001E33CF">
        <w:t xml:space="preserve">. Universidad politécnica de Valencia. https://aquatool.webs.upv.es/files/manuales/aquatool/ManualSimGesEsp.pdf </w:t>
      </w:r>
    </w:p>
    <w:p w14:paraId="49B90D18" w14:textId="77777777" w:rsidR="00623FF8" w:rsidRPr="001E33CF" w:rsidRDefault="00623FF8" w:rsidP="00623FF8">
      <w:pPr>
        <w:pStyle w:val="EndNoteBibliography"/>
        <w:spacing w:after="0"/>
        <w:ind w:left="720" w:hanging="720"/>
      </w:pPr>
      <w:r w:rsidRPr="001E33CF">
        <w:t xml:space="preserve">Amador García, A., Granados López, E., y Mendoza, M. E. (2011). </w:t>
      </w:r>
      <w:r w:rsidRPr="001E33CF">
        <w:rPr>
          <w:lang w:val="en-US"/>
        </w:rPr>
        <w:t xml:space="preserve">Three approaches to the assessment of spatio-temporal distribution of the water balance: the case of the Cuitzeo basin, Michoacán, Mexico. </w:t>
      </w:r>
      <w:r w:rsidRPr="001E33CF">
        <w:rPr>
          <w:i/>
        </w:rPr>
        <w:t>Investigaciones geográficas</w:t>
      </w:r>
      <w:r w:rsidRPr="001E33CF">
        <w:t xml:space="preserve">(76), 34-55. </w:t>
      </w:r>
    </w:p>
    <w:p w14:paraId="5B383D3D" w14:textId="77777777" w:rsidR="00623FF8" w:rsidRPr="001E33CF" w:rsidRDefault="00623FF8" w:rsidP="00623FF8">
      <w:pPr>
        <w:pStyle w:val="EndNoteBibliography"/>
        <w:spacing w:after="0"/>
        <w:ind w:left="720" w:hanging="720"/>
      </w:pPr>
      <w:r w:rsidRPr="001E33CF">
        <w:t>Ley 81 Del medio ambiente (1997). http://www.lastunas.gob.cu</w:t>
      </w:r>
    </w:p>
    <w:p w14:paraId="1792401A" w14:textId="77777777" w:rsidR="00623FF8" w:rsidRPr="001E33CF" w:rsidRDefault="00623FF8" w:rsidP="00623FF8">
      <w:pPr>
        <w:pStyle w:val="EndNoteBibliography"/>
        <w:spacing w:after="0"/>
        <w:ind w:left="720" w:hanging="720"/>
      </w:pPr>
      <w:r w:rsidRPr="001E33CF">
        <w:t xml:space="preserve">Aparicio Mijares, J., Lafragua Contreras, Jaqueline, Gutiérrez Lopez, Alfonso, Mejía Zermeño, Roberto y Aguilar Garduño, Ernesto. (2021). </w:t>
      </w:r>
      <w:r w:rsidRPr="001E33CF">
        <w:rPr>
          <w:i/>
        </w:rPr>
        <w:t xml:space="preserve">Evaluación de los recursos hídricos: elaboración del balance hídrico integrado por cuencas hidrográficas </w:t>
      </w:r>
      <w:r w:rsidRPr="001E33CF">
        <w:t>(4). P. H. I. P. d. l. O. R. d. C. para y A. L. y. e. Caribe. https://agua.org.mx/wp-content/uploads/2021/08/228100spa.pdf</w:t>
      </w:r>
    </w:p>
    <w:p w14:paraId="60B1F159" w14:textId="77777777" w:rsidR="00623FF8" w:rsidRPr="001E33CF" w:rsidRDefault="00623FF8" w:rsidP="00623FF8">
      <w:pPr>
        <w:pStyle w:val="EndNoteBibliography"/>
        <w:spacing w:after="0"/>
        <w:ind w:left="720" w:hanging="720"/>
      </w:pPr>
      <w:r w:rsidRPr="001E33CF">
        <w:t xml:space="preserve">Arquiola, J. P. (2015). Modelo tecnico del modelo RREA. Versión 4.0. Respuesta rapida del estado ambiental de las masas de agua superficiales continentales https://aquatool.webs.upv.es/files/manuales/rrea/ManualT%C3%A9cnicoModeloRREA_V4.pdf </w:t>
      </w:r>
    </w:p>
    <w:p w14:paraId="2584BD3F" w14:textId="77777777" w:rsidR="00623FF8" w:rsidRPr="001E33CF" w:rsidRDefault="00623FF8" w:rsidP="00623FF8">
      <w:pPr>
        <w:pStyle w:val="EndNoteBibliography"/>
        <w:spacing w:after="0"/>
        <w:ind w:left="720" w:hanging="720"/>
      </w:pPr>
      <w:r w:rsidRPr="001E33CF">
        <w:lastRenderedPageBreak/>
        <w:t xml:space="preserve">Arquiola, J. P. (2022). </w:t>
      </w:r>
      <w:r w:rsidRPr="001E33CF">
        <w:rPr>
          <w:i/>
        </w:rPr>
        <w:t>Introducción al AQUATOOL</w:t>
      </w:r>
      <w:r w:rsidRPr="001E33CF">
        <w:t xml:space="preserve"> Sistemas soporte de decisión para  planificación y gestión de recursos hídricos, Cuba. </w:t>
      </w:r>
    </w:p>
    <w:p w14:paraId="705CF286" w14:textId="77777777" w:rsidR="00623FF8" w:rsidRPr="001E33CF" w:rsidRDefault="00623FF8" w:rsidP="00623FF8">
      <w:pPr>
        <w:pStyle w:val="EndNoteBibliography"/>
        <w:spacing w:after="0"/>
        <w:ind w:left="720" w:hanging="720"/>
      </w:pPr>
      <w:r w:rsidRPr="001E33CF">
        <w:t xml:space="preserve">Barco, J., Cuartas, A., Mesa, O., Poveda, G., Vélez, J. I., Mantilla, R., Hoyos, C., Mejía, J. F., Botero, B., y Montoya, M. (2000). Estimación de la evaporación en Colombia. </w:t>
      </w:r>
      <w:r w:rsidRPr="001E33CF">
        <w:rPr>
          <w:i/>
        </w:rPr>
        <w:t>Avances en Recursos Hidráulicos</w:t>
      </w:r>
      <w:r w:rsidRPr="001E33CF">
        <w:t xml:space="preserve">(07), 43-51. https://revistas.unal.edu.co/index.php/arh/article/view/92231 </w:t>
      </w:r>
    </w:p>
    <w:p w14:paraId="38D0FA50" w14:textId="77777777" w:rsidR="00623FF8" w:rsidRPr="001E33CF" w:rsidRDefault="00623FF8" w:rsidP="00623FF8">
      <w:pPr>
        <w:pStyle w:val="EndNoteBibliography"/>
        <w:spacing w:after="0"/>
        <w:ind w:left="720" w:hanging="720"/>
        <w:rPr>
          <w:lang w:val="en-US"/>
        </w:rPr>
      </w:pPr>
      <w:r w:rsidRPr="001E33CF">
        <w:rPr>
          <w:lang w:val="en-US"/>
        </w:rPr>
        <w:t xml:space="preserve">Bobeck, P. (2006). Henry Darcy in his own words. </w:t>
      </w:r>
      <w:r w:rsidRPr="001E33CF">
        <w:rPr>
          <w:i/>
          <w:lang w:val="en-US"/>
        </w:rPr>
        <w:t>Hydrogeology Journal</w:t>
      </w:r>
      <w:r w:rsidRPr="001E33CF">
        <w:rPr>
          <w:lang w:val="en-US"/>
        </w:rPr>
        <w:t>,</w:t>
      </w:r>
      <w:r w:rsidRPr="001E33CF">
        <w:rPr>
          <w:i/>
          <w:lang w:val="en-US"/>
        </w:rPr>
        <w:t xml:space="preserve"> 14</w:t>
      </w:r>
      <w:r w:rsidRPr="001E33CF">
        <w:rPr>
          <w:lang w:val="en-US"/>
        </w:rPr>
        <w:t xml:space="preserve">, 998-1004. https://doi.org/10.1007/s10040-005-0013-0 </w:t>
      </w:r>
    </w:p>
    <w:p w14:paraId="441F9DD0" w14:textId="77777777" w:rsidR="00623FF8" w:rsidRPr="001E33CF" w:rsidRDefault="00623FF8" w:rsidP="00623FF8">
      <w:pPr>
        <w:pStyle w:val="EndNoteBibliography"/>
        <w:spacing w:after="0"/>
        <w:ind w:left="720" w:hanging="720"/>
      </w:pPr>
      <w:r w:rsidRPr="001E33CF">
        <w:t xml:space="preserve">Buzón, M. C. M., Romero, A. M. P., Bonillo, M. J. L., Álvarez, R. M., y Agugliaro, F. M. (2023). </w:t>
      </w:r>
      <w:r w:rsidRPr="001E33CF">
        <w:rPr>
          <w:i/>
        </w:rPr>
        <w:t>Introducción a los sistemas de información geográfica: análisis de casos prácticos con QGIS: Manual Básico</w:t>
      </w:r>
      <w:r w:rsidRPr="001E33CF">
        <w:t xml:space="preserve"> (Universidad Almería, Ed. Vol. 116 Textos Docentes). Editorial Universidad de Almería. https://books.google.com.cu/books?id=SAOzEAAAQBAJ </w:t>
      </w:r>
    </w:p>
    <w:p w14:paraId="0BF60ABC" w14:textId="77777777" w:rsidR="00623FF8" w:rsidRPr="001E33CF" w:rsidRDefault="00623FF8" w:rsidP="00623FF8">
      <w:pPr>
        <w:pStyle w:val="EndNoteBibliography"/>
        <w:spacing w:after="0"/>
        <w:ind w:left="720" w:hanging="720"/>
      </w:pPr>
      <w:r w:rsidRPr="001E33CF">
        <w:t xml:space="preserve">Cardenas Torres, M. A. (2021). </w:t>
      </w:r>
      <w:r w:rsidRPr="001E33CF">
        <w:rPr>
          <w:i/>
        </w:rPr>
        <w:t>Evaluación de la evapotranspiración de productos satelitales en la zona sur del ecuador, 1990-2013</w:t>
      </w:r>
      <w:r w:rsidRPr="001E33CF">
        <w:t xml:space="preserve"> Universidad Nacional de Loja]. Loja-Ecuador. https://dspace.unl.edu.ec/jspui/bitstream/123456789/27927/1/LuisAlfredo_MorenoRomero.pdf</w:t>
      </w:r>
    </w:p>
    <w:p w14:paraId="79067D6C" w14:textId="77777777" w:rsidR="00623FF8" w:rsidRPr="001E33CF" w:rsidRDefault="00623FF8" w:rsidP="00623FF8">
      <w:pPr>
        <w:pStyle w:val="EndNoteBibliography"/>
        <w:spacing w:after="0"/>
        <w:ind w:left="720" w:hanging="720"/>
      </w:pPr>
      <w:r w:rsidRPr="001E33CF">
        <w:t xml:space="preserve">Chiriboga, R., y Mac Aleese, J. (2005). Guía metodológica de inventario de los recursos hídricos. </w:t>
      </w:r>
      <w:r w:rsidRPr="001E33CF">
        <w:rPr>
          <w:i/>
        </w:rPr>
        <w:t>Calidad del agua. Folleto temático</w:t>
      </w:r>
      <w:r w:rsidRPr="001E33CF">
        <w:t>,</w:t>
      </w:r>
      <w:r w:rsidRPr="001E33CF">
        <w:rPr>
          <w:i/>
        </w:rPr>
        <w:t xml:space="preserve"> 3</w:t>
      </w:r>
      <w:r w:rsidRPr="001E33CF">
        <w:t xml:space="preserve">. </w:t>
      </w:r>
    </w:p>
    <w:p w14:paraId="0906A21B" w14:textId="77777777" w:rsidR="00623FF8" w:rsidRPr="001E33CF" w:rsidRDefault="00623FF8" w:rsidP="00623FF8">
      <w:pPr>
        <w:pStyle w:val="EndNoteBibliography"/>
        <w:spacing w:after="0"/>
        <w:ind w:left="720" w:hanging="720"/>
      </w:pPr>
      <w:r w:rsidRPr="001E33CF">
        <w:t xml:space="preserve">Chuim, J. L. W., y Veliz, J. J. J. (2023). Evaluación del balance hídrico superficial de la subcuenca hidrográfica del río Jipijapa. </w:t>
      </w:r>
      <w:r w:rsidRPr="001E33CF">
        <w:rPr>
          <w:i/>
        </w:rPr>
        <w:t>Revista Científica Arbitrada Multidisciplinaria PENTACIENCIAS</w:t>
      </w:r>
      <w:r w:rsidRPr="001E33CF">
        <w:t>,</w:t>
      </w:r>
      <w:r w:rsidRPr="001E33CF">
        <w:rPr>
          <w:i/>
        </w:rPr>
        <w:t xml:space="preserve"> 5</w:t>
      </w:r>
      <w:r w:rsidRPr="001E33CF">
        <w:t xml:space="preserve">(3), 582-593. https://doi.org/10.59169/pentaciencias.v5i3.493 </w:t>
      </w:r>
    </w:p>
    <w:p w14:paraId="5E85A1AD" w14:textId="77777777" w:rsidR="00623FF8" w:rsidRPr="001E33CF" w:rsidRDefault="00623FF8" w:rsidP="00623FF8">
      <w:pPr>
        <w:pStyle w:val="EndNoteBibliography"/>
        <w:spacing w:after="0"/>
        <w:ind w:left="720" w:hanging="720"/>
      </w:pPr>
      <w:r w:rsidRPr="001E33CF">
        <w:t xml:space="preserve">Cities4Forests. (2020). Complemento al cities4forests global toolbox para informar acciones en bosques y ciudades mexicanas https://es.wri.org/sites/default/files/C4F%20Spanish%20Toolbox_20201204%20VF.pdf </w:t>
      </w:r>
    </w:p>
    <w:p w14:paraId="479848B5" w14:textId="77777777" w:rsidR="00623FF8" w:rsidRPr="001E33CF" w:rsidRDefault="00623FF8" w:rsidP="00623FF8">
      <w:pPr>
        <w:pStyle w:val="EndNoteBibliography"/>
        <w:spacing w:after="0"/>
        <w:ind w:left="720" w:hanging="720"/>
        <w:rPr>
          <w:lang w:val="en-US"/>
        </w:rPr>
      </w:pPr>
      <w:r w:rsidRPr="001E33CF">
        <w:t xml:space="preserve">Córdova, M., Carrillo-Rojas, G., Crespo, P., Wilcox, B., y Célleri, R. (2015). </w:t>
      </w:r>
      <w:r w:rsidRPr="001E33CF">
        <w:rPr>
          <w:lang w:val="en-US"/>
        </w:rPr>
        <w:t xml:space="preserve">Evaluation of the Penman-Monteith (FAO 56 PM) method for calculating reference evapotranspiration using limited data. </w:t>
      </w:r>
      <w:r w:rsidRPr="001E33CF">
        <w:rPr>
          <w:i/>
          <w:lang w:val="en-US"/>
        </w:rPr>
        <w:t>Mountain Research and Development</w:t>
      </w:r>
      <w:r w:rsidRPr="001E33CF">
        <w:rPr>
          <w:lang w:val="en-US"/>
        </w:rPr>
        <w:t>,</w:t>
      </w:r>
      <w:r w:rsidRPr="001E33CF">
        <w:rPr>
          <w:i/>
          <w:lang w:val="en-US"/>
        </w:rPr>
        <w:t xml:space="preserve"> 35</w:t>
      </w:r>
      <w:r w:rsidRPr="001E33CF">
        <w:rPr>
          <w:lang w:val="en-US"/>
        </w:rPr>
        <w:t xml:space="preserve">(3), 230-239. https://doi.org/10.1659/MRD-JOURNAL-D-14-0024.1 </w:t>
      </w:r>
    </w:p>
    <w:p w14:paraId="382A1FF2" w14:textId="77777777" w:rsidR="00623FF8" w:rsidRPr="001E33CF" w:rsidRDefault="00623FF8" w:rsidP="00623FF8">
      <w:pPr>
        <w:pStyle w:val="EndNoteBibliography"/>
        <w:spacing w:after="0"/>
        <w:ind w:left="720" w:hanging="720"/>
      </w:pPr>
      <w:r w:rsidRPr="001E33CF">
        <w:t xml:space="preserve">de Almeida, H. A., y Galvani, E. (2022). </w:t>
      </w:r>
      <w:r w:rsidRPr="001E33CF">
        <w:rPr>
          <w:lang w:val="en-US"/>
        </w:rPr>
        <w:t xml:space="preserve">Rainfall erosivity in the desertification nucleus of cariri and seridó da paraiba. </w:t>
      </w:r>
      <w:r w:rsidRPr="001E33CF">
        <w:rPr>
          <w:i/>
        </w:rPr>
        <w:t>International Journal Semiarid</w:t>
      </w:r>
      <w:r w:rsidRPr="001E33CF">
        <w:t>,</w:t>
      </w:r>
      <w:r w:rsidRPr="001E33CF">
        <w:rPr>
          <w:i/>
        </w:rPr>
        <w:t xml:space="preserve"> 5</w:t>
      </w:r>
      <w:r w:rsidRPr="001E33CF">
        <w:t xml:space="preserve">(5). </w:t>
      </w:r>
    </w:p>
    <w:p w14:paraId="431858BC" w14:textId="77777777" w:rsidR="00623FF8" w:rsidRPr="001E33CF" w:rsidRDefault="00623FF8" w:rsidP="00623FF8">
      <w:pPr>
        <w:pStyle w:val="EndNoteBibliography"/>
        <w:spacing w:after="0"/>
        <w:ind w:left="720" w:hanging="720"/>
      </w:pPr>
      <w:r w:rsidRPr="001E33CF">
        <w:t xml:space="preserve">de Goicoechea, N. (1969). Nociones generales del balance hídrico. In (Vol. 1). Grupo Espeleológico Vizcaíno. Excma. Diputación de Vizcaya https://www.bizkaia.eus/fitxategiak/04/ondarea/Kobie/PDF/1/Nociones%20generales%20del%20balance%20h%C3%ADdrico%20por%20NESTOR%20DE%20GOICOECHEA.pdf </w:t>
      </w:r>
    </w:p>
    <w:p w14:paraId="18110BA0" w14:textId="77777777" w:rsidR="00623FF8" w:rsidRPr="001E33CF" w:rsidRDefault="00623FF8" w:rsidP="00623FF8">
      <w:pPr>
        <w:pStyle w:val="EndNoteBibliography"/>
        <w:spacing w:after="0"/>
        <w:ind w:left="720" w:hanging="720"/>
      </w:pPr>
      <w:r w:rsidRPr="001E33CF">
        <w:t xml:space="preserve">De la Rosa, A., Valdés-Rodríguez, O. A., Villada-Canela, M., Manson, R., y Murrieta-Galindo, R. (2021). Caracterizando la seguridad hídrica con enfoque de cuenca hidrológica: Caso de estudio Veracruz, México. </w:t>
      </w:r>
      <w:r w:rsidRPr="001E33CF">
        <w:rPr>
          <w:i/>
        </w:rPr>
        <w:t>Ingeniería del agua</w:t>
      </w:r>
      <w:r w:rsidRPr="001E33CF">
        <w:t>,</w:t>
      </w:r>
      <w:r w:rsidRPr="001E33CF">
        <w:rPr>
          <w:i/>
        </w:rPr>
        <w:t xml:space="preserve"> 25</w:t>
      </w:r>
      <w:r w:rsidRPr="001E33CF">
        <w:t xml:space="preserve">(3), 187-203. https://doi.org/10.4995/Ia.2021.15221 </w:t>
      </w:r>
    </w:p>
    <w:p w14:paraId="60F7BF1B" w14:textId="77777777" w:rsidR="00623FF8" w:rsidRPr="001E33CF" w:rsidRDefault="00623FF8" w:rsidP="00623FF8">
      <w:pPr>
        <w:pStyle w:val="EndNoteBibliography"/>
        <w:spacing w:after="0"/>
        <w:ind w:left="720" w:hanging="720"/>
      </w:pPr>
      <w:r w:rsidRPr="001E33CF">
        <w:t xml:space="preserve">Delgadillo, O., y Pérez, L. (2016). Medición de la infiltración del agua en el suelo. </w:t>
      </w:r>
      <w:r w:rsidRPr="001E33CF">
        <w:rPr>
          <w:i/>
        </w:rPr>
        <w:t>Centro andino para la gestión y uso del agua. Centro agua. Facultad deficiencias agrícolas, pecuarias y forestales universidad mayor de san simón. Cochabamba, Bolivia</w:t>
      </w:r>
      <w:r w:rsidRPr="001E33CF">
        <w:t>. https://d1wqtxts1xzle7.cloudfront.net/64774007/2016_Medicion_infiltracion_do</w:t>
      </w:r>
      <w:r w:rsidRPr="001E33CF">
        <w:lastRenderedPageBreak/>
        <w:t xml:space="preserve">ble_anilla-libre.pdf?1603730907=&amp;response-content-disposition=inline%253B+filename%253DPrueba_de_infiltracion_del_suelo_Metodo.pdf&amp;Expires=1729983174&amp;Signature=XUPecOD3tnO08cKrs6trIS9zdg29qCFQxSFgpm2YIzfb0PBtRS8rAAw69yBq~x2rUC3IM4-cA3baXdJSJHVZfhcGkhzObgQnhtkAHz1a2YWNbgVGeMUaCLMJo </w:t>
      </w:r>
    </w:p>
    <w:p w14:paraId="1B6B61AD" w14:textId="77777777" w:rsidR="00623FF8" w:rsidRPr="001E33CF" w:rsidRDefault="00623FF8" w:rsidP="00623FF8">
      <w:pPr>
        <w:pStyle w:val="EndNoteBibliography"/>
        <w:spacing w:after="0"/>
        <w:ind w:left="720" w:hanging="720"/>
      </w:pPr>
      <w:r w:rsidRPr="001E33CF">
        <w:t xml:space="preserve">Delgadillo, O. L., y Valencia, V. H. (2024). La misión Lilienthal y sus impactos en el desarrollo regional de Colombia. </w:t>
      </w:r>
      <w:r w:rsidRPr="001E33CF">
        <w:rPr>
          <w:i/>
        </w:rPr>
        <w:t>Historia Agraria</w:t>
      </w:r>
      <w:r w:rsidRPr="001E33CF">
        <w:t>,</w:t>
      </w:r>
      <w:r w:rsidRPr="001E33CF">
        <w:rPr>
          <w:i/>
        </w:rPr>
        <w:t xml:space="preserve"> 93</w:t>
      </w:r>
      <w:r w:rsidRPr="001E33CF">
        <w:t xml:space="preserve">, 1-29. https://www.historiaagraria.com/FILE/articulos/RHA93_delgadillo_valencia.pdf </w:t>
      </w:r>
    </w:p>
    <w:p w14:paraId="018EEEC9" w14:textId="77777777" w:rsidR="00623FF8" w:rsidRPr="001E33CF" w:rsidRDefault="00623FF8" w:rsidP="00623FF8">
      <w:pPr>
        <w:pStyle w:val="EndNoteBibliography"/>
        <w:spacing w:after="0"/>
        <w:ind w:left="720" w:hanging="720"/>
      </w:pPr>
      <w:r w:rsidRPr="001E33CF">
        <w:rPr>
          <w:lang w:val="en-US"/>
        </w:rPr>
        <w:t xml:space="preserve">DGRH.EAH-VC., G. m. d. a. (2024). </w:t>
      </w:r>
      <w:r w:rsidRPr="001E33CF">
        <w:rPr>
          <w:i/>
        </w:rPr>
        <w:t>Expediente Técnico del Sistema Sagua la Chica</w:t>
      </w:r>
      <w:r w:rsidRPr="001E33CF">
        <w:t xml:space="preserve">. </w:t>
      </w:r>
    </w:p>
    <w:p w14:paraId="636B4CB0" w14:textId="77777777" w:rsidR="00623FF8" w:rsidRPr="001E33CF" w:rsidRDefault="00623FF8" w:rsidP="00623FF8">
      <w:pPr>
        <w:pStyle w:val="EndNoteBibliography"/>
        <w:spacing w:after="0"/>
        <w:ind w:left="720" w:hanging="720"/>
      </w:pPr>
      <w:r w:rsidRPr="001E33CF">
        <w:rPr>
          <w:lang w:val="en-US"/>
        </w:rPr>
        <w:t xml:space="preserve">Dourado-Neto, D., Jong van Lier, Q. d., Metselaar, K., Reichardt, K., y Nielsen, D. R. (2010). General procedure to initialize the cyclic soil water balance by the Thornthwaite and Mather method. </w:t>
      </w:r>
      <w:r w:rsidRPr="001E33CF">
        <w:rPr>
          <w:i/>
        </w:rPr>
        <w:t>Scientia Agricola</w:t>
      </w:r>
      <w:r w:rsidRPr="001E33CF">
        <w:t>,</w:t>
      </w:r>
      <w:r w:rsidRPr="001E33CF">
        <w:rPr>
          <w:i/>
        </w:rPr>
        <w:t xml:space="preserve"> 67</w:t>
      </w:r>
      <w:r w:rsidRPr="001E33CF">
        <w:t xml:space="preserve">, 87-95. https://doi.org/10.1590/S0103-90162010000100013 </w:t>
      </w:r>
    </w:p>
    <w:p w14:paraId="2669FA92" w14:textId="77777777" w:rsidR="00623FF8" w:rsidRPr="001E33CF" w:rsidRDefault="00623FF8" w:rsidP="00623FF8">
      <w:pPr>
        <w:pStyle w:val="EndNoteBibliography"/>
        <w:spacing w:after="0"/>
        <w:ind w:left="720" w:hanging="720"/>
      </w:pPr>
      <w:r w:rsidRPr="001E33CF">
        <w:t xml:space="preserve">Empresa de Aprovechamiento Hidraulico, S. (2024). </w:t>
      </w:r>
      <w:r w:rsidRPr="001E33CF">
        <w:rPr>
          <w:i/>
        </w:rPr>
        <w:t>Hidrologia cuenca Sagua la Chica</w:t>
      </w:r>
      <w:r w:rsidRPr="001E33CF">
        <w:t xml:space="preserve">. </w:t>
      </w:r>
    </w:p>
    <w:p w14:paraId="4ABE70EE" w14:textId="77777777" w:rsidR="00623FF8" w:rsidRPr="001E33CF" w:rsidRDefault="00623FF8" w:rsidP="00623FF8">
      <w:pPr>
        <w:pStyle w:val="EndNoteBibliography"/>
        <w:spacing w:after="0"/>
        <w:ind w:left="720" w:hanging="720"/>
      </w:pPr>
      <w:r w:rsidRPr="001E33CF">
        <w:t xml:space="preserve">Enríquez Ruiz, M. G. (2018). </w:t>
      </w:r>
      <w:r w:rsidRPr="001E33CF">
        <w:rPr>
          <w:i/>
        </w:rPr>
        <w:t>Valoración de la disponibilidad hídrica para la conservación de la reserva Sabia Esperanza, en la Microcuenca del río Mataquí</w:t>
      </w:r>
      <w:r w:rsidRPr="001E33CF">
        <w:t xml:space="preserve"> [Tesis (Maestría), Universidad técnica del norte]. Ibarra - Ecuador. https://core.ac.uk/download/pdf/200322722.pdf</w:t>
      </w:r>
    </w:p>
    <w:p w14:paraId="06FF35A7" w14:textId="77777777" w:rsidR="00623FF8" w:rsidRPr="001E33CF" w:rsidRDefault="00623FF8" w:rsidP="00623FF8">
      <w:pPr>
        <w:pStyle w:val="EndNoteBibliography"/>
        <w:spacing w:after="0"/>
        <w:ind w:left="720" w:hanging="720"/>
      </w:pPr>
      <w:r w:rsidRPr="001E33CF">
        <w:t xml:space="preserve">Fattorelli, S., y Fernández, P. C. (2007). </w:t>
      </w:r>
      <w:r w:rsidRPr="001E33CF">
        <w:rPr>
          <w:i/>
        </w:rPr>
        <w:t>Diseño hidrológico</w:t>
      </w:r>
      <w:r w:rsidRPr="001E33CF">
        <w:t xml:space="preserve">. Zeta Editores. https://webooks.co/images/team/academicos/ingenieria/civil/5.Diseno%20Hidrologico-%20Fattorelli%20y%20Fernandez.pdf </w:t>
      </w:r>
    </w:p>
    <w:p w14:paraId="07B9FD52" w14:textId="77777777" w:rsidR="00623FF8" w:rsidRPr="001E33CF" w:rsidRDefault="00623FF8" w:rsidP="00623FF8">
      <w:pPr>
        <w:pStyle w:val="EndNoteBibliography"/>
        <w:spacing w:after="0"/>
        <w:ind w:left="720" w:hanging="720"/>
        <w:rPr>
          <w:lang w:val="en-US"/>
        </w:rPr>
      </w:pPr>
      <w:r w:rsidRPr="001E33CF">
        <w:rPr>
          <w:lang w:val="en-US"/>
        </w:rPr>
        <w:t xml:space="preserve">Flenniken, J. M., Stuglik, S., y Iannone, B. V. (2020). Quantum GIS (QGIS): An Introduction to a Free Alternative to More Costly GIS Platforms. </w:t>
      </w:r>
      <w:r w:rsidRPr="001E33CF">
        <w:rPr>
          <w:i/>
          <w:lang w:val="en-US"/>
        </w:rPr>
        <w:t>UF/IFAS School of Forest Resources and Conservation</w:t>
      </w:r>
      <w:r w:rsidRPr="001E33CF">
        <w:rPr>
          <w:lang w:val="en-US"/>
        </w:rPr>
        <w:t xml:space="preserve">(2), 7-7. https://doi.org/10.32473/edis-fr428-2020 </w:t>
      </w:r>
    </w:p>
    <w:p w14:paraId="0537E85E" w14:textId="77777777" w:rsidR="00623FF8" w:rsidRPr="001E33CF" w:rsidRDefault="00623FF8" w:rsidP="00623FF8">
      <w:pPr>
        <w:pStyle w:val="EndNoteBibliography"/>
        <w:spacing w:after="0"/>
        <w:ind w:left="720" w:hanging="720"/>
      </w:pPr>
      <w:r w:rsidRPr="001E33CF">
        <w:t xml:space="preserve">García, N. J. G., Salinas, N. F., y Chavarría, L. C. B. (2021). Balance hídrico: Oferta y demanda de agua en la unidad hidrológica 69-95259905, Nicaragua. </w:t>
      </w:r>
      <w:r w:rsidRPr="001E33CF">
        <w:rPr>
          <w:i/>
        </w:rPr>
        <w:t>Revista Humanismo y Cambio Social</w:t>
      </w:r>
      <w:r w:rsidRPr="001E33CF">
        <w:t xml:space="preserve">, 54-66. https://doi.org/10.5377/hcs.v0i17.11702 </w:t>
      </w:r>
    </w:p>
    <w:p w14:paraId="4CDA0CC1" w14:textId="77777777" w:rsidR="00623FF8" w:rsidRPr="001E33CF" w:rsidRDefault="00623FF8" w:rsidP="00623FF8">
      <w:pPr>
        <w:pStyle w:val="EndNoteBibliography"/>
        <w:spacing w:after="0"/>
        <w:ind w:left="720" w:hanging="720"/>
      </w:pPr>
      <w:r w:rsidRPr="001E33CF">
        <w:t xml:space="preserve">Gorostiza, J. L. R., y Empresariales, U. C. d. M. F. d. C. E. y. (2001). </w:t>
      </w:r>
      <w:r w:rsidRPr="001E33CF">
        <w:rPr>
          <w:i/>
        </w:rPr>
        <w:t>La formación de la política hidrológica en el siglo XX: ideas e intereses, "actores" y proceso político</w:t>
      </w:r>
      <w:r w:rsidRPr="001E33CF">
        <w:t xml:space="preserve">. Universidad Complutense de Madrid, Facultad de Ciencias Económicas y Empresariales. https://books.google.com.cu/books?id=T68hcgAACAAJ </w:t>
      </w:r>
    </w:p>
    <w:p w14:paraId="64282133" w14:textId="77777777" w:rsidR="00623FF8" w:rsidRPr="001E33CF" w:rsidRDefault="00623FF8" w:rsidP="00623FF8">
      <w:pPr>
        <w:pStyle w:val="EndNoteBibliography"/>
        <w:spacing w:after="0"/>
        <w:ind w:left="720" w:hanging="720"/>
      </w:pPr>
      <w:r w:rsidRPr="001E33CF">
        <w:t xml:space="preserve">Haro Mediavilla, B. S. (2021). </w:t>
      </w:r>
      <w:r w:rsidRPr="001E33CF">
        <w:rPr>
          <w:i/>
        </w:rPr>
        <w:t>Influencia de la cobertura forestal en el balance hídrico superficial de la reserva hídrica el Paraíso</w:t>
      </w:r>
      <w:r w:rsidRPr="001E33CF">
        <w:t xml:space="preserve"> Ibarra. Ecuador. http://repositorio.utn.edu.ec/handle/123456789/11096</w:t>
      </w:r>
    </w:p>
    <w:p w14:paraId="728EA09A" w14:textId="77777777" w:rsidR="00623FF8" w:rsidRPr="001E33CF" w:rsidRDefault="00623FF8" w:rsidP="00623FF8">
      <w:pPr>
        <w:pStyle w:val="EndNoteBibliography"/>
        <w:spacing w:after="0"/>
        <w:ind w:left="720" w:hanging="720"/>
      </w:pPr>
      <w:r w:rsidRPr="001E33CF">
        <w:t xml:space="preserve">Infante-Amate, J., De Molina, M. G., y Toledo, V. M. (2017). El metabolismo social. Historia, métodos y principales aportaciones. </w:t>
      </w:r>
      <w:r w:rsidRPr="001E33CF">
        <w:rPr>
          <w:i/>
        </w:rPr>
        <w:t>Revibec: revista iberoamericana de economía ecológica</w:t>
      </w:r>
      <w:r w:rsidRPr="001E33CF">
        <w:t>,</w:t>
      </w:r>
      <w:r w:rsidRPr="001E33CF">
        <w:rPr>
          <w:i/>
        </w:rPr>
        <w:t xml:space="preserve"> 27</w:t>
      </w:r>
      <w:r w:rsidRPr="001E33CF">
        <w:t xml:space="preserve">, 130-152. http://www.redibec.org/IVO/rev19_01.pdf </w:t>
      </w:r>
    </w:p>
    <w:p w14:paraId="64B4368B" w14:textId="77777777" w:rsidR="00623FF8" w:rsidRPr="001E33CF" w:rsidRDefault="00623FF8" w:rsidP="00623FF8">
      <w:pPr>
        <w:pStyle w:val="EndNoteBibliography"/>
        <w:spacing w:after="0"/>
        <w:ind w:left="720" w:hanging="720"/>
      </w:pPr>
      <w:r w:rsidRPr="001E33CF">
        <w:t xml:space="preserve">J. Andreu Alvarez, A. S. S., J. Capilla Roma, S. T. Sanchez Quispe (2015). Manual de Usuario Modelo SIMRISK. Versión 2.4. Simulacion multiple de Gestion de Recursos Hidricos con estimacion de riesgo, incluyendo utilizacion conjunta  </w:t>
      </w:r>
      <w:r w:rsidRPr="001E33CF">
        <w:rPr>
          <w:i/>
        </w:rPr>
        <w:t>Universidad Politécnica De Valencia: València, Spain</w:t>
      </w:r>
      <w:r w:rsidRPr="001E33CF">
        <w:t xml:space="preserve">, 16. https://aquatool.webs.upv.es/files/manuales/aquatool/ManSimriskEsp.pdf </w:t>
      </w:r>
    </w:p>
    <w:p w14:paraId="709D6369" w14:textId="77777777" w:rsidR="00623FF8" w:rsidRPr="001E33CF" w:rsidRDefault="00623FF8" w:rsidP="00623FF8">
      <w:pPr>
        <w:pStyle w:val="EndNoteBibliography"/>
        <w:spacing w:after="0"/>
        <w:ind w:left="720" w:hanging="720"/>
      </w:pPr>
      <w:r w:rsidRPr="001E33CF">
        <w:t xml:space="preserve">J. Paredes Arquiola, A. S. S., J. Andreu Alvarez   (2015). Manual de Usuario Modelo GESCAL. Versión 2.0. Simulacion de la calidad del agua en sistema de Recursos Hidricos </w:t>
      </w:r>
      <w:r w:rsidRPr="001E33CF">
        <w:rPr>
          <w:i/>
        </w:rPr>
        <w:t>Universidad Politécnica De Valencia: València, Spain</w:t>
      </w:r>
      <w:r w:rsidRPr="001E33CF">
        <w:t xml:space="preserve">, 20. https://aquatool.webs.upv.es/files/manuales/aquatool/ManualGescal.pdf </w:t>
      </w:r>
    </w:p>
    <w:p w14:paraId="60FBA914" w14:textId="77777777" w:rsidR="00623FF8" w:rsidRPr="001E33CF" w:rsidRDefault="00623FF8" w:rsidP="00623FF8">
      <w:pPr>
        <w:pStyle w:val="EndNoteBibliography"/>
        <w:spacing w:after="0"/>
        <w:ind w:left="720" w:hanging="720"/>
      </w:pPr>
      <w:r w:rsidRPr="001E33CF">
        <w:rPr>
          <w:lang w:val="en-US"/>
        </w:rPr>
        <w:lastRenderedPageBreak/>
        <w:t xml:space="preserve">Kundu, S., Khare, D., y Mondal, A. (2017). Past, present and future land use changes and their impact on water balance. </w:t>
      </w:r>
      <w:r w:rsidRPr="001E33CF">
        <w:rPr>
          <w:i/>
        </w:rPr>
        <w:t>Journal of environmental management</w:t>
      </w:r>
      <w:r w:rsidRPr="001E33CF">
        <w:t>,</w:t>
      </w:r>
      <w:r w:rsidRPr="001E33CF">
        <w:rPr>
          <w:i/>
        </w:rPr>
        <w:t xml:space="preserve"> 197</w:t>
      </w:r>
      <w:r w:rsidRPr="001E33CF">
        <w:t xml:space="preserve">, 582-596. https://doi.org/10.1016/j.jenvman.2017.04.018 </w:t>
      </w:r>
    </w:p>
    <w:p w14:paraId="319260DF" w14:textId="77777777" w:rsidR="00623FF8" w:rsidRPr="001E33CF" w:rsidRDefault="00623FF8" w:rsidP="00623FF8">
      <w:pPr>
        <w:pStyle w:val="EndNoteBibliography"/>
        <w:ind w:left="720" w:hanging="720"/>
        <w:rPr>
          <w:lang w:val="en-US"/>
        </w:rPr>
      </w:pPr>
      <w:r w:rsidRPr="001E33CF">
        <w:t xml:space="preserve">Martín Utrillas, M., Benítez Navío, A., Martínez León, J., Curiel Esparza, J., y Cantó Perelló, J. (2020). </w:t>
      </w:r>
      <w:r w:rsidRPr="001E33CF">
        <w:rPr>
          <w:i/>
          <w:lang w:val="en-US"/>
        </w:rPr>
        <w:t>Evolution in a climate change scenario of water resources in the reservoirs of the upper Guadiana river basin</w:t>
      </w:r>
      <w:r w:rsidRPr="001E33CF">
        <w:rPr>
          <w:lang w:val="en-US"/>
        </w:rPr>
        <w:t xml:space="preserve"> 24th International Congress on Project Management and Engineering</w:t>
      </w:r>
    </w:p>
    <w:p w14:paraId="579B2779" w14:textId="77777777" w:rsidR="00623FF8" w:rsidRPr="001E33CF" w:rsidRDefault="00623FF8" w:rsidP="00623FF8">
      <w:pPr>
        <w:pStyle w:val="EndNoteBibliography"/>
        <w:spacing w:after="0"/>
        <w:ind w:left="720" w:hanging="720"/>
        <w:rPr>
          <w:lang w:val="en-US"/>
        </w:rPr>
      </w:pPr>
      <w:r w:rsidRPr="001E33CF">
        <w:rPr>
          <w:lang w:val="en-US"/>
        </w:rPr>
        <w:t>Alcoi, 7th – 10th July 2020, Spain. http://dspace.aeipro.com/xmlui/bitstream/handle/123456789/2489/AT04-007_20.pdf?sequence=1</w:t>
      </w:r>
    </w:p>
    <w:p w14:paraId="76462C56" w14:textId="77777777" w:rsidR="00623FF8" w:rsidRPr="001E33CF" w:rsidRDefault="00623FF8" w:rsidP="00623FF8">
      <w:pPr>
        <w:pStyle w:val="EndNoteBibliography"/>
        <w:spacing w:after="0"/>
        <w:ind w:left="720" w:hanging="720"/>
      </w:pPr>
      <w:r w:rsidRPr="001E33CF">
        <w:t xml:space="preserve">Martinez, J. B. (2000). </w:t>
      </w:r>
      <w:r w:rsidRPr="001E33CF">
        <w:rPr>
          <w:i/>
        </w:rPr>
        <w:t xml:space="preserve">Economia de los Recursos Hidraulicos </w:t>
      </w:r>
      <w:r w:rsidRPr="001E33CF">
        <w:t xml:space="preserve">https://biblioteca.clacso.edu.ar/Peru/grade/20141215055610/Economiadelagua.pdf </w:t>
      </w:r>
    </w:p>
    <w:p w14:paraId="7D1FE835" w14:textId="77777777" w:rsidR="00623FF8" w:rsidRPr="001E33CF" w:rsidRDefault="00623FF8" w:rsidP="00623FF8">
      <w:pPr>
        <w:pStyle w:val="EndNoteBibliography"/>
        <w:spacing w:after="0"/>
        <w:ind w:left="720" w:hanging="720"/>
      </w:pPr>
      <w:r w:rsidRPr="001E33CF">
        <w:t xml:space="preserve">Mediero Orduña, L. (2021). </w:t>
      </w:r>
      <w:r w:rsidRPr="001E33CF">
        <w:rPr>
          <w:i/>
        </w:rPr>
        <w:t>Hidrología</w:t>
      </w:r>
      <w:r w:rsidRPr="001E33CF">
        <w:t xml:space="preserve"> (Ediciones Paraninfo, S.A., 2021 ed.). Ediciones Paraninfo, S.A. https://books.google.com.cu/books?id=nqAlEAAAQBAJ </w:t>
      </w:r>
    </w:p>
    <w:p w14:paraId="4C1C3AF4" w14:textId="77777777" w:rsidR="00623FF8" w:rsidRPr="001E33CF" w:rsidRDefault="00623FF8" w:rsidP="00623FF8">
      <w:pPr>
        <w:pStyle w:val="EndNoteBibliography"/>
        <w:spacing w:after="0"/>
        <w:ind w:left="720" w:hanging="720"/>
      </w:pPr>
      <w:r w:rsidRPr="001E33CF">
        <w:t xml:space="preserve">Mijares, F. J. A., y Verduzco, M. B. (1989). Las ecuaciones de continuidad y cantidad de movimiento en la hidráulica. </w:t>
      </w:r>
      <w:r w:rsidRPr="001E33CF">
        <w:rPr>
          <w:i/>
        </w:rPr>
        <w:t>Tecnología y ciencias del agua</w:t>
      </w:r>
      <w:r w:rsidRPr="001E33CF">
        <w:t xml:space="preserve">, 40-45. https://www.revistatyca.org.mx/index.php/tyca/article/view/600 </w:t>
      </w:r>
    </w:p>
    <w:p w14:paraId="720E8CA9" w14:textId="77777777" w:rsidR="00623FF8" w:rsidRPr="001E33CF" w:rsidRDefault="00623FF8" w:rsidP="00623FF8">
      <w:pPr>
        <w:pStyle w:val="EndNoteBibliography"/>
        <w:spacing w:after="0"/>
        <w:ind w:left="720" w:hanging="720"/>
      </w:pPr>
      <w:r w:rsidRPr="001E33CF">
        <w:t xml:space="preserve">Montaner Salas, M. E., y Sánchez-Almohalla Serrano, E. (1988). Aproximación, por el método de Thornthwaite, al cálculo de infiltración de lluvia útil. </w:t>
      </w:r>
      <w:r w:rsidRPr="001E33CF">
        <w:rPr>
          <w:i/>
        </w:rPr>
        <w:t>Papeles de Geografía</w:t>
      </w:r>
      <w:r w:rsidRPr="001E33CF">
        <w:t xml:space="preserve">(14), 223-235. https://revistas.um.es/geografia/article/view/42801 </w:t>
      </w:r>
    </w:p>
    <w:p w14:paraId="3337306C" w14:textId="77777777" w:rsidR="00623FF8" w:rsidRPr="001E33CF" w:rsidRDefault="00623FF8" w:rsidP="00623FF8">
      <w:pPr>
        <w:pStyle w:val="EndNoteBibliography"/>
        <w:spacing w:after="0"/>
        <w:ind w:left="720" w:hanging="720"/>
      </w:pPr>
      <w:r w:rsidRPr="001E33CF">
        <w:t xml:space="preserve">Montes Anchali, Y. B. (2022). </w:t>
      </w:r>
      <w:r w:rsidRPr="001E33CF">
        <w:rPr>
          <w:i/>
        </w:rPr>
        <w:t xml:space="preserve">Determinación del balance hídrico y tiempo de retención de agua en el suelo en Santa Cruz, Galápagos.  </w:t>
      </w:r>
      <w:r w:rsidRPr="001E33CF">
        <w:t>Universidad central del Ecuador]. Quito. http://bibdigital.epn.edu.ec/handle/15000/6219</w:t>
      </w:r>
    </w:p>
    <w:p w14:paraId="674970FB" w14:textId="77777777" w:rsidR="00623FF8" w:rsidRPr="001E33CF" w:rsidRDefault="00623FF8" w:rsidP="00623FF8">
      <w:pPr>
        <w:pStyle w:val="EndNoteBibliography"/>
        <w:spacing w:after="0"/>
        <w:ind w:left="720" w:hanging="720"/>
      </w:pPr>
      <w:r w:rsidRPr="001E33CF">
        <w:t xml:space="preserve">N. Lerma Elvira, J. P. A., A. Solera Solera, J. Andreu Alvarez (2015). Manual de Usuario Herramienta EvalHid. Versión 1.1. Evaluacion de recursos hidricos https://aquatool.webs.upv.es/files/manuales/evalhid/Manual_Usuario_EvalHid.pdf </w:t>
      </w:r>
    </w:p>
    <w:p w14:paraId="07802D8C" w14:textId="77777777" w:rsidR="00623FF8" w:rsidRPr="001E33CF" w:rsidRDefault="00623FF8" w:rsidP="00623FF8">
      <w:pPr>
        <w:pStyle w:val="EndNoteBibliography"/>
        <w:spacing w:after="0"/>
        <w:ind w:left="720" w:hanging="720"/>
      </w:pPr>
      <w:r w:rsidRPr="001E33CF">
        <w:t xml:space="preserve">Orihuela Morales, J. D. (2023). </w:t>
      </w:r>
      <w:r w:rsidRPr="001E33CF">
        <w:rPr>
          <w:i/>
        </w:rPr>
        <w:t>Estudio de demanda hidrica, para la elaboracion del balance hidrico del proyecto mejoramiento y ampliación del servicio de agua para el sistema de riego Papachacra, Distrito de Santiago de Chocorvos, Provincia de Huaytara–Huancavelica</w:t>
      </w:r>
      <w:r w:rsidRPr="001E33CF">
        <w:t xml:space="preserve"> https://hdl.handle.net/20.500.12848/6461</w:t>
      </w:r>
    </w:p>
    <w:p w14:paraId="5B5FF799" w14:textId="77777777" w:rsidR="00623FF8" w:rsidRPr="001E33CF" w:rsidRDefault="00623FF8" w:rsidP="00623FF8">
      <w:pPr>
        <w:pStyle w:val="EndNoteBibliography"/>
        <w:spacing w:after="0"/>
        <w:ind w:left="720" w:hanging="720"/>
      </w:pPr>
      <w:r w:rsidRPr="001E33CF">
        <w:t xml:space="preserve">Ortiz, d. J. B. (2024). </w:t>
      </w:r>
      <w:r w:rsidRPr="001E33CF">
        <w:rPr>
          <w:i/>
        </w:rPr>
        <w:t>Determinación de balance hídrico en la cuenca hidrográfica de babahoyo utilizando sistema de información geográfica</w:t>
      </w:r>
      <w:r w:rsidRPr="001E33CF">
        <w:t xml:space="preserve"> Universidad Agraria del Ecuador]. GUAYAQUIL – ECUADOR. https://cia.uagraria.edu.ec/Archivos/SANC%C3%81N%20CHEME%20GARY%20ANDERSON.pdf</w:t>
      </w:r>
    </w:p>
    <w:p w14:paraId="0BAA9B13" w14:textId="77777777" w:rsidR="00623FF8" w:rsidRPr="001E33CF" w:rsidRDefault="00623FF8" w:rsidP="00623FF8">
      <w:pPr>
        <w:pStyle w:val="EndNoteBibliography"/>
        <w:spacing w:after="0"/>
        <w:ind w:left="720" w:hanging="720"/>
      </w:pPr>
      <w:r w:rsidRPr="001E33CF">
        <w:t xml:space="preserve">Pérez, A. Á., García, R. V., Corral, J. A. R., y Pérez, A. L. S. (2020). Efecto del cambio climático a partir de los escenarios RCP 4.5 y 8.5 del año 2050 en el balance hídrico del Área Natural Protegida La Primavera, Jalisco, México. </w:t>
      </w:r>
      <w:r w:rsidRPr="001E33CF">
        <w:rPr>
          <w:i/>
        </w:rPr>
        <w:t>Áreas Naturales Protegidas Scripta</w:t>
      </w:r>
      <w:r w:rsidRPr="001E33CF">
        <w:t>,</w:t>
      </w:r>
      <w:r w:rsidRPr="001E33CF">
        <w:rPr>
          <w:i/>
        </w:rPr>
        <w:t xml:space="preserve"> 6 (1)</w:t>
      </w:r>
      <w:r w:rsidRPr="001E33CF">
        <w:t xml:space="preserve">, 53-57. https://doi.org/0.18242/anpscripta.2020.06.06.01.0004 </w:t>
      </w:r>
    </w:p>
    <w:p w14:paraId="2B0BF05C" w14:textId="77777777" w:rsidR="00623FF8" w:rsidRPr="001E33CF" w:rsidRDefault="00623FF8" w:rsidP="00623FF8">
      <w:pPr>
        <w:pStyle w:val="EndNoteBibliography"/>
        <w:spacing w:after="0"/>
        <w:ind w:left="720" w:hanging="720"/>
      </w:pPr>
      <w:r w:rsidRPr="001E33CF">
        <w:t xml:space="preserve">Quintero, R. M. (2022). </w:t>
      </w:r>
      <w:r w:rsidRPr="001E33CF">
        <w:rPr>
          <w:i/>
        </w:rPr>
        <w:t>De la lucha contra inundaciones a la defensa de ríos y humedales en el Valle del Cauca y Cali</w:t>
      </w:r>
      <w:r w:rsidRPr="001E33CF">
        <w:t>. Autónoma de Occidente. https://books.google.com.cu/books?id=xPZ2EAAAQBAJ&amp;lpg=PT4&amp;ots=M3lTNfFg3G&amp;dq=De%20la%20lucha%20contra%20inundaciones%20a%20la%20d</w:t>
      </w:r>
      <w:r w:rsidRPr="001E33CF">
        <w:lastRenderedPageBreak/>
        <w:t xml:space="preserve">efensa%20de%20r%C3%ADos%20y%20humedales%20en%20el%20Valle%20del%20Cauca%20y%20Cali&amp;lr=lang_en%7Clang_es&amp;pg=PP1#v=onepage&amp;q=De%20la%20lucha%20contra%20inundaciones%20a%20la%20defensa%20de%20r%C3%ADos%20y%20humedales%20en%20el%20Valle%20del%20Cauca%20y%20Cali&amp;f=false </w:t>
      </w:r>
    </w:p>
    <w:p w14:paraId="0410C5B4" w14:textId="77777777" w:rsidR="00623FF8" w:rsidRPr="001E33CF" w:rsidRDefault="00623FF8" w:rsidP="00623FF8">
      <w:pPr>
        <w:pStyle w:val="EndNoteBibliography"/>
        <w:spacing w:after="0"/>
        <w:ind w:left="720" w:hanging="720"/>
      </w:pPr>
      <w:r w:rsidRPr="001E33CF">
        <w:t xml:space="preserve">Roberto Chiriboga, Y. M. A. (2015). Guia metodologia de inventarios de los recursos hidricos. </w:t>
      </w:r>
    </w:p>
    <w:p w14:paraId="127D3A6C" w14:textId="77777777" w:rsidR="00623FF8" w:rsidRPr="001E33CF" w:rsidRDefault="00623FF8" w:rsidP="00623FF8">
      <w:pPr>
        <w:pStyle w:val="EndNoteBibliography"/>
        <w:spacing w:after="0"/>
        <w:ind w:left="720" w:hanging="720"/>
      </w:pPr>
      <w:r w:rsidRPr="001E33CF">
        <w:t xml:space="preserve">Rodríguez Álvarez, F., Salgado, R., Lozano, D., García Vila, M., Soriano, M., y Mateos, L. (2019). Balance hídrico de una cuenca regable al sur de españa utilizando técnicas de teledetección. In </w:t>
      </w:r>
      <w:r w:rsidRPr="001E33CF">
        <w:rPr>
          <w:i/>
        </w:rPr>
        <w:t>XXXVII Congreso Nacional de Riegos</w:t>
      </w:r>
      <w:r w:rsidRPr="001E33CF">
        <w:t>: Asociación Española de Riegos y Drenajes, Universidad de Extremadura.</w:t>
      </w:r>
    </w:p>
    <w:p w14:paraId="69370544" w14:textId="77777777" w:rsidR="00623FF8" w:rsidRPr="001E33CF" w:rsidRDefault="00623FF8" w:rsidP="00623FF8">
      <w:pPr>
        <w:pStyle w:val="EndNoteBibliography"/>
        <w:spacing w:after="0"/>
        <w:ind w:left="720" w:hanging="720"/>
      </w:pPr>
      <w:r w:rsidRPr="001E33CF">
        <w:t xml:space="preserve">Silva-Hidalgo, H. (2012). Metodología para la determinación de disponibilidad y déficit de agua superficial en cuencas hidrológicas: aplicación al caso de la normativa mexicana. </w:t>
      </w:r>
      <w:r w:rsidRPr="001E33CF">
        <w:rPr>
          <w:i/>
        </w:rPr>
        <w:t>Tecnología y ciencias del agua</w:t>
      </w:r>
      <w:r w:rsidRPr="001E33CF">
        <w:t>,</w:t>
      </w:r>
      <w:r w:rsidRPr="001E33CF">
        <w:rPr>
          <w:i/>
        </w:rPr>
        <w:t xml:space="preserve"> 4(1)</w:t>
      </w:r>
      <w:r w:rsidRPr="001E33CF">
        <w:t xml:space="preserve">, 27-50. http://www.scielo.org.mx/scielo.php?script=sci_arttext&amp;pid=S2007-24222013000100002&amp;lng=es&amp;tlng=es. </w:t>
      </w:r>
    </w:p>
    <w:p w14:paraId="7ED1FF34" w14:textId="77777777" w:rsidR="00623FF8" w:rsidRPr="001E33CF" w:rsidRDefault="00623FF8" w:rsidP="00623FF8">
      <w:pPr>
        <w:pStyle w:val="EndNoteBibliography"/>
        <w:spacing w:after="0"/>
        <w:ind w:left="720" w:hanging="720"/>
      </w:pPr>
      <w:r w:rsidRPr="001E33CF">
        <w:rPr>
          <w:lang w:val="en-US"/>
        </w:rPr>
        <w:t xml:space="preserve">Sokolov, A. A., y Chapman, T. G. (1974). </w:t>
      </w:r>
      <w:r w:rsidRPr="001E33CF">
        <w:rPr>
          <w:i/>
        </w:rPr>
        <w:t>Métodos de cálculo del balance hídrico: guía internacional de investigación y métodos</w:t>
      </w:r>
      <w:r w:rsidRPr="001E33CF">
        <w:t xml:space="preserve"> (Vol. 17). UNESCO, 1974. https://coilink.org/20.500.12592/bcc2kmh </w:t>
      </w:r>
    </w:p>
    <w:p w14:paraId="5938779C" w14:textId="77777777" w:rsidR="00623FF8" w:rsidRPr="001E33CF" w:rsidRDefault="00623FF8" w:rsidP="00623FF8">
      <w:pPr>
        <w:pStyle w:val="EndNoteBibliography"/>
        <w:spacing w:after="0"/>
        <w:ind w:left="720" w:hanging="720"/>
      </w:pPr>
      <w:r w:rsidRPr="001E33CF">
        <w:t xml:space="preserve">Solera, A., Arquiola, J. P., y Álvarez, J. A. (2015). Manual de usuario, AQUATOOL. Version 1.0. </w:t>
      </w:r>
      <w:r w:rsidRPr="001E33CF">
        <w:rPr>
          <w:i/>
        </w:rPr>
        <w:t>Universidad Politécnica De Valencia: València, Spain</w:t>
      </w:r>
      <w:r w:rsidRPr="001E33CF">
        <w:t xml:space="preserve">. https://aquatool.webs.upv.es/files/manuales/aquatool/ManualAquaToolPlus.pdf </w:t>
      </w:r>
    </w:p>
    <w:p w14:paraId="7A9D1BB7" w14:textId="6651701D" w:rsidR="00D36D1C" w:rsidRPr="009D5E02" w:rsidRDefault="00623FF8" w:rsidP="00623FF8">
      <w:pPr>
        <w:spacing w:after="0" w:line="360" w:lineRule="auto"/>
        <w:jc w:val="both"/>
        <w:rPr>
          <w:rFonts w:ascii="Times New Roman" w:hAnsi="Times New Roman" w:cs="Times New Roman"/>
          <w:sz w:val="24"/>
          <w:szCs w:val="24"/>
        </w:rPr>
      </w:pPr>
      <w:r w:rsidRPr="001E33CF">
        <w:t xml:space="preserve">Velázquez, M. P., </w:t>
      </w:r>
      <w:proofErr w:type="spellStart"/>
      <w:r w:rsidRPr="001E33CF">
        <w:t>Escriva</w:t>
      </w:r>
      <w:proofErr w:type="spellEnd"/>
      <w:r w:rsidRPr="001E33CF">
        <w:t xml:space="preserve">-Bou, A., y Sorribes, H. M. (2020). Balance hídrico actual y futuro en las cuencas en España, déficits estructurales e implicaciones socioeconómicas. </w:t>
      </w:r>
      <w:r w:rsidRPr="001E33CF">
        <w:rPr>
          <w:i/>
        </w:rPr>
        <w:t>Estudios Sobre la Economía Española—2020/38, FEDEA</w:t>
      </w:r>
      <w:r w:rsidRPr="001E33CF">
        <w:t>. http://documentos.fedea.net/pubs/eee/eee2020-38.pdf</w:t>
      </w:r>
    </w:p>
    <w:sectPr w:rsidR="00D36D1C" w:rsidRPr="009D5E02" w:rsidSect="00C8585B">
      <w:headerReference w:type="default" r:id="rId13"/>
      <w:footerReference w:type="default" r:id="rId14"/>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FBFFE5" w14:textId="77777777" w:rsidR="00C02B7A" w:rsidRDefault="00C02B7A" w:rsidP="00C8585B">
      <w:pPr>
        <w:spacing w:after="0" w:line="240" w:lineRule="auto"/>
      </w:pPr>
      <w:r>
        <w:separator/>
      </w:r>
    </w:p>
  </w:endnote>
  <w:endnote w:type="continuationSeparator" w:id="0">
    <w:p w14:paraId="13EAAF04" w14:textId="77777777" w:rsidR="00C02B7A" w:rsidRDefault="00C02B7A"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iberation Sans">
    <w:altName w:val="Arial"/>
    <w:charset w:val="01"/>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270190"/>
      <w:docPartObj>
        <w:docPartGallery w:val="Page Numbers (Bottom of Page)"/>
        <w:docPartUnique/>
      </w:docPartObj>
    </w:sdtPr>
    <w:sdtEndPr/>
    <w:sdtContent>
      <w:p w14:paraId="74058A7F" w14:textId="77777777" w:rsidR="009D5E02" w:rsidRDefault="00E40131">
        <w:pPr>
          <w:pStyle w:val="Piedepgina"/>
          <w:jc w:val="right"/>
        </w:pPr>
        <w:r>
          <w:fldChar w:fldCharType="begin"/>
        </w:r>
        <w:r>
          <w:instrText xml:space="preserve"> PAGE   \* MERGEFORMAT </w:instrText>
        </w:r>
        <w:r>
          <w:fldChar w:fldCharType="separate"/>
        </w:r>
        <w:r w:rsidR="00357A82">
          <w:rPr>
            <w:noProof/>
          </w:rPr>
          <w:t>1</w:t>
        </w:r>
        <w:r>
          <w:rPr>
            <w:noProof/>
          </w:rPr>
          <w:fldChar w:fldCharType="end"/>
        </w:r>
      </w:p>
    </w:sdtContent>
  </w:sdt>
  <w:p w14:paraId="139F2E2A" w14:textId="77777777" w:rsidR="009D5E02" w:rsidRPr="00C8585B" w:rsidRDefault="00972A58" w:rsidP="00C8585B">
    <w:pPr>
      <w:pStyle w:val="Encabezado"/>
      <w:jc w:val="center"/>
      <w:rPr>
        <w:rFonts w:ascii="Verdana" w:hAnsi="Verdana"/>
        <w:b/>
        <w:sz w:val="16"/>
        <w:szCs w:val="16"/>
        <w:lang w:val="es-ES_tradnl"/>
      </w:rPr>
    </w:pPr>
    <w:r w:rsidRPr="00972A58">
      <w:rPr>
        <w:rFonts w:ascii="Verdana" w:hAnsi="Verdana"/>
        <w:b/>
        <w:sz w:val="16"/>
        <w:szCs w:val="16"/>
        <w:lang w:val="es-ES_tradnl"/>
      </w:rPr>
      <w:t>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w:t>
    </w:r>
    <w:r w:rsidR="00357A82">
      <w:rPr>
        <w:rFonts w:ascii="Verdana" w:hAnsi="Verdana"/>
        <w:b/>
        <w:sz w:val="16"/>
        <w:szCs w:val="16"/>
        <w:lang w:val="es-ES_tradnl"/>
      </w:rPr>
      <w:t>5</w:t>
    </w:r>
  </w:p>
  <w:p w14:paraId="5CBAB6D5" w14:textId="77777777" w:rsidR="009D5E02" w:rsidRPr="00C8585B" w:rsidRDefault="009D5E02"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0204DE5A" w14:textId="12C1EE31" w:rsidR="009D5E02" w:rsidRDefault="001E5322" w:rsidP="001E5322">
    <w:pPr>
      <w:pStyle w:val="Piedepgina"/>
      <w:jc w:val="center"/>
    </w:pPr>
    <w:r w:rsidRPr="001E5322">
      <w:rPr>
        <w:rFonts w:ascii="Verdana" w:hAnsi="Verdana"/>
        <w:b/>
        <w:sz w:val="16"/>
        <w:szCs w:val="16"/>
        <w:lang w:val="es-ES_tradnl"/>
      </w:rPr>
      <w:t>BALANCE HÍDRICO EN LA CUENCA HIDROGRÁFICA SAGUA LA CHICA.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B4BF8E" w14:textId="77777777" w:rsidR="00C02B7A" w:rsidRDefault="00C02B7A" w:rsidP="00C8585B">
      <w:pPr>
        <w:spacing w:after="0" w:line="240" w:lineRule="auto"/>
      </w:pPr>
      <w:r>
        <w:separator/>
      </w:r>
    </w:p>
  </w:footnote>
  <w:footnote w:type="continuationSeparator" w:id="0">
    <w:p w14:paraId="34909DBE" w14:textId="77777777" w:rsidR="00C02B7A" w:rsidRDefault="00C02B7A"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57" w:type="dxa"/>
      <w:jc w:val="center"/>
      <w:tblLayout w:type="fixed"/>
      <w:tblLook w:val="04A0" w:firstRow="1" w:lastRow="0" w:firstColumn="1" w:lastColumn="0" w:noHBand="0" w:noVBand="1"/>
    </w:tblPr>
    <w:tblGrid>
      <w:gridCol w:w="1425"/>
      <w:gridCol w:w="8632"/>
    </w:tblGrid>
    <w:tr w:rsidR="00F31B37" w:rsidRPr="004D77C8" w14:paraId="4455F98B" w14:textId="77777777" w:rsidTr="00F31B37">
      <w:trPr>
        <w:trHeight w:val="1114"/>
        <w:jc w:val="center"/>
      </w:trPr>
      <w:tc>
        <w:tcPr>
          <w:tcW w:w="1425" w:type="dxa"/>
        </w:tcPr>
        <w:p w14:paraId="7DA509F0" w14:textId="77777777" w:rsidR="00F31B37" w:rsidRPr="004D77C8" w:rsidRDefault="00F31B37" w:rsidP="00C8585B">
          <w:pPr>
            <w:pStyle w:val="Encabezado"/>
            <w:jc w:val="both"/>
            <w:rPr>
              <w:rFonts w:ascii="Verdana" w:hAnsi="Verdana"/>
              <w:b/>
              <w:sz w:val="18"/>
              <w:szCs w:val="18"/>
              <w:lang w:val="es-ES_tradnl"/>
            </w:rPr>
          </w:pPr>
          <w:r>
            <w:rPr>
              <w:rFonts w:ascii="Liberation Sans" w:hAnsi="Liberation Sans"/>
              <w:noProof/>
              <w:sz w:val="28"/>
              <w:szCs w:val="28"/>
              <w:lang w:eastAsia="es-ES"/>
            </w:rPr>
            <w:drawing>
              <wp:anchor distT="0" distB="0" distL="114300" distR="114300" simplePos="0" relativeHeight="251657216" behindDoc="1" locked="0" layoutInCell="1" allowOverlap="1" wp14:anchorId="42912584" wp14:editId="555920BA">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14:paraId="3F7B3B44" w14:textId="77777777" w:rsidR="00F31B37" w:rsidRDefault="00F31B37" w:rsidP="00F31B37">
          <w:pPr>
            <w:pStyle w:val="Encabezado"/>
            <w:jc w:val="center"/>
            <w:rPr>
              <w:rFonts w:ascii="Verdana" w:hAnsi="Verdana"/>
              <w:b/>
              <w:sz w:val="16"/>
              <w:szCs w:val="16"/>
              <w:lang w:val="es-ES_tradnl"/>
            </w:rPr>
          </w:pPr>
        </w:p>
        <w:p w14:paraId="759D7BF0" w14:textId="77777777" w:rsidR="00F31B37" w:rsidRPr="00C8585B" w:rsidRDefault="00972A58" w:rsidP="00972A58">
          <w:pPr>
            <w:pStyle w:val="Encabezado"/>
            <w:jc w:val="center"/>
            <w:rPr>
              <w:rFonts w:ascii="Verdana" w:hAnsi="Verdana"/>
              <w:b/>
              <w:sz w:val="16"/>
              <w:szCs w:val="16"/>
              <w:lang w:val="es-ES_tradnl"/>
            </w:rPr>
          </w:pPr>
          <w:r w:rsidRPr="00972A58">
            <w:rPr>
              <w:rFonts w:ascii="Verdana" w:hAnsi="Verdana"/>
              <w:b/>
              <w:sz w:val="16"/>
              <w:szCs w:val="16"/>
              <w:lang w:val="es-ES_tradnl"/>
            </w:rPr>
            <w:t>V Convención Científica</w:t>
          </w:r>
          <w:r>
            <w:rPr>
              <w:rFonts w:ascii="Verdana" w:hAnsi="Verdana"/>
              <w:b/>
              <w:sz w:val="16"/>
              <w:szCs w:val="16"/>
              <w:lang w:val="es-ES_tradnl"/>
            </w:rPr>
            <w:t xml:space="preserve"> </w:t>
          </w:r>
          <w:r w:rsidR="00357A82">
            <w:rPr>
              <w:rFonts w:ascii="Verdana" w:hAnsi="Verdana"/>
              <w:b/>
              <w:sz w:val="16"/>
              <w:szCs w:val="16"/>
              <w:lang w:val="es-ES_tradnl"/>
            </w:rPr>
            <w:t>Internacional UCLV 2025</w:t>
          </w:r>
        </w:p>
        <w:p w14:paraId="35A89708" w14:textId="77777777" w:rsidR="00F31B37" w:rsidRPr="00C8585B" w:rsidRDefault="00F31B37"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1FB6D6AA" w14:textId="1140C80A" w:rsidR="00F31B37" w:rsidRPr="001E5322" w:rsidRDefault="001E5322" w:rsidP="00F31B37">
          <w:pPr>
            <w:pStyle w:val="Encabezado"/>
            <w:jc w:val="center"/>
            <w:rPr>
              <w:rFonts w:ascii="Verdana" w:hAnsi="Verdana"/>
              <w:b/>
              <w:sz w:val="18"/>
              <w:szCs w:val="18"/>
              <w:lang w:val="es-CU"/>
            </w:rPr>
          </w:pPr>
          <w:bookmarkStart w:id="8" w:name="_Hlk204133875"/>
          <w:r w:rsidRPr="001E5322">
            <w:rPr>
              <w:rFonts w:ascii="Verdana" w:hAnsi="Verdana"/>
              <w:b/>
              <w:sz w:val="16"/>
              <w:szCs w:val="16"/>
              <w:lang w:val="es-ES_tradnl"/>
            </w:rPr>
            <w:t>BALANCE HÍDRICO EN LA CUENCA HIDROGRÁFICA SAGUA LA CHICA.</w:t>
          </w:r>
          <w:bookmarkEnd w:id="8"/>
        </w:p>
      </w:tc>
    </w:tr>
  </w:tbl>
  <w:p w14:paraId="315335C5" w14:textId="77777777" w:rsidR="009D5E02" w:rsidRDefault="009D5E0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D27630"/>
    <w:multiLevelType w:val="hybridMultilevel"/>
    <w:tmpl w:val="B9E039B8"/>
    <w:lvl w:ilvl="0" w:tplc="5C0A000F">
      <w:start w:val="1"/>
      <w:numFmt w:val="decimal"/>
      <w:lvlText w:val="%1."/>
      <w:lvlJc w:val="left"/>
      <w:pPr>
        <w:ind w:left="720" w:hanging="360"/>
      </w:pPr>
    </w:lvl>
    <w:lvl w:ilvl="1" w:tplc="5C0A0019" w:tentative="1">
      <w:start w:val="1"/>
      <w:numFmt w:val="lowerLetter"/>
      <w:lvlText w:val="%2."/>
      <w:lvlJc w:val="left"/>
      <w:pPr>
        <w:ind w:left="1440" w:hanging="360"/>
      </w:pPr>
    </w:lvl>
    <w:lvl w:ilvl="2" w:tplc="5C0A001B" w:tentative="1">
      <w:start w:val="1"/>
      <w:numFmt w:val="lowerRoman"/>
      <w:lvlText w:val="%3."/>
      <w:lvlJc w:val="right"/>
      <w:pPr>
        <w:ind w:left="2160" w:hanging="180"/>
      </w:pPr>
    </w:lvl>
    <w:lvl w:ilvl="3" w:tplc="5C0A000F" w:tentative="1">
      <w:start w:val="1"/>
      <w:numFmt w:val="decimal"/>
      <w:lvlText w:val="%4."/>
      <w:lvlJc w:val="left"/>
      <w:pPr>
        <w:ind w:left="2880" w:hanging="360"/>
      </w:pPr>
    </w:lvl>
    <w:lvl w:ilvl="4" w:tplc="5C0A0019" w:tentative="1">
      <w:start w:val="1"/>
      <w:numFmt w:val="lowerLetter"/>
      <w:lvlText w:val="%5."/>
      <w:lvlJc w:val="left"/>
      <w:pPr>
        <w:ind w:left="3600" w:hanging="360"/>
      </w:pPr>
    </w:lvl>
    <w:lvl w:ilvl="5" w:tplc="5C0A001B" w:tentative="1">
      <w:start w:val="1"/>
      <w:numFmt w:val="lowerRoman"/>
      <w:lvlText w:val="%6."/>
      <w:lvlJc w:val="right"/>
      <w:pPr>
        <w:ind w:left="4320" w:hanging="180"/>
      </w:pPr>
    </w:lvl>
    <w:lvl w:ilvl="6" w:tplc="5C0A000F" w:tentative="1">
      <w:start w:val="1"/>
      <w:numFmt w:val="decimal"/>
      <w:lvlText w:val="%7."/>
      <w:lvlJc w:val="left"/>
      <w:pPr>
        <w:ind w:left="5040" w:hanging="360"/>
      </w:pPr>
    </w:lvl>
    <w:lvl w:ilvl="7" w:tplc="5C0A0019" w:tentative="1">
      <w:start w:val="1"/>
      <w:numFmt w:val="lowerLetter"/>
      <w:lvlText w:val="%8."/>
      <w:lvlJc w:val="left"/>
      <w:pPr>
        <w:ind w:left="5760" w:hanging="360"/>
      </w:pPr>
    </w:lvl>
    <w:lvl w:ilvl="8" w:tplc="5C0A001B" w:tentative="1">
      <w:start w:val="1"/>
      <w:numFmt w:val="lowerRoman"/>
      <w:lvlText w:val="%9."/>
      <w:lvlJc w:val="right"/>
      <w:pPr>
        <w:ind w:left="6480" w:hanging="180"/>
      </w:pPr>
    </w:lvl>
  </w:abstractNum>
  <w:abstractNum w:abstractNumId="1" w15:restartNumberingAfterBreak="0">
    <w:nsid w:val="28CD05EC"/>
    <w:multiLevelType w:val="hybridMultilevel"/>
    <w:tmpl w:val="B12465A2"/>
    <w:lvl w:ilvl="0" w:tplc="5C0A000F">
      <w:start w:val="1"/>
      <w:numFmt w:val="decimal"/>
      <w:lvlText w:val="%1."/>
      <w:lvlJc w:val="left"/>
      <w:pPr>
        <w:ind w:left="720" w:hanging="360"/>
      </w:pPr>
      <w:rPr>
        <w:rFonts w:hint="default"/>
      </w:rPr>
    </w:lvl>
    <w:lvl w:ilvl="1" w:tplc="5C0A0019" w:tentative="1">
      <w:start w:val="1"/>
      <w:numFmt w:val="lowerLetter"/>
      <w:lvlText w:val="%2."/>
      <w:lvlJc w:val="left"/>
      <w:pPr>
        <w:ind w:left="1440" w:hanging="360"/>
      </w:pPr>
    </w:lvl>
    <w:lvl w:ilvl="2" w:tplc="5C0A001B" w:tentative="1">
      <w:start w:val="1"/>
      <w:numFmt w:val="lowerRoman"/>
      <w:lvlText w:val="%3."/>
      <w:lvlJc w:val="right"/>
      <w:pPr>
        <w:ind w:left="2160" w:hanging="180"/>
      </w:pPr>
    </w:lvl>
    <w:lvl w:ilvl="3" w:tplc="5C0A000F" w:tentative="1">
      <w:start w:val="1"/>
      <w:numFmt w:val="decimal"/>
      <w:lvlText w:val="%4."/>
      <w:lvlJc w:val="left"/>
      <w:pPr>
        <w:ind w:left="2880" w:hanging="360"/>
      </w:pPr>
    </w:lvl>
    <w:lvl w:ilvl="4" w:tplc="5C0A0019" w:tentative="1">
      <w:start w:val="1"/>
      <w:numFmt w:val="lowerLetter"/>
      <w:lvlText w:val="%5."/>
      <w:lvlJc w:val="left"/>
      <w:pPr>
        <w:ind w:left="3600" w:hanging="360"/>
      </w:pPr>
    </w:lvl>
    <w:lvl w:ilvl="5" w:tplc="5C0A001B" w:tentative="1">
      <w:start w:val="1"/>
      <w:numFmt w:val="lowerRoman"/>
      <w:lvlText w:val="%6."/>
      <w:lvlJc w:val="right"/>
      <w:pPr>
        <w:ind w:left="4320" w:hanging="180"/>
      </w:pPr>
    </w:lvl>
    <w:lvl w:ilvl="6" w:tplc="5C0A000F" w:tentative="1">
      <w:start w:val="1"/>
      <w:numFmt w:val="decimal"/>
      <w:lvlText w:val="%7."/>
      <w:lvlJc w:val="left"/>
      <w:pPr>
        <w:ind w:left="5040" w:hanging="360"/>
      </w:pPr>
    </w:lvl>
    <w:lvl w:ilvl="7" w:tplc="5C0A0019" w:tentative="1">
      <w:start w:val="1"/>
      <w:numFmt w:val="lowerLetter"/>
      <w:lvlText w:val="%8."/>
      <w:lvlJc w:val="left"/>
      <w:pPr>
        <w:ind w:left="5760" w:hanging="360"/>
      </w:pPr>
    </w:lvl>
    <w:lvl w:ilvl="8" w:tplc="5C0A001B" w:tentative="1">
      <w:start w:val="1"/>
      <w:numFmt w:val="lowerRoman"/>
      <w:lvlText w:val="%9."/>
      <w:lvlJc w:val="right"/>
      <w:pPr>
        <w:ind w:left="6480" w:hanging="180"/>
      </w:pPr>
    </w:lvl>
  </w:abstractNum>
  <w:abstractNum w:abstractNumId="2" w15:restartNumberingAfterBreak="0">
    <w:nsid w:val="3B461DDD"/>
    <w:multiLevelType w:val="multilevel"/>
    <w:tmpl w:val="5254C864"/>
    <w:lvl w:ilvl="0">
      <w:start w:val="1"/>
      <w:numFmt w:val="decimal"/>
      <w:lvlText w:val="%1"/>
      <w:lvlJc w:val="left"/>
      <w:pPr>
        <w:tabs>
          <w:tab w:val="num" w:pos="1680"/>
        </w:tabs>
        <w:ind w:left="1660" w:hanging="340"/>
      </w:pPr>
      <w:rPr>
        <w:rFonts w:hint="default"/>
      </w:rPr>
    </w:lvl>
    <w:lvl w:ilvl="1">
      <w:start w:val="1"/>
      <w:numFmt w:val="decimal"/>
      <w:lvlText w:val="1.%2."/>
      <w:lvlJc w:val="left"/>
      <w:pPr>
        <w:tabs>
          <w:tab w:val="num" w:pos="2607"/>
        </w:tabs>
        <w:ind w:left="2112" w:hanging="72"/>
      </w:pPr>
      <w:rPr>
        <w:rFonts w:ascii="Arial" w:hAnsi="Arial" w:cs="Arial" w:hint="default"/>
      </w:rPr>
    </w:lvl>
    <w:lvl w:ilvl="2">
      <w:start w:val="1"/>
      <w:numFmt w:val="decimal"/>
      <w:pStyle w:val="Ttulo3"/>
      <w:lvlText w:val="%1.%2.%3"/>
      <w:lvlJc w:val="left"/>
      <w:pPr>
        <w:tabs>
          <w:tab w:val="num" w:pos="1080"/>
        </w:tabs>
        <w:ind w:left="864" w:hanging="504"/>
      </w:pPr>
      <w:rPr>
        <w:rFonts w:ascii="Arial" w:hAnsi="Arial" w:cs="Arial" w:hint="default"/>
      </w:rPr>
    </w:lvl>
    <w:lvl w:ilvl="3">
      <w:start w:val="1"/>
      <w:numFmt w:val="decimal"/>
      <w:lvlText w:val="%1.%2.%3.%4."/>
      <w:lvlJc w:val="left"/>
      <w:pPr>
        <w:tabs>
          <w:tab w:val="num" w:pos="3120"/>
        </w:tabs>
        <w:ind w:left="3048" w:hanging="648"/>
      </w:pPr>
      <w:rPr>
        <w:rFonts w:hint="default"/>
      </w:rPr>
    </w:lvl>
    <w:lvl w:ilvl="4">
      <w:start w:val="1"/>
      <w:numFmt w:val="decimal"/>
      <w:lvlText w:val="%1.%2.%3.%4.%5."/>
      <w:lvlJc w:val="left"/>
      <w:pPr>
        <w:tabs>
          <w:tab w:val="num" w:pos="3840"/>
        </w:tabs>
        <w:ind w:left="3552" w:hanging="792"/>
      </w:pPr>
      <w:rPr>
        <w:rFonts w:hint="default"/>
      </w:rPr>
    </w:lvl>
    <w:lvl w:ilvl="5">
      <w:start w:val="1"/>
      <w:numFmt w:val="decimal"/>
      <w:lvlText w:val="%1.%2.%3.%4.%5.%6."/>
      <w:lvlJc w:val="left"/>
      <w:pPr>
        <w:tabs>
          <w:tab w:val="num" w:pos="4200"/>
        </w:tabs>
        <w:ind w:left="4056" w:hanging="936"/>
      </w:pPr>
      <w:rPr>
        <w:rFonts w:hint="default"/>
      </w:rPr>
    </w:lvl>
    <w:lvl w:ilvl="6">
      <w:start w:val="1"/>
      <w:numFmt w:val="decimal"/>
      <w:lvlText w:val="%1.%2.%3.%4.%5.%6.%7."/>
      <w:lvlJc w:val="left"/>
      <w:pPr>
        <w:tabs>
          <w:tab w:val="num" w:pos="4920"/>
        </w:tabs>
        <w:ind w:left="4560" w:hanging="1080"/>
      </w:pPr>
      <w:rPr>
        <w:rFonts w:hint="default"/>
      </w:rPr>
    </w:lvl>
    <w:lvl w:ilvl="7">
      <w:start w:val="1"/>
      <w:numFmt w:val="decimal"/>
      <w:lvlText w:val="%1.%2.%3.%4.%5.%6.%7.%8."/>
      <w:lvlJc w:val="left"/>
      <w:pPr>
        <w:tabs>
          <w:tab w:val="num" w:pos="5280"/>
        </w:tabs>
        <w:ind w:left="5064" w:hanging="1224"/>
      </w:pPr>
      <w:rPr>
        <w:rFonts w:hint="default"/>
      </w:rPr>
    </w:lvl>
    <w:lvl w:ilvl="8">
      <w:start w:val="1"/>
      <w:numFmt w:val="decimal"/>
      <w:lvlText w:val="%1.%2.%3.%4.%5.%6.%7.%8.%9."/>
      <w:lvlJc w:val="left"/>
      <w:pPr>
        <w:tabs>
          <w:tab w:val="num" w:pos="6000"/>
        </w:tabs>
        <w:ind w:left="5640" w:hanging="1440"/>
      </w:pPr>
      <w:rPr>
        <w:rFonts w:hint="default"/>
      </w:rPr>
    </w:lvl>
  </w:abstractNum>
  <w:abstractNum w:abstractNumId="3" w15:restartNumberingAfterBreak="0">
    <w:nsid w:val="43F71A1E"/>
    <w:multiLevelType w:val="hybridMultilevel"/>
    <w:tmpl w:val="513CBA2C"/>
    <w:lvl w:ilvl="0" w:tplc="5C0A0001">
      <w:start w:val="1"/>
      <w:numFmt w:val="bullet"/>
      <w:lvlText w:val=""/>
      <w:lvlJc w:val="left"/>
      <w:pPr>
        <w:ind w:left="720" w:hanging="360"/>
      </w:pPr>
      <w:rPr>
        <w:rFonts w:ascii="Symbol" w:hAnsi="Symbol" w:hint="default"/>
      </w:rPr>
    </w:lvl>
    <w:lvl w:ilvl="1" w:tplc="5C0A0003" w:tentative="1">
      <w:start w:val="1"/>
      <w:numFmt w:val="bullet"/>
      <w:lvlText w:val="o"/>
      <w:lvlJc w:val="left"/>
      <w:pPr>
        <w:ind w:left="1440" w:hanging="360"/>
      </w:pPr>
      <w:rPr>
        <w:rFonts w:ascii="Courier New" w:hAnsi="Courier New" w:cs="Courier New" w:hint="default"/>
      </w:rPr>
    </w:lvl>
    <w:lvl w:ilvl="2" w:tplc="5C0A0005" w:tentative="1">
      <w:start w:val="1"/>
      <w:numFmt w:val="bullet"/>
      <w:lvlText w:val=""/>
      <w:lvlJc w:val="left"/>
      <w:pPr>
        <w:ind w:left="2160" w:hanging="360"/>
      </w:pPr>
      <w:rPr>
        <w:rFonts w:ascii="Wingdings" w:hAnsi="Wingdings" w:hint="default"/>
      </w:rPr>
    </w:lvl>
    <w:lvl w:ilvl="3" w:tplc="5C0A0001" w:tentative="1">
      <w:start w:val="1"/>
      <w:numFmt w:val="bullet"/>
      <w:lvlText w:val=""/>
      <w:lvlJc w:val="left"/>
      <w:pPr>
        <w:ind w:left="2880" w:hanging="360"/>
      </w:pPr>
      <w:rPr>
        <w:rFonts w:ascii="Symbol" w:hAnsi="Symbol" w:hint="default"/>
      </w:rPr>
    </w:lvl>
    <w:lvl w:ilvl="4" w:tplc="5C0A0003" w:tentative="1">
      <w:start w:val="1"/>
      <w:numFmt w:val="bullet"/>
      <w:lvlText w:val="o"/>
      <w:lvlJc w:val="left"/>
      <w:pPr>
        <w:ind w:left="3600" w:hanging="360"/>
      </w:pPr>
      <w:rPr>
        <w:rFonts w:ascii="Courier New" w:hAnsi="Courier New" w:cs="Courier New" w:hint="default"/>
      </w:rPr>
    </w:lvl>
    <w:lvl w:ilvl="5" w:tplc="5C0A0005" w:tentative="1">
      <w:start w:val="1"/>
      <w:numFmt w:val="bullet"/>
      <w:lvlText w:val=""/>
      <w:lvlJc w:val="left"/>
      <w:pPr>
        <w:ind w:left="4320" w:hanging="360"/>
      </w:pPr>
      <w:rPr>
        <w:rFonts w:ascii="Wingdings" w:hAnsi="Wingdings" w:hint="default"/>
      </w:rPr>
    </w:lvl>
    <w:lvl w:ilvl="6" w:tplc="5C0A0001" w:tentative="1">
      <w:start w:val="1"/>
      <w:numFmt w:val="bullet"/>
      <w:lvlText w:val=""/>
      <w:lvlJc w:val="left"/>
      <w:pPr>
        <w:ind w:left="5040" w:hanging="360"/>
      </w:pPr>
      <w:rPr>
        <w:rFonts w:ascii="Symbol" w:hAnsi="Symbol" w:hint="default"/>
      </w:rPr>
    </w:lvl>
    <w:lvl w:ilvl="7" w:tplc="5C0A0003" w:tentative="1">
      <w:start w:val="1"/>
      <w:numFmt w:val="bullet"/>
      <w:lvlText w:val="o"/>
      <w:lvlJc w:val="left"/>
      <w:pPr>
        <w:ind w:left="5760" w:hanging="360"/>
      </w:pPr>
      <w:rPr>
        <w:rFonts w:ascii="Courier New" w:hAnsi="Courier New" w:cs="Courier New" w:hint="default"/>
      </w:rPr>
    </w:lvl>
    <w:lvl w:ilvl="8" w:tplc="5C0A0005" w:tentative="1">
      <w:start w:val="1"/>
      <w:numFmt w:val="bullet"/>
      <w:lvlText w:val=""/>
      <w:lvlJc w:val="left"/>
      <w:pPr>
        <w:ind w:left="6480" w:hanging="360"/>
      </w:pPr>
      <w:rPr>
        <w:rFonts w:ascii="Wingdings" w:hAnsi="Wingdings" w:hint="default"/>
      </w:rPr>
    </w:lvl>
  </w:abstractNum>
  <w:abstractNum w:abstractNumId="4" w15:restartNumberingAfterBreak="0">
    <w:nsid w:val="47FE1B32"/>
    <w:multiLevelType w:val="multilevel"/>
    <w:tmpl w:val="1C7C3FCC"/>
    <w:lvl w:ilvl="0">
      <w:start w:val="1"/>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15:restartNumberingAfterBreak="0">
    <w:nsid w:val="497129DF"/>
    <w:multiLevelType w:val="hybridMultilevel"/>
    <w:tmpl w:val="2C503F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7A891DC6"/>
    <w:multiLevelType w:val="hybridMultilevel"/>
    <w:tmpl w:val="05B437E0"/>
    <w:lvl w:ilvl="0" w:tplc="5C0A000F">
      <w:start w:val="1"/>
      <w:numFmt w:val="decimal"/>
      <w:lvlText w:val="%1."/>
      <w:lvlJc w:val="left"/>
      <w:pPr>
        <w:ind w:left="450" w:hanging="360"/>
      </w:pPr>
      <w:rPr>
        <w:rFonts w:hint="default"/>
      </w:rPr>
    </w:lvl>
    <w:lvl w:ilvl="1" w:tplc="5C0A0019" w:tentative="1">
      <w:start w:val="1"/>
      <w:numFmt w:val="lowerLetter"/>
      <w:lvlText w:val="%2."/>
      <w:lvlJc w:val="left"/>
      <w:pPr>
        <w:ind w:left="1170" w:hanging="360"/>
      </w:pPr>
    </w:lvl>
    <w:lvl w:ilvl="2" w:tplc="5C0A001B" w:tentative="1">
      <w:start w:val="1"/>
      <w:numFmt w:val="lowerRoman"/>
      <w:lvlText w:val="%3."/>
      <w:lvlJc w:val="right"/>
      <w:pPr>
        <w:ind w:left="1890" w:hanging="180"/>
      </w:pPr>
    </w:lvl>
    <w:lvl w:ilvl="3" w:tplc="5C0A000F" w:tentative="1">
      <w:start w:val="1"/>
      <w:numFmt w:val="decimal"/>
      <w:lvlText w:val="%4."/>
      <w:lvlJc w:val="left"/>
      <w:pPr>
        <w:ind w:left="2610" w:hanging="360"/>
      </w:pPr>
    </w:lvl>
    <w:lvl w:ilvl="4" w:tplc="5C0A0019" w:tentative="1">
      <w:start w:val="1"/>
      <w:numFmt w:val="lowerLetter"/>
      <w:lvlText w:val="%5."/>
      <w:lvlJc w:val="left"/>
      <w:pPr>
        <w:ind w:left="3330" w:hanging="360"/>
      </w:pPr>
    </w:lvl>
    <w:lvl w:ilvl="5" w:tplc="5C0A001B" w:tentative="1">
      <w:start w:val="1"/>
      <w:numFmt w:val="lowerRoman"/>
      <w:lvlText w:val="%6."/>
      <w:lvlJc w:val="right"/>
      <w:pPr>
        <w:ind w:left="4050" w:hanging="180"/>
      </w:pPr>
    </w:lvl>
    <w:lvl w:ilvl="6" w:tplc="5C0A000F" w:tentative="1">
      <w:start w:val="1"/>
      <w:numFmt w:val="decimal"/>
      <w:lvlText w:val="%7."/>
      <w:lvlJc w:val="left"/>
      <w:pPr>
        <w:ind w:left="4770" w:hanging="360"/>
      </w:pPr>
    </w:lvl>
    <w:lvl w:ilvl="7" w:tplc="5C0A0019" w:tentative="1">
      <w:start w:val="1"/>
      <w:numFmt w:val="lowerLetter"/>
      <w:lvlText w:val="%8."/>
      <w:lvlJc w:val="left"/>
      <w:pPr>
        <w:ind w:left="5490" w:hanging="360"/>
      </w:pPr>
    </w:lvl>
    <w:lvl w:ilvl="8" w:tplc="5C0A001B" w:tentative="1">
      <w:start w:val="1"/>
      <w:numFmt w:val="lowerRoman"/>
      <w:lvlText w:val="%9."/>
      <w:lvlJc w:val="right"/>
      <w:pPr>
        <w:ind w:left="6210" w:hanging="180"/>
      </w:pPr>
    </w:lvl>
  </w:abstractNum>
  <w:num w:numId="1">
    <w:abstractNumId w:val="6"/>
  </w:num>
  <w:num w:numId="2">
    <w:abstractNumId w:val="7"/>
  </w:num>
  <w:num w:numId="3">
    <w:abstractNumId w:val="2"/>
  </w:num>
  <w:num w:numId="4">
    <w:abstractNumId w:val="4"/>
  </w:num>
  <w:num w:numId="5">
    <w:abstractNumId w:val="3"/>
  </w:num>
  <w:num w:numId="6">
    <w:abstractNumId w:val="0"/>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585B"/>
    <w:rsid w:val="00046F14"/>
    <w:rsid w:val="000900A7"/>
    <w:rsid w:val="000A6EC7"/>
    <w:rsid w:val="000C14DC"/>
    <w:rsid w:val="001725CA"/>
    <w:rsid w:val="001E272A"/>
    <w:rsid w:val="001E5322"/>
    <w:rsid w:val="00251243"/>
    <w:rsid w:val="00286D80"/>
    <w:rsid w:val="002E0882"/>
    <w:rsid w:val="002E272A"/>
    <w:rsid w:val="003233C1"/>
    <w:rsid w:val="00357A82"/>
    <w:rsid w:val="00403285"/>
    <w:rsid w:val="004403B7"/>
    <w:rsid w:val="004460AD"/>
    <w:rsid w:val="004D59BB"/>
    <w:rsid w:val="005754D8"/>
    <w:rsid w:val="00623FF8"/>
    <w:rsid w:val="006271E4"/>
    <w:rsid w:val="00667F10"/>
    <w:rsid w:val="00671849"/>
    <w:rsid w:val="00687487"/>
    <w:rsid w:val="007455FF"/>
    <w:rsid w:val="008106E7"/>
    <w:rsid w:val="00815971"/>
    <w:rsid w:val="0088159E"/>
    <w:rsid w:val="008A1C16"/>
    <w:rsid w:val="009061A5"/>
    <w:rsid w:val="0091621C"/>
    <w:rsid w:val="00972A58"/>
    <w:rsid w:val="009B1EF2"/>
    <w:rsid w:val="009D5E02"/>
    <w:rsid w:val="009D67CD"/>
    <w:rsid w:val="00A156A5"/>
    <w:rsid w:val="00A21A1F"/>
    <w:rsid w:val="00A62A14"/>
    <w:rsid w:val="00AE534B"/>
    <w:rsid w:val="00B2024E"/>
    <w:rsid w:val="00B35921"/>
    <w:rsid w:val="00B80E97"/>
    <w:rsid w:val="00BC770B"/>
    <w:rsid w:val="00C02B7A"/>
    <w:rsid w:val="00C17100"/>
    <w:rsid w:val="00C8585B"/>
    <w:rsid w:val="00CD2BC3"/>
    <w:rsid w:val="00D36D1C"/>
    <w:rsid w:val="00D73DE9"/>
    <w:rsid w:val="00D84BFF"/>
    <w:rsid w:val="00E40131"/>
    <w:rsid w:val="00E912D0"/>
    <w:rsid w:val="00F31B37"/>
    <w:rsid w:val="00FD5C76"/>
    <w:rsid w:val="00FE7B54"/>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421CED"/>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7CD"/>
  </w:style>
  <w:style w:type="paragraph" w:styleId="Ttulo3">
    <w:name w:val="heading 3"/>
    <w:next w:val="Normal"/>
    <w:link w:val="Ttulo3Car"/>
    <w:uiPriority w:val="9"/>
    <w:unhideWhenUsed/>
    <w:qFormat/>
    <w:rsid w:val="001725CA"/>
    <w:pPr>
      <w:keepNext/>
      <w:keepLines/>
      <w:numPr>
        <w:ilvl w:val="2"/>
        <w:numId w:val="3"/>
      </w:numPr>
      <w:spacing w:after="232" w:line="259" w:lineRule="auto"/>
      <w:ind w:right="62"/>
      <w:outlineLvl w:val="2"/>
    </w:pPr>
    <w:rPr>
      <w:rFonts w:ascii="Times New Roman" w:eastAsia="Times New Roman" w:hAnsi="Times New Roman" w:cs="Times New Roman"/>
      <w:b/>
      <w:color w:val="000000"/>
      <w:sz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paragraph" w:styleId="Descripcin">
    <w:name w:val="caption"/>
    <w:basedOn w:val="Normal"/>
    <w:next w:val="Normal"/>
    <w:uiPriority w:val="35"/>
    <w:unhideWhenUsed/>
    <w:qFormat/>
    <w:rsid w:val="001E272A"/>
    <w:pPr>
      <w:spacing w:line="240" w:lineRule="auto"/>
      <w:ind w:left="10" w:hanging="10"/>
      <w:jc w:val="both"/>
    </w:pPr>
    <w:rPr>
      <w:rFonts w:ascii="Times New Roman" w:eastAsia="Times New Roman" w:hAnsi="Times New Roman" w:cs="Times New Roman"/>
      <w:i/>
      <w:iCs/>
      <w:color w:val="1F497D" w:themeColor="text2"/>
      <w:sz w:val="18"/>
      <w:szCs w:val="18"/>
      <w:lang w:eastAsia="es-ES"/>
    </w:rPr>
  </w:style>
  <w:style w:type="table" w:styleId="Tablaconcuadrcula">
    <w:name w:val="Table Grid"/>
    <w:basedOn w:val="Tablanormal"/>
    <w:uiPriority w:val="39"/>
    <w:rsid w:val="008106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1725CA"/>
    <w:rPr>
      <w:rFonts w:ascii="Times New Roman" w:eastAsia="Times New Roman" w:hAnsi="Times New Roman" w:cs="Times New Roman"/>
      <w:b/>
      <w:color w:val="000000"/>
      <w:sz w:val="24"/>
      <w:lang w:eastAsia="es-ES"/>
    </w:rPr>
  </w:style>
  <w:style w:type="paragraph" w:customStyle="1" w:styleId="EndNoteBibliography">
    <w:name w:val="EndNote Bibliography"/>
    <w:basedOn w:val="Normal"/>
    <w:link w:val="EndNoteBibliographyCar"/>
    <w:rsid w:val="00623FF8"/>
    <w:pPr>
      <w:spacing w:after="233" w:line="240" w:lineRule="auto"/>
      <w:ind w:left="10" w:hanging="10"/>
    </w:pPr>
    <w:rPr>
      <w:rFonts w:ascii="Times New Roman" w:eastAsia="Times New Roman" w:hAnsi="Times New Roman" w:cs="Times New Roman"/>
      <w:noProof/>
      <w:color w:val="000000"/>
      <w:sz w:val="24"/>
      <w:lang w:eastAsia="es-ES"/>
    </w:rPr>
  </w:style>
  <w:style w:type="character" w:customStyle="1" w:styleId="EndNoteBibliographyCar">
    <w:name w:val="EndNote Bibliography Car"/>
    <w:basedOn w:val="Fuentedeprrafopredeter"/>
    <w:link w:val="EndNoteBibliography"/>
    <w:rsid w:val="00623FF8"/>
    <w:rPr>
      <w:rFonts w:ascii="Times New Roman" w:eastAsia="Times New Roman" w:hAnsi="Times New Roman" w:cs="Times New Roman"/>
      <w:noProof/>
      <w:color w:val="000000"/>
      <w:sz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4349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hart" Target="charts/chart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D:\AQUATOOL%20PRY\Datos%20ordenados%20AQUATOO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AQUATOOL%20PRY\Datos%20ordenados%20AQUATOO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AQUATOOL%20PRY\Datos%20ordenados%20AQUATOO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AQUATOOL%20PRY\Datos%20ordenados%20AQUATOOL.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 d Garantia por escenario '!$A$3:$A$12</c:f>
              <c:strCache>
                <c:ptCount val="10"/>
                <c:pt idx="0">
                  <c:v>Agrícola (1)</c:v>
                </c:pt>
                <c:pt idx="1">
                  <c:v>Agrícola (2)</c:v>
                </c:pt>
                <c:pt idx="2">
                  <c:v>Otros (1)</c:v>
                </c:pt>
                <c:pt idx="3">
                  <c:v>Otros (2)</c:v>
                </c:pt>
                <c:pt idx="4">
                  <c:v>Otros (3)</c:v>
                </c:pt>
                <c:pt idx="5">
                  <c:v>Caña (1)</c:v>
                </c:pt>
                <c:pt idx="6">
                  <c:v>Caña (2)</c:v>
                </c:pt>
                <c:pt idx="7">
                  <c:v>Azúcar (1)</c:v>
                </c:pt>
                <c:pt idx="8">
                  <c:v>Azúcar (2)</c:v>
                </c:pt>
                <c:pt idx="9">
                  <c:v>Ganadero y Porcino</c:v>
                </c:pt>
              </c:strCache>
            </c:strRef>
          </c:cat>
          <c:val>
            <c:numRef>
              <c:f>'% d Garantia por escenario '!$B$3:$B$12</c:f>
              <c:numCache>
                <c:formatCode>0.0%</c:formatCode>
                <c:ptCount val="10"/>
                <c:pt idx="0">
                  <c:v>0.91</c:v>
                </c:pt>
                <c:pt idx="1">
                  <c:v>0.75</c:v>
                </c:pt>
                <c:pt idx="2">
                  <c:v>0.75</c:v>
                </c:pt>
                <c:pt idx="3">
                  <c:v>0.75</c:v>
                </c:pt>
                <c:pt idx="4">
                  <c:v>0.75</c:v>
                </c:pt>
                <c:pt idx="5">
                  <c:v>0.75</c:v>
                </c:pt>
                <c:pt idx="6">
                  <c:v>0.75</c:v>
                </c:pt>
                <c:pt idx="7">
                  <c:v>0.75</c:v>
                </c:pt>
                <c:pt idx="8">
                  <c:v>0.91</c:v>
                </c:pt>
                <c:pt idx="9">
                  <c:v>0.75</c:v>
                </c:pt>
              </c:numCache>
            </c:numRef>
          </c:val>
          <c:extLst>
            <c:ext xmlns:c16="http://schemas.microsoft.com/office/drawing/2014/chart" uri="{C3380CC4-5D6E-409C-BE32-E72D297353CC}">
              <c16:uniqueId val="{00000000-88F8-4193-AF7F-BE797FF1E887}"/>
            </c:ext>
          </c:extLst>
        </c:ser>
        <c:dLbls>
          <c:showLegendKey val="0"/>
          <c:showVal val="0"/>
          <c:showCatName val="0"/>
          <c:showSerName val="0"/>
          <c:showPercent val="0"/>
          <c:showBubbleSize val="0"/>
        </c:dLbls>
        <c:gapWidth val="267"/>
        <c:overlap val="-43"/>
        <c:axId val="1789610447"/>
        <c:axId val="1789606287"/>
      </c:barChart>
      <c:catAx>
        <c:axId val="1789610447"/>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ES"/>
          </a:p>
        </c:txPr>
        <c:crossAx val="1789606287"/>
        <c:crosses val="autoZero"/>
        <c:auto val="1"/>
        <c:lblAlgn val="ctr"/>
        <c:lblOffset val="100"/>
        <c:noMultiLvlLbl val="0"/>
      </c:catAx>
      <c:valAx>
        <c:axId val="1789606287"/>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crossAx val="1789610447"/>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 d Garantia por escenario '!$D$3:$D$12</c:f>
              <c:strCache>
                <c:ptCount val="10"/>
                <c:pt idx="0">
                  <c:v>Agrícola (1)</c:v>
                </c:pt>
                <c:pt idx="1">
                  <c:v>Agrícola (2)</c:v>
                </c:pt>
                <c:pt idx="2">
                  <c:v>Otros (1)</c:v>
                </c:pt>
                <c:pt idx="3">
                  <c:v>Otros (2)</c:v>
                </c:pt>
                <c:pt idx="4">
                  <c:v>Otros (3)</c:v>
                </c:pt>
                <c:pt idx="5">
                  <c:v>Caña (1)</c:v>
                </c:pt>
                <c:pt idx="6">
                  <c:v>Caña (2)</c:v>
                </c:pt>
                <c:pt idx="7">
                  <c:v>Azúcar (1)</c:v>
                </c:pt>
                <c:pt idx="8">
                  <c:v>Azúcar (2)</c:v>
                </c:pt>
                <c:pt idx="9">
                  <c:v>Ganadero y Porcino</c:v>
                </c:pt>
              </c:strCache>
            </c:strRef>
          </c:cat>
          <c:val>
            <c:numRef>
              <c:f>'% d Garantia por escenario '!$E$3:$E$12</c:f>
              <c:numCache>
                <c:formatCode>0%</c:formatCode>
                <c:ptCount val="10"/>
                <c:pt idx="0">
                  <c:v>1</c:v>
                </c:pt>
                <c:pt idx="1">
                  <c:v>1</c:v>
                </c:pt>
                <c:pt idx="2">
                  <c:v>0.75</c:v>
                </c:pt>
                <c:pt idx="3">
                  <c:v>0.75</c:v>
                </c:pt>
                <c:pt idx="4">
                  <c:v>0.75</c:v>
                </c:pt>
                <c:pt idx="5">
                  <c:v>0.75</c:v>
                </c:pt>
                <c:pt idx="6" formatCode="0.00%">
                  <c:v>0.83299999999999996</c:v>
                </c:pt>
                <c:pt idx="7">
                  <c:v>1</c:v>
                </c:pt>
                <c:pt idx="8">
                  <c:v>1</c:v>
                </c:pt>
                <c:pt idx="9">
                  <c:v>0.75</c:v>
                </c:pt>
              </c:numCache>
            </c:numRef>
          </c:val>
          <c:extLst>
            <c:ext xmlns:c16="http://schemas.microsoft.com/office/drawing/2014/chart" uri="{C3380CC4-5D6E-409C-BE32-E72D297353CC}">
              <c16:uniqueId val="{00000000-64A6-42DA-88EC-CCAEE6159B12}"/>
            </c:ext>
          </c:extLst>
        </c:ser>
        <c:dLbls>
          <c:showLegendKey val="0"/>
          <c:showVal val="0"/>
          <c:showCatName val="0"/>
          <c:showSerName val="0"/>
          <c:showPercent val="0"/>
          <c:showBubbleSize val="0"/>
        </c:dLbls>
        <c:gapWidth val="267"/>
        <c:overlap val="-43"/>
        <c:axId val="1741232479"/>
        <c:axId val="1706060719"/>
      </c:barChart>
      <c:catAx>
        <c:axId val="1741232479"/>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ES"/>
          </a:p>
        </c:txPr>
        <c:crossAx val="1706060719"/>
        <c:crosses val="autoZero"/>
        <c:auto val="1"/>
        <c:lblAlgn val="ctr"/>
        <c:lblOffset val="100"/>
        <c:noMultiLvlLbl val="0"/>
      </c:catAx>
      <c:valAx>
        <c:axId val="1706060719"/>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crossAx val="1741232479"/>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 d Garantia por escenario '!$A$17:$A$29</c:f>
              <c:strCache>
                <c:ptCount val="13"/>
                <c:pt idx="0">
                  <c:v>Agrícola (1)</c:v>
                </c:pt>
                <c:pt idx="1">
                  <c:v>Agrícola (2)</c:v>
                </c:pt>
                <c:pt idx="2">
                  <c:v>Agrícola (3)</c:v>
                </c:pt>
                <c:pt idx="3">
                  <c:v>Otros (1)</c:v>
                </c:pt>
                <c:pt idx="4">
                  <c:v>Otros (2)</c:v>
                </c:pt>
                <c:pt idx="5">
                  <c:v>Otros (3)</c:v>
                </c:pt>
                <c:pt idx="6">
                  <c:v>Otros CH P</c:v>
                </c:pt>
                <c:pt idx="7">
                  <c:v>Caña (1)</c:v>
                </c:pt>
                <c:pt idx="8">
                  <c:v>Caña (2)</c:v>
                </c:pt>
                <c:pt idx="9">
                  <c:v>Gasto Sanitario</c:v>
                </c:pt>
                <c:pt idx="10">
                  <c:v>Azúcar (1)</c:v>
                </c:pt>
                <c:pt idx="11">
                  <c:v>Azúcar (2)</c:v>
                </c:pt>
                <c:pt idx="12">
                  <c:v>Ganadero y Porcino</c:v>
                </c:pt>
              </c:strCache>
            </c:strRef>
          </c:cat>
          <c:val>
            <c:numRef>
              <c:f>'% d Garantia por escenario '!$B$17:$B$29</c:f>
              <c:numCache>
                <c:formatCode>0%</c:formatCode>
                <c:ptCount val="13"/>
                <c:pt idx="0">
                  <c:v>1</c:v>
                </c:pt>
                <c:pt idx="1">
                  <c:v>1</c:v>
                </c:pt>
                <c:pt idx="2">
                  <c:v>1</c:v>
                </c:pt>
                <c:pt idx="3">
                  <c:v>0.75</c:v>
                </c:pt>
                <c:pt idx="4">
                  <c:v>0.75</c:v>
                </c:pt>
                <c:pt idx="5">
                  <c:v>0.75</c:v>
                </c:pt>
                <c:pt idx="6">
                  <c:v>1</c:v>
                </c:pt>
                <c:pt idx="7">
                  <c:v>0.75</c:v>
                </c:pt>
                <c:pt idx="8" formatCode="0.00%">
                  <c:v>0.83299999999999996</c:v>
                </c:pt>
                <c:pt idx="9">
                  <c:v>1</c:v>
                </c:pt>
                <c:pt idx="10">
                  <c:v>1</c:v>
                </c:pt>
                <c:pt idx="11">
                  <c:v>1</c:v>
                </c:pt>
                <c:pt idx="12">
                  <c:v>0.75</c:v>
                </c:pt>
              </c:numCache>
            </c:numRef>
          </c:val>
          <c:extLst>
            <c:ext xmlns:c16="http://schemas.microsoft.com/office/drawing/2014/chart" uri="{C3380CC4-5D6E-409C-BE32-E72D297353CC}">
              <c16:uniqueId val="{00000000-1046-4D7C-BF2D-F83462294FF3}"/>
            </c:ext>
          </c:extLst>
        </c:ser>
        <c:dLbls>
          <c:showLegendKey val="0"/>
          <c:showVal val="0"/>
          <c:showCatName val="0"/>
          <c:showSerName val="0"/>
          <c:showPercent val="0"/>
          <c:showBubbleSize val="0"/>
        </c:dLbls>
        <c:gapWidth val="267"/>
        <c:overlap val="-43"/>
        <c:axId val="1705044751"/>
        <c:axId val="1705043087"/>
      </c:barChart>
      <c:catAx>
        <c:axId val="1705044751"/>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ES"/>
          </a:p>
        </c:txPr>
        <c:crossAx val="1705043087"/>
        <c:crosses val="autoZero"/>
        <c:auto val="1"/>
        <c:lblAlgn val="ctr"/>
        <c:lblOffset val="100"/>
        <c:noMultiLvlLbl val="0"/>
      </c:catAx>
      <c:valAx>
        <c:axId val="1705043087"/>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crossAx val="1705044751"/>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 d Garantia por escenario '!$A$49:$A$53</c:f>
              <c:strCache>
                <c:ptCount val="5"/>
                <c:pt idx="0">
                  <c:v>Escenario 1 </c:v>
                </c:pt>
                <c:pt idx="1">
                  <c:v>Escenario 2</c:v>
                </c:pt>
                <c:pt idx="2">
                  <c:v>Escenario 3</c:v>
                </c:pt>
                <c:pt idx="3">
                  <c:v>Escenario 4</c:v>
                </c:pt>
                <c:pt idx="4">
                  <c:v>Escenario 5</c:v>
                </c:pt>
              </c:strCache>
            </c:strRef>
          </c:cat>
          <c:val>
            <c:numRef>
              <c:f>'% d Garantia por escenario '!$B$49:$B$53</c:f>
              <c:numCache>
                <c:formatCode>0.00%</c:formatCode>
                <c:ptCount val="5"/>
                <c:pt idx="0" formatCode="0%">
                  <c:v>1</c:v>
                </c:pt>
                <c:pt idx="1">
                  <c:v>0.84599999999999997</c:v>
                </c:pt>
                <c:pt idx="2" formatCode="0%">
                  <c:v>1</c:v>
                </c:pt>
                <c:pt idx="3" formatCode="0%">
                  <c:v>1</c:v>
                </c:pt>
                <c:pt idx="4" formatCode="0%">
                  <c:v>0.81099999999999994</c:v>
                </c:pt>
              </c:numCache>
            </c:numRef>
          </c:val>
          <c:extLst>
            <c:ext xmlns:c16="http://schemas.microsoft.com/office/drawing/2014/chart" uri="{C3380CC4-5D6E-409C-BE32-E72D297353CC}">
              <c16:uniqueId val="{00000000-D2A2-449B-BA6D-B8FB734FBAE8}"/>
            </c:ext>
          </c:extLst>
        </c:ser>
        <c:dLbls>
          <c:showLegendKey val="0"/>
          <c:showVal val="0"/>
          <c:showCatName val="0"/>
          <c:showSerName val="0"/>
          <c:showPercent val="0"/>
          <c:showBubbleSize val="0"/>
        </c:dLbls>
        <c:gapWidth val="267"/>
        <c:overlap val="-43"/>
        <c:axId val="39989808"/>
        <c:axId val="39990224"/>
      </c:barChart>
      <c:catAx>
        <c:axId val="3998980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ES"/>
          </a:p>
        </c:txPr>
        <c:crossAx val="39990224"/>
        <c:crosses val="autoZero"/>
        <c:auto val="1"/>
        <c:lblAlgn val="ctr"/>
        <c:lblOffset val="100"/>
        <c:noMultiLvlLbl val="0"/>
      </c:catAx>
      <c:valAx>
        <c:axId val="39990224"/>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crossAx val="3998980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648</TotalTime>
  <Pages>17</Pages>
  <Words>5445</Words>
  <Characters>29951</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35326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Daniela</cp:lastModifiedBy>
  <cp:revision>11</cp:revision>
  <dcterms:created xsi:type="dcterms:W3CDTF">2021-05-14T03:18:00Z</dcterms:created>
  <dcterms:modified xsi:type="dcterms:W3CDTF">2025-09-09T12:38:00Z</dcterms:modified>
</cp:coreProperties>
</file>