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58160" w14:textId="01183C73" w:rsidR="009D67CD" w:rsidRPr="009D5E02" w:rsidRDefault="00963F0A" w:rsidP="00667F10">
      <w:pPr>
        <w:spacing w:after="0"/>
        <w:jc w:val="center"/>
        <w:rPr>
          <w:rFonts w:ascii="Times New Roman" w:hAnsi="Times New Roman" w:cs="Times New Roman"/>
          <w:b/>
          <w:sz w:val="28"/>
          <w:szCs w:val="28"/>
        </w:rPr>
      </w:pPr>
      <w:r w:rsidRPr="00963F0A">
        <w:rPr>
          <w:rFonts w:ascii="Times New Roman" w:hAnsi="Times New Roman" w:cs="Times New Roman"/>
          <w:b/>
          <w:sz w:val="28"/>
          <w:szCs w:val="28"/>
        </w:rPr>
        <w:t>XI</w:t>
      </w:r>
      <w:r w:rsidR="001C7A41">
        <w:rPr>
          <w:rFonts w:ascii="Times New Roman" w:hAnsi="Times New Roman" w:cs="Times New Roman"/>
          <w:b/>
          <w:sz w:val="28"/>
          <w:szCs w:val="28"/>
        </w:rPr>
        <w:t>V</w:t>
      </w:r>
      <w:bookmarkStart w:id="0" w:name="_GoBack"/>
      <w:bookmarkEnd w:id="0"/>
      <w:r w:rsidRPr="00963F0A">
        <w:rPr>
          <w:rFonts w:ascii="Times New Roman" w:hAnsi="Times New Roman" w:cs="Times New Roman"/>
          <w:b/>
          <w:sz w:val="28"/>
          <w:szCs w:val="28"/>
        </w:rPr>
        <w:t xml:space="preserve"> SIMPOSIO INTERNACIONAL DE ESTRUCTURAS, GEOTECNIA Y MATERIALES DE CONSTRUCCIÓN. ESTRUCTURAS 2025</w:t>
      </w:r>
    </w:p>
    <w:p w14:paraId="0AA11E2A" w14:textId="77777777" w:rsidR="00E912D0" w:rsidRDefault="00E912D0" w:rsidP="00667F10">
      <w:pPr>
        <w:spacing w:after="0"/>
        <w:jc w:val="center"/>
        <w:rPr>
          <w:rFonts w:ascii="Times New Roman" w:hAnsi="Times New Roman" w:cs="Times New Roman"/>
          <w:b/>
          <w:sz w:val="24"/>
          <w:szCs w:val="24"/>
        </w:rPr>
      </w:pPr>
    </w:p>
    <w:p w14:paraId="721EBE4F" w14:textId="5D8AE0DF" w:rsidR="008A1C16" w:rsidRDefault="00963F0A" w:rsidP="00667F10">
      <w:pPr>
        <w:spacing w:after="0"/>
        <w:jc w:val="center"/>
        <w:rPr>
          <w:rFonts w:ascii="Times New Roman" w:hAnsi="Times New Roman" w:cs="Times New Roman"/>
          <w:sz w:val="24"/>
          <w:szCs w:val="24"/>
        </w:rPr>
      </w:pPr>
      <w:r w:rsidRPr="00963F0A">
        <w:rPr>
          <w:rFonts w:ascii="Times New Roman" w:hAnsi="Times New Roman" w:cs="Times New Roman"/>
          <w:b/>
          <w:sz w:val="28"/>
          <w:szCs w:val="28"/>
        </w:rPr>
        <w:t>Terremotos del 10 de noviembre 2024 en Cuba. Incidencia del efecto de sitio en el daño a las edificaciones</w:t>
      </w:r>
    </w:p>
    <w:p w14:paraId="2077CFDE" w14:textId="77777777" w:rsidR="00E912D0" w:rsidRDefault="00E912D0" w:rsidP="00667F10">
      <w:pPr>
        <w:spacing w:after="0"/>
        <w:jc w:val="center"/>
        <w:rPr>
          <w:rFonts w:ascii="Times New Roman" w:hAnsi="Times New Roman" w:cs="Times New Roman"/>
          <w:b/>
          <w:i/>
          <w:sz w:val="24"/>
          <w:szCs w:val="24"/>
        </w:rPr>
      </w:pPr>
    </w:p>
    <w:p w14:paraId="2F6E322B" w14:textId="14E06E67" w:rsidR="008A1C16" w:rsidRPr="00783EA1" w:rsidRDefault="00783EA1" w:rsidP="00667F10">
      <w:pPr>
        <w:spacing w:after="0"/>
        <w:jc w:val="center"/>
        <w:rPr>
          <w:rFonts w:ascii="Times New Roman" w:hAnsi="Times New Roman" w:cs="Times New Roman"/>
          <w:b/>
          <w:i/>
          <w:sz w:val="28"/>
          <w:szCs w:val="28"/>
          <w:lang w:val="en-US"/>
        </w:rPr>
      </w:pPr>
      <w:r w:rsidRPr="00783EA1">
        <w:rPr>
          <w:rFonts w:ascii="Times New Roman" w:hAnsi="Times New Roman" w:cs="Times New Roman"/>
          <w:b/>
          <w:i/>
          <w:sz w:val="28"/>
          <w:szCs w:val="28"/>
          <w:lang w:val="en-US"/>
        </w:rPr>
        <w:t xml:space="preserve">Earthquakes of November 10, 2024 in Cuba. Incidence of the site effect on damage to buildings </w:t>
      </w:r>
    </w:p>
    <w:p w14:paraId="33E5EAB9" w14:textId="77777777" w:rsidR="009D5E02" w:rsidRPr="003A4BCA" w:rsidRDefault="009D5E02" w:rsidP="00FF3346">
      <w:pPr>
        <w:spacing w:after="0" w:line="360" w:lineRule="auto"/>
        <w:rPr>
          <w:rFonts w:ascii="Times New Roman" w:hAnsi="Times New Roman" w:cs="Times New Roman"/>
          <w:b/>
          <w:sz w:val="24"/>
          <w:szCs w:val="24"/>
          <w:lang w:val="en-GB"/>
        </w:rPr>
      </w:pPr>
    </w:p>
    <w:p w14:paraId="0FAE7883" w14:textId="77777777" w:rsidR="002E0882" w:rsidRPr="003A4BCA" w:rsidRDefault="002E0882" w:rsidP="00FF3346">
      <w:pPr>
        <w:spacing w:after="0" w:line="360" w:lineRule="auto"/>
        <w:rPr>
          <w:rFonts w:ascii="Times New Roman" w:hAnsi="Times New Roman" w:cs="Times New Roman"/>
          <w:sz w:val="24"/>
          <w:szCs w:val="24"/>
          <w:lang w:val="en-GB"/>
        </w:rPr>
      </w:pPr>
    </w:p>
    <w:p w14:paraId="3351F2D6" w14:textId="53FD6C00" w:rsidR="008A1C16" w:rsidRPr="009D5E02" w:rsidRDefault="00783EA1" w:rsidP="00FF3346">
      <w:pPr>
        <w:spacing w:after="0" w:line="360" w:lineRule="auto"/>
        <w:jc w:val="center"/>
        <w:rPr>
          <w:rFonts w:ascii="Times New Roman" w:hAnsi="Times New Roman" w:cs="Times New Roman"/>
          <w:b/>
          <w:sz w:val="24"/>
          <w:szCs w:val="24"/>
        </w:rPr>
      </w:pPr>
      <w:r w:rsidRPr="00FF32DA">
        <w:rPr>
          <w:rFonts w:ascii="Times New Roman" w:hAnsi="Times New Roman" w:cs="Times New Roman"/>
          <w:b/>
          <w:sz w:val="24"/>
          <w:szCs w:val="24"/>
        </w:rPr>
        <w:t xml:space="preserve">Zulima </w:t>
      </w:r>
      <w:r>
        <w:rPr>
          <w:rFonts w:ascii="Times New Roman" w:hAnsi="Times New Roman" w:cs="Times New Roman"/>
          <w:b/>
          <w:sz w:val="24"/>
          <w:szCs w:val="24"/>
        </w:rPr>
        <w:t xml:space="preserve">Caridad </w:t>
      </w:r>
      <w:r w:rsidRPr="00FF32DA">
        <w:rPr>
          <w:rFonts w:ascii="Times New Roman" w:hAnsi="Times New Roman" w:cs="Times New Roman"/>
          <w:b/>
          <w:sz w:val="24"/>
          <w:szCs w:val="24"/>
        </w:rPr>
        <w:t xml:space="preserve">Rivera </w:t>
      </w:r>
      <w:r>
        <w:rPr>
          <w:rFonts w:ascii="Times New Roman" w:hAnsi="Times New Roman" w:cs="Times New Roman"/>
          <w:b/>
          <w:sz w:val="24"/>
          <w:szCs w:val="24"/>
        </w:rPr>
        <w:t>A</w:t>
      </w:r>
      <w:r w:rsidRPr="00FF32DA">
        <w:rPr>
          <w:rFonts w:ascii="Times New Roman" w:hAnsi="Times New Roman" w:cs="Times New Roman"/>
          <w:b/>
          <w:sz w:val="24"/>
          <w:szCs w:val="24"/>
        </w:rPr>
        <w:t>lvarez</w:t>
      </w:r>
      <w:r w:rsidRPr="00FF32DA">
        <w:rPr>
          <w:rFonts w:ascii="Times New Roman" w:hAnsi="Times New Roman" w:cs="Times New Roman"/>
          <w:b/>
          <w:sz w:val="24"/>
          <w:szCs w:val="24"/>
          <w:vertAlign w:val="superscript"/>
        </w:rPr>
        <w:t>1</w:t>
      </w:r>
      <w:r w:rsidRPr="00FF32DA">
        <w:rPr>
          <w:rFonts w:ascii="Times New Roman" w:hAnsi="Times New Roman" w:cs="Times New Roman"/>
          <w:b/>
          <w:sz w:val="24"/>
          <w:szCs w:val="24"/>
        </w:rPr>
        <w:t xml:space="preserve">, </w:t>
      </w:r>
      <w:r>
        <w:rPr>
          <w:rFonts w:ascii="Times New Roman" w:hAnsi="Times New Roman" w:cs="Times New Roman"/>
          <w:b/>
          <w:sz w:val="24"/>
          <w:szCs w:val="24"/>
        </w:rPr>
        <w:t>Dario Candebat Sanchez</w:t>
      </w:r>
      <w:r w:rsidRPr="00FF32DA">
        <w:rPr>
          <w:rFonts w:ascii="Times New Roman" w:hAnsi="Times New Roman" w:cs="Times New Roman"/>
          <w:b/>
          <w:sz w:val="24"/>
          <w:szCs w:val="24"/>
          <w:vertAlign w:val="superscript"/>
        </w:rPr>
        <w:t>1</w:t>
      </w:r>
    </w:p>
    <w:p w14:paraId="06F3448D" w14:textId="1B905AAD" w:rsidR="00E912D0" w:rsidRDefault="00783EA1" w:rsidP="00FF3346">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Centro Nacional de Investigaciones Sismológicas</w:t>
      </w:r>
      <w:r w:rsidRPr="00E912D0">
        <w:rPr>
          <w:rFonts w:ascii="Times New Roman" w:hAnsi="Times New Roman" w:cs="Times New Roman"/>
          <w:sz w:val="24"/>
          <w:szCs w:val="24"/>
        </w:rPr>
        <w:t xml:space="preserve">. </w:t>
      </w:r>
      <w:r>
        <w:rPr>
          <w:rFonts w:ascii="Times New Roman" w:hAnsi="Times New Roman" w:cs="Times New Roman"/>
          <w:sz w:val="24"/>
          <w:szCs w:val="24"/>
        </w:rPr>
        <w:t>Cuba</w:t>
      </w:r>
      <w:r w:rsidRPr="00E912D0">
        <w:rPr>
          <w:rFonts w:ascii="Times New Roman" w:hAnsi="Times New Roman" w:cs="Times New Roman"/>
          <w:sz w:val="24"/>
          <w:szCs w:val="24"/>
        </w:rPr>
        <w:t>. E-mail:</w:t>
      </w:r>
      <w:r>
        <w:rPr>
          <w:rFonts w:ascii="Times New Roman" w:hAnsi="Times New Roman" w:cs="Times New Roman"/>
          <w:sz w:val="24"/>
          <w:szCs w:val="24"/>
        </w:rPr>
        <w:t xml:space="preserve"> zuli@cenais.cu</w:t>
      </w:r>
    </w:p>
    <w:p w14:paraId="3D997811" w14:textId="77777777" w:rsidR="00E912D0" w:rsidRDefault="00E912D0" w:rsidP="00FF3346">
      <w:pPr>
        <w:spacing w:after="0" w:line="360" w:lineRule="auto"/>
        <w:rPr>
          <w:rFonts w:ascii="Times New Roman" w:hAnsi="Times New Roman" w:cs="Times New Roman"/>
          <w:b/>
          <w:sz w:val="24"/>
          <w:szCs w:val="24"/>
        </w:rPr>
      </w:pPr>
    </w:p>
    <w:p w14:paraId="5BE32F6F" w14:textId="6DF30366" w:rsidR="008A1C16" w:rsidRPr="005754D8" w:rsidRDefault="008A1C16" w:rsidP="00F9518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F95183" w:rsidRPr="00F95183">
        <w:rPr>
          <w:rFonts w:ascii="Times New Roman" w:hAnsi="Times New Roman" w:cs="Times New Roman"/>
          <w:sz w:val="24"/>
          <w:szCs w:val="24"/>
        </w:rPr>
        <w:t>Dada la importancia que tiene el efecto de los sismos en las edificaciones y la cercanía de las provincias orientales, a la zona sismogeneradora de Oriente, la cual es la de mayor actividad sísmica del país y en ella se registran los epicentros de mayor magnitud, se hace un estudio de efecto de sitio en la región oriental de Cuba, con el objetivo de determinar las zonas de mayor incidencia de las ondas sísmicas y el efecto que puede provocar en las edificaciones construidas. Se hace un análisis de los tipos de suelos, sus propiedades geotécnicas, características, extensión y geometría, además, tectónica y sismicidad. Para la estimación del comportamiento del suelo se aplica el método de modelación unidimensional para el análisis probabilístico de la propagación de la onda sísmica. Se obtienen los espectros de respuesta del suelo y el factor de amplificación a esperar en el área de estudio, indicando donde se esperan las mayores afectaciones dependiendo del tipo de edificación. Con los sismos de gran magnitud, ocurridos el 10 de noviembre del 2024, se validó el estudio de efecto de sitio realizado en la región y se verificaron los daños a esperar en las edificaciones construidas sin cumplir las normas sismorresistentes y en el sistema Girón, además, se verificaron efectos secundarios como son: deslizamientos, caídas de rocas y asentamientos de suelos</w:t>
      </w:r>
      <w:r w:rsidR="009061A5" w:rsidRPr="005754D8">
        <w:rPr>
          <w:rFonts w:ascii="Times New Roman" w:hAnsi="Times New Roman" w:cs="Times New Roman"/>
          <w:sz w:val="24"/>
          <w:szCs w:val="24"/>
        </w:rPr>
        <w:t>.</w:t>
      </w:r>
    </w:p>
    <w:p w14:paraId="359FAC29" w14:textId="77777777" w:rsidR="009061A5" w:rsidRDefault="009061A5" w:rsidP="00FF3346">
      <w:pPr>
        <w:spacing w:after="0" w:line="360" w:lineRule="auto"/>
        <w:jc w:val="both"/>
        <w:rPr>
          <w:rFonts w:ascii="Times New Roman" w:hAnsi="Times New Roman" w:cs="Times New Roman"/>
          <w:sz w:val="24"/>
          <w:szCs w:val="24"/>
        </w:rPr>
      </w:pPr>
    </w:p>
    <w:p w14:paraId="499C7DE1" w14:textId="1CA4C8CF" w:rsidR="009061A5" w:rsidRPr="00F95183" w:rsidRDefault="009061A5" w:rsidP="00FF3346">
      <w:pPr>
        <w:spacing w:after="0" w:line="360" w:lineRule="auto"/>
        <w:jc w:val="both"/>
        <w:rPr>
          <w:rFonts w:ascii="Times New Roman" w:hAnsi="Times New Roman" w:cs="Times New Roman"/>
          <w:sz w:val="24"/>
          <w:szCs w:val="24"/>
          <w:lang w:val="en-US"/>
        </w:rPr>
      </w:pPr>
      <w:r w:rsidRPr="00F95183">
        <w:rPr>
          <w:rFonts w:ascii="Times New Roman" w:hAnsi="Times New Roman" w:cs="Times New Roman"/>
          <w:b/>
          <w:i/>
          <w:sz w:val="24"/>
          <w:szCs w:val="24"/>
          <w:lang w:val="en-US"/>
        </w:rPr>
        <w:lastRenderedPageBreak/>
        <w:t>Abstract:</w:t>
      </w:r>
      <w:r w:rsidRPr="00F95183">
        <w:rPr>
          <w:rFonts w:ascii="Times New Roman" w:hAnsi="Times New Roman" w:cs="Times New Roman"/>
          <w:sz w:val="24"/>
          <w:szCs w:val="24"/>
          <w:lang w:val="en-US"/>
        </w:rPr>
        <w:t xml:space="preserve"> </w:t>
      </w:r>
      <w:r w:rsidR="00F95183" w:rsidRPr="002E32E2">
        <w:rPr>
          <w:rFonts w:ascii="Times New Roman" w:hAnsi="Times New Roman" w:cs="Times New Roman"/>
          <w:i/>
          <w:iCs/>
          <w:sz w:val="24"/>
          <w:szCs w:val="24"/>
          <w:lang w:val="en-US"/>
        </w:rPr>
        <w:t>Given the importance of the effect of earthquakes on buildings and the proximity of the eastern provinces to the seismogenic zone of Oriente, which has the highest seismic activity in the country and where the highest magnitude epicenters are registered, a site effect study is carried out in the eastern region of Cuba, with the objective of determining the areas of greatest incidence of seismic waves and the effect they can have on the buildings constructed. An analysis of the types of soils, their geotechnical properties, characteristics, extension and geometry, as well as tectonics and seismicity is made. For the estimation of soil behavior, the one-dimensional modeling method is applied for the probabilistic analysis of seismic wave propagation. Soil response spectra and the amplification factor to be expected in the study area are obtained, indicating where the greatest effects are expected depending on the type of building. With the large magnitude earthquakes that occurred on November 10, 2024, the site effect study carried out in the region was validated and the damages to be expected in the buildings constructed without complying with seismic-resistant standards and in the Girón system were verified, in addition, secondary effects such as: landslides, rock falls and soil settlements were verified</w:t>
      </w:r>
      <w:r w:rsidR="00F95183" w:rsidRPr="00F95183">
        <w:rPr>
          <w:rFonts w:ascii="Times New Roman" w:hAnsi="Times New Roman" w:cs="Times New Roman"/>
          <w:sz w:val="24"/>
          <w:szCs w:val="24"/>
          <w:lang w:val="en-US"/>
        </w:rPr>
        <w:t>.</w:t>
      </w:r>
    </w:p>
    <w:p w14:paraId="13960A8A" w14:textId="77777777" w:rsidR="009061A5" w:rsidRPr="00F95183" w:rsidRDefault="009061A5" w:rsidP="00FF3346">
      <w:pPr>
        <w:spacing w:after="0" w:line="360" w:lineRule="auto"/>
        <w:jc w:val="both"/>
        <w:rPr>
          <w:rFonts w:ascii="Times New Roman" w:hAnsi="Times New Roman" w:cs="Times New Roman"/>
          <w:sz w:val="24"/>
          <w:szCs w:val="24"/>
          <w:lang w:val="en-US"/>
        </w:rPr>
      </w:pPr>
    </w:p>
    <w:p w14:paraId="7E1F15E3" w14:textId="176AA8D1"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2E32E2" w:rsidRPr="002E32E2">
        <w:rPr>
          <w:rFonts w:ascii="Times New Roman" w:hAnsi="Times New Roman" w:cs="Times New Roman"/>
          <w:sz w:val="24"/>
          <w:szCs w:val="24"/>
        </w:rPr>
        <w:t>Efecto de Sitio; Modelación; Espectros de Respuesta, Edificaciones.</w:t>
      </w:r>
    </w:p>
    <w:p w14:paraId="0997A9CB" w14:textId="77777777" w:rsidR="009061A5" w:rsidRDefault="009061A5" w:rsidP="00FF3346">
      <w:pPr>
        <w:spacing w:after="0" w:line="360" w:lineRule="auto"/>
        <w:jc w:val="both"/>
        <w:rPr>
          <w:rFonts w:ascii="Times New Roman" w:hAnsi="Times New Roman" w:cs="Times New Roman"/>
          <w:sz w:val="24"/>
          <w:szCs w:val="24"/>
        </w:rPr>
      </w:pPr>
    </w:p>
    <w:p w14:paraId="1A597BD5" w14:textId="1F0423EC" w:rsidR="009061A5" w:rsidRPr="002E32E2" w:rsidRDefault="009061A5" w:rsidP="00FF3346">
      <w:pPr>
        <w:spacing w:after="0" w:line="360" w:lineRule="auto"/>
        <w:jc w:val="both"/>
        <w:rPr>
          <w:rFonts w:ascii="Times New Roman" w:hAnsi="Times New Roman" w:cs="Times New Roman"/>
          <w:sz w:val="24"/>
          <w:szCs w:val="24"/>
          <w:lang w:val="en-US"/>
        </w:rPr>
      </w:pPr>
      <w:r w:rsidRPr="002E32E2">
        <w:rPr>
          <w:rFonts w:ascii="Times New Roman" w:hAnsi="Times New Roman" w:cs="Times New Roman"/>
          <w:b/>
          <w:i/>
          <w:sz w:val="24"/>
          <w:szCs w:val="24"/>
          <w:lang w:val="en-US"/>
        </w:rPr>
        <w:t>Keywords:</w:t>
      </w:r>
      <w:r w:rsidRPr="002E32E2">
        <w:rPr>
          <w:rFonts w:ascii="Times New Roman" w:hAnsi="Times New Roman" w:cs="Times New Roman"/>
          <w:sz w:val="24"/>
          <w:szCs w:val="24"/>
          <w:lang w:val="en-US"/>
        </w:rPr>
        <w:t xml:space="preserve"> </w:t>
      </w:r>
      <w:r w:rsidR="002E32E2" w:rsidRPr="002E32E2">
        <w:rPr>
          <w:rFonts w:ascii="Times New Roman" w:hAnsi="Times New Roman" w:cs="Times New Roman"/>
          <w:i/>
          <w:iCs/>
          <w:sz w:val="24"/>
          <w:szCs w:val="24"/>
          <w:lang w:val="en-US"/>
        </w:rPr>
        <w:t>Site Effect; Modeling; Response Spectra, Buildings</w:t>
      </w:r>
      <w:r w:rsidR="00E912D0" w:rsidRPr="002E32E2">
        <w:rPr>
          <w:rFonts w:ascii="Times New Roman" w:hAnsi="Times New Roman" w:cs="Times New Roman"/>
          <w:sz w:val="24"/>
          <w:szCs w:val="24"/>
          <w:lang w:val="en-US"/>
        </w:rPr>
        <w:t>.</w:t>
      </w:r>
    </w:p>
    <w:p w14:paraId="75F05EDC" w14:textId="77777777" w:rsidR="00A21A1F" w:rsidRPr="002E32E2" w:rsidRDefault="00A21A1F" w:rsidP="00FF3346">
      <w:pPr>
        <w:spacing w:after="0" w:line="360" w:lineRule="auto"/>
        <w:jc w:val="both"/>
        <w:rPr>
          <w:rFonts w:ascii="Times New Roman" w:hAnsi="Times New Roman" w:cs="Times New Roman"/>
          <w:sz w:val="24"/>
          <w:szCs w:val="24"/>
          <w:lang w:val="en-US"/>
        </w:rPr>
      </w:pPr>
    </w:p>
    <w:p w14:paraId="21741EE0"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39E843BB" w14:textId="77777777" w:rsidR="002D3C4A" w:rsidRDefault="002D3C4A" w:rsidP="00FF3346">
      <w:pPr>
        <w:spacing w:after="0" w:line="360" w:lineRule="auto"/>
        <w:jc w:val="both"/>
        <w:rPr>
          <w:rFonts w:ascii="Times New Roman" w:hAnsi="Times New Roman" w:cs="Times New Roman"/>
          <w:sz w:val="24"/>
          <w:szCs w:val="24"/>
        </w:rPr>
      </w:pPr>
      <w:r w:rsidRPr="002D3C4A">
        <w:rPr>
          <w:rFonts w:ascii="Times New Roman" w:hAnsi="Times New Roman" w:cs="Times New Roman"/>
          <w:sz w:val="24"/>
          <w:szCs w:val="24"/>
        </w:rPr>
        <w:t>Hoy se acepta ampliamente en la comunidad de ingeniera sísmica, que los efectos de la geología superficial en el movimiento sísmico existen y pueden ser grandes. La calidad de las construcciones es decisiva cuando ellas tienen que soportar las fuertes sacudidas del terreno durante los terremotos</w:t>
      </w:r>
      <w:r>
        <w:rPr>
          <w:rFonts w:ascii="Times New Roman" w:hAnsi="Times New Roman" w:cs="Times New Roman"/>
          <w:sz w:val="24"/>
          <w:szCs w:val="24"/>
        </w:rPr>
        <w:t>,  se ha demostrado que l</w:t>
      </w:r>
      <w:r w:rsidR="00ED7E8C" w:rsidRPr="00ED7E8C">
        <w:rPr>
          <w:rFonts w:ascii="Times New Roman" w:hAnsi="Times New Roman" w:cs="Times New Roman"/>
          <w:sz w:val="24"/>
          <w:szCs w:val="24"/>
        </w:rPr>
        <w:t>os daños ocasionados durante los terremotos son mayores en las estructuras construidas sobre suelos friables que sobre los suelos rocosos o semirocosos</w:t>
      </w:r>
      <w:r>
        <w:rPr>
          <w:rFonts w:ascii="Times New Roman" w:hAnsi="Times New Roman" w:cs="Times New Roman"/>
          <w:sz w:val="24"/>
          <w:szCs w:val="24"/>
        </w:rPr>
        <w:t>,</w:t>
      </w:r>
      <w:r w:rsidR="00ED7E8C" w:rsidRPr="00ED7E8C">
        <w:rPr>
          <w:rFonts w:ascii="Times New Roman" w:hAnsi="Times New Roman" w:cs="Times New Roman"/>
          <w:sz w:val="24"/>
          <w:szCs w:val="24"/>
        </w:rPr>
        <w:t xml:space="preserve"> </w:t>
      </w:r>
      <w:r>
        <w:rPr>
          <w:rFonts w:ascii="Times New Roman" w:hAnsi="Times New Roman" w:cs="Times New Roman"/>
          <w:sz w:val="24"/>
          <w:szCs w:val="24"/>
        </w:rPr>
        <w:t>e</w:t>
      </w:r>
      <w:r w:rsidR="00ED7E8C" w:rsidRPr="00ED7E8C">
        <w:rPr>
          <w:rFonts w:ascii="Times New Roman" w:hAnsi="Times New Roman" w:cs="Times New Roman"/>
          <w:sz w:val="24"/>
          <w:szCs w:val="24"/>
        </w:rPr>
        <w:t xml:space="preserve">sto se debe a los efectos de sitio o de amplificación sísmica, por lo que la comunidad científica internacional ha desarrollado diversos estudios encaminados a minimizar los efectos locales que pueden ocasionar los terremotos fuertes. </w:t>
      </w:r>
    </w:p>
    <w:p w14:paraId="629421E8" w14:textId="50FA8773" w:rsidR="002D3C4A" w:rsidRDefault="002D3C4A" w:rsidP="00FF3346">
      <w:pPr>
        <w:spacing w:after="0" w:line="360" w:lineRule="auto"/>
        <w:jc w:val="both"/>
        <w:rPr>
          <w:rFonts w:ascii="Times New Roman" w:hAnsi="Times New Roman" w:cs="Times New Roman"/>
          <w:sz w:val="24"/>
          <w:szCs w:val="24"/>
        </w:rPr>
      </w:pPr>
      <w:r w:rsidRPr="002D3C4A">
        <w:rPr>
          <w:rFonts w:ascii="Times New Roman" w:hAnsi="Times New Roman" w:cs="Times New Roman"/>
          <w:sz w:val="24"/>
          <w:szCs w:val="24"/>
        </w:rPr>
        <w:lastRenderedPageBreak/>
        <w:t>Los efectos del sitio estratigráfico asociados con los contrastes de rigidez entre el suelo superficial y el basamento rocoso, ahora se comprenden suficientemente desde un punto de vista físico y aplicativo, por tanto, se modelan efectivamente con análisis unidimensionales</w:t>
      </w:r>
      <w:r>
        <w:rPr>
          <w:rFonts w:ascii="Times New Roman" w:hAnsi="Times New Roman" w:cs="Times New Roman"/>
          <w:sz w:val="24"/>
          <w:szCs w:val="24"/>
        </w:rPr>
        <w:t xml:space="preserve">, aunque cuando las condiciones son complejas </w:t>
      </w:r>
      <w:r w:rsidRPr="002D3C4A">
        <w:rPr>
          <w:rFonts w:ascii="Times New Roman" w:hAnsi="Times New Roman" w:cs="Times New Roman"/>
          <w:sz w:val="24"/>
          <w:szCs w:val="24"/>
        </w:rPr>
        <w:t>se requiere</w:t>
      </w:r>
      <w:r>
        <w:rPr>
          <w:rFonts w:ascii="Times New Roman" w:hAnsi="Times New Roman" w:cs="Times New Roman"/>
          <w:sz w:val="24"/>
          <w:szCs w:val="24"/>
        </w:rPr>
        <w:t>n</w:t>
      </w:r>
      <w:r w:rsidRPr="002D3C4A">
        <w:rPr>
          <w:rFonts w:ascii="Times New Roman" w:hAnsi="Times New Roman" w:cs="Times New Roman"/>
          <w:sz w:val="24"/>
          <w:szCs w:val="24"/>
        </w:rPr>
        <w:t xml:space="preserve"> de modelos bidimensionales o tridimensionales.</w:t>
      </w:r>
    </w:p>
    <w:p w14:paraId="41A640E2" w14:textId="144F1BC0" w:rsidR="00ED7E8C" w:rsidRDefault="00ED7E8C" w:rsidP="00FF3346">
      <w:pPr>
        <w:spacing w:after="0" w:line="360" w:lineRule="auto"/>
        <w:jc w:val="both"/>
        <w:rPr>
          <w:rFonts w:ascii="Times New Roman" w:hAnsi="Times New Roman" w:cs="Times New Roman"/>
          <w:sz w:val="24"/>
          <w:szCs w:val="24"/>
        </w:rPr>
      </w:pPr>
      <w:r w:rsidRPr="00ED7E8C">
        <w:rPr>
          <w:rFonts w:ascii="Times New Roman" w:hAnsi="Times New Roman" w:cs="Times New Roman"/>
          <w:sz w:val="24"/>
          <w:szCs w:val="24"/>
        </w:rPr>
        <w:t>Teniendo en cuenta la alta peligrosidad sísmica de la región suroriental de Cuba, por su cercanía a la zona sismogeneradora Oriente, se definió como objetivo de esta investigación determinar la influencia de las características de respuesta de los suelos en la modificación in situ de los efectos de los terremotos.</w:t>
      </w:r>
    </w:p>
    <w:p w14:paraId="13195845" w14:textId="77777777" w:rsidR="00B427EB" w:rsidRDefault="00B427EB" w:rsidP="00FF3346">
      <w:pPr>
        <w:spacing w:after="0" w:line="360" w:lineRule="auto"/>
        <w:jc w:val="both"/>
        <w:rPr>
          <w:rFonts w:ascii="Times New Roman" w:hAnsi="Times New Roman" w:cs="Times New Roman"/>
          <w:sz w:val="24"/>
          <w:szCs w:val="24"/>
        </w:rPr>
      </w:pPr>
      <w:r w:rsidRPr="00B427EB">
        <w:rPr>
          <w:rFonts w:ascii="Times New Roman" w:hAnsi="Times New Roman" w:cs="Times New Roman"/>
          <w:sz w:val="24"/>
          <w:szCs w:val="24"/>
        </w:rPr>
        <w:t>Para lograr mejores resultados se necesita de un estudio multidisciplinario que incluye gran cantidad de datos como son: geología superficial, calas o pozos profundos, datos sísmicos, ensayos geotécnicos, análisis geofísicos y tectónicos. La compilación, manejo e interacción de los datos precisa un sistema robusto para su armonización, control y cartografía.</w:t>
      </w:r>
      <w:r>
        <w:rPr>
          <w:rFonts w:ascii="Times New Roman" w:hAnsi="Times New Roman" w:cs="Times New Roman"/>
          <w:sz w:val="24"/>
          <w:szCs w:val="24"/>
        </w:rPr>
        <w:t xml:space="preserve"> </w:t>
      </w:r>
    </w:p>
    <w:p w14:paraId="7F09CAC5" w14:textId="435B9619" w:rsidR="00ED7E8C" w:rsidRDefault="00ED7E8C" w:rsidP="00FF3346">
      <w:pPr>
        <w:spacing w:after="0" w:line="360" w:lineRule="auto"/>
        <w:jc w:val="both"/>
        <w:rPr>
          <w:rFonts w:ascii="Times New Roman" w:hAnsi="Times New Roman" w:cs="Times New Roman"/>
          <w:sz w:val="24"/>
          <w:szCs w:val="24"/>
        </w:rPr>
      </w:pPr>
      <w:r w:rsidRPr="00ED7E8C">
        <w:rPr>
          <w:rFonts w:ascii="Times New Roman" w:hAnsi="Times New Roman" w:cs="Times New Roman"/>
          <w:sz w:val="24"/>
          <w:szCs w:val="24"/>
        </w:rPr>
        <w:t xml:space="preserve">Fueron obtenidos los modelos geólogo-geotécnico </w:t>
      </w:r>
      <w:r w:rsidR="00CD75C3">
        <w:rPr>
          <w:rFonts w:ascii="Times New Roman" w:hAnsi="Times New Roman" w:cs="Times New Roman"/>
          <w:sz w:val="24"/>
          <w:szCs w:val="24"/>
        </w:rPr>
        <w:t>bidimensional</w:t>
      </w:r>
      <w:r w:rsidR="00500C36">
        <w:rPr>
          <w:rFonts w:ascii="Times New Roman" w:hAnsi="Times New Roman" w:cs="Times New Roman"/>
          <w:sz w:val="24"/>
          <w:szCs w:val="24"/>
        </w:rPr>
        <w:t>es</w:t>
      </w:r>
      <w:r w:rsidR="00CD75C3">
        <w:rPr>
          <w:rFonts w:ascii="Times New Roman" w:hAnsi="Times New Roman" w:cs="Times New Roman"/>
          <w:sz w:val="24"/>
          <w:szCs w:val="24"/>
        </w:rPr>
        <w:t xml:space="preserve"> (</w:t>
      </w:r>
      <w:r w:rsidRPr="00ED7E8C">
        <w:rPr>
          <w:rFonts w:ascii="Times New Roman" w:hAnsi="Times New Roman" w:cs="Times New Roman"/>
          <w:sz w:val="24"/>
          <w:szCs w:val="24"/>
        </w:rPr>
        <w:t>2D</w:t>
      </w:r>
      <w:r w:rsidR="00CD75C3">
        <w:rPr>
          <w:rFonts w:ascii="Times New Roman" w:hAnsi="Times New Roman" w:cs="Times New Roman"/>
          <w:sz w:val="24"/>
          <w:szCs w:val="24"/>
        </w:rPr>
        <w:t>)</w:t>
      </w:r>
      <w:r w:rsidRPr="00ED7E8C">
        <w:rPr>
          <w:rFonts w:ascii="Times New Roman" w:hAnsi="Times New Roman" w:cs="Times New Roman"/>
          <w:sz w:val="24"/>
          <w:szCs w:val="24"/>
        </w:rPr>
        <w:t>, en conjunto con los espectros de respuesta uniforme de peligro, necesarios para los ficheros de entrada del método numérico de modelación unidimensional. Como resultado se obtienen los espectros de respuesta del suelo y los factores de amplificación</w:t>
      </w:r>
      <w:r w:rsidR="006261A4">
        <w:rPr>
          <w:rFonts w:ascii="Times New Roman" w:hAnsi="Times New Roman" w:cs="Times New Roman"/>
          <w:sz w:val="24"/>
          <w:szCs w:val="24"/>
        </w:rPr>
        <w:t>, posibilitando la identificación de las zonas de mayor riesgo sísmico y las afectaciones que pueden sufrir los diversos tipos de edificaciones o construcciones</w:t>
      </w:r>
      <w:r>
        <w:rPr>
          <w:rFonts w:ascii="Times New Roman" w:hAnsi="Times New Roman" w:cs="Times New Roman"/>
          <w:sz w:val="24"/>
          <w:szCs w:val="24"/>
        </w:rPr>
        <w:t>.</w:t>
      </w:r>
    </w:p>
    <w:p w14:paraId="3CE0D6C7" w14:textId="77777777" w:rsidR="00A21A1F" w:rsidRDefault="00A21A1F" w:rsidP="00FF3346">
      <w:pPr>
        <w:spacing w:after="0" w:line="360" w:lineRule="auto"/>
        <w:jc w:val="both"/>
        <w:rPr>
          <w:rFonts w:ascii="Times New Roman" w:hAnsi="Times New Roman" w:cs="Times New Roman"/>
          <w:sz w:val="24"/>
          <w:szCs w:val="24"/>
        </w:rPr>
      </w:pPr>
    </w:p>
    <w:p w14:paraId="189C5E25"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0E87C980" w14:textId="60373EFB" w:rsidR="00CD4E53" w:rsidRPr="00CD4E53" w:rsidRDefault="00CD4E53" w:rsidP="00CD4E53">
      <w:pPr>
        <w:spacing w:after="0" w:line="360" w:lineRule="auto"/>
        <w:jc w:val="both"/>
        <w:rPr>
          <w:rFonts w:ascii="Times New Roman" w:hAnsi="Times New Roman" w:cs="Times New Roman"/>
          <w:sz w:val="24"/>
          <w:szCs w:val="24"/>
        </w:rPr>
      </w:pPr>
      <w:r w:rsidRPr="00CD4E53">
        <w:rPr>
          <w:rFonts w:ascii="Times New Roman" w:hAnsi="Times New Roman" w:cs="Times New Roman"/>
          <w:sz w:val="24"/>
          <w:szCs w:val="24"/>
        </w:rPr>
        <w:t xml:space="preserve">Para la modelación de los efectos de sitio se parte de tres aspectos:  </w:t>
      </w:r>
    </w:p>
    <w:p w14:paraId="22DE1EDD" w14:textId="77777777" w:rsidR="00CD4E53" w:rsidRDefault="00CD4E53" w:rsidP="00CD4E53">
      <w:pPr>
        <w:pStyle w:val="Prrafodelista"/>
        <w:numPr>
          <w:ilvl w:val="0"/>
          <w:numId w:val="2"/>
        </w:numPr>
        <w:spacing w:after="0" w:line="360" w:lineRule="auto"/>
        <w:jc w:val="both"/>
        <w:rPr>
          <w:rFonts w:ascii="Times New Roman" w:hAnsi="Times New Roman" w:cs="Times New Roman"/>
          <w:sz w:val="24"/>
          <w:szCs w:val="24"/>
        </w:rPr>
      </w:pPr>
      <w:r w:rsidRPr="00CD4E53">
        <w:rPr>
          <w:rFonts w:ascii="Times New Roman" w:hAnsi="Times New Roman" w:cs="Times New Roman"/>
          <w:sz w:val="24"/>
          <w:szCs w:val="24"/>
        </w:rPr>
        <w:t xml:space="preserve">Definición del modelo geotécnico y la estratigrafía del área de estudio.  </w:t>
      </w:r>
    </w:p>
    <w:p w14:paraId="126ECF1B" w14:textId="2F208543" w:rsidR="00CD4E53" w:rsidRDefault="00CD4E53" w:rsidP="00CD4E53">
      <w:pPr>
        <w:pStyle w:val="Prrafodelista"/>
        <w:numPr>
          <w:ilvl w:val="0"/>
          <w:numId w:val="2"/>
        </w:numPr>
        <w:spacing w:after="0" w:line="360" w:lineRule="auto"/>
        <w:jc w:val="both"/>
        <w:rPr>
          <w:rFonts w:ascii="Times New Roman" w:hAnsi="Times New Roman" w:cs="Times New Roman"/>
          <w:sz w:val="24"/>
          <w:szCs w:val="24"/>
        </w:rPr>
      </w:pPr>
      <w:r w:rsidRPr="00CD4E53">
        <w:rPr>
          <w:rFonts w:ascii="Times New Roman" w:hAnsi="Times New Roman" w:cs="Times New Roman"/>
          <w:sz w:val="24"/>
          <w:szCs w:val="24"/>
        </w:rPr>
        <w:t>Cálculo de la peligrosidad sísmica</w:t>
      </w:r>
      <w:r w:rsidR="00E36A2C">
        <w:rPr>
          <w:rFonts w:ascii="Times New Roman" w:hAnsi="Times New Roman" w:cs="Times New Roman"/>
          <w:sz w:val="24"/>
          <w:szCs w:val="24"/>
        </w:rPr>
        <w:t xml:space="preserve"> (</w:t>
      </w:r>
      <w:r w:rsidR="00E36A2C" w:rsidRPr="00E36A2C">
        <w:rPr>
          <w:rFonts w:ascii="Times New Roman" w:hAnsi="Times New Roman" w:cs="Times New Roman"/>
          <w:sz w:val="24"/>
          <w:szCs w:val="24"/>
        </w:rPr>
        <w:t>espectro de respuesta de peligro uniforme</w:t>
      </w:r>
      <w:r w:rsidR="00E36A2C">
        <w:rPr>
          <w:rFonts w:ascii="Times New Roman" w:hAnsi="Times New Roman" w:cs="Times New Roman"/>
          <w:sz w:val="24"/>
          <w:szCs w:val="24"/>
        </w:rPr>
        <w:t>)</w:t>
      </w:r>
      <w:r w:rsidRPr="00CD4E53">
        <w:rPr>
          <w:rFonts w:ascii="Times New Roman" w:hAnsi="Times New Roman" w:cs="Times New Roman"/>
          <w:sz w:val="24"/>
          <w:szCs w:val="24"/>
        </w:rPr>
        <w:t xml:space="preserve">. </w:t>
      </w:r>
    </w:p>
    <w:p w14:paraId="1D657B77" w14:textId="0DA517D0" w:rsidR="00CD4E53" w:rsidRPr="00CD4E53" w:rsidRDefault="00CD4E53" w:rsidP="00CD4E53">
      <w:pPr>
        <w:pStyle w:val="Prrafodelista"/>
        <w:numPr>
          <w:ilvl w:val="0"/>
          <w:numId w:val="2"/>
        </w:numPr>
        <w:spacing w:after="0" w:line="360" w:lineRule="auto"/>
        <w:jc w:val="both"/>
        <w:rPr>
          <w:rFonts w:ascii="Times New Roman" w:hAnsi="Times New Roman" w:cs="Times New Roman"/>
          <w:sz w:val="24"/>
          <w:szCs w:val="24"/>
        </w:rPr>
      </w:pPr>
      <w:r w:rsidRPr="00CD4E53">
        <w:rPr>
          <w:rFonts w:ascii="Times New Roman" w:hAnsi="Times New Roman" w:cs="Times New Roman"/>
          <w:sz w:val="24"/>
          <w:szCs w:val="24"/>
        </w:rPr>
        <w:t>Cálculo del efecto de siti</w:t>
      </w:r>
      <w:r w:rsidR="00E36A2C">
        <w:rPr>
          <w:rFonts w:ascii="Times New Roman" w:hAnsi="Times New Roman" w:cs="Times New Roman"/>
          <w:sz w:val="24"/>
          <w:szCs w:val="24"/>
        </w:rPr>
        <w:t>o.</w:t>
      </w:r>
    </w:p>
    <w:p w14:paraId="5ED04359" w14:textId="77777777" w:rsidR="00AD613F" w:rsidRDefault="006261A4" w:rsidP="00AD61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ED7E8C">
        <w:rPr>
          <w:rFonts w:ascii="Times New Roman" w:hAnsi="Times New Roman" w:cs="Times New Roman"/>
          <w:sz w:val="24"/>
          <w:szCs w:val="24"/>
        </w:rPr>
        <w:t xml:space="preserve">e diseñó un procedimiento para la elaboración del modelo geólogo-geotécnico 2D con fines de modelación del efecto de sitio y estimación de la amplificación de movimiento del suelo esperada, debido a su respuesta local real. El procedimiento consta de tres etapas básicas: análisis para selección y priorización de datos, elaboración e interpretación de perfiles y preparación de modelos. Se definieron las unidades litológicas y la profundidad del basamento, se clasificaron los suelos y se determinó la </w:t>
      </w:r>
      <w:r w:rsidRPr="00ED7E8C">
        <w:rPr>
          <w:rFonts w:ascii="Times New Roman" w:hAnsi="Times New Roman" w:cs="Times New Roman"/>
          <w:sz w:val="24"/>
          <w:szCs w:val="24"/>
        </w:rPr>
        <w:lastRenderedPageBreak/>
        <w:t>velocidad de propagación de la onda transversal (Vs) a partir de relaciones empíricas</w:t>
      </w:r>
      <w:r>
        <w:rPr>
          <w:rFonts w:ascii="Times New Roman" w:hAnsi="Times New Roman" w:cs="Times New Roman"/>
          <w:sz w:val="24"/>
          <w:szCs w:val="24"/>
        </w:rPr>
        <w:t xml:space="preserve"> y mediciones in situ.</w:t>
      </w:r>
      <w:r w:rsidR="00CD4E53">
        <w:rPr>
          <w:rFonts w:ascii="Times New Roman" w:hAnsi="Times New Roman" w:cs="Times New Roman"/>
          <w:sz w:val="24"/>
          <w:szCs w:val="24"/>
        </w:rPr>
        <w:t xml:space="preserve"> </w:t>
      </w:r>
    </w:p>
    <w:p w14:paraId="046E07FB" w14:textId="2DCB7449" w:rsidR="00E36A2C" w:rsidRDefault="00AD613F" w:rsidP="00AD613F">
      <w:pPr>
        <w:spacing w:after="0" w:line="360" w:lineRule="auto"/>
        <w:jc w:val="both"/>
        <w:rPr>
          <w:rFonts w:ascii="Times New Roman" w:hAnsi="Times New Roman" w:cs="Times New Roman"/>
          <w:sz w:val="24"/>
          <w:szCs w:val="24"/>
        </w:rPr>
      </w:pPr>
      <w:r w:rsidRPr="00AD613F">
        <w:rPr>
          <w:rFonts w:ascii="Times New Roman" w:hAnsi="Times New Roman" w:cs="Times New Roman"/>
          <w:sz w:val="24"/>
          <w:szCs w:val="24"/>
        </w:rPr>
        <w:t xml:space="preserve">Por basamento, </w:t>
      </w:r>
      <w:r>
        <w:rPr>
          <w:rFonts w:ascii="Times New Roman" w:hAnsi="Times New Roman" w:cs="Times New Roman"/>
          <w:sz w:val="24"/>
          <w:szCs w:val="24"/>
        </w:rPr>
        <w:t xml:space="preserve">se escogieron </w:t>
      </w:r>
      <w:r w:rsidRPr="00AD613F">
        <w:rPr>
          <w:rFonts w:ascii="Times New Roman" w:hAnsi="Times New Roman" w:cs="Times New Roman"/>
          <w:sz w:val="24"/>
          <w:szCs w:val="24"/>
        </w:rPr>
        <w:t xml:space="preserve">las rocas compactas y masivas, duras, alto peso específico, con número de golpes Nspt &gt; 50; </w:t>
      </w:r>
      <w:r>
        <w:rPr>
          <w:rFonts w:ascii="Times New Roman" w:hAnsi="Times New Roman" w:cs="Times New Roman"/>
          <w:sz w:val="24"/>
          <w:szCs w:val="24"/>
        </w:rPr>
        <w:t>asociando</w:t>
      </w:r>
      <w:r w:rsidRPr="00AD613F">
        <w:rPr>
          <w:rFonts w:ascii="Times New Roman" w:hAnsi="Times New Roman" w:cs="Times New Roman"/>
          <w:sz w:val="24"/>
          <w:szCs w:val="24"/>
        </w:rPr>
        <w:t xml:space="preserve"> con este material una Vs de 800 m/s, de acuerdo con norma sismorresistente cubana NC 46:2017</w:t>
      </w:r>
      <w:r>
        <w:rPr>
          <w:rFonts w:ascii="Times New Roman" w:hAnsi="Times New Roman" w:cs="Times New Roman"/>
          <w:sz w:val="24"/>
          <w:szCs w:val="24"/>
        </w:rPr>
        <w:t xml:space="preserve"> y </w:t>
      </w:r>
      <w:r w:rsidRPr="00AD613F">
        <w:rPr>
          <w:rFonts w:ascii="Times New Roman" w:hAnsi="Times New Roman" w:cs="Times New Roman"/>
          <w:sz w:val="24"/>
          <w:szCs w:val="24"/>
        </w:rPr>
        <w:t>el Código Norteamericano NEHRP (BSSC, 2001: Building Seismic Safety Council)</w:t>
      </w:r>
      <w:r>
        <w:rPr>
          <w:rFonts w:ascii="Times New Roman" w:hAnsi="Times New Roman" w:cs="Times New Roman"/>
          <w:sz w:val="24"/>
          <w:szCs w:val="24"/>
        </w:rPr>
        <w:t xml:space="preserve">. </w:t>
      </w:r>
    </w:p>
    <w:p w14:paraId="3D489EBB" w14:textId="7D4E0F56" w:rsidR="001B0CA7" w:rsidRPr="001B0CA7" w:rsidRDefault="001B0CA7" w:rsidP="001B0CA7">
      <w:pPr>
        <w:spacing w:after="0" w:line="360" w:lineRule="auto"/>
        <w:jc w:val="both"/>
        <w:rPr>
          <w:rFonts w:ascii="Times New Roman" w:hAnsi="Times New Roman" w:cs="Times New Roman"/>
          <w:sz w:val="24"/>
          <w:szCs w:val="24"/>
        </w:rPr>
      </w:pPr>
      <w:r w:rsidRPr="001B0CA7">
        <w:rPr>
          <w:rFonts w:ascii="Times New Roman" w:hAnsi="Times New Roman" w:cs="Times New Roman"/>
          <w:sz w:val="24"/>
          <w:szCs w:val="24"/>
        </w:rPr>
        <w:t xml:space="preserve">Para la geología superficial se empleó el mapa geológico de Cuba oriental, publicado por el Instituto de Geología y Paleontología, a escala 1:100 000 (Carrillo </w:t>
      </w:r>
      <w:r w:rsidRPr="000C2583">
        <w:rPr>
          <w:rFonts w:ascii="Times New Roman" w:hAnsi="Times New Roman" w:cs="Times New Roman"/>
          <w:i/>
          <w:iCs/>
          <w:sz w:val="24"/>
          <w:szCs w:val="24"/>
        </w:rPr>
        <w:t>et al</w:t>
      </w:r>
      <w:r w:rsidRPr="001B0CA7">
        <w:rPr>
          <w:rFonts w:ascii="Times New Roman" w:hAnsi="Times New Roman" w:cs="Times New Roman"/>
          <w:sz w:val="24"/>
          <w:szCs w:val="24"/>
        </w:rPr>
        <w:t xml:space="preserve">., 2007), el mapa ingeniero-geológico de la antigua provincia oriental (Nagy </w:t>
      </w:r>
      <w:r w:rsidRPr="000C2583">
        <w:rPr>
          <w:rFonts w:ascii="Times New Roman" w:hAnsi="Times New Roman" w:cs="Times New Roman"/>
          <w:i/>
          <w:iCs/>
          <w:sz w:val="24"/>
          <w:szCs w:val="24"/>
        </w:rPr>
        <w:t>et al</w:t>
      </w:r>
      <w:r w:rsidRPr="001B0CA7">
        <w:rPr>
          <w:rFonts w:ascii="Times New Roman" w:hAnsi="Times New Roman" w:cs="Times New Roman"/>
          <w:sz w:val="24"/>
          <w:szCs w:val="24"/>
        </w:rPr>
        <w:t xml:space="preserve">., 1976) y la literatura disponible relacionada con este tópico para la región de estudio (Nagy, 1983; Iturralde-Vinent, 1998, 2012),  fueron usados para definir los contactos litológicos e identificar las principales formaciones geológicas presentes, su edad y materiales que la conforman, las descripciones geológicas, así como el ambiente de sedimentación, correlaciones estratigráficas y profundidad, fueron tomadas del Léxico Estratigráfico de Cuba (2013). </w:t>
      </w:r>
    </w:p>
    <w:p w14:paraId="1C4318BC" w14:textId="25FE4A6C" w:rsidR="001B0CA7" w:rsidRDefault="001B0CA7" w:rsidP="001B0CA7">
      <w:pPr>
        <w:spacing w:after="0" w:line="360" w:lineRule="auto"/>
        <w:jc w:val="both"/>
        <w:rPr>
          <w:rFonts w:ascii="Times New Roman" w:hAnsi="Times New Roman" w:cs="Times New Roman"/>
          <w:sz w:val="24"/>
          <w:szCs w:val="24"/>
        </w:rPr>
      </w:pPr>
      <w:r w:rsidRPr="001B0CA7">
        <w:rPr>
          <w:rFonts w:ascii="Times New Roman" w:hAnsi="Times New Roman" w:cs="Times New Roman"/>
          <w:sz w:val="24"/>
          <w:szCs w:val="24"/>
        </w:rPr>
        <w:t xml:space="preserve">La variación de las características de los suelos en profundidad, fue considerada mediante la información geotécnica de 11 976 perforaciones de campo: 11 126 pozos geológicos de la base de datos de pozos de Cuba oriental (Méndez </w:t>
      </w:r>
      <w:r w:rsidRPr="000C2583">
        <w:rPr>
          <w:rFonts w:ascii="Times New Roman" w:hAnsi="Times New Roman" w:cs="Times New Roman"/>
          <w:i/>
          <w:iCs/>
          <w:sz w:val="24"/>
          <w:szCs w:val="24"/>
        </w:rPr>
        <w:t>et al.</w:t>
      </w:r>
      <w:r w:rsidRPr="001B0CA7">
        <w:rPr>
          <w:rFonts w:ascii="Times New Roman" w:hAnsi="Times New Roman" w:cs="Times New Roman"/>
          <w:sz w:val="24"/>
          <w:szCs w:val="24"/>
        </w:rPr>
        <w:t>, 2003) con la descripción litológica y espesor de cada capa; 537 calas geotécnicas en Santiago de Cuba, 98 en Guantánamo, 54 en Bayamo, 34 en Manzanillo y 127 en Moa (datos geotécnicos de la Empresa Nacional de Investigaciones Aplicadas, con la descripción litológica de cada estrato, espesor y las propiedades físico-mecánicas. Además, la información geológica de columnas estratigráficas distribuidas en varios sectores de la región oriental de Cuba, y realizados con diversos fines.</w:t>
      </w:r>
    </w:p>
    <w:p w14:paraId="56743C7B" w14:textId="22571106" w:rsidR="001B0CA7" w:rsidRPr="001B0CA7" w:rsidRDefault="001B0CA7" w:rsidP="001B0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velocidad de propagación de la onda de corte Vs se fue calculada mediante la relación empírica </w:t>
      </w:r>
      <w:r w:rsidRPr="001B0CA7">
        <w:rPr>
          <w:rFonts w:ascii="Times New Roman" w:hAnsi="Times New Roman" w:cs="Times New Roman"/>
          <w:sz w:val="24"/>
          <w:szCs w:val="24"/>
        </w:rPr>
        <w:t xml:space="preserve">propuesta por Ohta y Goto (1978), en el techo y en la base de las diferentes capas de los modelos geotécnicos, ya que es una relación multiparamétrica, y también se aplicó con buenos resultados los valores de Vs estimados por Sadovskii </w:t>
      </w:r>
      <w:r w:rsidRPr="000C2583">
        <w:rPr>
          <w:rFonts w:ascii="Times New Roman" w:hAnsi="Times New Roman" w:cs="Times New Roman"/>
          <w:i/>
          <w:iCs/>
          <w:sz w:val="24"/>
          <w:szCs w:val="24"/>
        </w:rPr>
        <w:t>et al</w:t>
      </w:r>
      <w:r w:rsidRPr="001B0CA7">
        <w:rPr>
          <w:rFonts w:ascii="Times New Roman" w:hAnsi="Times New Roman" w:cs="Times New Roman"/>
          <w:sz w:val="24"/>
          <w:szCs w:val="24"/>
        </w:rPr>
        <w:t>. (1973) para diferentes tipos de suelos</w:t>
      </w:r>
      <w:r>
        <w:rPr>
          <w:rFonts w:ascii="Times New Roman" w:hAnsi="Times New Roman" w:cs="Times New Roman"/>
          <w:sz w:val="24"/>
          <w:szCs w:val="24"/>
        </w:rPr>
        <w:t xml:space="preserve">. </w:t>
      </w:r>
      <w:r w:rsidRPr="001B0CA7">
        <w:rPr>
          <w:rFonts w:ascii="Times New Roman" w:hAnsi="Times New Roman" w:cs="Times New Roman"/>
          <w:sz w:val="24"/>
          <w:szCs w:val="24"/>
        </w:rPr>
        <w:t xml:space="preserve">La relación empírica de Ohta y Goto (1978) tiene en cuenta el tipo de suelo (F, basado en la granulometría del material para las arcillas, arenas y gravas), época geológica [E, expresada como aluvio (Holoceno) o deluvio (Pleistoceno)], profundidad de la capa (H), y número de golpes (N):  </w:t>
      </w:r>
    </w:p>
    <w:p w14:paraId="05C4288F" w14:textId="44411D84" w:rsidR="001B0CA7" w:rsidRDefault="001B0CA7" w:rsidP="001B0CA7">
      <w:pPr>
        <w:spacing w:after="0" w:line="360" w:lineRule="auto"/>
        <w:jc w:val="both"/>
        <w:rPr>
          <w:rFonts w:ascii="Times New Roman" w:hAnsi="Times New Roman" w:cs="Times New Roman"/>
          <w:sz w:val="24"/>
          <w:szCs w:val="24"/>
        </w:rPr>
      </w:pPr>
      <w:r w:rsidRPr="001B0CA7">
        <w:rPr>
          <w:rFonts w:ascii="Times New Roman" w:hAnsi="Times New Roman" w:cs="Times New Roman"/>
          <w:sz w:val="24"/>
          <w:szCs w:val="24"/>
        </w:rPr>
        <w:lastRenderedPageBreak/>
        <w:t xml:space="preserve">Vs = 68.79 N0.171 x H0.199 (E) (F)  </w:t>
      </w:r>
    </w:p>
    <w:p w14:paraId="07FCB9C5" w14:textId="7D1E65B6" w:rsidR="007A3303" w:rsidRPr="007A3303" w:rsidRDefault="007A3303" w:rsidP="007A3303">
      <w:pPr>
        <w:spacing w:after="121" w:line="265" w:lineRule="auto"/>
        <w:ind w:left="-7" w:hanging="8"/>
        <w:jc w:val="both"/>
        <w:rPr>
          <w:rFonts w:ascii="Times New Roman" w:hAnsi="Times New Roman" w:cs="Times New Roman"/>
          <w:sz w:val="24"/>
          <w:szCs w:val="24"/>
        </w:rPr>
      </w:pPr>
      <w:r w:rsidRPr="007A3303">
        <w:rPr>
          <w:rFonts w:ascii="Times New Roman" w:hAnsi="Times New Roman" w:cs="Times New Roman"/>
          <w:sz w:val="24"/>
          <w:szCs w:val="24"/>
        </w:rPr>
        <w:t xml:space="preserve">La velocidad equivalente de propagación de la onda de corte entre los primeros 30 metros de profundidad se calcula a partir de la siguiente expresión: </w:t>
      </w:r>
    </w:p>
    <w:p w14:paraId="2C34C952" w14:textId="056F6C8C" w:rsidR="007A3303" w:rsidRDefault="007A3303" w:rsidP="007A3303">
      <w:pPr>
        <w:spacing w:after="0" w:line="360" w:lineRule="auto"/>
        <w:jc w:val="both"/>
        <w:rPr>
          <w:rFonts w:ascii="Times New Roman" w:hAnsi="Times New Roman" w:cs="Times New Roman"/>
          <w:sz w:val="24"/>
          <w:szCs w:val="24"/>
        </w:rPr>
      </w:pPr>
      <w:r w:rsidRPr="007A3303">
        <w:rPr>
          <w:rFonts w:ascii="Times New Roman" w:hAnsi="Times New Roman" w:cs="Times New Roman"/>
          <w:noProof/>
          <w:sz w:val="24"/>
          <w:szCs w:val="24"/>
          <w:lang w:val="es-MX" w:eastAsia="es-MX"/>
        </w:rPr>
        <w:drawing>
          <wp:inline distT="0" distB="0" distL="0" distR="0" wp14:anchorId="1EA3F042" wp14:editId="1244CCB3">
            <wp:extent cx="752475" cy="389890"/>
            <wp:effectExtent l="0" t="0" r="0" b="0"/>
            <wp:docPr id="9431" name="Picture 9431"/>
            <wp:cNvGraphicFramePr/>
            <a:graphic xmlns:a="http://schemas.openxmlformats.org/drawingml/2006/main">
              <a:graphicData uri="http://schemas.openxmlformats.org/drawingml/2006/picture">
                <pic:pic xmlns:pic="http://schemas.openxmlformats.org/drawingml/2006/picture">
                  <pic:nvPicPr>
                    <pic:cNvPr id="9431" name="Picture 9431"/>
                    <pic:cNvPicPr/>
                  </pic:nvPicPr>
                  <pic:blipFill>
                    <a:blip r:embed="rId7"/>
                    <a:stretch>
                      <a:fillRect/>
                    </a:stretch>
                  </pic:blipFill>
                  <pic:spPr>
                    <a:xfrm>
                      <a:off x="0" y="0"/>
                      <a:ext cx="752475" cy="389890"/>
                    </a:xfrm>
                    <a:prstGeom prst="rect">
                      <a:avLst/>
                    </a:prstGeom>
                  </pic:spPr>
                </pic:pic>
              </a:graphicData>
            </a:graphic>
          </wp:inline>
        </w:drawing>
      </w:r>
      <w:r w:rsidRPr="007A3303">
        <w:rPr>
          <w:rFonts w:ascii="Times New Roman" w:hAnsi="Times New Roman" w:cs="Times New Roman"/>
          <w:sz w:val="24"/>
          <w:szCs w:val="24"/>
        </w:rPr>
        <w:t xml:space="preserve">             i=1, N         </w:t>
      </w:r>
    </w:p>
    <w:p w14:paraId="2A4B9D77" w14:textId="6E5ACB43" w:rsidR="006261A4" w:rsidRDefault="00E36A2C" w:rsidP="00E36A2C">
      <w:pPr>
        <w:spacing w:after="0" w:line="360" w:lineRule="auto"/>
        <w:jc w:val="both"/>
        <w:rPr>
          <w:rFonts w:ascii="Times New Roman" w:hAnsi="Times New Roman" w:cs="Times New Roman"/>
          <w:sz w:val="24"/>
          <w:szCs w:val="24"/>
        </w:rPr>
      </w:pPr>
      <w:r w:rsidRPr="00E36A2C">
        <w:rPr>
          <w:rFonts w:ascii="Times New Roman" w:hAnsi="Times New Roman" w:cs="Times New Roman"/>
          <w:sz w:val="24"/>
          <w:szCs w:val="24"/>
        </w:rPr>
        <w:t>El espectro de respuesta de peligro uniforme (UHRS siglas en ingles) en el basamento fue calculado con un período de retorno de 475 años, estos UHRSs en el basamento (simplificados por nueve ordenadas espectrales 0.1, 0.15, 0.3, 0.5, 0.75, 1.0, 1.5, 2.0 seg) fueron tomados de García (2007), el cual calculó el mapa de peligro sísmico de Cuba, acorde con la aproximación estándar de Cornell (1968), considerando una red de aproximadamente 3.5 km de espaciamiento y fue obtenido un set de 27.783 UHRS estimados para la condición de roca sólida con Vs=800 m/s. El intervalo espectral de períodos esta entre 0.1 y 2 seg. Cada UHRS fue asociada a un sector geotécnico.</w:t>
      </w:r>
    </w:p>
    <w:p w14:paraId="54E62DA1" w14:textId="311E9622" w:rsidR="00CD4E53" w:rsidRDefault="00996B64" w:rsidP="00CD4E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w:t>
      </w:r>
      <w:r w:rsidR="00CD4E53">
        <w:rPr>
          <w:rFonts w:ascii="Times New Roman" w:hAnsi="Times New Roman" w:cs="Times New Roman"/>
          <w:sz w:val="24"/>
          <w:szCs w:val="24"/>
        </w:rPr>
        <w:t>modelación</w:t>
      </w:r>
      <w:r>
        <w:rPr>
          <w:rFonts w:ascii="Times New Roman" w:hAnsi="Times New Roman" w:cs="Times New Roman"/>
          <w:sz w:val="24"/>
          <w:szCs w:val="24"/>
        </w:rPr>
        <w:t xml:space="preserve"> de la </w:t>
      </w:r>
      <w:r w:rsidR="00CD4E53">
        <w:rPr>
          <w:rFonts w:ascii="Times New Roman" w:hAnsi="Times New Roman" w:cs="Times New Roman"/>
          <w:sz w:val="24"/>
          <w:szCs w:val="24"/>
        </w:rPr>
        <w:t>señal sísmica en suelo, se aplicó</w:t>
      </w:r>
      <w:r w:rsidR="00CD4E53" w:rsidRPr="00CD4E53">
        <w:t xml:space="preserve"> </w:t>
      </w:r>
      <w:r w:rsidR="00CD4E53">
        <w:t xml:space="preserve">el </w:t>
      </w:r>
      <w:r w:rsidR="00CD4E53" w:rsidRPr="00CD4E53">
        <w:rPr>
          <w:rFonts w:ascii="Times New Roman" w:hAnsi="Times New Roman" w:cs="Times New Roman"/>
          <w:sz w:val="24"/>
          <w:szCs w:val="24"/>
        </w:rPr>
        <w:t>código de cálculo PSHAKE (Sanò y Pugliese, 1991)</w:t>
      </w:r>
      <w:r w:rsidR="00CD4E53">
        <w:rPr>
          <w:rFonts w:ascii="Times New Roman" w:hAnsi="Times New Roman" w:cs="Times New Roman"/>
          <w:sz w:val="24"/>
          <w:szCs w:val="24"/>
        </w:rPr>
        <w:t xml:space="preserve"> de modelación unidimensional (1D) lineal equivalente, </w:t>
      </w:r>
      <w:r w:rsidR="00E36A2C">
        <w:rPr>
          <w:rFonts w:ascii="Times New Roman" w:hAnsi="Times New Roman" w:cs="Times New Roman"/>
          <w:sz w:val="24"/>
          <w:szCs w:val="24"/>
        </w:rPr>
        <w:t xml:space="preserve">el cual </w:t>
      </w:r>
      <w:r w:rsidR="00CD4E53" w:rsidRPr="00CD4E53">
        <w:rPr>
          <w:rFonts w:ascii="Times New Roman" w:hAnsi="Times New Roman" w:cs="Times New Roman"/>
          <w:sz w:val="24"/>
          <w:szCs w:val="24"/>
        </w:rPr>
        <w:t xml:space="preserve">calcula la respuesta sísmica local (respuesta probabilística) de un semiespacio estratificado atravesado por las ondas de corte que viajan en dirección vertical. </w:t>
      </w:r>
    </w:p>
    <w:p w14:paraId="7D7E8FFD" w14:textId="33C9223F" w:rsidR="00CD4E53" w:rsidRDefault="00CD4E53" w:rsidP="00E36A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obtenido los modelos geólogo-geotécnicos, en conjunto con </w:t>
      </w:r>
      <w:r w:rsidR="00E36A2C">
        <w:rPr>
          <w:rFonts w:ascii="Times New Roman" w:hAnsi="Times New Roman" w:cs="Times New Roman"/>
          <w:sz w:val="24"/>
          <w:szCs w:val="24"/>
        </w:rPr>
        <w:t xml:space="preserve">las curvas del </w:t>
      </w:r>
      <w:r w:rsidR="00E36A2C" w:rsidRPr="00E36A2C">
        <w:rPr>
          <w:rFonts w:ascii="Times New Roman" w:hAnsi="Times New Roman" w:cs="Times New Roman"/>
          <w:sz w:val="24"/>
          <w:szCs w:val="24"/>
        </w:rPr>
        <w:t>espectro de respuesta de peligro uniforme</w:t>
      </w:r>
      <w:r>
        <w:rPr>
          <w:rFonts w:ascii="Times New Roman" w:hAnsi="Times New Roman" w:cs="Times New Roman"/>
          <w:sz w:val="24"/>
          <w:szCs w:val="24"/>
        </w:rPr>
        <w:t xml:space="preserve">, se prepararon los modelos en profundidad para los ficheros de entrada al programa, </w:t>
      </w:r>
      <w:r w:rsidR="00E36A2C">
        <w:rPr>
          <w:rFonts w:ascii="Times New Roman" w:hAnsi="Times New Roman" w:cs="Times New Roman"/>
          <w:sz w:val="24"/>
          <w:szCs w:val="24"/>
        </w:rPr>
        <w:t>obteniéndose como resultado los espectros de respuesta del sitio y los factores de amplificación de la señal sísmica (</w:t>
      </w:r>
      <w:r w:rsidR="00E36A2C" w:rsidRPr="00E36A2C">
        <w:rPr>
          <w:rFonts w:ascii="Times New Roman" w:hAnsi="Times New Roman" w:cs="Times New Roman"/>
          <w:sz w:val="24"/>
          <w:szCs w:val="24"/>
        </w:rPr>
        <w:t>FA</w:t>
      </w:r>
      <w:r w:rsidR="00E36A2C">
        <w:rPr>
          <w:rFonts w:ascii="Times New Roman" w:hAnsi="Times New Roman" w:cs="Times New Roman"/>
          <w:sz w:val="24"/>
          <w:szCs w:val="24"/>
        </w:rPr>
        <w:t xml:space="preserve">), </w:t>
      </w:r>
      <w:r w:rsidR="00E36A2C" w:rsidRPr="00E36A2C">
        <w:rPr>
          <w:rFonts w:ascii="Times New Roman" w:hAnsi="Times New Roman" w:cs="Times New Roman"/>
          <w:sz w:val="24"/>
          <w:szCs w:val="24"/>
        </w:rPr>
        <w:t>estimado</w:t>
      </w:r>
      <w:r w:rsidR="00E36A2C">
        <w:rPr>
          <w:rFonts w:ascii="Times New Roman" w:hAnsi="Times New Roman" w:cs="Times New Roman"/>
          <w:sz w:val="24"/>
          <w:szCs w:val="24"/>
        </w:rPr>
        <w:t>s</w:t>
      </w:r>
      <w:r w:rsidR="00E36A2C" w:rsidRPr="00E36A2C">
        <w:rPr>
          <w:rFonts w:ascii="Times New Roman" w:hAnsi="Times New Roman" w:cs="Times New Roman"/>
          <w:sz w:val="24"/>
          <w:szCs w:val="24"/>
        </w:rPr>
        <w:t xml:space="preserve"> como el cociente del espectro obtenido como salida de la modelación 1D sobre el fichero de entrada UHRS, en el intervalo de períodos de 0.1 a 0.5 seg, apropiados para edificaciones de poca altura, como se establece en los procedimientos para estudios de microzonación y peligrosidad sísmica </w:t>
      </w:r>
      <w:r w:rsidR="00E36A2C">
        <w:rPr>
          <w:rFonts w:ascii="Times New Roman" w:hAnsi="Times New Roman" w:cs="Times New Roman"/>
          <w:sz w:val="24"/>
          <w:szCs w:val="24"/>
        </w:rPr>
        <w:t xml:space="preserve">a nivel internacional, </w:t>
      </w:r>
      <w:r w:rsidR="00E36A2C" w:rsidRPr="00E36A2C">
        <w:rPr>
          <w:rFonts w:ascii="Times New Roman" w:hAnsi="Times New Roman" w:cs="Times New Roman"/>
          <w:sz w:val="24"/>
          <w:szCs w:val="24"/>
        </w:rPr>
        <w:t xml:space="preserve">(para estudios puntuales donde existan edificaciones altas este intervalo se debe cambiar).  </w:t>
      </w:r>
    </w:p>
    <w:p w14:paraId="5231E11D" w14:textId="37677543" w:rsidR="00BC29D2" w:rsidRDefault="00BC29D2" w:rsidP="00E36A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forma adicional </w:t>
      </w:r>
      <w:r w:rsidR="00E51D90">
        <w:rPr>
          <w:rFonts w:ascii="Times New Roman" w:hAnsi="Times New Roman" w:cs="Times New Roman"/>
          <w:sz w:val="24"/>
          <w:szCs w:val="24"/>
        </w:rPr>
        <w:t xml:space="preserve">se aplicó la </w:t>
      </w:r>
      <w:r w:rsidRPr="00BC29D2">
        <w:rPr>
          <w:rFonts w:ascii="Times New Roman" w:hAnsi="Times New Roman" w:cs="Times New Roman"/>
          <w:sz w:val="24"/>
          <w:szCs w:val="24"/>
        </w:rPr>
        <w:t>clasificación de suelos NERHP (BSSC, 2001) y</w:t>
      </w:r>
      <w:r>
        <w:rPr>
          <w:rFonts w:ascii="Times New Roman" w:hAnsi="Times New Roman" w:cs="Times New Roman"/>
          <w:sz w:val="24"/>
          <w:szCs w:val="24"/>
        </w:rPr>
        <w:t xml:space="preserve"> </w:t>
      </w:r>
      <w:r w:rsidR="00E51D90">
        <w:rPr>
          <w:rFonts w:ascii="Times New Roman" w:hAnsi="Times New Roman" w:cs="Times New Roman"/>
          <w:sz w:val="24"/>
          <w:szCs w:val="24"/>
        </w:rPr>
        <w:t xml:space="preserve">por </w:t>
      </w:r>
      <w:r>
        <w:rPr>
          <w:rFonts w:ascii="Times New Roman" w:hAnsi="Times New Roman" w:cs="Times New Roman"/>
          <w:sz w:val="24"/>
          <w:szCs w:val="24"/>
        </w:rPr>
        <w:t>la norma sismorresistente cubana</w:t>
      </w:r>
      <w:r w:rsidRPr="00BC29D2">
        <w:rPr>
          <w:rFonts w:ascii="Times New Roman" w:hAnsi="Times New Roman" w:cs="Times New Roman"/>
          <w:sz w:val="24"/>
          <w:szCs w:val="24"/>
        </w:rPr>
        <w:t xml:space="preserve"> NC 46:2017,</w:t>
      </w:r>
      <w:r>
        <w:rPr>
          <w:rFonts w:ascii="Times New Roman" w:hAnsi="Times New Roman" w:cs="Times New Roman"/>
          <w:sz w:val="24"/>
          <w:szCs w:val="24"/>
        </w:rPr>
        <w:t xml:space="preserve"> para de esta manera comparar los resultados </w:t>
      </w:r>
      <w:r w:rsidRPr="00BC29D2">
        <w:rPr>
          <w:rFonts w:ascii="Times New Roman" w:hAnsi="Times New Roman" w:cs="Times New Roman"/>
          <w:sz w:val="24"/>
          <w:szCs w:val="24"/>
        </w:rPr>
        <w:t>basado en la geología superficial</w:t>
      </w:r>
      <w:r>
        <w:rPr>
          <w:rFonts w:ascii="Times New Roman" w:hAnsi="Times New Roman" w:cs="Times New Roman"/>
          <w:sz w:val="24"/>
          <w:szCs w:val="24"/>
        </w:rPr>
        <w:t xml:space="preserve">, </w:t>
      </w:r>
      <w:r w:rsidRPr="00BC29D2">
        <w:rPr>
          <w:rFonts w:ascii="Times New Roman" w:hAnsi="Times New Roman" w:cs="Times New Roman"/>
          <w:sz w:val="24"/>
          <w:szCs w:val="24"/>
        </w:rPr>
        <w:t>en los estimados de Vs</w:t>
      </w:r>
      <w:r w:rsidRPr="00E51D90">
        <w:rPr>
          <w:rFonts w:ascii="Times New Roman" w:hAnsi="Times New Roman" w:cs="Times New Roman"/>
          <w:sz w:val="24"/>
          <w:szCs w:val="24"/>
          <w:vertAlign w:val="subscript"/>
        </w:rPr>
        <w:t>30</w:t>
      </w:r>
      <w:r>
        <w:rPr>
          <w:rFonts w:ascii="Times New Roman" w:hAnsi="Times New Roman" w:cs="Times New Roman"/>
          <w:sz w:val="24"/>
          <w:szCs w:val="24"/>
        </w:rPr>
        <w:t xml:space="preserve"> y los de modelación 1D considerando el perfil desde la superficie hasta el basamento con sus propiedades </w:t>
      </w:r>
      <w:r w:rsidR="00E51D90">
        <w:rPr>
          <w:rFonts w:ascii="Times New Roman" w:hAnsi="Times New Roman" w:cs="Times New Roman"/>
          <w:sz w:val="24"/>
          <w:szCs w:val="24"/>
        </w:rPr>
        <w:t>geotécnicas</w:t>
      </w:r>
      <w:r>
        <w:rPr>
          <w:rFonts w:ascii="Times New Roman" w:hAnsi="Times New Roman" w:cs="Times New Roman"/>
          <w:sz w:val="24"/>
          <w:szCs w:val="24"/>
        </w:rPr>
        <w:t xml:space="preserve"> y la respuesta espectral </w:t>
      </w:r>
      <w:r w:rsidRPr="00BC29D2">
        <w:rPr>
          <w:rFonts w:ascii="Times New Roman" w:hAnsi="Times New Roman" w:cs="Times New Roman"/>
          <w:sz w:val="24"/>
          <w:szCs w:val="24"/>
        </w:rPr>
        <w:t>de peligro uniforme</w:t>
      </w:r>
      <w:r>
        <w:rPr>
          <w:rFonts w:ascii="Times New Roman" w:hAnsi="Times New Roman" w:cs="Times New Roman"/>
          <w:sz w:val="24"/>
          <w:szCs w:val="24"/>
        </w:rPr>
        <w:t xml:space="preserve"> en </w:t>
      </w:r>
      <w:r w:rsidR="00E51D90">
        <w:rPr>
          <w:rFonts w:ascii="Times New Roman" w:hAnsi="Times New Roman" w:cs="Times New Roman"/>
          <w:sz w:val="24"/>
          <w:szCs w:val="24"/>
        </w:rPr>
        <w:t>cada</w:t>
      </w:r>
      <w:r>
        <w:rPr>
          <w:rFonts w:ascii="Times New Roman" w:hAnsi="Times New Roman" w:cs="Times New Roman"/>
          <w:sz w:val="24"/>
          <w:szCs w:val="24"/>
        </w:rPr>
        <w:t xml:space="preserve"> punto.</w:t>
      </w:r>
    </w:p>
    <w:p w14:paraId="16EC2315" w14:textId="4B012168" w:rsidR="00996B64" w:rsidRDefault="003A4BCA" w:rsidP="006261A4">
      <w:pPr>
        <w:spacing w:after="0" w:line="360" w:lineRule="auto"/>
        <w:jc w:val="both"/>
        <w:rPr>
          <w:rFonts w:ascii="Times New Roman" w:hAnsi="Times New Roman" w:cs="Times New Roman"/>
          <w:sz w:val="24"/>
          <w:szCs w:val="24"/>
        </w:rPr>
      </w:pPr>
      <w:r w:rsidRPr="00CD75C3">
        <w:rPr>
          <w:rFonts w:ascii="Times New Roman" w:hAnsi="Times New Roman" w:cs="Times New Roman"/>
          <w:sz w:val="24"/>
          <w:szCs w:val="24"/>
        </w:rPr>
        <w:lastRenderedPageBreak/>
        <w:t>Para validar el estudio de efecto de sitio realizado en la región se realizó una inspección visual a las zonas afectadas por los sismos fuertes del 10 de noviembre del 2024. Se realiza una evaluación de los daños identificando a aquellos relacionados con el comportamiento del suelo en el área.</w:t>
      </w:r>
    </w:p>
    <w:p w14:paraId="0679BDD3"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7806ECDA" w14:textId="5DC0214A" w:rsidR="00667F10" w:rsidRDefault="00A04AB9" w:rsidP="00A04AB9">
      <w:pPr>
        <w:spacing w:after="0" w:line="360" w:lineRule="auto"/>
        <w:jc w:val="both"/>
        <w:rPr>
          <w:rFonts w:ascii="Times New Roman" w:hAnsi="Times New Roman" w:cs="Times New Roman"/>
          <w:sz w:val="24"/>
          <w:szCs w:val="24"/>
        </w:rPr>
      </w:pPr>
      <w:r w:rsidRPr="00A04AB9">
        <w:rPr>
          <w:rFonts w:ascii="Times New Roman" w:hAnsi="Times New Roman" w:cs="Times New Roman"/>
          <w:sz w:val="24"/>
          <w:szCs w:val="24"/>
        </w:rPr>
        <w:t>Para la elaboración de los modelos geotécnicos, todas las formaciones rocosas fueron asociadas a un simple modelo geotécnico. Las 19 formaciones no rocosas fueron analizadas teniendo en cuenta la litología superficial, las características estratigráficas deducidas de los 11 976 pozos y las descripciones de los perfiles geológicos, de esta forma fue obtenido un simple modelo estratigráfico para cada sector geotécnico. En adición, a los modelos estratigráficos se les agregaron las propiedades físico-mecánicas (valor promedio del peso específico húmedo y Nspt), derivadas de las 850 calas de la Empresa Nacional de Investigaciones Aplicadas, obteniendo un total de 36 modelos</w:t>
      </w:r>
      <w:r>
        <w:rPr>
          <w:rFonts w:ascii="Times New Roman" w:hAnsi="Times New Roman" w:cs="Times New Roman"/>
          <w:sz w:val="24"/>
          <w:szCs w:val="24"/>
        </w:rPr>
        <w:t xml:space="preserve"> </w:t>
      </w:r>
      <w:r w:rsidRPr="00A04AB9">
        <w:rPr>
          <w:rFonts w:ascii="Times New Roman" w:hAnsi="Times New Roman" w:cs="Times New Roman"/>
          <w:sz w:val="24"/>
          <w:szCs w:val="24"/>
        </w:rPr>
        <w:t xml:space="preserve">geotécnicos que representan todas las situaciones geológicas de la región (figura </w:t>
      </w:r>
      <w:r>
        <w:rPr>
          <w:rFonts w:ascii="Times New Roman" w:hAnsi="Times New Roman" w:cs="Times New Roman"/>
          <w:sz w:val="24"/>
          <w:szCs w:val="24"/>
        </w:rPr>
        <w:t>1</w:t>
      </w:r>
      <w:r w:rsidRPr="00A04AB9">
        <w:rPr>
          <w:rFonts w:ascii="Times New Roman" w:hAnsi="Times New Roman" w:cs="Times New Roman"/>
          <w:sz w:val="24"/>
          <w:szCs w:val="24"/>
        </w:rPr>
        <w:t>)</w:t>
      </w:r>
      <w:r>
        <w:rPr>
          <w:rFonts w:ascii="Times New Roman" w:hAnsi="Times New Roman" w:cs="Times New Roman"/>
          <w:sz w:val="24"/>
          <w:szCs w:val="24"/>
        </w:rPr>
        <w:t>,</w:t>
      </w:r>
      <w:r w:rsidR="00AB6F95">
        <w:rPr>
          <w:rFonts w:ascii="Times New Roman" w:hAnsi="Times New Roman" w:cs="Times New Roman"/>
          <w:sz w:val="24"/>
          <w:szCs w:val="24"/>
        </w:rPr>
        <w:t xml:space="preserve"> </w:t>
      </w:r>
      <w:r w:rsidRPr="00A04AB9">
        <w:rPr>
          <w:rFonts w:ascii="Times New Roman" w:hAnsi="Times New Roman" w:cs="Times New Roman"/>
          <w:sz w:val="24"/>
          <w:szCs w:val="24"/>
        </w:rPr>
        <w:t>con diferentes capas de suelo sobre roca para los sectores geotécnicos no-rocosos</w:t>
      </w:r>
      <w:r>
        <w:rPr>
          <w:rFonts w:ascii="Times New Roman" w:hAnsi="Times New Roman" w:cs="Times New Roman"/>
          <w:sz w:val="24"/>
          <w:szCs w:val="24"/>
        </w:rPr>
        <w:t xml:space="preserve"> y</w:t>
      </w:r>
      <w:r w:rsidRPr="00A04AB9">
        <w:rPr>
          <w:rFonts w:ascii="Times New Roman" w:hAnsi="Times New Roman" w:cs="Times New Roman"/>
          <w:sz w:val="24"/>
          <w:szCs w:val="24"/>
        </w:rPr>
        <w:t xml:space="preserve"> un modelo para roca</w:t>
      </w:r>
      <w:r>
        <w:rPr>
          <w:rFonts w:ascii="Times New Roman" w:hAnsi="Times New Roman" w:cs="Times New Roman"/>
          <w:sz w:val="24"/>
          <w:szCs w:val="24"/>
        </w:rPr>
        <w:t>.</w:t>
      </w:r>
      <w:r w:rsidRPr="00A04AB9">
        <w:rPr>
          <w:rFonts w:ascii="Times New Roman" w:hAnsi="Times New Roman" w:cs="Times New Roman"/>
          <w:sz w:val="24"/>
          <w:szCs w:val="24"/>
        </w:rPr>
        <w:t xml:space="preserve"> </w:t>
      </w:r>
    </w:p>
    <w:p w14:paraId="3A6052EF" w14:textId="5E1E21B9" w:rsidR="00A04AB9" w:rsidRPr="009C14EB" w:rsidRDefault="00A04AB9" w:rsidP="00A04AB9">
      <w:pPr>
        <w:spacing w:after="0" w:line="360" w:lineRule="auto"/>
        <w:jc w:val="center"/>
      </w:pPr>
      <w:r>
        <w:rPr>
          <w:noProof/>
          <w:lang w:val="es-MX" w:eastAsia="es-MX"/>
        </w:rPr>
        <w:drawing>
          <wp:inline distT="0" distB="0" distL="0" distR="0" wp14:anchorId="0F3C40DD" wp14:editId="462D979C">
            <wp:extent cx="4810125" cy="3072765"/>
            <wp:effectExtent l="0" t="0" r="9525" b="0"/>
            <wp:docPr id="309610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3072765"/>
                    </a:xfrm>
                    <a:prstGeom prst="rect">
                      <a:avLst/>
                    </a:prstGeom>
                    <a:noFill/>
                  </pic:spPr>
                </pic:pic>
              </a:graphicData>
            </a:graphic>
          </wp:inline>
        </w:drawing>
      </w:r>
    </w:p>
    <w:p w14:paraId="3CB94C80" w14:textId="5CB14F36" w:rsidR="00667F10" w:rsidRPr="00FF3346" w:rsidRDefault="00667F10" w:rsidP="00FF3346">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1. </w:t>
      </w:r>
      <w:r w:rsidR="00A04AB9" w:rsidRPr="00A04AB9">
        <w:rPr>
          <w:rFonts w:ascii="Times New Roman" w:hAnsi="Times New Roman" w:cs="Times New Roman"/>
          <w:sz w:val="20"/>
        </w:rPr>
        <w:t>Distribución espacial de sectores geotécnicos donde son aplicados los 37 modelos geotécnicos. Mod11 y Mod15, son ejemplos de modelos estratigráficos</w:t>
      </w:r>
      <w:r w:rsidR="006271E4">
        <w:rPr>
          <w:rFonts w:ascii="Times New Roman" w:hAnsi="Times New Roman" w:cs="Times New Roman"/>
          <w:color w:val="000000" w:themeColor="text1"/>
          <w:sz w:val="20"/>
        </w:rPr>
        <w:t>.</w:t>
      </w:r>
      <w:r w:rsidR="00A04AB9">
        <w:rPr>
          <w:rFonts w:ascii="Times New Roman" w:hAnsi="Times New Roman" w:cs="Times New Roman"/>
          <w:color w:val="000000" w:themeColor="text1"/>
          <w:sz w:val="20"/>
        </w:rPr>
        <w:t xml:space="preserve"> Fuente: Autor.</w:t>
      </w:r>
    </w:p>
    <w:p w14:paraId="2BB89428" w14:textId="6FAAA172" w:rsidR="00FF3346" w:rsidRDefault="00E002C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E002C4">
        <w:rPr>
          <w:rFonts w:ascii="Times New Roman" w:hAnsi="Times New Roman" w:cs="Times New Roman"/>
          <w:sz w:val="24"/>
          <w:szCs w:val="24"/>
        </w:rPr>
        <w:t xml:space="preserve">ara cada modelo geotécnico fue obtenido un conjunto de FA dependiendo del número de combinaciones de las propiedades del material y del intervalo de movimiento del </w:t>
      </w:r>
      <w:r w:rsidRPr="00E002C4">
        <w:rPr>
          <w:rFonts w:ascii="Times New Roman" w:hAnsi="Times New Roman" w:cs="Times New Roman"/>
          <w:sz w:val="24"/>
          <w:szCs w:val="24"/>
        </w:rPr>
        <w:lastRenderedPageBreak/>
        <w:t>terreno, a partir de esto, se derivó un valor medio con la desviación estándar relacionada.</w:t>
      </w:r>
    </w:p>
    <w:p w14:paraId="2C5774F0" w14:textId="603DEA3C" w:rsidR="00E002C4" w:rsidRDefault="00E002C4" w:rsidP="00FF3346">
      <w:pPr>
        <w:spacing w:after="0" w:line="360" w:lineRule="auto"/>
        <w:jc w:val="both"/>
        <w:rPr>
          <w:rFonts w:ascii="Times New Roman" w:hAnsi="Times New Roman" w:cs="Times New Roman"/>
          <w:sz w:val="24"/>
          <w:szCs w:val="24"/>
        </w:rPr>
      </w:pPr>
      <w:r w:rsidRPr="00E002C4">
        <w:rPr>
          <w:rFonts w:ascii="Times New Roman" w:hAnsi="Times New Roman" w:cs="Times New Roman"/>
          <w:sz w:val="24"/>
          <w:szCs w:val="24"/>
        </w:rPr>
        <w:t>La figura 2 muestra los resultados calculados para toda la región de estudio, obtenidos a partir de la modelación 1D en términos de FA detallados (FA</w:t>
      </w:r>
      <w:r w:rsidRPr="00027396">
        <w:rPr>
          <w:rFonts w:ascii="Times New Roman" w:hAnsi="Times New Roman" w:cs="Times New Roman"/>
          <w:sz w:val="24"/>
          <w:szCs w:val="24"/>
          <w:vertAlign w:val="subscript"/>
        </w:rPr>
        <w:t>3</w:t>
      </w:r>
      <w:r w:rsidRPr="00E002C4">
        <w:rPr>
          <w:rFonts w:ascii="Times New Roman" w:hAnsi="Times New Roman" w:cs="Times New Roman"/>
          <w:sz w:val="24"/>
          <w:szCs w:val="24"/>
        </w:rPr>
        <w:t>, figura 2a), desviación estándar relacionada (DS, figura 2b) y FA categorizados de acuerdo con las clases NEHRP</w:t>
      </w:r>
      <w:r w:rsidRPr="00E002C4">
        <w:t xml:space="preserve"> </w:t>
      </w:r>
      <w:r>
        <w:t xml:space="preserve">y </w:t>
      </w:r>
      <w:r w:rsidRPr="00E002C4">
        <w:rPr>
          <w:rFonts w:ascii="Times New Roman" w:hAnsi="Times New Roman" w:cs="Times New Roman"/>
          <w:sz w:val="24"/>
          <w:szCs w:val="24"/>
        </w:rPr>
        <w:t>NC 46:2017</w:t>
      </w:r>
      <w:r>
        <w:rPr>
          <w:rFonts w:ascii="Times New Roman" w:hAnsi="Times New Roman" w:cs="Times New Roman"/>
          <w:sz w:val="24"/>
          <w:szCs w:val="24"/>
        </w:rPr>
        <w:t xml:space="preserve"> </w:t>
      </w:r>
      <w:r w:rsidRPr="00E002C4">
        <w:rPr>
          <w:rFonts w:ascii="Times New Roman" w:hAnsi="Times New Roman" w:cs="Times New Roman"/>
          <w:sz w:val="24"/>
          <w:szCs w:val="24"/>
        </w:rPr>
        <w:t>(figura 2c)</w:t>
      </w:r>
      <w:r>
        <w:rPr>
          <w:rFonts w:ascii="Times New Roman" w:hAnsi="Times New Roman" w:cs="Times New Roman"/>
          <w:sz w:val="24"/>
          <w:szCs w:val="24"/>
        </w:rPr>
        <w:t>.</w:t>
      </w:r>
    </w:p>
    <w:p w14:paraId="149D8261" w14:textId="77777777" w:rsidR="00757680" w:rsidRDefault="00757680" w:rsidP="0075768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7432CC51" wp14:editId="5BD5294C">
            <wp:extent cx="3552825" cy="5719764"/>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308" cy="5738251"/>
                    </a:xfrm>
                    <a:prstGeom prst="rect">
                      <a:avLst/>
                    </a:prstGeom>
                    <a:noFill/>
                  </pic:spPr>
                </pic:pic>
              </a:graphicData>
            </a:graphic>
          </wp:inline>
        </w:drawing>
      </w:r>
    </w:p>
    <w:p w14:paraId="799F6D58" w14:textId="39A2865D" w:rsidR="00757680" w:rsidRDefault="00757680" w:rsidP="00757680">
      <w:pPr>
        <w:spacing w:after="0" w:line="360" w:lineRule="auto"/>
        <w:jc w:val="center"/>
        <w:rPr>
          <w:rFonts w:ascii="Times New Roman" w:hAnsi="Times New Roman" w:cs="Times New Roman"/>
          <w:sz w:val="24"/>
          <w:szCs w:val="24"/>
        </w:rPr>
      </w:pPr>
      <w:r w:rsidRPr="00FF3346">
        <w:rPr>
          <w:rFonts w:ascii="Times New Roman" w:hAnsi="Times New Roman" w:cs="Times New Roman"/>
          <w:sz w:val="20"/>
        </w:rPr>
        <w:t xml:space="preserve">Figura </w:t>
      </w:r>
      <w:r>
        <w:rPr>
          <w:rFonts w:ascii="Times New Roman" w:hAnsi="Times New Roman" w:cs="Times New Roman"/>
          <w:sz w:val="20"/>
        </w:rPr>
        <w:t>2</w:t>
      </w:r>
      <w:r w:rsidRPr="00FF3346">
        <w:rPr>
          <w:rFonts w:ascii="Times New Roman" w:hAnsi="Times New Roman" w:cs="Times New Roman"/>
          <w:sz w:val="20"/>
        </w:rPr>
        <w:t xml:space="preserve">. </w:t>
      </w:r>
      <w:r w:rsidRPr="00E002C4">
        <w:rPr>
          <w:rFonts w:ascii="Times New Roman" w:hAnsi="Times New Roman" w:cs="Times New Roman"/>
          <w:sz w:val="20"/>
        </w:rPr>
        <w:t>FA obtenidos de la modelación 1D en la región oriental: a) calculo FA</w:t>
      </w:r>
      <w:r w:rsidRPr="00027396">
        <w:rPr>
          <w:rFonts w:ascii="Times New Roman" w:hAnsi="Times New Roman" w:cs="Times New Roman"/>
          <w:sz w:val="20"/>
          <w:vertAlign w:val="subscript"/>
        </w:rPr>
        <w:t>3</w:t>
      </w:r>
      <w:r w:rsidRPr="00E002C4">
        <w:rPr>
          <w:rFonts w:ascii="Times New Roman" w:hAnsi="Times New Roman" w:cs="Times New Roman"/>
          <w:sz w:val="20"/>
        </w:rPr>
        <w:t>; b) Desviación estándar; c) FA</w:t>
      </w:r>
      <w:r w:rsidRPr="00027396">
        <w:rPr>
          <w:rFonts w:ascii="Times New Roman" w:hAnsi="Times New Roman" w:cs="Times New Roman"/>
          <w:sz w:val="20"/>
          <w:vertAlign w:val="subscript"/>
        </w:rPr>
        <w:t>3</w:t>
      </w:r>
      <w:r w:rsidRPr="00E002C4">
        <w:rPr>
          <w:rFonts w:ascii="Times New Roman" w:hAnsi="Times New Roman" w:cs="Times New Roman"/>
          <w:sz w:val="20"/>
        </w:rPr>
        <w:t xml:space="preserve"> expresado de acuerdo con las clases de suelo NEHRP y NC 46:2017.</w:t>
      </w:r>
      <w:r>
        <w:rPr>
          <w:rFonts w:ascii="Times New Roman" w:hAnsi="Times New Roman" w:cs="Times New Roman"/>
          <w:sz w:val="20"/>
        </w:rPr>
        <w:t xml:space="preserve"> Fuente: autor.</w:t>
      </w:r>
    </w:p>
    <w:p w14:paraId="4704BB6F" w14:textId="32C892F0" w:rsidR="00E002C4" w:rsidRPr="00E002C4" w:rsidRDefault="00E002C4" w:rsidP="00E002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E002C4">
        <w:rPr>
          <w:rFonts w:ascii="Times New Roman" w:hAnsi="Times New Roman" w:cs="Times New Roman"/>
          <w:sz w:val="24"/>
          <w:szCs w:val="24"/>
        </w:rPr>
        <w:t xml:space="preserve">odemos decir que la región de estudio se caracteriza por amplias áreas sin amplificación (áreas azul oscuro en figura 2a), correspondiendo con clase B, según </w:t>
      </w:r>
      <w:r w:rsidRPr="00E002C4">
        <w:rPr>
          <w:rFonts w:ascii="Times New Roman" w:hAnsi="Times New Roman" w:cs="Times New Roman"/>
          <w:sz w:val="24"/>
          <w:szCs w:val="24"/>
        </w:rPr>
        <w:lastRenderedPageBreak/>
        <w:t>NEHRP (áreas azul claro en figura 2c), con un ancho cinturón central de gran amplificación (FA</w:t>
      </w:r>
      <w:r w:rsidRPr="00027396">
        <w:rPr>
          <w:rFonts w:ascii="Times New Roman" w:hAnsi="Times New Roman" w:cs="Times New Roman"/>
          <w:sz w:val="24"/>
          <w:szCs w:val="24"/>
          <w:vertAlign w:val="subscript"/>
        </w:rPr>
        <w:t>3</w:t>
      </w:r>
      <w:r w:rsidRPr="00E002C4">
        <w:rPr>
          <w:rFonts w:ascii="Times New Roman" w:hAnsi="Times New Roman" w:cs="Times New Roman"/>
          <w:sz w:val="24"/>
          <w:szCs w:val="24"/>
        </w:rPr>
        <w:t xml:space="preserve">&gt;2.0, figura 2a), correspondiendo con clase E según NEHRP (áreas amarillas, en figura 2c).  </w:t>
      </w:r>
    </w:p>
    <w:p w14:paraId="1B9767A5" w14:textId="64167D5A" w:rsidR="00E002C4" w:rsidRDefault="00E002C4" w:rsidP="00E002C4">
      <w:pPr>
        <w:spacing w:after="0" w:line="360" w:lineRule="auto"/>
        <w:jc w:val="both"/>
        <w:rPr>
          <w:rFonts w:ascii="Times New Roman" w:hAnsi="Times New Roman" w:cs="Times New Roman"/>
          <w:sz w:val="24"/>
          <w:szCs w:val="24"/>
        </w:rPr>
      </w:pPr>
      <w:r w:rsidRPr="00E002C4">
        <w:rPr>
          <w:rFonts w:ascii="Times New Roman" w:hAnsi="Times New Roman" w:cs="Times New Roman"/>
          <w:sz w:val="24"/>
          <w:szCs w:val="24"/>
        </w:rPr>
        <w:t>Considerando más detalles, al sur oriental (montañas de la Sierra Maestra), existe una amplia porción rocosa caracterizada por no tener amplificación, así como la mayor parte del territorio localizado al este de Guantánamo (Maisí), y a lo largo de la costa de la bahía de Nipe. La Cuenca del Cauto y casi toda la región entre Bayamo y Guantánamo es caracterizada por gran amplificación (FA</w:t>
      </w:r>
      <w:r w:rsidRPr="00027396">
        <w:rPr>
          <w:rFonts w:ascii="Times New Roman" w:hAnsi="Times New Roman" w:cs="Times New Roman"/>
          <w:sz w:val="24"/>
          <w:szCs w:val="24"/>
          <w:vertAlign w:val="subscript"/>
        </w:rPr>
        <w:t>3</w:t>
      </w:r>
      <w:r w:rsidRPr="00E002C4">
        <w:rPr>
          <w:rFonts w:ascii="Times New Roman" w:hAnsi="Times New Roman" w:cs="Times New Roman"/>
          <w:sz w:val="24"/>
          <w:szCs w:val="24"/>
        </w:rPr>
        <w:t xml:space="preserve"> entre 2.25 y 2.5, figura</w:t>
      </w:r>
      <w:r w:rsidR="00E45A12">
        <w:rPr>
          <w:rFonts w:ascii="Times New Roman" w:hAnsi="Times New Roman" w:cs="Times New Roman"/>
          <w:sz w:val="24"/>
          <w:szCs w:val="24"/>
        </w:rPr>
        <w:t xml:space="preserve"> </w:t>
      </w:r>
      <w:r w:rsidRPr="00E002C4">
        <w:rPr>
          <w:rFonts w:ascii="Times New Roman" w:hAnsi="Times New Roman" w:cs="Times New Roman"/>
          <w:sz w:val="24"/>
          <w:szCs w:val="24"/>
        </w:rPr>
        <w:t>2a), correspondiendo con clase E, según NEHRP (áreas amarillas en figura 3.2c), con valores un poco menores (FA</w:t>
      </w:r>
      <w:r w:rsidRPr="00027396">
        <w:rPr>
          <w:rFonts w:ascii="Times New Roman" w:hAnsi="Times New Roman" w:cs="Times New Roman"/>
          <w:sz w:val="24"/>
          <w:szCs w:val="24"/>
          <w:vertAlign w:val="subscript"/>
        </w:rPr>
        <w:t>3</w:t>
      </w:r>
      <w:r w:rsidRPr="00E002C4">
        <w:rPr>
          <w:rFonts w:ascii="Times New Roman" w:hAnsi="Times New Roman" w:cs="Times New Roman"/>
          <w:sz w:val="24"/>
          <w:szCs w:val="24"/>
        </w:rPr>
        <w:t xml:space="preserve"> entre 1.5 y 2.0, figura 2a) solo a lo largo de una franja irregular al sur de Holguín (sector naranja en figura 2c).  </w:t>
      </w:r>
    </w:p>
    <w:p w14:paraId="5A6434C8" w14:textId="77777777" w:rsidR="00E002C4" w:rsidRPr="00E002C4" w:rsidRDefault="00E002C4" w:rsidP="00E002C4">
      <w:pPr>
        <w:spacing w:after="0" w:line="360" w:lineRule="auto"/>
        <w:jc w:val="both"/>
        <w:rPr>
          <w:rFonts w:ascii="Times New Roman" w:hAnsi="Times New Roman" w:cs="Times New Roman"/>
          <w:sz w:val="24"/>
          <w:szCs w:val="24"/>
        </w:rPr>
      </w:pPr>
      <w:r w:rsidRPr="00E002C4">
        <w:rPr>
          <w:rFonts w:ascii="Times New Roman" w:hAnsi="Times New Roman" w:cs="Times New Roman"/>
          <w:sz w:val="24"/>
          <w:szCs w:val="24"/>
        </w:rPr>
        <w:t>Las mayores amplificaciones (FA</w:t>
      </w:r>
      <w:r w:rsidRPr="00027396">
        <w:rPr>
          <w:rFonts w:ascii="Times New Roman" w:hAnsi="Times New Roman" w:cs="Times New Roman"/>
          <w:sz w:val="24"/>
          <w:szCs w:val="24"/>
          <w:vertAlign w:val="subscript"/>
        </w:rPr>
        <w:t>3</w:t>
      </w:r>
      <w:r w:rsidRPr="00E002C4">
        <w:rPr>
          <w:rFonts w:ascii="Times New Roman" w:hAnsi="Times New Roman" w:cs="Times New Roman"/>
          <w:sz w:val="24"/>
          <w:szCs w:val="24"/>
        </w:rPr>
        <w:t xml:space="preserve">&gt;2.5, figura 3.2a) se refieren a la franja costera occidental del Golfo de Guacanayabo, en unos pocos puntos de dimensión limitada a lo largo de la costa de la bahía de Nipe, y alrededor de la bahía de Guantánamo. El territorio al norte de Holguín se caracteriza por una peculiar alternancia de áreas limitadas de no y grandes amplificaciones (mosaicos en color azul claro y oscuro, figura 3.2a). Es significativo observar que los FA=1.0 fueron atribuidas a las regiones donde afloran las rocas consideradas del basamento. </w:t>
      </w:r>
    </w:p>
    <w:p w14:paraId="16CDB693" w14:textId="66D804F3" w:rsidR="00E002C4" w:rsidRDefault="00E002C4" w:rsidP="00E002C4">
      <w:pPr>
        <w:spacing w:after="0" w:line="360" w:lineRule="auto"/>
        <w:jc w:val="both"/>
        <w:rPr>
          <w:rFonts w:ascii="Times New Roman" w:hAnsi="Times New Roman" w:cs="Times New Roman"/>
          <w:sz w:val="24"/>
          <w:szCs w:val="24"/>
        </w:rPr>
      </w:pPr>
      <w:r w:rsidRPr="00E002C4">
        <w:rPr>
          <w:rFonts w:ascii="Times New Roman" w:hAnsi="Times New Roman" w:cs="Times New Roman"/>
          <w:sz w:val="24"/>
          <w:szCs w:val="24"/>
        </w:rPr>
        <w:t>Las DS relacionadas a los FA calculados ofrecen una estimación cuantitativa de la precisión de los resultados obtenidos. Se puede observar en la figura 3.2b, que más de la mitad de la región investigada se caracteriza por DS&lt;0.1, refiriéndose a los sectores rocosos de la Sierra Maestra y Maisí. La región alrededor de Holguín y la parte más oriental de la isla, con excepción del área de Guantánamo, muestran una DS&lt;0.1. Las únicas áreas notables con DS&gt;0.2 se refieren a una porción limitada de la Cuenca del Cauto y pequeños puntos alrededor de la bahía de Guantánamo.</w:t>
      </w:r>
    </w:p>
    <w:p w14:paraId="00329D3C" w14:textId="77777777" w:rsidR="00E002C4" w:rsidRPr="00E002C4" w:rsidRDefault="00E002C4" w:rsidP="00E002C4">
      <w:pPr>
        <w:spacing w:after="0" w:line="360" w:lineRule="auto"/>
        <w:jc w:val="both"/>
        <w:rPr>
          <w:rFonts w:ascii="Times New Roman" w:hAnsi="Times New Roman" w:cs="Times New Roman"/>
          <w:b/>
          <w:sz w:val="24"/>
          <w:szCs w:val="24"/>
        </w:rPr>
      </w:pPr>
      <w:r w:rsidRPr="00E002C4">
        <w:rPr>
          <w:rFonts w:ascii="Times New Roman" w:hAnsi="Times New Roman" w:cs="Times New Roman"/>
          <w:b/>
          <w:sz w:val="24"/>
          <w:szCs w:val="24"/>
        </w:rPr>
        <w:t xml:space="preserve">Comparación entre los FA locales y los de códigos de construcción </w:t>
      </w:r>
    </w:p>
    <w:p w14:paraId="32BAFD1C" w14:textId="77777777" w:rsidR="00757680" w:rsidRDefault="00E002C4" w:rsidP="00E002C4">
      <w:pPr>
        <w:spacing w:after="0" w:line="360" w:lineRule="auto"/>
        <w:jc w:val="both"/>
        <w:rPr>
          <w:rFonts w:ascii="Times New Roman" w:hAnsi="Times New Roman" w:cs="Times New Roman"/>
          <w:bCs/>
          <w:sz w:val="24"/>
          <w:szCs w:val="24"/>
        </w:rPr>
      </w:pPr>
      <w:r w:rsidRPr="00E002C4">
        <w:rPr>
          <w:rFonts w:ascii="Times New Roman" w:hAnsi="Times New Roman" w:cs="Times New Roman"/>
          <w:bCs/>
          <w:sz w:val="24"/>
          <w:szCs w:val="24"/>
        </w:rPr>
        <w:t>El mapa de FA basado en la geología superficial (FA</w:t>
      </w:r>
      <w:r w:rsidRPr="00027396">
        <w:rPr>
          <w:rFonts w:ascii="Times New Roman" w:hAnsi="Times New Roman" w:cs="Times New Roman"/>
          <w:bCs/>
          <w:sz w:val="24"/>
          <w:szCs w:val="24"/>
          <w:vertAlign w:val="subscript"/>
        </w:rPr>
        <w:t>1</w:t>
      </w:r>
      <w:r w:rsidRPr="00E002C4">
        <w:rPr>
          <w:rFonts w:ascii="Times New Roman" w:hAnsi="Times New Roman" w:cs="Times New Roman"/>
          <w:bCs/>
          <w:sz w:val="24"/>
          <w:szCs w:val="24"/>
        </w:rPr>
        <w:t>, figura 3a), es similar al de FA basado en los estimados de Vs</w:t>
      </w:r>
      <w:r w:rsidRPr="00027396">
        <w:rPr>
          <w:rFonts w:ascii="Times New Roman" w:hAnsi="Times New Roman" w:cs="Times New Roman"/>
          <w:bCs/>
          <w:sz w:val="24"/>
          <w:szCs w:val="24"/>
          <w:vertAlign w:val="subscript"/>
        </w:rPr>
        <w:t>30</w:t>
      </w:r>
      <w:r w:rsidRPr="00E002C4">
        <w:rPr>
          <w:rFonts w:ascii="Times New Roman" w:hAnsi="Times New Roman" w:cs="Times New Roman"/>
          <w:bCs/>
          <w:sz w:val="24"/>
          <w:szCs w:val="24"/>
        </w:rPr>
        <w:t xml:space="preserve"> (FA</w:t>
      </w:r>
      <w:r w:rsidRPr="00027396">
        <w:rPr>
          <w:rFonts w:ascii="Times New Roman" w:hAnsi="Times New Roman" w:cs="Times New Roman"/>
          <w:bCs/>
          <w:sz w:val="24"/>
          <w:szCs w:val="24"/>
          <w:vertAlign w:val="subscript"/>
        </w:rPr>
        <w:t>2</w:t>
      </w:r>
      <w:r w:rsidRPr="00E002C4">
        <w:rPr>
          <w:rFonts w:ascii="Times New Roman" w:hAnsi="Times New Roman" w:cs="Times New Roman"/>
          <w:bCs/>
          <w:sz w:val="24"/>
          <w:szCs w:val="24"/>
        </w:rPr>
        <w:t xml:space="preserve">, figura 3b) pero menos detallado en algunas porciones (debido a la diferencia entre los sectores geológicos y geotécnicos). </w:t>
      </w:r>
    </w:p>
    <w:p w14:paraId="698B7FCB" w14:textId="4A8CF622" w:rsidR="00E002C4" w:rsidRPr="00E002C4" w:rsidRDefault="00E002C4" w:rsidP="00E002C4">
      <w:pPr>
        <w:spacing w:after="0" w:line="360" w:lineRule="auto"/>
        <w:jc w:val="both"/>
        <w:rPr>
          <w:rFonts w:ascii="Times New Roman" w:hAnsi="Times New Roman" w:cs="Times New Roman"/>
          <w:bCs/>
          <w:sz w:val="24"/>
          <w:szCs w:val="24"/>
        </w:rPr>
      </w:pPr>
      <w:r w:rsidRPr="00E002C4">
        <w:rPr>
          <w:rFonts w:ascii="Times New Roman" w:hAnsi="Times New Roman" w:cs="Times New Roman"/>
          <w:bCs/>
          <w:sz w:val="24"/>
          <w:szCs w:val="24"/>
        </w:rPr>
        <w:t>En particular, el mapa basado en la geología de superficie muestra mayor área de altas amplificaciones (área amarilla en figura 3a) para el sector más occidental de la Cuenca del Cauto y para algunos puntos pequeños, nuevamente con un FA</w:t>
      </w:r>
      <w:r w:rsidRPr="00027396">
        <w:rPr>
          <w:rFonts w:ascii="Times New Roman" w:hAnsi="Times New Roman" w:cs="Times New Roman"/>
          <w:bCs/>
          <w:sz w:val="24"/>
          <w:szCs w:val="24"/>
          <w:vertAlign w:val="subscript"/>
        </w:rPr>
        <w:t>1</w:t>
      </w:r>
      <w:r w:rsidRPr="00E002C4">
        <w:rPr>
          <w:rFonts w:ascii="Times New Roman" w:hAnsi="Times New Roman" w:cs="Times New Roman"/>
          <w:bCs/>
          <w:sz w:val="24"/>
          <w:szCs w:val="24"/>
        </w:rPr>
        <w:t xml:space="preserve">=2.5, principalmente </w:t>
      </w:r>
      <w:r w:rsidRPr="00E002C4">
        <w:rPr>
          <w:rFonts w:ascii="Times New Roman" w:hAnsi="Times New Roman" w:cs="Times New Roman"/>
          <w:bCs/>
          <w:sz w:val="24"/>
          <w:szCs w:val="24"/>
        </w:rPr>
        <w:lastRenderedPageBreak/>
        <w:t>a lo largo de la línea de costa. Por el contrario, la región al este de Holguín es caracterizada por una amplificación menor (área verde con FA</w:t>
      </w:r>
      <w:r w:rsidRPr="007A68C6">
        <w:rPr>
          <w:rFonts w:ascii="Times New Roman" w:hAnsi="Times New Roman" w:cs="Times New Roman"/>
          <w:bCs/>
          <w:sz w:val="24"/>
          <w:szCs w:val="24"/>
          <w:vertAlign w:val="subscript"/>
        </w:rPr>
        <w:t>1</w:t>
      </w:r>
      <w:r w:rsidRPr="00E002C4">
        <w:rPr>
          <w:rFonts w:ascii="Times New Roman" w:hAnsi="Times New Roman" w:cs="Times New Roman"/>
          <w:bCs/>
          <w:sz w:val="24"/>
          <w:szCs w:val="24"/>
        </w:rPr>
        <w:t>=1.2, figura 3a), que en los estimados de Vs</w:t>
      </w:r>
      <w:r w:rsidRPr="00027396">
        <w:rPr>
          <w:rFonts w:ascii="Times New Roman" w:hAnsi="Times New Roman" w:cs="Times New Roman"/>
          <w:bCs/>
          <w:sz w:val="24"/>
          <w:szCs w:val="24"/>
          <w:vertAlign w:val="subscript"/>
        </w:rPr>
        <w:t>30</w:t>
      </w:r>
      <w:r w:rsidRPr="00E002C4">
        <w:rPr>
          <w:rFonts w:ascii="Times New Roman" w:hAnsi="Times New Roman" w:cs="Times New Roman"/>
          <w:bCs/>
          <w:sz w:val="24"/>
          <w:szCs w:val="24"/>
        </w:rPr>
        <w:t xml:space="preserve"> (FA</w:t>
      </w:r>
      <w:r w:rsidRPr="00027396">
        <w:rPr>
          <w:rFonts w:ascii="Times New Roman" w:hAnsi="Times New Roman" w:cs="Times New Roman"/>
          <w:bCs/>
          <w:sz w:val="24"/>
          <w:szCs w:val="24"/>
          <w:vertAlign w:val="subscript"/>
        </w:rPr>
        <w:t>2</w:t>
      </w:r>
      <w:r w:rsidRPr="00E002C4">
        <w:rPr>
          <w:rFonts w:ascii="Times New Roman" w:hAnsi="Times New Roman" w:cs="Times New Roman"/>
          <w:bCs/>
          <w:sz w:val="24"/>
          <w:szCs w:val="24"/>
        </w:rPr>
        <w:t>, figura 3b). Una situación similar tiene el área del este de Guantánamo. Esto es debido a la diferente atribución de suelos desde la geología superficial y la Vs</w:t>
      </w:r>
      <w:r w:rsidRPr="00027396">
        <w:rPr>
          <w:rFonts w:ascii="Times New Roman" w:hAnsi="Times New Roman" w:cs="Times New Roman"/>
          <w:bCs/>
          <w:sz w:val="24"/>
          <w:szCs w:val="24"/>
          <w:vertAlign w:val="subscript"/>
        </w:rPr>
        <w:t>30</w:t>
      </w:r>
      <w:r w:rsidRPr="00E002C4">
        <w:rPr>
          <w:rFonts w:ascii="Times New Roman" w:hAnsi="Times New Roman" w:cs="Times New Roman"/>
          <w:bCs/>
          <w:sz w:val="24"/>
          <w:szCs w:val="24"/>
        </w:rPr>
        <w:t xml:space="preserve"> de los perfiles estratigráficos. </w:t>
      </w:r>
    </w:p>
    <w:p w14:paraId="3D88C5EE" w14:textId="77777777" w:rsidR="00757680" w:rsidRPr="00E002C4" w:rsidRDefault="00757680" w:rsidP="00757680">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val="es-MX" w:eastAsia="es-MX"/>
        </w:rPr>
        <w:drawing>
          <wp:inline distT="0" distB="0" distL="0" distR="0" wp14:anchorId="716C5BF0" wp14:editId="651005CA">
            <wp:extent cx="3629025" cy="3904249"/>
            <wp:effectExtent l="0" t="0" r="0" b="127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2824" cy="3908336"/>
                    </a:xfrm>
                    <a:prstGeom prst="rect">
                      <a:avLst/>
                    </a:prstGeom>
                    <a:noFill/>
                  </pic:spPr>
                </pic:pic>
              </a:graphicData>
            </a:graphic>
          </wp:inline>
        </w:drawing>
      </w:r>
    </w:p>
    <w:p w14:paraId="431E032B" w14:textId="0C454B19" w:rsidR="00757680" w:rsidRPr="00757680" w:rsidRDefault="00757680" w:rsidP="00757680">
      <w:pPr>
        <w:spacing w:after="0" w:line="360" w:lineRule="auto"/>
        <w:jc w:val="center"/>
        <w:rPr>
          <w:rFonts w:ascii="Times New Roman" w:hAnsi="Times New Roman" w:cs="Times New Roman"/>
          <w:sz w:val="20"/>
        </w:rPr>
      </w:pPr>
      <w:r w:rsidRPr="00757680">
        <w:rPr>
          <w:rFonts w:ascii="Times New Roman" w:hAnsi="Times New Roman" w:cs="Times New Roman"/>
          <w:sz w:val="20"/>
        </w:rPr>
        <w:t>Figura 3. FA para la región oriental de Cuba acorde con disposiciones del código sismorresistente cubano NC 46:2017 y el código NEHRP (BSSC, 2001): a) FA1 en base a los tipos de suelos derivados de la geología superficial; b) FA2 en base a los tipos de suelos a partir de los valores de Vs30.</w:t>
      </w:r>
      <w:r w:rsidR="00856737">
        <w:rPr>
          <w:rFonts w:ascii="Times New Roman" w:hAnsi="Times New Roman" w:cs="Times New Roman"/>
          <w:sz w:val="20"/>
        </w:rPr>
        <w:t xml:space="preserve"> Fuente: autor.</w:t>
      </w:r>
    </w:p>
    <w:p w14:paraId="27B27FF7" w14:textId="4637CECA" w:rsidR="00E002C4" w:rsidRPr="00E002C4" w:rsidRDefault="00E002C4" w:rsidP="00E002C4">
      <w:pPr>
        <w:spacing w:after="0" w:line="360" w:lineRule="auto"/>
        <w:jc w:val="both"/>
        <w:rPr>
          <w:rFonts w:ascii="Times New Roman" w:hAnsi="Times New Roman" w:cs="Times New Roman"/>
          <w:bCs/>
          <w:sz w:val="24"/>
          <w:szCs w:val="24"/>
        </w:rPr>
      </w:pPr>
      <w:r w:rsidRPr="00E002C4">
        <w:rPr>
          <w:rFonts w:ascii="Times New Roman" w:hAnsi="Times New Roman" w:cs="Times New Roman"/>
          <w:bCs/>
          <w:sz w:val="24"/>
          <w:szCs w:val="24"/>
        </w:rPr>
        <w:t>Al comparar el mapa de Vs</w:t>
      </w:r>
      <w:r w:rsidRPr="00027396">
        <w:rPr>
          <w:rFonts w:ascii="Times New Roman" w:hAnsi="Times New Roman" w:cs="Times New Roman"/>
          <w:bCs/>
          <w:sz w:val="24"/>
          <w:szCs w:val="24"/>
          <w:vertAlign w:val="subscript"/>
        </w:rPr>
        <w:t>30</w:t>
      </w:r>
      <w:r w:rsidRPr="00E002C4">
        <w:rPr>
          <w:rFonts w:ascii="Times New Roman" w:hAnsi="Times New Roman" w:cs="Times New Roman"/>
          <w:bCs/>
          <w:sz w:val="24"/>
          <w:szCs w:val="24"/>
        </w:rPr>
        <w:t xml:space="preserve"> (FA</w:t>
      </w:r>
      <w:r w:rsidRPr="00757680">
        <w:rPr>
          <w:rFonts w:ascii="Times New Roman" w:hAnsi="Times New Roman" w:cs="Times New Roman"/>
          <w:bCs/>
          <w:sz w:val="24"/>
          <w:szCs w:val="24"/>
          <w:vertAlign w:val="subscript"/>
        </w:rPr>
        <w:t>2</w:t>
      </w:r>
      <w:r w:rsidRPr="00E002C4">
        <w:rPr>
          <w:rFonts w:ascii="Times New Roman" w:hAnsi="Times New Roman" w:cs="Times New Roman"/>
          <w:bCs/>
          <w:sz w:val="24"/>
          <w:szCs w:val="24"/>
        </w:rPr>
        <w:t>, figura 3b), con el basado en el modelado 1D (FA</w:t>
      </w:r>
      <w:r w:rsidRPr="00027396">
        <w:rPr>
          <w:rFonts w:ascii="Times New Roman" w:hAnsi="Times New Roman" w:cs="Times New Roman"/>
          <w:bCs/>
          <w:sz w:val="24"/>
          <w:szCs w:val="24"/>
          <w:vertAlign w:val="subscript"/>
        </w:rPr>
        <w:t>3</w:t>
      </w:r>
      <w:r w:rsidRPr="00E002C4">
        <w:rPr>
          <w:rFonts w:ascii="Times New Roman" w:hAnsi="Times New Roman" w:cs="Times New Roman"/>
          <w:bCs/>
          <w:sz w:val="24"/>
          <w:szCs w:val="24"/>
        </w:rPr>
        <w:t>, figura 3c), vemos una amplificación superior en el último mapa para todas las áreas no rocosas, con la diferencia acerca de aproximadamente uno, en el cinturón diagonal viniendo desde la Cuenca del Cauto a la bahía de Guantánamo. En la Cuenca del Cauto, el FA</w:t>
      </w:r>
      <w:r w:rsidRPr="00027396">
        <w:rPr>
          <w:rFonts w:ascii="Times New Roman" w:hAnsi="Times New Roman" w:cs="Times New Roman"/>
          <w:bCs/>
          <w:sz w:val="24"/>
          <w:szCs w:val="24"/>
          <w:vertAlign w:val="subscript"/>
        </w:rPr>
        <w:t>3</w:t>
      </w:r>
      <w:r w:rsidRPr="00E002C4">
        <w:rPr>
          <w:rFonts w:ascii="Times New Roman" w:hAnsi="Times New Roman" w:cs="Times New Roman"/>
          <w:bCs/>
          <w:sz w:val="24"/>
          <w:szCs w:val="24"/>
        </w:rPr>
        <w:t xml:space="preserve"> calculado (figura 3c) referido a la clase E, NEHRP (actualmente un poco más de 2.0), mientras que siempre por las disposiciones NEHRP es solo 1.6, refiriéndose a tipo de suelo D (figura 3b).  </w:t>
      </w:r>
    </w:p>
    <w:p w14:paraId="05E3EBD1" w14:textId="77777777" w:rsidR="00E002C4" w:rsidRPr="00E002C4" w:rsidRDefault="00E002C4" w:rsidP="00E002C4">
      <w:pPr>
        <w:spacing w:after="0" w:line="360" w:lineRule="auto"/>
        <w:jc w:val="both"/>
        <w:rPr>
          <w:rFonts w:ascii="Times New Roman" w:hAnsi="Times New Roman" w:cs="Times New Roman"/>
          <w:bCs/>
          <w:sz w:val="24"/>
          <w:szCs w:val="24"/>
        </w:rPr>
      </w:pPr>
      <w:r w:rsidRPr="00E002C4">
        <w:rPr>
          <w:rFonts w:ascii="Times New Roman" w:hAnsi="Times New Roman" w:cs="Times New Roman"/>
          <w:bCs/>
          <w:sz w:val="24"/>
          <w:szCs w:val="24"/>
        </w:rPr>
        <w:t xml:space="preserve">Interpretamos esta diferencia en el hecho de que, la modelación 1D tiene en cuenta otros </w:t>
      </w:r>
    </w:p>
    <w:p w14:paraId="13DA768A" w14:textId="77777777" w:rsidR="00E002C4" w:rsidRPr="00E002C4" w:rsidRDefault="00E002C4" w:rsidP="00E002C4">
      <w:pPr>
        <w:spacing w:after="0" w:line="360" w:lineRule="auto"/>
        <w:jc w:val="both"/>
        <w:rPr>
          <w:rFonts w:ascii="Times New Roman" w:hAnsi="Times New Roman" w:cs="Times New Roman"/>
          <w:bCs/>
          <w:sz w:val="24"/>
          <w:szCs w:val="24"/>
        </w:rPr>
      </w:pPr>
      <w:r w:rsidRPr="00E002C4">
        <w:rPr>
          <w:rFonts w:ascii="Times New Roman" w:hAnsi="Times New Roman" w:cs="Times New Roman"/>
          <w:bCs/>
          <w:sz w:val="24"/>
          <w:szCs w:val="24"/>
        </w:rPr>
        <w:lastRenderedPageBreak/>
        <w:t>parámetros del suelo que la Vs</w:t>
      </w:r>
      <w:r w:rsidRPr="00027396">
        <w:rPr>
          <w:rFonts w:ascii="Times New Roman" w:hAnsi="Times New Roman" w:cs="Times New Roman"/>
          <w:bCs/>
          <w:sz w:val="24"/>
          <w:szCs w:val="24"/>
          <w:vertAlign w:val="subscript"/>
        </w:rPr>
        <w:t>30</w:t>
      </w:r>
      <w:r w:rsidRPr="00E002C4">
        <w:rPr>
          <w:rFonts w:ascii="Times New Roman" w:hAnsi="Times New Roman" w:cs="Times New Roman"/>
          <w:bCs/>
          <w:sz w:val="24"/>
          <w:szCs w:val="24"/>
        </w:rPr>
        <w:t xml:space="preserve">, incluyendo la sección estratigráfica completa desde la superficie hasta basamento, los espesores de las diferentes capas con sus respectivos valores de peso específico y velocidad, las curvas de degradación de cada material, y la curva de UHRS específica para cada sitio. Además, son tenidas en cuenta algunas de las incertidumbres implicadas en la modelación 1D.  </w:t>
      </w:r>
    </w:p>
    <w:p w14:paraId="2869E61C" w14:textId="0AEA7AAF" w:rsidR="00E002C4" w:rsidRDefault="00E002C4" w:rsidP="00E002C4">
      <w:pPr>
        <w:spacing w:after="0" w:line="360" w:lineRule="auto"/>
        <w:jc w:val="both"/>
        <w:rPr>
          <w:rFonts w:ascii="Times New Roman" w:hAnsi="Times New Roman" w:cs="Times New Roman"/>
          <w:b/>
          <w:sz w:val="24"/>
          <w:szCs w:val="24"/>
        </w:rPr>
      </w:pPr>
      <w:r w:rsidRPr="00E002C4">
        <w:rPr>
          <w:rFonts w:ascii="Times New Roman" w:hAnsi="Times New Roman" w:cs="Times New Roman"/>
          <w:bCs/>
          <w:sz w:val="24"/>
          <w:szCs w:val="24"/>
        </w:rPr>
        <w:t>Estas características, sugieren que los FA de los códigos de construcción vigentes deberían ser reconsiderados y, quizás, revisados, al menos en el sureste de Cuba.</w:t>
      </w:r>
    </w:p>
    <w:p w14:paraId="01E9D652" w14:textId="0BAE27E9" w:rsidR="001739E0" w:rsidRPr="00C81903" w:rsidRDefault="001739E0" w:rsidP="00FF3346">
      <w:pPr>
        <w:spacing w:after="0" w:line="360" w:lineRule="auto"/>
        <w:jc w:val="both"/>
        <w:rPr>
          <w:rFonts w:ascii="Times New Roman" w:hAnsi="Times New Roman" w:cs="Times New Roman"/>
          <w:b/>
          <w:sz w:val="24"/>
          <w:szCs w:val="24"/>
        </w:rPr>
      </w:pPr>
      <w:r w:rsidRPr="00C81903">
        <w:rPr>
          <w:rFonts w:ascii="Times New Roman" w:hAnsi="Times New Roman" w:cs="Times New Roman"/>
          <w:b/>
          <w:sz w:val="24"/>
          <w:szCs w:val="24"/>
        </w:rPr>
        <w:t>Sismos ocurridos el 10 de noviembre del 2024</w:t>
      </w:r>
      <w:r w:rsidR="00CA7299" w:rsidRPr="00C81903">
        <w:rPr>
          <w:rFonts w:ascii="Times New Roman" w:hAnsi="Times New Roman" w:cs="Times New Roman"/>
          <w:b/>
          <w:sz w:val="24"/>
          <w:szCs w:val="24"/>
        </w:rPr>
        <w:t xml:space="preserve">. </w:t>
      </w:r>
      <w:r w:rsidR="00C81903" w:rsidRPr="00C81903">
        <w:rPr>
          <w:rFonts w:ascii="Times New Roman" w:hAnsi="Times New Roman" w:cs="Times New Roman"/>
          <w:b/>
          <w:sz w:val="24"/>
          <w:szCs w:val="24"/>
        </w:rPr>
        <w:t>Identificación de</w:t>
      </w:r>
      <w:r w:rsidR="00CA7299" w:rsidRPr="00C81903">
        <w:rPr>
          <w:rFonts w:ascii="Times New Roman" w:hAnsi="Times New Roman" w:cs="Times New Roman"/>
          <w:b/>
          <w:sz w:val="24"/>
          <w:szCs w:val="24"/>
        </w:rPr>
        <w:t xml:space="preserve"> daños</w:t>
      </w:r>
    </w:p>
    <w:p w14:paraId="69044F4D" w14:textId="3E4E51ED" w:rsidR="001739E0" w:rsidRPr="00C81903" w:rsidRDefault="001739E0" w:rsidP="00FF3346">
      <w:pPr>
        <w:spacing w:after="0" w:line="360" w:lineRule="auto"/>
        <w:jc w:val="both"/>
        <w:rPr>
          <w:rFonts w:ascii="Times New Roman" w:hAnsi="Times New Roman" w:cs="Times New Roman"/>
          <w:bCs/>
          <w:sz w:val="24"/>
          <w:szCs w:val="24"/>
        </w:rPr>
      </w:pPr>
      <w:r w:rsidRPr="00C81903">
        <w:rPr>
          <w:rFonts w:ascii="Times New Roman" w:hAnsi="Times New Roman" w:cs="Times New Roman"/>
          <w:bCs/>
          <w:sz w:val="24"/>
          <w:szCs w:val="24"/>
        </w:rPr>
        <w:t>Durante la ocurrencia de los sismos del día 10 de noviembre del 2024</w:t>
      </w:r>
      <w:r w:rsidR="00E45A12" w:rsidRPr="00C81903">
        <w:rPr>
          <w:rFonts w:ascii="Times New Roman" w:hAnsi="Times New Roman" w:cs="Times New Roman"/>
          <w:bCs/>
          <w:sz w:val="24"/>
          <w:szCs w:val="24"/>
        </w:rPr>
        <w:t xml:space="preserve"> </w:t>
      </w:r>
      <w:r w:rsidR="003F5922" w:rsidRPr="00C81903">
        <w:rPr>
          <w:rFonts w:ascii="Times New Roman" w:hAnsi="Times New Roman" w:cs="Times New Roman"/>
          <w:bCs/>
          <w:sz w:val="24"/>
          <w:szCs w:val="24"/>
        </w:rPr>
        <w:t xml:space="preserve">con epicentro en las cercanías del municipio Pilón, provincia Granma, </w:t>
      </w:r>
      <w:r w:rsidR="00E45A12" w:rsidRPr="00C81903">
        <w:rPr>
          <w:rFonts w:ascii="Times New Roman" w:hAnsi="Times New Roman" w:cs="Times New Roman"/>
          <w:bCs/>
          <w:sz w:val="24"/>
          <w:szCs w:val="24"/>
        </w:rPr>
        <w:t>se pudo validar el resultado obtenido en este estudio, ya que las áreas donde se esperan los mayores valores de FA fueron las más afectadas, y coincide con los suelos</w:t>
      </w:r>
      <w:r w:rsidR="003F5922" w:rsidRPr="00C81903">
        <w:rPr>
          <w:rFonts w:ascii="Times New Roman" w:hAnsi="Times New Roman" w:cs="Times New Roman"/>
          <w:bCs/>
          <w:sz w:val="24"/>
          <w:szCs w:val="24"/>
        </w:rPr>
        <w:t xml:space="preserve"> sueltos o poco compactados clasificados según la norma sismorresistente cubana (NC 46:2017), como tipo D, E y F</w:t>
      </w:r>
      <w:r w:rsidR="00E45A12" w:rsidRPr="00C81903">
        <w:rPr>
          <w:rFonts w:ascii="Times New Roman" w:hAnsi="Times New Roman" w:cs="Times New Roman"/>
          <w:bCs/>
          <w:sz w:val="24"/>
          <w:szCs w:val="24"/>
        </w:rPr>
        <w:t xml:space="preserve">. </w:t>
      </w:r>
    </w:p>
    <w:p w14:paraId="477477BF" w14:textId="77777777" w:rsidR="00B13A8B" w:rsidRPr="00B13A8B" w:rsidRDefault="00A0099A" w:rsidP="00B13A8B">
      <w:pPr>
        <w:spacing w:after="0" w:line="360" w:lineRule="auto"/>
        <w:jc w:val="both"/>
        <w:rPr>
          <w:rFonts w:ascii="Times New Roman" w:hAnsi="Times New Roman" w:cs="Times New Roman"/>
          <w:sz w:val="24"/>
          <w:szCs w:val="24"/>
        </w:rPr>
      </w:pPr>
      <w:r w:rsidRPr="00C81903">
        <w:rPr>
          <w:rFonts w:ascii="Times New Roman" w:hAnsi="Times New Roman" w:cs="Times New Roman"/>
          <w:bCs/>
          <w:sz w:val="24"/>
          <w:szCs w:val="24"/>
        </w:rPr>
        <w:t xml:space="preserve">En el municipio Pilón, más cercano al epicentro, predominan los suelos clasificados como tipo </w:t>
      </w:r>
      <w:r w:rsidR="00A02C69" w:rsidRPr="00C81903">
        <w:rPr>
          <w:rFonts w:ascii="Times New Roman" w:hAnsi="Times New Roman" w:cs="Times New Roman"/>
          <w:bCs/>
          <w:sz w:val="24"/>
          <w:szCs w:val="24"/>
        </w:rPr>
        <w:t xml:space="preserve">E según </w:t>
      </w:r>
      <w:r w:rsidR="003F710F" w:rsidRPr="00C81903">
        <w:rPr>
          <w:rFonts w:ascii="Times New Roman" w:hAnsi="Times New Roman" w:cs="Times New Roman"/>
          <w:bCs/>
          <w:sz w:val="24"/>
          <w:szCs w:val="24"/>
        </w:rPr>
        <w:t xml:space="preserve">el código americano NEHRP (BSSC, 2001) que coincide con </w:t>
      </w:r>
      <w:r w:rsidR="00A02C69" w:rsidRPr="00C81903">
        <w:rPr>
          <w:rFonts w:ascii="Times New Roman" w:hAnsi="Times New Roman" w:cs="Times New Roman"/>
          <w:bCs/>
          <w:sz w:val="24"/>
          <w:szCs w:val="24"/>
        </w:rPr>
        <w:t xml:space="preserve">la </w:t>
      </w:r>
      <w:r w:rsidR="00A02C69" w:rsidRPr="00B13A8B">
        <w:rPr>
          <w:rFonts w:ascii="Times New Roman" w:hAnsi="Times New Roman" w:cs="Times New Roman"/>
          <w:sz w:val="24"/>
          <w:szCs w:val="24"/>
        </w:rPr>
        <w:t>norma cubana vigente</w:t>
      </w:r>
      <w:r w:rsidR="003F710F" w:rsidRPr="00B13A8B">
        <w:rPr>
          <w:rFonts w:ascii="Times New Roman" w:hAnsi="Times New Roman" w:cs="Times New Roman"/>
          <w:sz w:val="24"/>
          <w:szCs w:val="24"/>
        </w:rPr>
        <w:t xml:space="preserve"> (figura 4)</w:t>
      </w:r>
      <w:r w:rsidR="00A02C69" w:rsidRPr="00B13A8B">
        <w:rPr>
          <w:rFonts w:ascii="Times New Roman" w:hAnsi="Times New Roman" w:cs="Times New Roman"/>
          <w:sz w:val="24"/>
          <w:szCs w:val="24"/>
        </w:rPr>
        <w:t xml:space="preserve">. </w:t>
      </w:r>
    </w:p>
    <w:p w14:paraId="6021D3E6" w14:textId="77777777" w:rsidR="00B13A8B" w:rsidRPr="00B13A8B" w:rsidRDefault="00B13A8B" w:rsidP="0031018F">
      <w:pPr>
        <w:spacing w:after="0" w:line="360" w:lineRule="auto"/>
        <w:jc w:val="both"/>
        <w:rPr>
          <w:rFonts w:ascii="Times New Roman" w:hAnsi="Times New Roman" w:cs="Times New Roman"/>
          <w:sz w:val="24"/>
          <w:szCs w:val="24"/>
        </w:rPr>
      </w:pPr>
      <w:r w:rsidRPr="00B13A8B">
        <w:rPr>
          <w:rFonts w:ascii="Times New Roman" w:hAnsi="Times New Roman" w:cs="Times New Roman"/>
          <w:sz w:val="24"/>
          <w:szCs w:val="24"/>
        </w:rPr>
        <w:t>En la figura 5 se observa que la formación geológica preponderante es la Formación Río Macío (río) los cuales son depósitos de valles aluviales de composición y granulometría heterogénea, y cerca de la costa la Formación Jutía (jut), que son depósitos palustres, ambas formaciones del Cuaternario reciente.</w:t>
      </w:r>
    </w:p>
    <w:p w14:paraId="0A8630D5" w14:textId="77777777" w:rsidR="00B13A8B" w:rsidRDefault="00B13A8B" w:rsidP="0031018F">
      <w:pPr>
        <w:spacing w:after="0" w:line="360" w:lineRule="auto"/>
        <w:jc w:val="center"/>
        <w:rPr>
          <w:rFonts w:ascii="Times New Roman" w:hAnsi="Times New Roman" w:cs="Times New Roman"/>
          <w:sz w:val="20"/>
          <w:szCs w:val="20"/>
        </w:rPr>
      </w:pPr>
      <w:r w:rsidRPr="00C81903">
        <w:rPr>
          <w:rFonts w:ascii="Times New Roman" w:hAnsi="Times New Roman" w:cs="Times New Roman"/>
          <w:bCs/>
          <w:noProof/>
          <w:sz w:val="24"/>
          <w:szCs w:val="24"/>
          <w:lang w:val="es-MX" w:eastAsia="es-MX"/>
        </w:rPr>
        <w:drawing>
          <wp:inline distT="0" distB="0" distL="0" distR="0" wp14:anchorId="726E66F6" wp14:editId="7768B1C1">
            <wp:extent cx="3816098" cy="2855343"/>
            <wp:effectExtent l="0" t="0" r="0" b="2540"/>
            <wp:docPr id="1548514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098" cy="2855343"/>
                    </a:xfrm>
                    <a:prstGeom prst="rect">
                      <a:avLst/>
                    </a:prstGeom>
                    <a:noFill/>
                    <a:ln>
                      <a:noFill/>
                    </a:ln>
                  </pic:spPr>
                </pic:pic>
              </a:graphicData>
            </a:graphic>
          </wp:inline>
        </w:drawing>
      </w:r>
      <w:r w:rsidRPr="00B13A8B">
        <w:rPr>
          <w:rFonts w:ascii="Times New Roman" w:hAnsi="Times New Roman" w:cs="Times New Roman"/>
          <w:sz w:val="20"/>
          <w:szCs w:val="20"/>
        </w:rPr>
        <w:t xml:space="preserve"> </w:t>
      </w:r>
    </w:p>
    <w:p w14:paraId="02EFE017" w14:textId="0EEC8F8B" w:rsidR="00B13A8B" w:rsidRPr="00B13A8B" w:rsidRDefault="00B13A8B" w:rsidP="0031018F">
      <w:pPr>
        <w:spacing w:after="0" w:line="360" w:lineRule="auto"/>
        <w:jc w:val="center"/>
        <w:rPr>
          <w:rFonts w:ascii="Times New Roman" w:hAnsi="Times New Roman" w:cs="Times New Roman"/>
          <w:sz w:val="20"/>
        </w:rPr>
      </w:pPr>
      <w:r w:rsidRPr="00B13A8B">
        <w:rPr>
          <w:rFonts w:ascii="Times New Roman" w:hAnsi="Times New Roman" w:cs="Times New Roman"/>
          <w:sz w:val="20"/>
        </w:rPr>
        <w:t>Figura 4. Clasificación de los suelos según el código americano NEHRP (BSSC, 2001).</w:t>
      </w:r>
      <w:r w:rsidR="0031018F">
        <w:rPr>
          <w:rFonts w:ascii="Times New Roman" w:hAnsi="Times New Roman" w:cs="Times New Roman"/>
          <w:sz w:val="20"/>
        </w:rPr>
        <w:t xml:space="preserve"> Fuente: autor.</w:t>
      </w:r>
    </w:p>
    <w:p w14:paraId="7DC73793" w14:textId="25EB65E7" w:rsidR="00B13A8B" w:rsidRPr="00B13A8B" w:rsidRDefault="00B13A8B" w:rsidP="0031018F">
      <w:pPr>
        <w:spacing w:after="0" w:line="360" w:lineRule="auto"/>
        <w:jc w:val="center"/>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lastRenderedPageBreak/>
        <w:drawing>
          <wp:inline distT="0" distB="0" distL="0" distR="0" wp14:anchorId="310F8E64" wp14:editId="66B727BA">
            <wp:extent cx="3735238" cy="2772879"/>
            <wp:effectExtent l="0" t="0" r="0" b="8890"/>
            <wp:docPr id="981095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5238" cy="2772879"/>
                    </a:xfrm>
                    <a:prstGeom prst="rect">
                      <a:avLst/>
                    </a:prstGeom>
                    <a:noFill/>
                    <a:ln>
                      <a:noFill/>
                    </a:ln>
                  </pic:spPr>
                </pic:pic>
              </a:graphicData>
            </a:graphic>
          </wp:inline>
        </w:drawing>
      </w:r>
    </w:p>
    <w:p w14:paraId="3C3BAA85" w14:textId="244594AC" w:rsidR="00B13A8B" w:rsidRPr="00B13A8B" w:rsidRDefault="00B13A8B" w:rsidP="0031018F">
      <w:pPr>
        <w:spacing w:after="0" w:line="360" w:lineRule="auto"/>
        <w:jc w:val="center"/>
        <w:rPr>
          <w:rFonts w:ascii="Times New Roman" w:hAnsi="Times New Roman" w:cs="Times New Roman"/>
          <w:bCs/>
          <w:sz w:val="24"/>
          <w:szCs w:val="24"/>
        </w:rPr>
      </w:pPr>
      <w:r w:rsidRPr="00B13A8B">
        <w:rPr>
          <w:rFonts w:ascii="Times New Roman" w:hAnsi="Times New Roman" w:cs="Times New Roman"/>
          <w:sz w:val="20"/>
        </w:rPr>
        <w:t>Figura 5: Esquema geológico de la provincia Granma.</w:t>
      </w:r>
      <w:r>
        <w:rPr>
          <w:rFonts w:ascii="Times New Roman" w:hAnsi="Times New Roman" w:cs="Times New Roman"/>
          <w:sz w:val="20"/>
        </w:rPr>
        <w:t xml:space="preserve"> Fuente: Carrillo </w:t>
      </w:r>
      <w:r w:rsidRPr="00B13A8B">
        <w:rPr>
          <w:rFonts w:ascii="Times New Roman" w:hAnsi="Times New Roman" w:cs="Times New Roman"/>
          <w:i/>
          <w:sz w:val="20"/>
        </w:rPr>
        <w:t>et al.</w:t>
      </w:r>
      <w:r>
        <w:rPr>
          <w:rFonts w:ascii="Times New Roman" w:hAnsi="Times New Roman" w:cs="Times New Roman"/>
          <w:sz w:val="20"/>
        </w:rPr>
        <w:t>, 2007.</w:t>
      </w:r>
    </w:p>
    <w:p w14:paraId="73A2110D" w14:textId="5F1D86B7" w:rsidR="00B13A8B" w:rsidRDefault="005A4B38" w:rsidP="005A4B38">
      <w:pPr>
        <w:spacing w:after="0" w:line="360" w:lineRule="auto"/>
        <w:jc w:val="both"/>
        <w:rPr>
          <w:rFonts w:ascii="Times New Roman" w:hAnsi="Times New Roman" w:cs="Times New Roman"/>
          <w:bCs/>
          <w:sz w:val="24"/>
          <w:szCs w:val="24"/>
        </w:rPr>
      </w:pPr>
      <w:r w:rsidRPr="00B13A8B">
        <w:rPr>
          <w:rFonts w:ascii="Times New Roman" w:hAnsi="Times New Roman" w:cs="Times New Roman"/>
          <w:bCs/>
          <w:sz w:val="24"/>
          <w:szCs w:val="24"/>
        </w:rPr>
        <w:t>En esta localidad se observaron daños consistentes en agrietamiento en muros de mampostería, denotando la ocurrencia, durante la sacudida sísmica</w:t>
      </w:r>
      <w:r w:rsidR="00A20E5D" w:rsidRPr="00B13A8B">
        <w:rPr>
          <w:rFonts w:ascii="Times New Roman" w:hAnsi="Times New Roman" w:cs="Times New Roman"/>
          <w:bCs/>
          <w:sz w:val="24"/>
          <w:szCs w:val="24"/>
        </w:rPr>
        <w:t xml:space="preserve"> de</w:t>
      </w:r>
      <w:r w:rsidRPr="00C81903">
        <w:rPr>
          <w:rFonts w:ascii="Times New Roman" w:hAnsi="Times New Roman" w:cs="Times New Roman"/>
          <w:bCs/>
          <w:sz w:val="24"/>
          <w:szCs w:val="24"/>
        </w:rPr>
        <w:t xml:space="preserve"> asentamientos diferenciales y pérdida de la resistencia del suelo. En muchos casos la amplificación de los efectos produj</w:t>
      </w:r>
      <w:r w:rsidR="00500C36">
        <w:rPr>
          <w:rFonts w:ascii="Times New Roman" w:hAnsi="Times New Roman" w:cs="Times New Roman"/>
          <w:bCs/>
          <w:sz w:val="24"/>
          <w:szCs w:val="24"/>
        </w:rPr>
        <w:t>o</w:t>
      </w:r>
      <w:r w:rsidRPr="00C81903">
        <w:rPr>
          <w:rFonts w:ascii="Times New Roman" w:hAnsi="Times New Roman" w:cs="Times New Roman"/>
          <w:bCs/>
          <w:sz w:val="24"/>
          <w:szCs w:val="24"/>
        </w:rPr>
        <w:t xml:space="preserve"> el colapso parcial y total de viviendas de mampostería simple con cubierta ligera y pesada, indistintamente (figura 6). </w:t>
      </w:r>
    </w:p>
    <w:p w14:paraId="11BD674A" w14:textId="2B75271F" w:rsidR="005A4B38" w:rsidRDefault="005A4B38" w:rsidP="005A4B38">
      <w:pPr>
        <w:spacing w:after="0" w:line="360" w:lineRule="auto"/>
        <w:jc w:val="both"/>
        <w:rPr>
          <w:rFonts w:ascii="Times New Roman" w:hAnsi="Times New Roman" w:cs="Times New Roman"/>
          <w:bCs/>
          <w:sz w:val="24"/>
          <w:szCs w:val="24"/>
        </w:rPr>
      </w:pPr>
      <w:r w:rsidRPr="00C81903">
        <w:rPr>
          <w:rFonts w:ascii="Times New Roman" w:hAnsi="Times New Roman" w:cs="Times New Roman"/>
          <w:bCs/>
          <w:sz w:val="24"/>
          <w:szCs w:val="24"/>
        </w:rPr>
        <w:t xml:space="preserve">Igualmente se pudo observar la incidencia </w:t>
      </w:r>
      <w:r w:rsidR="00994105" w:rsidRPr="00C81903">
        <w:rPr>
          <w:rFonts w:ascii="Times New Roman" w:hAnsi="Times New Roman" w:cs="Times New Roman"/>
          <w:bCs/>
          <w:sz w:val="24"/>
          <w:szCs w:val="24"/>
        </w:rPr>
        <w:t>de la amplificación de las ondas sísmicas</w:t>
      </w:r>
      <w:r w:rsidR="00480716" w:rsidRPr="00C81903">
        <w:rPr>
          <w:rFonts w:ascii="Times New Roman" w:hAnsi="Times New Roman" w:cs="Times New Roman"/>
          <w:bCs/>
          <w:sz w:val="24"/>
          <w:szCs w:val="24"/>
        </w:rPr>
        <w:t xml:space="preserve"> en los daños ocurridos en </w:t>
      </w:r>
      <w:r w:rsidR="00994105" w:rsidRPr="00C81903">
        <w:rPr>
          <w:rFonts w:ascii="Times New Roman" w:hAnsi="Times New Roman" w:cs="Times New Roman"/>
          <w:bCs/>
          <w:sz w:val="24"/>
          <w:szCs w:val="24"/>
        </w:rPr>
        <w:t xml:space="preserve">uno de los </w:t>
      </w:r>
      <w:r w:rsidR="00480716" w:rsidRPr="00C81903">
        <w:rPr>
          <w:rFonts w:ascii="Times New Roman" w:hAnsi="Times New Roman" w:cs="Times New Roman"/>
          <w:bCs/>
          <w:sz w:val="24"/>
          <w:szCs w:val="24"/>
        </w:rPr>
        <w:t>edificios multifamiliares (figura 7).</w:t>
      </w:r>
      <w:r w:rsidRPr="00C81903">
        <w:rPr>
          <w:rFonts w:ascii="Times New Roman" w:hAnsi="Times New Roman" w:cs="Times New Roman"/>
          <w:bCs/>
          <w:sz w:val="24"/>
          <w:szCs w:val="24"/>
        </w:rPr>
        <w:t xml:space="preserve"> </w:t>
      </w:r>
      <w:r w:rsidR="00994105" w:rsidRPr="00C81903">
        <w:rPr>
          <w:rFonts w:ascii="Times New Roman" w:hAnsi="Times New Roman" w:cs="Times New Roman"/>
          <w:bCs/>
          <w:sz w:val="24"/>
          <w:szCs w:val="24"/>
        </w:rPr>
        <w:t>Algunos habitantes de la zona afirman que, en el área de construcción del edificio, se colocó el material resultante de excavaciones cercanas realizadas. En un edificio de tipología similar, ubicada en una zona aledaña, no se observaron daños significativos.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194"/>
        <w:gridCol w:w="1350"/>
        <w:gridCol w:w="1059"/>
        <w:gridCol w:w="57"/>
        <w:gridCol w:w="230"/>
        <w:gridCol w:w="2992"/>
      </w:tblGrid>
      <w:tr w:rsidR="00070EA9" w:rsidRPr="00B13A8B" w14:paraId="6E3D5A9F" w14:textId="77777777" w:rsidTr="004B7E2C">
        <w:tc>
          <w:tcPr>
            <w:tcW w:w="4406" w:type="dxa"/>
            <w:gridSpan w:val="3"/>
          </w:tcPr>
          <w:p w14:paraId="71E1F1B4" w14:textId="1FF11B03" w:rsidR="003F710F" w:rsidRPr="00B13A8B" w:rsidRDefault="00113711" w:rsidP="004B7E2C">
            <w:pPr>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7FA60D17" wp14:editId="54AAC44C">
                  <wp:extent cx="2814050" cy="1966822"/>
                  <wp:effectExtent l="0" t="0" r="571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rotWithShape="1">
                          <a:blip r:embed="rId13" cstate="print">
                            <a:extLst>
                              <a:ext uri="{28A0092B-C50C-407E-A947-70E740481C1C}">
                                <a14:useLocalDpi xmlns:a14="http://schemas.microsoft.com/office/drawing/2010/main" val="0"/>
                              </a:ext>
                            </a:extLst>
                          </a:blip>
                          <a:srcRect l="-978" r="37562"/>
                          <a:stretch/>
                        </pic:blipFill>
                        <pic:spPr bwMode="auto">
                          <a:xfrm>
                            <a:off x="0" y="0"/>
                            <a:ext cx="2817553" cy="1969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4" w:type="dxa"/>
            <w:gridSpan w:val="4"/>
          </w:tcPr>
          <w:p w14:paraId="04027B35" w14:textId="4F8B7755" w:rsidR="003F710F" w:rsidRPr="00B13A8B" w:rsidRDefault="00070EA9" w:rsidP="004B7E2C">
            <w:pPr>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346DCD60" wp14:editId="78961779">
                  <wp:extent cx="2853385" cy="1966822"/>
                  <wp:effectExtent l="0" t="0" r="444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4" cstate="print">
                            <a:extLst>
                              <a:ext uri="{28A0092B-C50C-407E-A947-70E740481C1C}">
                                <a14:useLocalDpi xmlns:a14="http://schemas.microsoft.com/office/drawing/2010/main" val="0"/>
                              </a:ext>
                            </a:extLst>
                          </a:blip>
                          <a:srcRect l="22253" r="10743"/>
                          <a:stretch/>
                        </pic:blipFill>
                        <pic:spPr bwMode="auto">
                          <a:xfrm>
                            <a:off x="0" y="0"/>
                            <a:ext cx="2849069" cy="1963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0EA9" w:rsidRPr="00B13A8B" w14:paraId="5D5D88A6" w14:textId="77777777" w:rsidTr="004B7E2C">
        <w:tc>
          <w:tcPr>
            <w:tcW w:w="3077" w:type="dxa"/>
            <w:gridSpan w:val="2"/>
          </w:tcPr>
          <w:p w14:paraId="42CA72B5" w14:textId="261CCBE8" w:rsidR="00113711" w:rsidRPr="00B13A8B" w:rsidRDefault="00113711" w:rsidP="004B7E2C">
            <w:pPr>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lastRenderedPageBreak/>
              <w:drawing>
                <wp:inline distT="0" distB="0" distL="0" distR="0" wp14:anchorId="39C759AD" wp14:editId="63994319">
                  <wp:extent cx="3072733" cy="1610976"/>
                  <wp:effectExtent l="6985" t="0" r="1905" b="190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99418" cy="1624966"/>
                          </a:xfrm>
                          <a:prstGeom prst="rect">
                            <a:avLst/>
                          </a:prstGeom>
                          <a:noFill/>
                          <a:ln>
                            <a:noFill/>
                          </a:ln>
                        </pic:spPr>
                      </pic:pic>
                    </a:graphicData>
                  </a:graphic>
                </wp:inline>
              </w:drawing>
            </w:r>
          </w:p>
        </w:tc>
        <w:tc>
          <w:tcPr>
            <w:tcW w:w="2360" w:type="dxa"/>
            <w:gridSpan w:val="2"/>
          </w:tcPr>
          <w:p w14:paraId="4A2A1529" w14:textId="2C8F2197" w:rsidR="00113711" w:rsidRPr="00B13A8B" w:rsidRDefault="00113711" w:rsidP="004B7E2C">
            <w:pPr>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1739CB45" wp14:editId="1C0DAC19">
                  <wp:extent cx="3079581" cy="1742511"/>
                  <wp:effectExtent l="1588" t="0" r="8572" b="8573"/>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rotWithShape="1">
                          <a:blip r:embed="rId16" cstate="print">
                            <a:extLst>
                              <a:ext uri="{28A0092B-C50C-407E-A947-70E740481C1C}">
                                <a14:useLocalDpi xmlns:a14="http://schemas.microsoft.com/office/drawing/2010/main" val="0"/>
                              </a:ext>
                            </a:extLst>
                          </a:blip>
                          <a:srcRect t="5893"/>
                          <a:stretch>
                            <a:fillRect/>
                          </a:stretch>
                        </pic:blipFill>
                        <pic:spPr bwMode="auto">
                          <a:xfrm rot="5400000">
                            <a:off x="0" y="0"/>
                            <a:ext cx="3087786" cy="1747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3" w:type="dxa"/>
            <w:gridSpan w:val="3"/>
          </w:tcPr>
          <w:p w14:paraId="6B9F67C9" w14:textId="1810DE5C" w:rsidR="00113711" w:rsidRPr="00B13A8B" w:rsidRDefault="00B13A8B" w:rsidP="004B7E2C">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13711" w:rsidRPr="00B13A8B">
              <w:rPr>
                <w:rFonts w:ascii="Times New Roman" w:hAnsi="Times New Roman" w:cs="Times New Roman"/>
                <w:bCs/>
                <w:noProof/>
                <w:sz w:val="24"/>
                <w:szCs w:val="24"/>
                <w:lang w:val="es-MX" w:eastAsia="es-MX"/>
              </w:rPr>
              <w:drawing>
                <wp:inline distT="0" distB="0" distL="0" distR="0" wp14:anchorId="0687A50B" wp14:editId="1821B2CC">
                  <wp:extent cx="3063442" cy="1596974"/>
                  <wp:effectExtent l="9525"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7" cstate="print">
                            <a:extLst>
                              <a:ext uri="{28A0092B-C50C-407E-A947-70E740481C1C}">
                                <a14:useLocalDpi xmlns:a14="http://schemas.microsoft.com/office/drawing/2010/main" val="0"/>
                              </a:ext>
                            </a:extLst>
                          </a:blip>
                          <a:srcRect t="8437"/>
                          <a:stretch/>
                        </pic:blipFill>
                        <pic:spPr bwMode="auto">
                          <a:xfrm rot="5400000">
                            <a:off x="0" y="0"/>
                            <a:ext cx="3079217" cy="16051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1FD6" w:rsidRPr="0031018F" w14:paraId="6D42B63C" w14:textId="77777777" w:rsidTr="004B7E2C">
        <w:tc>
          <w:tcPr>
            <w:tcW w:w="8720" w:type="dxa"/>
            <w:gridSpan w:val="7"/>
          </w:tcPr>
          <w:p w14:paraId="46BED4E9" w14:textId="07A92DF3" w:rsidR="00F91FD6" w:rsidRDefault="00F91FD6" w:rsidP="004B7E2C">
            <w:pPr>
              <w:jc w:val="center"/>
              <w:rPr>
                <w:rFonts w:ascii="Times New Roman" w:hAnsi="Times New Roman" w:cs="Times New Roman"/>
                <w:bCs/>
                <w:sz w:val="20"/>
                <w:szCs w:val="20"/>
              </w:rPr>
            </w:pPr>
            <w:r w:rsidRPr="0031018F">
              <w:rPr>
                <w:rFonts w:ascii="Times New Roman" w:hAnsi="Times New Roman" w:cs="Times New Roman"/>
                <w:bCs/>
                <w:sz w:val="20"/>
                <w:szCs w:val="20"/>
              </w:rPr>
              <w:t>Figura 6. Daños en viviendas del municipio Pilón.</w:t>
            </w:r>
            <w:r w:rsidR="004B7E2C">
              <w:rPr>
                <w:rFonts w:ascii="Times New Roman" w:hAnsi="Times New Roman" w:cs="Times New Roman"/>
                <w:bCs/>
                <w:sz w:val="20"/>
                <w:szCs w:val="20"/>
              </w:rPr>
              <w:t xml:space="preserve"> Fuente: autor.</w:t>
            </w:r>
          </w:p>
          <w:p w14:paraId="651838AA" w14:textId="6D005D97" w:rsidR="004B7E2C" w:rsidRPr="0031018F" w:rsidRDefault="004B7E2C" w:rsidP="004B7E2C">
            <w:pPr>
              <w:jc w:val="center"/>
              <w:rPr>
                <w:rFonts w:ascii="Times New Roman" w:hAnsi="Times New Roman" w:cs="Times New Roman"/>
                <w:bCs/>
                <w:sz w:val="20"/>
                <w:szCs w:val="20"/>
              </w:rPr>
            </w:pPr>
          </w:p>
        </w:tc>
      </w:tr>
      <w:tr w:rsidR="000F38B6" w:rsidRPr="00B13A8B" w14:paraId="07C68C87" w14:textId="77777777" w:rsidTr="004B7E2C">
        <w:tc>
          <w:tcPr>
            <w:tcW w:w="5449" w:type="dxa"/>
            <w:gridSpan w:val="5"/>
          </w:tcPr>
          <w:p w14:paraId="60A2FC15" w14:textId="3084F0BD" w:rsidR="00594CC4" w:rsidRPr="00B13A8B" w:rsidRDefault="00594CC4" w:rsidP="004B7E2C">
            <w:pPr>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771460FE" wp14:editId="3C91A1CF">
                  <wp:extent cx="2889849" cy="1996815"/>
                  <wp:effectExtent l="0" t="0" r="6350" b="3810"/>
                  <wp:docPr id="2102001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1032" name="Imagen 2102001032"/>
                          <pic:cNvPicPr>
                            <a:picLocks noChangeAspect="1"/>
                          </pic:cNvPicPr>
                        </pic:nvPicPr>
                        <pic:blipFill rotWithShape="1">
                          <a:blip r:embed="rId18" cstate="print">
                            <a:extLst>
                              <a:ext uri="{28A0092B-C50C-407E-A947-70E740481C1C}">
                                <a14:useLocalDpi xmlns:a14="http://schemas.microsoft.com/office/drawing/2010/main" val="0"/>
                              </a:ext>
                            </a:extLst>
                          </a:blip>
                          <a:srcRect l="29996" r="3163"/>
                          <a:stretch/>
                        </pic:blipFill>
                        <pic:spPr bwMode="auto">
                          <a:xfrm>
                            <a:off x="0" y="0"/>
                            <a:ext cx="2913607" cy="2013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1" w:type="dxa"/>
            <w:gridSpan w:val="2"/>
          </w:tcPr>
          <w:p w14:paraId="67AD8B51" w14:textId="2EE437DE" w:rsidR="00594CC4" w:rsidRPr="00B13A8B" w:rsidRDefault="00594CC4" w:rsidP="004B7E2C">
            <w:pPr>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04400E07" wp14:editId="57577073">
                  <wp:extent cx="1933835" cy="1563919"/>
                  <wp:effectExtent l="0" t="5397" r="4127" b="4128"/>
                  <wp:docPr id="2102001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1033" name="Imagen 2102001033"/>
                          <pic:cNvPicPr>
                            <a:picLocks noChangeAspect="1"/>
                          </pic:cNvPicPr>
                        </pic:nvPicPr>
                        <pic:blipFill rotWithShape="1">
                          <a:blip r:embed="rId19" cstate="print">
                            <a:extLst>
                              <a:ext uri="{28A0092B-C50C-407E-A947-70E740481C1C}">
                                <a14:useLocalDpi xmlns:a14="http://schemas.microsoft.com/office/drawing/2010/main" val="0"/>
                              </a:ext>
                            </a:extLst>
                          </a:blip>
                          <a:srcRect l="18516" r="25442"/>
                          <a:stretch>
                            <a:fillRect/>
                          </a:stretch>
                        </pic:blipFill>
                        <pic:spPr bwMode="auto">
                          <a:xfrm rot="5400000">
                            <a:off x="0" y="0"/>
                            <a:ext cx="1934464" cy="15644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8B6" w:rsidRPr="00B13A8B" w14:paraId="75DEC4ED" w14:textId="77777777" w:rsidTr="004B7E2C">
        <w:trPr>
          <w:trHeight w:val="4127"/>
        </w:trPr>
        <w:tc>
          <w:tcPr>
            <w:tcW w:w="2796" w:type="dxa"/>
          </w:tcPr>
          <w:p w14:paraId="6709D24F" w14:textId="6BB59CC3" w:rsidR="0007738C" w:rsidRPr="00B13A8B" w:rsidRDefault="0007738C" w:rsidP="004B7E2C">
            <w:pPr>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314BC75F" wp14:editId="0FBD10F4">
                  <wp:extent cx="2607777" cy="1553170"/>
                  <wp:effectExtent l="0" t="6033" r="0" b="0"/>
                  <wp:docPr id="2102001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1038" name="Imagen 2102001038"/>
                          <pic:cNvPicPr>
                            <a:picLocks noChangeAspect="1"/>
                          </pic:cNvPicPr>
                        </pic:nvPicPr>
                        <pic:blipFill rotWithShape="1">
                          <a:blip r:embed="rId20" cstate="print">
                            <a:extLst>
                              <a:ext uri="{28A0092B-C50C-407E-A947-70E740481C1C}">
                                <a14:useLocalDpi xmlns:a14="http://schemas.microsoft.com/office/drawing/2010/main" val="0"/>
                              </a:ext>
                            </a:extLst>
                          </a:blip>
                          <a:srcRect t="9143" r="29532"/>
                          <a:stretch>
                            <a:fillRect/>
                          </a:stretch>
                        </pic:blipFill>
                        <pic:spPr bwMode="auto">
                          <a:xfrm rot="5400000">
                            <a:off x="0" y="0"/>
                            <a:ext cx="2609728" cy="15543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3" w:type="dxa"/>
            <w:gridSpan w:val="5"/>
          </w:tcPr>
          <w:p w14:paraId="50118468" w14:textId="24A36440" w:rsidR="0007738C" w:rsidRPr="00B13A8B" w:rsidRDefault="00D6337B" w:rsidP="004B7E2C">
            <w:pPr>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2B49BDAC" wp14:editId="58414C95">
                  <wp:extent cx="2637634" cy="1553382"/>
                  <wp:effectExtent l="8573" t="0" r="317" b="318"/>
                  <wp:docPr id="2102001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1040" name="Imagen 2102001040"/>
                          <pic:cNvPicPr>
                            <a:picLocks noChangeAspect="1"/>
                          </pic:cNvPicPr>
                        </pic:nvPicPr>
                        <pic:blipFill rotWithShape="1">
                          <a:blip r:embed="rId21" cstate="print">
                            <a:extLst>
                              <a:ext uri="{28A0092B-C50C-407E-A947-70E740481C1C}">
                                <a14:useLocalDpi xmlns:a14="http://schemas.microsoft.com/office/drawing/2010/main" val="0"/>
                              </a:ext>
                            </a:extLst>
                          </a:blip>
                          <a:srcRect t="10262" r="29635"/>
                          <a:stretch>
                            <a:fillRect/>
                          </a:stretch>
                        </pic:blipFill>
                        <pic:spPr bwMode="auto">
                          <a:xfrm rot="5400000">
                            <a:off x="0" y="0"/>
                            <a:ext cx="2640526" cy="15550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1" w:type="dxa"/>
          </w:tcPr>
          <w:p w14:paraId="7ED61489" w14:textId="03E53D37" w:rsidR="0007738C" w:rsidRPr="00B13A8B" w:rsidRDefault="00D6337B" w:rsidP="004B7E2C">
            <w:pPr>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0C6A16F0" wp14:editId="62EACB90">
                  <wp:extent cx="2639494" cy="1651989"/>
                  <wp:effectExtent l="0" t="1588" r="7303" b="7302"/>
                  <wp:docPr id="2102001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1034" name="Imagen 2102001034"/>
                          <pic:cNvPicPr>
                            <a:picLocks noChangeAspect="1"/>
                          </pic:cNvPicPr>
                        </pic:nvPicPr>
                        <pic:blipFill rotWithShape="1">
                          <a:blip r:embed="rId22" cstate="print">
                            <a:extLst>
                              <a:ext uri="{28A0092B-C50C-407E-A947-70E740481C1C}">
                                <a14:useLocalDpi xmlns:a14="http://schemas.microsoft.com/office/drawing/2010/main" val="0"/>
                              </a:ext>
                            </a:extLst>
                          </a:blip>
                          <a:srcRect t="4524" r="29532"/>
                          <a:stretch>
                            <a:fillRect/>
                          </a:stretch>
                        </pic:blipFill>
                        <pic:spPr bwMode="auto">
                          <a:xfrm rot="5400000">
                            <a:off x="0" y="0"/>
                            <a:ext cx="2641837" cy="1653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337B" w:rsidRPr="004B7E2C" w14:paraId="3560963E" w14:textId="77777777" w:rsidTr="004B7E2C">
        <w:tc>
          <w:tcPr>
            <w:tcW w:w="8720" w:type="dxa"/>
            <w:gridSpan w:val="7"/>
          </w:tcPr>
          <w:p w14:paraId="6C488699" w14:textId="1FF64A54" w:rsidR="00D6337B" w:rsidRPr="004B7E2C" w:rsidRDefault="00994105" w:rsidP="004B7E2C">
            <w:pPr>
              <w:jc w:val="center"/>
              <w:rPr>
                <w:rFonts w:ascii="Times New Roman" w:hAnsi="Times New Roman" w:cs="Times New Roman"/>
                <w:bCs/>
                <w:sz w:val="20"/>
                <w:szCs w:val="20"/>
              </w:rPr>
            </w:pPr>
            <w:r w:rsidRPr="004B7E2C">
              <w:rPr>
                <w:rFonts w:ascii="Times New Roman" w:hAnsi="Times New Roman" w:cs="Times New Roman"/>
                <w:bCs/>
                <w:sz w:val="20"/>
                <w:szCs w:val="20"/>
              </w:rPr>
              <w:t>Figura 7. Daños en muros de edificio multifamiliar.</w:t>
            </w:r>
            <w:r w:rsidR="004B7E2C">
              <w:rPr>
                <w:rFonts w:ascii="Times New Roman" w:hAnsi="Times New Roman" w:cs="Times New Roman"/>
                <w:bCs/>
                <w:sz w:val="20"/>
                <w:szCs w:val="20"/>
              </w:rPr>
              <w:t xml:space="preserve"> Fuente: autor.</w:t>
            </w:r>
          </w:p>
        </w:tc>
      </w:tr>
    </w:tbl>
    <w:p w14:paraId="2723E794" w14:textId="3012702C" w:rsidR="001739E0" w:rsidRPr="00C81903" w:rsidRDefault="006E5659" w:rsidP="00FF3346">
      <w:pPr>
        <w:spacing w:after="0" w:line="360" w:lineRule="auto"/>
        <w:jc w:val="both"/>
        <w:rPr>
          <w:rFonts w:ascii="Times New Roman" w:hAnsi="Times New Roman" w:cs="Times New Roman"/>
          <w:bCs/>
          <w:sz w:val="24"/>
          <w:szCs w:val="24"/>
        </w:rPr>
      </w:pPr>
      <w:r w:rsidRPr="00C81903">
        <w:rPr>
          <w:rFonts w:ascii="Times New Roman" w:hAnsi="Times New Roman" w:cs="Times New Roman"/>
          <w:bCs/>
          <w:sz w:val="24"/>
          <w:szCs w:val="24"/>
        </w:rPr>
        <w:lastRenderedPageBreak/>
        <w:t>Otros daños relacionados con las características del suelo del sitio y su comportamiento se muestran en la figura 8.</w:t>
      </w:r>
      <w:r w:rsidR="004B7E2C">
        <w:rPr>
          <w:rFonts w:ascii="Times New Roman" w:hAnsi="Times New Roman" w:cs="Times New Roman"/>
          <w:bCs/>
          <w:sz w:val="24"/>
          <w:szCs w:val="24"/>
        </w:rPr>
        <w:t xml:space="preserve"> En la figura 8 a y b se muestra el fallo del muelle en el poblado de Pilón por asentamiento diferencial del suelo y perdida de estabilidad, en la figura 8 c, d y e, </w:t>
      </w:r>
      <w:r w:rsidR="004B7E2C" w:rsidRPr="004B7E2C">
        <w:rPr>
          <w:rFonts w:ascii="Times New Roman" w:hAnsi="Times New Roman" w:cs="Times New Roman"/>
          <w:bCs/>
          <w:sz w:val="24"/>
          <w:szCs w:val="24"/>
        </w:rPr>
        <w:t>ejemplos de desprendimientos de rocas</w:t>
      </w:r>
      <w:r w:rsidR="004B7E2C">
        <w:rPr>
          <w:rFonts w:ascii="Times New Roman" w:hAnsi="Times New Roman" w:cs="Times New Roman"/>
          <w:bCs/>
          <w:sz w:val="24"/>
          <w:szCs w:val="24"/>
        </w:rPr>
        <w:t xml:space="preserve"> y deslizamientos en el t</w:t>
      </w:r>
      <w:r w:rsidR="004B7E2C" w:rsidRPr="004B7E2C">
        <w:rPr>
          <w:rFonts w:ascii="Times New Roman" w:hAnsi="Times New Roman" w:cs="Times New Roman"/>
          <w:bCs/>
          <w:sz w:val="24"/>
          <w:szCs w:val="24"/>
        </w:rPr>
        <w:t xml:space="preserve">ramo Mota </w:t>
      </w:r>
      <w:r w:rsidR="004B7E2C">
        <w:rPr>
          <w:rFonts w:ascii="Times New Roman" w:hAnsi="Times New Roman" w:cs="Times New Roman"/>
          <w:bCs/>
          <w:sz w:val="24"/>
          <w:szCs w:val="24"/>
        </w:rPr>
        <w:t>- El</w:t>
      </w:r>
      <w:r w:rsidR="004B7E2C" w:rsidRPr="004B7E2C">
        <w:rPr>
          <w:rFonts w:ascii="Times New Roman" w:hAnsi="Times New Roman" w:cs="Times New Roman"/>
          <w:bCs/>
          <w:sz w:val="24"/>
          <w:szCs w:val="24"/>
        </w:rPr>
        <w:t xml:space="preserve"> Macío</w:t>
      </w:r>
      <w:r w:rsidR="00666757">
        <w:rPr>
          <w:rFonts w:ascii="Times New Roman" w:hAnsi="Times New Roman" w:cs="Times New Roman"/>
          <w:bCs/>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516"/>
        <w:gridCol w:w="1451"/>
        <w:gridCol w:w="2810"/>
      </w:tblGrid>
      <w:tr w:rsidR="00D12037" w:rsidRPr="00B13A8B" w14:paraId="04340B91" w14:textId="77777777" w:rsidTr="004B7E2C">
        <w:tc>
          <w:tcPr>
            <w:tcW w:w="4459" w:type="dxa"/>
            <w:gridSpan w:val="2"/>
          </w:tcPr>
          <w:p w14:paraId="295ACE2C" w14:textId="10B0DBE0" w:rsidR="002D3632" w:rsidRPr="00C81903" w:rsidRDefault="002D3632" w:rsidP="004B7E2C">
            <w:pPr>
              <w:spacing w:line="360" w:lineRule="auto"/>
              <w:ind w:right="-152"/>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792B0880" wp14:editId="4C6D3403">
                  <wp:extent cx="2550059" cy="1613140"/>
                  <wp:effectExtent l="0" t="0" r="3175" b="6350"/>
                  <wp:docPr id="2102001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1051" name="Imagen 2102001051"/>
                          <pic:cNvPicPr>
                            <a:picLocks noChangeAspect="1"/>
                          </pic:cNvPicPr>
                        </pic:nvPicPr>
                        <pic:blipFill rotWithShape="1">
                          <a:blip r:embed="rId23" cstate="print">
                            <a:extLst>
                              <a:ext uri="{28A0092B-C50C-407E-A947-70E740481C1C}">
                                <a14:useLocalDpi xmlns:a14="http://schemas.microsoft.com/office/drawing/2010/main" val="0"/>
                              </a:ext>
                            </a:extLst>
                          </a:blip>
                          <a:srcRect r="26967"/>
                          <a:stretch/>
                        </pic:blipFill>
                        <pic:spPr bwMode="auto">
                          <a:xfrm>
                            <a:off x="0" y="0"/>
                            <a:ext cx="2548560" cy="1612192"/>
                          </a:xfrm>
                          <a:prstGeom prst="rect">
                            <a:avLst/>
                          </a:prstGeom>
                          <a:noFill/>
                          <a:ln>
                            <a:noFill/>
                          </a:ln>
                          <a:extLst>
                            <a:ext uri="{53640926-AAD7-44D8-BBD7-CCE9431645EC}">
                              <a14:shadowObscured xmlns:a14="http://schemas.microsoft.com/office/drawing/2010/main"/>
                            </a:ext>
                          </a:extLst>
                        </pic:spPr>
                      </pic:pic>
                    </a:graphicData>
                  </a:graphic>
                </wp:inline>
              </w:drawing>
            </w:r>
            <w:r w:rsidR="004B7E2C" w:rsidRPr="00C81903">
              <w:rPr>
                <w:rFonts w:ascii="Times New Roman" w:hAnsi="Times New Roman" w:cs="Times New Roman"/>
                <w:bCs/>
                <w:sz w:val="24"/>
                <w:szCs w:val="24"/>
              </w:rPr>
              <w:t xml:space="preserve"> a)</w:t>
            </w:r>
          </w:p>
        </w:tc>
        <w:tc>
          <w:tcPr>
            <w:tcW w:w="4261" w:type="dxa"/>
            <w:gridSpan w:val="2"/>
          </w:tcPr>
          <w:p w14:paraId="1BA42BE1" w14:textId="6BEFDCFD" w:rsidR="002D3632" w:rsidRPr="00C81903" w:rsidRDefault="002D3632" w:rsidP="004B7E2C">
            <w:pPr>
              <w:spacing w:line="360" w:lineRule="auto"/>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4AD488B0" wp14:editId="56F64A8C">
                  <wp:extent cx="2337759" cy="1611973"/>
                  <wp:effectExtent l="0" t="0" r="5715" b="7620"/>
                  <wp:docPr id="440356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6064" name="Imagen 440356064"/>
                          <pic:cNvPicPr>
                            <a:picLocks noChangeAspect="1"/>
                          </pic:cNvPicPr>
                        </pic:nvPicPr>
                        <pic:blipFill rotWithShape="1">
                          <a:blip r:embed="rId24" cstate="print">
                            <a:extLst>
                              <a:ext uri="{28A0092B-C50C-407E-A947-70E740481C1C}">
                                <a14:useLocalDpi xmlns:a14="http://schemas.microsoft.com/office/drawing/2010/main" val="0"/>
                              </a:ext>
                            </a:extLst>
                          </a:blip>
                          <a:srcRect r="30337"/>
                          <a:stretch/>
                        </pic:blipFill>
                        <pic:spPr bwMode="auto">
                          <a:xfrm>
                            <a:off x="0" y="0"/>
                            <a:ext cx="2343086" cy="1615646"/>
                          </a:xfrm>
                          <a:prstGeom prst="rect">
                            <a:avLst/>
                          </a:prstGeom>
                          <a:noFill/>
                          <a:ln>
                            <a:noFill/>
                          </a:ln>
                          <a:extLst>
                            <a:ext uri="{53640926-AAD7-44D8-BBD7-CCE9431645EC}">
                              <a14:shadowObscured xmlns:a14="http://schemas.microsoft.com/office/drawing/2010/main"/>
                            </a:ext>
                          </a:extLst>
                        </pic:spPr>
                      </pic:pic>
                    </a:graphicData>
                  </a:graphic>
                </wp:inline>
              </w:drawing>
            </w:r>
            <w:r w:rsidR="004B7E2C" w:rsidRPr="00C81903">
              <w:rPr>
                <w:rFonts w:ascii="Times New Roman" w:hAnsi="Times New Roman" w:cs="Times New Roman"/>
                <w:bCs/>
                <w:sz w:val="24"/>
                <w:szCs w:val="24"/>
              </w:rPr>
              <w:t xml:space="preserve"> b)</w:t>
            </w:r>
          </w:p>
        </w:tc>
      </w:tr>
      <w:tr w:rsidR="00D12037" w:rsidRPr="00B13A8B" w14:paraId="4DDF0A53" w14:textId="77777777" w:rsidTr="004B7E2C">
        <w:tc>
          <w:tcPr>
            <w:tcW w:w="2943" w:type="dxa"/>
          </w:tcPr>
          <w:p w14:paraId="5BAC6F53" w14:textId="28C8C973" w:rsidR="00EA18F2" w:rsidRPr="00C81903" w:rsidRDefault="00D12037" w:rsidP="004B7E2C">
            <w:pPr>
              <w:spacing w:line="360" w:lineRule="auto"/>
              <w:ind w:right="-108"/>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1EEF0B40" wp14:editId="789D2FB8">
                  <wp:extent cx="1949144" cy="1654531"/>
                  <wp:effectExtent l="0" t="5080" r="8255" b="8255"/>
                  <wp:docPr id="667821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21626" name="Imagen 667821626"/>
                          <pic:cNvPicPr>
                            <a:picLocks noChangeAspect="1"/>
                          </pic:cNvPicPr>
                        </pic:nvPicPr>
                        <pic:blipFill rotWithShape="1">
                          <a:blip r:embed="rId25" cstate="print">
                            <a:extLst>
                              <a:ext uri="{28A0092B-C50C-407E-A947-70E740481C1C}">
                                <a14:useLocalDpi xmlns:a14="http://schemas.microsoft.com/office/drawing/2010/main" val="0"/>
                              </a:ext>
                            </a:extLst>
                          </a:blip>
                          <a:srcRect l="19783" r="25797"/>
                          <a:stretch>
                            <a:fillRect/>
                          </a:stretch>
                        </pic:blipFill>
                        <pic:spPr bwMode="auto">
                          <a:xfrm rot="5400000">
                            <a:off x="0" y="0"/>
                            <a:ext cx="1944364" cy="1650474"/>
                          </a:xfrm>
                          <a:prstGeom prst="rect">
                            <a:avLst/>
                          </a:prstGeom>
                          <a:noFill/>
                          <a:ln>
                            <a:noFill/>
                          </a:ln>
                          <a:extLst>
                            <a:ext uri="{53640926-AAD7-44D8-BBD7-CCE9431645EC}">
                              <a14:shadowObscured xmlns:a14="http://schemas.microsoft.com/office/drawing/2010/main"/>
                            </a:ext>
                          </a:extLst>
                        </pic:spPr>
                      </pic:pic>
                    </a:graphicData>
                  </a:graphic>
                </wp:inline>
              </w:drawing>
            </w:r>
            <w:r w:rsidR="004B7E2C" w:rsidRPr="00C81903">
              <w:rPr>
                <w:rFonts w:ascii="Times New Roman" w:hAnsi="Times New Roman" w:cs="Times New Roman"/>
                <w:bCs/>
                <w:sz w:val="24"/>
                <w:szCs w:val="24"/>
              </w:rPr>
              <w:t>c)</w:t>
            </w:r>
          </w:p>
        </w:tc>
        <w:tc>
          <w:tcPr>
            <w:tcW w:w="2967" w:type="dxa"/>
            <w:gridSpan w:val="2"/>
          </w:tcPr>
          <w:p w14:paraId="41D9C0D7" w14:textId="39E5069C" w:rsidR="00EA18F2" w:rsidRPr="00C81903" w:rsidRDefault="00D12037" w:rsidP="00B13A8B">
            <w:pPr>
              <w:spacing w:line="360" w:lineRule="auto"/>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065A9474" wp14:editId="5AEF48CD">
                  <wp:extent cx="1972427" cy="1604933"/>
                  <wp:effectExtent l="0" t="6668" r="2223" b="2222"/>
                  <wp:docPr id="667821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21627" name="Imagen 667821627"/>
                          <pic:cNvPicPr>
                            <a:picLocks noChangeAspect="1"/>
                          </pic:cNvPicPr>
                        </pic:nvPicPr>
                        <pic:blipFill rotWithShape="1">
                          <a:blip r:embed="rId26" cstate="print">
                            <a:extLst>
                              <a:ext uri="{28A0092B-C50C-407E-A947-70E740481C1C}">
                                <a14:useLocalDpi xmlns:a14="http://schemas.microsoft.com/office/drawing/2010/main" val="0"/>
                              </a:ext>
                            </a:extLst>
                          </a:blip>
                          <a:srcRect l="17317" r="29177" b="4454"/>
                          <a:stretch>
                            <a:fillRect/>
                          </a:stretch>
                        </pic:blipFill>
                        <pic:spPr bwMode="auto">
                          <a:xfrm rot="5400000">
                            <a:off x="0" y="0"/>
                            <a:ext cx="1976679" cy="1608393"/>
                          </a:xfrm>
                          <a:prstGeom prst="rect">
                            <a:avLst/>
                          </a:prstGeom>
                          <a:noFill/>
                          <a:ln>
                            <a:noFill/>
                          </a:ln>
                          <a:extLst>
                            <a:ext uri="{53640926-AAD7-44D8-BBD7-CCE9431645EC}">
                              <a14:shadowObscured xmlns:a14="http://schemas.microsoft.com/office/drawing/2010/main"/>
                            </a:ext>
                          </a:extLst>
                        </pic:spPr>
                      </pic:pic>
                    </a:graphicData>
                  </a:graphic>
                </wp:inline>
              </w:drawing>
            </w:r>
            <w:r w:rsidR="004B7E2C" w:rsidRPr="00C81903">
              <w:rPr>
                <w:rFonts w:ascii="Times New Roman" w:hAnsi="Times New Roman" w:cs="Times New Roman"/>
                <w:bCs/>
                <w:sz w:val="24"/>
                <w:szCs w:val="24"/>
              </w:rPr>
              <w:t>d)</w:t>
            </w:r>
          </w:p>
        </w:tc>
        <w:tc>
          <w:tcPr>
            <w:tcW w:w="2810" w:type="dxa"/>
          </w:tcPr>
          <w:p w14:paraId="01379F18" w14:textId="223B739A" w:rsidR="00EA18F2" w:rsidRPr="00C81903" w:rsidRDefault="00D12037" w:rsidP="004B7E2C">
            <w:pPr>
              <w:spacing w:line="360" w:lineRule="auto"/>
              <w:ind w:left="-98"/>
              <w:jc w:val="both"/>
              <w:rPr>
                <w:rFonts w:ascii="Times New Roman" w:hAnsi="Times New Roman" w:cs="Times New Roman"/>
                <w:bCs/>
                <w:sz w:val="24"/>
                <w:szCs w:val="24"/>
              </w:rPr>
            </w:pPr>
            <w:r w:rsidRPr="00B13A8B">
              <w:rPr>
                <w:rFonts w:ascii="Times New Roman" w:hAnsi="Times New Roman" w:cs="Times New Roman"/>
                <w:bCs/>
                <w:noProof/>
                <w:sz w:val="24"/>
                <w:szCs w:val="24"/>
                <w:lang w:val="es-MX" w:eastAsia="es-MX"/>
              </w:rPr>
              <w:drawing>
                <wp:inline distT="0" distB="0" distL="0" distR="0" wp14:anchorId="13ACE55E" wp14:editId="4F5E1AD8">
                  <wp:extent cx="1974796" cy="1546808"/>
                  <wp:effectExtent l="4445" t="0" r="0" b="0"/>
                  <wp:docPr id="667821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21628" name="Imagen 667821628"/>
                          <pic:cNvPicPr>
                            <a:picLocks noChangeAspect="1"/>
                          </pic:cNvPicPr>
                        </pic:nvPicPr>
                        <pic:blipFill rotWithShape="1">
                          <a:blip r:embed="rId27" cstate="print">
                            <a:extLst>
                              <a:ext uri="{28A0092B-C50C-407E-A947-70E740481C1C}">
                                <a14:useLocalDpi xmlns:a14="http://schemas.microsoft.com/office/drawing/2010/main" val="0"/>
                              </a:ext>
                            </a:extLst>
                          </a:blip>
                          <a:srcRect l="45475" t="8339" r="-1"/>
                          <a:stretch>
                            <a:fillRect/>
                          </a:stretch>
                        </pic:blipFill>
                        <pic:spPr bwMode="auto">
                          <a:xfrm rot="5400000">
                            <a:off x="0" y="0"/>
                            <a:ext cx="1977969" cy="1549293"/>
                          </a:xfrm>
                          <a:prstGeom prst="rect">
                            <a:avLst/>
                          </a:prstGeom>
                          <a:noFill/>
                          <a:ln>
                            <a:noFill/>
                          </a:ln>
                          <a:extLst>
                            <a:ext uri="{53640926-AAD7-44D8-BBD7-CCE9431645EC}">
                              <a14:shadowObscured xmlns:a14="http://schemas.microsoft.com/office/drawing/2010/main"/>
                            </a:ext>
                          </a:extLst>
                        </pic:spPr>
                      </pic:pic>
                    </a:graphicData>
                  </a:graphic>
                </wp:inline>
              </w:drawing>
            </w:r>
            <w:r w:rsidR="004B7E2C" w:rsidRPr="00C81903">
              <w:rPr>
                <w:rFonts w:ascii="Times New Roman" w:hAnsi="Times New Roman" w:cs="Times New Roman"/>
                <w:bCs/>
                <w:sz w:val="24"/>
                <w:szCs w:val="24"/>
              </w:rPr>
              <w:t xml:space="preserve"> e)</w:t>
            </w:r>
          </w:p>
        </w:tc>
      </w:tr>
      <w:tr w:rsidR="00D12037" w:rsidRPr="00B13A8B" w14:paraId="28F5069D" w14:textId="77777777" w:rsidTr="004B7E2C">
        <w:tc>
          <w:tcPr>
            <w:tcW w:w="8720" w:type="dxa"/>
            <w:gridSpan w:val="4"/>
          </w:tcPr>
          <w:p w14:paraId="789C8DB3" w14:textId="11D4CF3E" w:rsidR="00D12037" w:rsidRPr="004B7E2C" w:rsidRDefault="00D12037" w:rsidP="004B7E2C">
            <w:pPr>
              <w:spacing w:line="360" w:lineRule="auto"/>
              <w:jc w:val="center"/>
              <w:rPr>
                <w:rFonts w:ascii="Times New Roman" w:hAnsi="Times New Roman" w:cs="Times New Roman"/>
                <w:bCs/>
                <w:sz w:val="20"/>
                <w:szCs w:val="20"/>
              </w:rPr>
            </w:pPr>
            <w:r w:rsidRPr="004B7E2C">
              <w:rPr>
                <w:rFonts w:ascii="Times New Roman" w:hAnsi="Times New Roman" w:cs="Times New Roman"/>
                <w:bCs/>
                <w:sz w:val="20"/>
                <w:szCs w:val="20"/>
              </w:rPr>
              <w:t xml:space="preserve">Figura 8. </w:t>
            </w:r>
            <w:r w:rsidR="00436F31" w:rsidRPr="004B7E2C">
              <w:rPr>
                <w:rFonts w:ascii="Times New Roman" w:hAnsi="Times New Roman" w:cs="Times New Roman"/>
                <w:bCs/>
                <w:sz w:val="20"/>
                <w:szCs w:val="20"/>
              </w:rPr>
              <w:t xml:space="preserve">a y b) </w:t>
            </w:r>
            <w:r w:rsidR="00EA18F2" w:rsidRPr="004B7E2C">
              <w:rPr>
                <w:rFonts w:ascii="Times New Roman" w:hAnsi="Times New Roman" w:cs="Times New Roman"/>
                <w:bCs/>
                <w:sz w:val="20"/>
                <w:szCs w:val="20"/>
              </w:rPr>
              <w:t>Afectaciones del muelle de Pilón. c – e) Algunos ejemplos de desprendimientos de rocas. Tramo Mota – Macío.</w:t>
            </w:r>
          </w:p>
        </w:tc>
      </w:tr>
    </w:tbl>
    <w:p w14:paraId="6F0B017D" w14:textId="77777777" w:rsidR="00D22548" w:rsidRDefault="00D22548" w:rsidP="00FF3346">
      <w:pPr>
        <w:spacing w:after="0" w:line="360" w:lineRule="auto"/>
        <w:jc w:val="both"/>
        <w:rPr>
          <w:rFonts w:ascii="Times New Roman" w:hAnsi="Times New Roman" w:cs="Times New Roman"/>
          <w:b/>
          <w:sz w:val="24"/>
          <w:szCs w:val="24"/>
        </w:rPr>
      </w:pPr>
    </w:p>
    <w:p w14:paraId="63188B36" w14:textId="65632233" w:rsidR="00FF3346" w:rsidRPr="00C81903" w:rsidRDefault="00FF3346" w:rsidP="00FF3346">
      <w:pPr>
        <w:spacing w:after="0" w:line="360" w:lineRule="auto"/>
        <w:jc w:val="both"/>
        <w:rPr>
          <w:rFonts w:ascii="Times New Roman" w:hAnsi="Times New Roman" w:cs="Times New Roman"/>
          <w:b/>
          <w:sz w:val="24"/>
          <w:szCs w:val="24"/>
        </w:rPr>
      </w:pPr>
      <w:r w:rsidRPr="00C81903">
        <w:rPr>
          <w:rFonts w:ascii="Times New Roman" w:hAnsi="Times New Roman" w:cs="Times New Roman"/>
          <w:b/>
          <w:sz w:val="24"/>
          <w:szCs w:val="24"/>
        </w:rPr>
        <w:t>4. Conclusiones</w:t>
      </w:r>
    </w:p>
    <w:p w14:paraId="14451864" w14:textId="0271C519" w:rsidR="00D22548" w:rsidRDefault="00D22548" w:rsidP="00F51280">
      <w:pPr>
        <w:pStyle w:val="Prrafodelista"/>
        <w:numPr>
          <w:ilvl w:val="0"/>
          <w:numId w:val="3"/>
        </w:num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Los estudios de efecto de sitio son de gran importancia </w:t>
      </w:r>
      <w:r w:rsidR="00F51280">
        <w:rPr>
          <w:rFonts w:ascii="Times New Roman" w:hAnsi="Times New Roman" w:cs="Times New Roman"/>
          <w:sz w:val="24"/>
          <w:szCs w:val="24"/>
          <w:lang w:val="es-419"/>
        </w:rPr>
        <w:t>y tienen el objetivo de</w:t>
      </w:r>
      <w:r w:rsidR="00F51280" w:rsidRPr="00F51280">
        <w:rPr>
          <w:rFonts w:ascii="Times New Roman" w:hAnsi="Times New Roman" w:cs="Times New Roman"/>
          <w:sz w:val="24"/>
          <w:szCs w:val="24"/>
          <w:lang w:val="es-419"/>
        </w:rPr>
        <w:t xml:space="preserve"> minimizar los efectos locales </w:t>
      </w:r>
      <w:r w:rsidR="00F51280">
        <w:rPr>
          <w:rFonts w:ascii="Times New Roman" w:hAnsi="Times New Roman" w:cs="Times New Roman"/>
          <w:sz w:val="24"/>
          <w:szCs w:val="24"/>
          <w:lang w:val="es-419"/>
        </w:rPr>
        <w:t xml:space="preserve"> y daños </w:t>
      </w:r>
      <w:r w:rsidR="00F51280" w:rsidRPr="00F51280">
        <w:rPr>
          <w:rFonts w:ascii="Times New Roman" w:hAnsi="Times New Roman" w:cs="Times New Roman"/>
          <w:sz w:val="24"/>
          <w:szCs w:val="24"/>
          <w:lang w:val="es-419"/>
        </w:rPr>
        <w:t>que pueden ocasionar los terremotos fuertes</w:t>
      </w:r>
      <w:r w:rsidR="00F51280">
        <w:rPr>
          <w:rFonts w:ascii="Times New Roman" w:hAnsi="Times New Roman" w:cs="Times New Roman"/>
          <w:sz w:val="24"/>
          <w:szCs w:val="24"/>
          <w:lang w:val="es-419"/>
        </w:rPr>
        <w:t>.</w:t>
      </w:r>
    </w:p>
    <w:p w14:paraId="52436E0F" w14:textId="1FF82B75" w:rsidR="00D22548" w:rsidRDefault="00F51280" w:rsidP="00D22548">
      <w:pPr>
        <w:pStyle w:val="Prrafodelista"/>
        <w:numPr>
          <w:ilvl w:val="0"/>
          <w:numId w:val="3"/>
        </w:num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L</w:t>
      </w:r>
      <w:r w:rsidR="00D22548" w:rsidRPr="00D22548">
        <w:rPr>
          <w:rFonts w:ascii="Times New Roman" w:hAnsi="Times New Roman" w:cs="Times New Roman"/>
          <w:sz w:val="24"/>
          <w:szCs w:val="24"/>
          <w:lang w:val="es-419"/>
        </w:rPr>
        <w:t>os factores de amplificación obtenidos, a partir de la modelación unidimensional 1D de suelos, son superiores a aquellos determinados por las normativas (NHERP y código cubano). Esto se sustenta en la consideración de las propiedades del suelo en profundidad, elementos que no tienen en cuenta las normativas mencionadas.</w:t>
      </w:r>
    </w:p>
    <w:p w14:paraId="3DB7A001" w14:textId="77777777" w:rsidR="00953333" w:rsidRPr="00C81903" w:rsidRDefault="007054CB" w:rsidP="007054CB">
      <w:pPr>
        <w:pStyle w:val="Prrafodelista"/>
        <w:numPr>
          <w:ilvl w:val="0"/>
          <w:numId w:val="3"/>
        </w:numPr>
        <w:spacing w:after="0" w:line="360" w:lineRule="auto"/>
        <w:jc w:val="both"/>
        <w:rPr>
          <w:rFonts w:ascii="Times New Roman" w:hAnsi="Times New Roman" w:cs="Times New Roman"/>
          <w:sz w:val="24"/>
          <w:szCs w:val="24"/>
          <w:lang w:val="es-419"/>
        </w:rPr>
      </w:pPr>
      <w:r w:rsidRPr="00C81903">
        <w:rPr>
          <w:rFonts w:ascii="Times New Roman" w:hAnsi="Times New Roman" w:cs="Times New Roman"/>
          <w:sz w:val="24"/>
          <w:szCs w:val="24"/>
          <w:lang w:val="es-419"/>
        </w:rPr>
        <w:t>La presencia de suelos sueltos en la localidad de Pilón propició la amplificación de las ondas sísmicas y, por consiguiente, la ocurrencia de daños significativos</w:t>
      </w:r>
      <w:r w:rsidR="0032341E" w:rsidRPr="00C81903">
        <w:rPr>
          <w:rFonts w:ascii="Times New Roman" w:hAnsi="Times New Roman" w:cs="Times New Roman"/>
          <w:sz w:val="24"/>
          <w:szCs w:val="24"/>
          <w:lang w:val="es-419"/>
        </w:rPr>
        <w:t xml:space="preserve"> en viviendas y edificios multifamiliares.</w:t>
      </w:r>
    </w:p>
    <w:p w14:paraId="62DBC305" w14:textId="77777777" w:rsidR="00FF3346" w:rsidRPr="003A4BCA" w:rsidRDefault="00FF3346" w:rsidP="00FF3346">
      <w:pPr>
        <w:spacing w:after="0" w:line="360" w:lineRule="auto"/>
        <w:jc w:val="both"/>
        <w:rPr>
          <w:rFonts w:ascii="Times New Roman" w:hAnsi="Times New Roman" w:cs="Times New Roman"/>
          <w:b/>
          <w:sz w:val="24"/>
          <w:szCs w:val="24"/>
          <w:lang w:val="en-GB"/>
        </w:rPr>
      </w:pPr>
      <w:r w:rsidRPr="003A4BCA">
        <w:rPr>
          <w:rFonts w:ascii="Times New Roman" w:hAnsi="Times New Roman" w:cs="Times New Roman"/>
          <w:b/>
          <w:sz w:val="24"/>
          <w:szCs w:val="24"/>
          <w:lang w:val="en-GB"/>
        </w:rPr>
        <w:lastRenderedPageBreak/>
        <w:t>5. Referencias bibliográficas</w:t>
      </w:r>
    </w:p>
    <w:p w14:paraId="5C253A1A" w14:textId="77777777" w:rsidR="00B678C2" w:rsidRDefault="00B678C2" w:rsidP="000C2583">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B678C2">
        <w:rPr>
          <w:rFonts w:ascii="Times New Roman" w:hAnsi="Times New Roman" w:cs="Times New Roman"/>
          <w:sz w:val="24"/>
          <w:szCs w:val="24"/>
          <w:lang w:val="en-US"/>
        </w:rPr>
        <w:t xml:space="preserve">BSSC (Building Seismic Safety Council), (2001): NEHRP recommended provisions for seismic regulations for new building and other structures. </w:t>
      </w:r>
      <w:r w:rsidRPr="00B678C2">
        <w:rPr>
          <w:rFonts w:ascii="Times New Roman" w:hAnsi="Times New Roman" w:cs="Times New Roman"/>
          <w:sz w:val="24"/>
          <w:szCs w:val="24"/>
        </w:rPr>
        <w:t>Part 1 - Provisions, 2000 edition. BSSC, Washington D.C., 374 pp.</w:t>
      </w:r>
    </w:p>
    <w:p w14:paraId="32169917" w14:textId="4FBE8C9D" w:rsidR="000C2583" w:rsidRPr="000C2583" w:rsidRDefault="000C2583" w:rsidP="000C2583">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0C2583">
        <w:rPr>
          <w:rFonts w:ascii="Times New Roman" w:hAnsi="Times New Roman" w:cs="Times New Roman"/>
          <w:sz w:val="24"/>
          <w:szCs w:val="24"/>
        </w:rPr>
        <w:t xml:space="preserve">Carrillo D., Echavarría B., Castellanos E., Triff J., Núñez K. (2007): Mapa geológico digital de Cuba oriental, 1:100000. Instituto de Geología y Paleontología, Sistema de Información Geológica de Cuba (SIGEOL). </w:t>
      </w:r>
    </w:p>
    <w:p w14:paraId="479A71BD" w14:textId="77777777" w:rsidR="000C2583" w:rsidRPr="000C2583" w:rsidRDefault="000C2583" w:rsidP="000C2583">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0C2583">
        <w:rPr>
          <w:rFonts w:ascii="Times New Roman" w:hAnsi="Times New Roman" w:cs="Times New Roman"/>
          <w:sz w:val="24"/>
          <w:szCs w:val="24"/>
        </w:rPr>
        <w:t>Colectivo de autores (2013): Léxico Estratigráfico de Cuba. Instituto de Geología y Paleontología.</w:t>
      </w:r>
    </w:p>
    <w:p w14:paraId="1EFD6010" w14:textId="0FFBBD50" w:rsidR="000C2583" w:rsidRPr="003A4BCA" w:rsidRDefault="000C2583" w:rsidP="000C2583">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lang w:val="en-GB"/>
        </w:rPr>
      </w:pPr>
      <w:r w:rsidRPr="003A4BCA">
        <w:rPr>
          <w:rFonts w:ascii="Times New Roman" w:hAnsi="Times New Roman" w:cs="Times New Roman"/>
          <w:sz w:val="24"/>
          <w:szCs w:val="24"/>
          <w:lang w:val="en-GB"/>
        </w:rPr>
        <w:t>Cornell C.A. (1968): Engineering seismic risk analysis. Bull. Seism. Soc. Am., 58, pp. 1583-1606.</w:t>
      </w:r>
    </w:p>
    <w:p w14:paraId="4FE2A614" w14:textId="429F0617" w:rsidR="00B678C2" w:rsidRDefault="00B678C2" w:rsidP="000C2583">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B678C2">
        <w:rPr>
          <w:rFonts w:ascii="Times New Roman" w:hAnsi="Times New Roman" w:cs="Times New Roman"/>
          <w:sz w:val="24"/>
          <w:szCs w:val="24"/>
        </w:rPr>
        <w:t>García J. (2007): Estimados de peligrosidad sísmica con el error asociado para Cuba, y cálculo de pérdidas para la ciudad de Santiago de Cuba usando técnicas SIG. Tesis en opción al grado de Doctor en Ciencias Geofísicas, Instituto de Geofísica y Astronomía, La Habana.</w:t>
      </w:r>
    </w:p>
    <w:p w14:paraId="28AF4AF6" w14:textId="77777777" w:rsidR="00B678C2" w:rsidRPr="00B678C2" w:rsidRDefault="00B678C2"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B678C2">
        <w:rPr>
          <w:rFonts w:ascii="Times New Roman" w:hAnsi="Times New Roman" w:cs="Times New Roman"/>
          <w:sz w:val="24"/>
          <w:szCs w:val="24"/>
        </w:rPr>
        <w:t>Iturralde-Vinent M.A. (1998): Sinopsis de la Constitución Geológica de Cuba. Acta Geológica Hispánica, V. 33, nº 1-4, p. 9-56</w:t>
      </w:r>
    </w:p>
    <w:p w14:paraId="0DB0E966" w14:textId="67DB7829" w:rsidR="00B678C2" w:rsidRDefault="00B678C2"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B678C2">
        <w:rPr>
          <w:rFonts w:ascii="Times New Roman" w:hAnsi="Times New Roman" w:cs="Times New Roman"/>
          <w:sz w:val="24"/>
          <w:szCs w:val="24"/>
        </w:rPr>
        <w:t>Iturralde-Vinent M.A. (2012): Compendio de Geología de Cuba y del Caribe. Segunda Edición. DVD-ROM. Editorial CITMATEL. ISBN 9-789592-572863.</w:t>
      </w:r>
    </w:p>
    <w:p w14:paraId="619A8EB4" w14:textId="7DC3E240" w:rsidR="00B678C2" w:rsidRDefault="00B678C2"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B678C2">
        <w:rPr>
          <w:rFonts w:ascii="Times New Roman" w:hAnsi="Times New Roman" w:cs="Times New Roman"/>
          <w:sz w:val="24"/>
          <w:szCs w:val="24"/>
        </w:rPr>
        <w:t>Méndez I., Aguller M., Guevara T., Rodríguez M., Ramírez M., Llull E., Recouso Y. (2003): Confección base de datos de pozos de perforación de Cuba Oriental. Ministerio de la Industria Básica. Empresa Geominera Oriente.</w:t>
      </w:r>
    </w:p>
    <w:p w14:paraId="6D0ED478" w14:textId="0C39F6AB" w:rsidR="00B678C2" w:rsidRDefault="00B678C2"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B678C2">
        <w:rPr>
          <w:rFonts w:ascii="Times New Roman" w:hAnsi="Times New Roman" w:cs="Times New Roman"/>
          <w:sz w:val="24"/>
          <w:szCs w:val="24"/>
        </w:rPr>
        <w:t>Nagy E., Bresznyánzsky K., Brito A., Coutín D., Formell F., Franco G., Gyarmati P., Radócz Gy., Jakus P. (1983): Contribución a la Geología de Cuba Oriental. Instituto de Geología y Paleontología. ACC. Editorial Científico Técnica. La Habana. Cuba. 273 p.</w:t>
      </w:r>
    </w:p>
    <w:p w14:paraId="4CD5FAB4" w14:textId="5659A4B8" w:rsidR="00866213" w:rsidRDefault="00866213"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866213">
        <w:rPr>
          <w:rFonts w:ascii="Times New Roman" w:hAnsi="Times New Roman" w:cs="Times New Roman"/>
          <w:sz w:val="24"/>
          <w:szCs w:val="24"/>
        </w:rPr>
        <w:lastRenderedPageBreak/>
        <w:t>Norma Cubana NC 46 (2017): Construcciones sismoresistentes. Requisitos básicos para el diseño y construcción, La Habana, Comité Estatal de Normalización.</w:t>
      </w:r>
    </w:p>
    <w:p w14:paraId="4472E662" w14:textId="77777777" w:rsidR="00E51E92" w:rsidRDefault="00E51E92"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lang w:val="en-US"/>
        </w:rPr>
      </w:pPr>
      <w:r w:rsidRPr="00E51E92">
        <w:rPr>
          <w:rFonts w:ascii="Times New Roman" w:hAnsi="Times New Roman" w:cs="Times New Roman"/>
          <w:sz w:val="24"/>
          <w:szCs w:val="24"/>
          <w:lang w:val="en-US"/>
        </w:rPr>
        <w:t xml:space="preserve">Ohta Y. and Goto N. (1978): Empirical shear wave velocity equations in terms of characteristic soil indexes. Earthquake Engineering and Structural Dynamics, Vol. 6, 167-187. </w:t>
      </w:r>
    </w:p>
    <w:p w14:paraId="51CF4EAA" w14:textId="5E06C2FA" w:rsidR="00866213" w:rsidRPr="003A4BCA" w:rsidRDefault="00866213"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lang w:val="es-419"/>
        </w:rPr>
      </w:pPr>
      <w:r w:rsidRPr="00866213">
        <w:rPr>
          <w:rFonts w:ascii="Times New Roman" w:hAnsi="Times New Roman" w:cs="Times New Roman"/>
          <w:sz w:val="24"/>
          <w:szCs w:val="24"/>
          <w:lang w:val="en-US"/>
        </w:rPr>
        <w:t xml:space="preserve">Sadovskii M.A., Nersesov I.L., Medvedev S.V. and Liamzina G.A. (1973): Main principles of the seismic microzoning. </w:t>
      </w:r>
      <w:r w:rsidRPr="003A4BCA">
        <w:rPr>
          <w:rFonts w:ascii="Times New Roman" w:hAnsi="Times New Roman" w:cs="Times New Roman"/>
          <w:sz w:val="24"/>
          <w:szCs w:val="24"/>
          <w:lang w:val="es-419"/>
        </w:rPr>
        <w:t>Voprosii Inzheniernoi Seismologii, Moscow, 15, 3-34, in Russian.</w:t>
      </w:r>
    </w:p>
    <w:p w14:paraId="48D39659" w14:textId="0A0BA239" w:rsidR="00866213" w:rsidRDefault="00866213"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r w:rsidRPr="00866213">
        <w:rPr>
          <w:rFonts w:ascii="Times New Roman" w:hAnsi="Times New Roman" w:cs="Times New Roman"/>
          <w:sz w:val="24"/>
          <w:szCs w:val="24"/>
        </w:rPr>
        <w:t>Sanò T. e Pugliese A. (1991): PSHAKE, Analisi probabilistica della propagazione delle onde sismiche, ENEA, RT/DISP/91/03.</w:t>
      </w:r>
    </w:p>
    <w:p w14:paraId="1471240E" w14:textId="77777777" w:rsidR="00B678C2" w:rsidRDefault="00B678C2"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p>
    <w:p w14:paraId="460D7034" w14:textId="77777777" w:rsidR="00B678C2" w:rsidRPr="000C2583" w:rsidRDefault="00B678C2" w:rsidP="00B678C2">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Times New Roman" w:hAnsi="Times New Roman" w:cs="Times New Roman"/>
          <w:sz w:val="24"/>
          <w:szCs w:val="24"/>
        </w:rPr>
      </w:pPr>
    </w:p>
    <w:p w14:paraId="00E79BC9" w14:textId="77777777" w:rsidR="000C2583" w:rsidRPr="000C2583" w:rsidRDefault="000C2583" w:rsidP="000C2583">
      <w:pPr>
        <w:tabs>
          <w:tab w:val="left" w:pos="288"/>
          <w:tab w:val="left" w:pos="1728"/>
          <w:tab w:val="left" w:pos="2448"/>
          <w:tab w:val="left" w:pos="3168"/>
          <w:tab w:val="left" w:pos="3888"/>
          <w:tab w:val="left" w:pos="4608"/>
          <w:tab w:val="left" w:pos="5328"/>
          <w:tab w:val="left" w:pos="6048"/>
        </w:tabs>
        <w:spacing w:before="120" w:after="0" w:line="384" w:lineRule="auto"/>
        <w:ind w:left="567" w:hanging="567"/>
        <w:jc w:val="both"/>
        <w:rPr>
          <w:rFonts w:ascii="Arial Narrow" w:eastAsia="Times New Roman" w:hAnsi="Arial Narrow" w:cs="Arial"/>
          <w:sz w:val="24"/>
          <w:szCs w:val="24"/>
          <w:lang w:val="es-US" w:eastAsia="es-ES"/>
        </w:rPr>
      </w:pPr>
    </w:p>
    <w:p w14:paraId="23D589C2" w14:textId="45EC8D81" w:rsidR="00D36D1C" w:rsidRPr="00B678C2" w:rsidRDefault="00D36D1C" w:rsidP="000C2583">
      <w:pPr>
        <w:spacing w:after="0" w:line="360" w:lineRule="auto"/>
        <w:jc w:val="both"/>
        <w:rPr>
          <w:rFonts w:ascii="Times New Roman" w:hAnsi="Times New Roman" w:cs="Times New Roman"/>
          <w:sz w:val="24"/>
          <w:szCs w:val="24"/>
          <w:lang w:val="es-US"/>
        </w:rPr>
      </w:pPr>
    </w:p>
    <w:sectPr w:rsidR="00D36D1C" w:rsidRPr="00B678C2" w:rsidSect="00C8585B">
      <w:headerReference w:type="default" r:id="rId28"/>
      <w:footerReference w:type="default" r:id="rId2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FBE71" w14:textId="77777777" w:rsidR="00E0293C" w:rsidRDefault="00E0293C" w:rsidP="00C8585B">
      <w:pPr>
        <w:spacing w:after="0" w:line="240" w:lineRule="auto"/>
      </w:pPr>
      <w:r>
        <w:separator/>
      </w:r>
    </w:p>
  </w:endnote>
  <w:endnote w:type="continuationSeparator" w:id="0">
    <w:p w14:paraId="5FEA4997" w14:textId="77777777" w:rsidR="00E0293C" w:rsidRDefault="00E0293C"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14:paraId="09CAB971" w14:textId="39B14A02" w:rsidR="009D5E02" w:rsidRDefault="00E40131">
        <w:pPr>
          <w:pStyle w:val="Piedepgina"/>
          <w:jc w:val="right"/>
        </w:pPr>
        <w:r>
          <w:fldChar w:fldCharType="begin"/>
        </w:r>
        <w:r>
          <w:instrText xml:space="preserve"> PAGE   \* MERGEFORMAT </w:instrText>
        </w:r>
        <w:r>
          <w:fldChar w:fldCharType="separate"/>
        </w:r>
        <w:r w:rsidR="001C7A41">
          <w:rPr>
            <w:noProof/>
          </w:rPr>
          <w:t>1</w:t>
        </w:r>
        <w:r>
          <w:rPr>
            <w:noProof/>
          </w:rPr>
          <w:fldChar w:fldCharType="end"/>
        </w:r>
      </w:p>
    </w:sdtContent>
  </w:sdt>
  <w:p w14:paraId="4138DC52" w14:textId="77777777"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sidR="00357A82">
      <w:rPr>
        <w:rFonts w:ascii="Verdana" w:hAnsi="Verdana"/>
        <w:b/>
        <w:sz w:val="16"/>
        <w:szCs w:val="16"/>
        <w:lang w:val="es-ES_tradnl"/>
      </w:rPr>
      <w:t>5</w:t>
    </w:r>
  </w:p>
  <w:p w14:paraId="3D691F70"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4E7E9E0" w14:textId="77777777"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B71A7" w14:textId="77777777" w:rsidR="00E0293C" w:rsidRDefault="00E0293C" w:rsidP="00C8585B">
      <w:pPr>
        <w:spacing w:after="0" w:line="240" w:lineRule="auto"/>
      </w:pPr>
      <w:r>
        <w:separator/>
      </w:r>
    </w:p>
  </w:footnote>
  <w:footnote w:type="continuationSeparator" w:id="0">
    <w:p w14:paraId="1E63595F" w14:textId="77777777" w:rsidR="00E0293C" w:rsidRDefault="00E0293C"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14:paraId="3B33FB3B" w14:textId="77777777" w:rsidTr="00F31B37">
      <w:trPr>
        <w:trHeight w:val="1114"/>
        <w:jc w:val="center"/>
      </w:trPr>
      <w:tc>
        <w:tcPr>
          <w:tcW w:w="1425" w:type="dxa"/>
        </w:tcPr>
        <w:p w14:paraId="19DF3BF0"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58240" behindDoc="1" locked="0" layoutInCell="1" allowOverlap="1" wp14:anchorId="5B955AFF" wp14:editId="0BD0CE5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240B35D7" w14:textId="77777777" w:rsidR="00F31B37" w:rsidRDefault="00F31B37" w:rsidP="00F31B37">
          <w:pPr>
            <w:pStyle w:val="Encabezado"/>
            <w:jc w:val="center"/>
            <w:rPr>
              <w:rFonts w:ascii="Verdana" w:hAnsi="Verdana"/>
              <w:b/>
              <w:sz w:val="16"/>
              <w:szCs w:val="16"/>
              <w:lang w:val="es-ES_tradnl"/>
            </w:rPr>
          </w:pPr>
        </w:p>
        <w:p w14:paraId="5D1D2FCD" w14:textId="77777777"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00357A82">
            <w:rPr>
              <w:rFonts w:ascii="Verdana" w:hAnsi="Verdana"/>
              <w:b/>
              <w:sz w:val="16"/>
              <w:szCs w:val="16"/>
              <w:lang w:val="es-ES_tradnl"/>
            </w:rPr>
            <w:t>Internacional UCLV 2025</w:t>
          </w:r>
        </w:p>
        <w:p w14:paraId="43BFBC3D"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DA55829" w14:textId="612CD487" w:rsidR="00F31B37" w:rsidRPr="00963F0A" w:rsidRDefault="00963F0A" w:rsidP="00F31B37">
          <w:pPr>
            <w:pStyle w:val="Encabezado"/>
            <w:jc w:val="center"/>
            <w:rPr>
              <w:rFonts w:ascii="Verdana" w:hAnsi="Verdana"/>
              <w:b/>
              <w:sz w:val="18"/>
              <w:szCs w:val="18"/>
              <w:lang w:val="es-US"/>
            </w:rPr>
          </w:pPr>
          <w:r w:rsidRPr="00963F0A">
            <w:rPr>
              <w:rFonts w:ascii="Verdana" w:hAnsi="Verdana"/>
              <w:b/>
              <w:sz w:val="16"/>
              <w:szCs w:val="16"/>
              <w:lang w:val="es-ES_tradnl"/>
            </w:rPr>
            <w:t>Terremotos del 10 de noviembre 2024 en Cuba. Incidencia del efecto de sitio en el daño a las edificaciones</w:t>
          </w:r>
        </w:p>
      </w:tc>
    </w:tr>
  </w:tbl>
  <w:p w14:paraId="5439D435"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8043E"/>
    <w:multiLevelType w:val="hybridMultilevel"/>
    <w:tmpl w:val="C24A20D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3A744603"/>
    <w:multiLevelType w:val="hybridMultilevel"/>
    <w:tmpl w:val="721C08D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27396"/>
    <w:rsid w:val="00046F14"/>
    <w:rsid w:val="00070EA9"/>
    <w:rsid w:val="0007738C"/>
    <w:rsid w:val="000900A7"/>
    <w:rsid w:val="000A6EC7"/>
    <w:rsid w:val="000C14DC"/>
    <w:rsid w:val="000C2583"/>
    <w:rsid w:val="000F38B6"/>
    <w:rsid w:val="00113711"/>
    <w:rsid w:val="001739E0"/>
    <w:rsid w:val="001B0CA7"/>
    <w:rsid w:val="001C7A41"/>
    <w:rsid w:val="002370F5"/>
    <w:rsid w:val="002D3632"/>
    <w:rsid w:val="002D3C4A"/>
    <w:rsid w:val="002E0882"/>
    <w:rsid w:val="002E272A"/>
    <w:rsid w:val="002E32E2"/>
    <w:rsid w:val="003037E9"/>
    <w:rsid w:val="0031018F"/>
    <w:rsid w:val="0032341E"/>
    <w:rsid w:val="003461EE"/>
    <w:rsid w:val="00357A82"/>
    <w:rsid w:val="003A4BCA"/>
    <w:rsid w:val="003D01AE"/>
    <w:rsid w:val="003F5922"/>
    <w:rsid w:val="003F710F"/>
    <w:rsid w:val="00403285"/>
    <w:rsid w:val="00436F31"/>
    <w:rsid w:val="004403B7"/>
    <w:rsid w:val="00480716"/>
    <w:rsid w:val="0048310D"/>
    <w:rsid w:val="004A4F18"/>
    <w:rsid w:val="004B7E2C"/>
    <w:rsid w:val="004E5724"/>
    <w:rsid w:val="00500C36"/>
    <w:rsid w:val="00527F19"/>
    <w:rsid w:val="005754D8"/>
    <w:rsid w:val="00594CC4"/>
    <w:rsid w:val="005A4B38"/>
    <w:rsid w:val="006261A4"/>
    <w:rsid w:val="006271E4"/>
    <w:rsid w:val="0063778C"/>
    <w:rsid w:val="00666757"/>
    <w:rsid w:val="00667F10"/>
    <w:rsid w:val="00671849"/>
    <w:rsid w:val="006E5659"/>
    <w:rsid w:val="007054CB"/>
    <w:rsid w:val="007337DC"/>
    <w:rsid w:val="007455FF"/>
    <w:rsid w:val="00757680"/>
    <w:rsid w:val="00783EA1"/>
    <w:rsid w:val="007A2796"/>
    <w:rsid w:val="007A3303"/>
    <w:rsid w:val="007A68C6"/>
    <w:rsid w:val="007E649D"/>
    <w:rsid w:val="00815971"/>
    <w:rsid w:val="00856737"/>
    <w:rsid w:val="00866213"/>
    <w:rsid w:val="0088159E"/>
    <w:rsid w:val="008A1C16"/>
    <w:rsid w:val="009061A5"/>
    <w:rsid w:val="0091621C"/>
    <w:rsid w:val="00953333"/>
    <w:rsid w:val="009639DF"/>
    <w:rsid w:val="00963F0A"/>
    <w:rsid w:val="00972A58"/>
    <w:rsid w:val="00994105"/>
    <w:rsid w:val="00996B64"/>
    <w:rsid w:val="009B1EF2"/>
    <w:rsid w:val="009D5E02"/>
    <w:rsid w:val="009D67CD"/>
    <w:rsid w:val="00A0099A"/>
    <w:rsid w:val="00A02C69"/>
    <w:rsid w:val="00A04AB9"/>
    <w:rsid w:val="00A06F38"/>
    <w:rsid w:val="00A156A5"/>
    <w:rsid w:val="00A20E5D"/>
    <w:rsid w:val="00A21A1F"/>
    <w:rsid w:val="00A62A14"/>
    <w:rsid w:val="00AB6F95"/>
    <w:rsid w:val="00AD613F"/>
    <w:rsid w:val="00AE534B"/>
    <w:rsid w:val="00B13A8B"/>
    <w:rsid w:val="00B2024E"/>
    <w:rsid w:val="00B427EB"/>
    <w:rsid w:val="00B678C2"/>
    <w:rsid w:val="00B80E97"/>
    <w:rsid w:val="00B863C2"/>
    <w:rsid w:val="00BC29D2"/>
    <w:rsid w:val="00BC770B"/>
    <w:rsid w:val="00C01EAD"/>
    <w:rsid w:val="00C17100"/>
    <w:rsid w:val="00C805CA"/>
    <w:rsid w:val="00C81903"/>
    <w:rsid w:val="00C8585B"/>
    <w:rsid w:val="00CA7299"/>
    <w:rsid w:val="00CD2BC3"/>
    <w:rsid w:val="00CD4E53"/>
    <w:rsid w:val="00CD75C3"/>
    <w:rsid w:val="00D12037"/>
    <w:rsid w:val="00D22548"/>
    <w:rsid w:val="00D36D1C"/>
    <w:rsid w:val="00D429A5"/>
    <w:rsid w:val="00D6337B"/>
    <w:rsid w:val="00D73DE9"/>
    <w:rsid w:val="00DE019C"/>
    <w:rsid w:val="00E002C4"/>
    <w:rsid w:val="00E0293C"/>
    <w:rsid w:val="00E35A3A"/>
    <w:rsid w:val="00E36A2C"/>
    <w:rsid w:val="00E40131"/>
    <w:rsid w:val="00E45A12"/>
    <w:rsid w:val="00E51D90"/>
    <w:rsid w:val="00E51E92"/>
    <w:rsid w:val="00E912D0"/>
    <w:rsid w:val="00EA18F2"/>
    <w:rsid w:val="00ED7E8C"/>
    <w:rsid w:val="00EE1A31"/>
    <w:rsid w:val="00EE678B"/>
    <w:rsid w:val="00F31B37"/>
    <w:rsid w:val="00F51280"/>
    <w:rsid w:val="00F578ED"/>
    <w:rsid w:val="00F91FD6"/>
    <w:rsid w:val="00F95183"/>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CAB63"/>
  <w15:docId w15:val="{21403041-4109-4E1B-B07F-F6AB249AD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59"/>
    <w:rsid w:val="00EE6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742290619">
      <w:bodyDiv w:val="1"/>
      <w:marLeft w:val="0"/>
      <w:marRight w:val="0"/>
      <w:marTop w:val="0"/>
      <w:marBottom w:val="0"/>
      <w:divBdr>
        <w:top w:val="none" w:sz="0" w:space="0" w:color="auto"/>
        <w:left w:val="none" w:sz="0" w:space="0" w:color="auto"/>
        <w:bottom w:val="none" w:sz="0" w:space="0" w:color="auto"/>
        <w:right w:val="none" w:sz="0" w:space="0" w:color="auto"/>
      </w:divBdr>
    </w:div>
    <w:div w:id="1166631586">
      <w:bodyDiv w:val="1"/>
      <w:marLeft w:val="0"/>
      <w:marRight w:val="0"/>
      <w:marTop w:val="0"/>
      <w:marBottom w:val="0"/>
      <w:divBdr>
        <w:top w:val="none" w:sz="0" w:space="0" w:color="auto"/>
        <w:left w:val="none" w:sz="0" w:space="0" w:color="auto"/>
        <w:bottom w:val="none" w:sz="0" w:space="0" w:color="auto"/>
        <w:right w:val="none" w:sz="0" w:space="0" w:color="auto"/>
      </w:divBdr>
    </w:div>
    <w:div w:id="1749617260">
      <w:bodyDiv w:val="1"/>
      <w:marLeft w:val="0"/>
      <w:marRight w:val="0"/>
      <w:marTop w:val="0"/>
      <w:marBottom w:val="0"/>
      <w:divBdr>
        <w:top w:val="none" w:sz="0" w:space="0" w:color="auto"/>
        <w:left w:val="none" w:sz="0" w:space="0" w:color="auto"/>
        <w:bottom w:val="none" w:sz="0" w:space="0" w:color="auto"/>
        <w:right w:val="none" w:sz="0" w:space="0" w:color="auto"/>
      </w:divBdr>
    </w:div>
    <w:div w:id="178842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15</Pages>
  <Words>3634</Words>
  <Characters>19992</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Lamberto</cp:lastModifiedBy>
  <cp:revision>68</cp:revision>
  <dcterms:created xsi:type="dcterms:W3CDTF">2025-09-17T16:45:00Z</dcterms:created>
  <dcterms:modified xsi:type="dcterms:W3CDTF">2025-09-23T00:06:00Z</dcterms:modified>
</cp:coreProperties>
</file>