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5965" w:rsidRPr="002A3855" w:rsidRDefault="00E04274" w:rsidP="00915965">
      <w:pPr>
        <w:spacing w:after="0" w:line="240" w:lineRule="auto"/>
        <w:jc w:val="center"/>
        <w:rPr>
          <w:rFonts w:ascii="Times New Roman" w:hAnsi="Times New Roman" w:cs="Times New Roman"/>
          <w:b/>
          <w:sz w:val="24"/>
          <w:szCs w:val="24"/>
        </w:rPr>
      </w:pPr>
      <w:r w:rsidRPr="002A3855">
        <w:rPr>
          <w:rFonts w:ascii="Times New Roman" w:hAnsi="Times New Roman" w:cs="Times New Roman"/>
          <w:b/>
          <w:sz w:val="28"/>
          <w:szCs w:val="28"/>
        </w:rPr>
        <w:t>IV SIMPOSIO INTERNACIONAL “ACTIVIDAD FÍSICA, DEPORTE Y RECREACIÓN 2025”</w:t>
      </w:r>
      <w:r w:rsidR="00915965" w:rsidRPr="002A3855">
        <w:rPr>
          <w:rFonts w:ascii="Times New Roman" w:hAnsi="Times New Roman" w:cs="Times New Roman"/>
          <w:b/>
          <w:sz w:val="28"/>
          <w:szCs w:val="28"/>
        </w:rPr>
        <w:t xml:space="preserve"> </w:t>
      </w:r>
    </w:p>
    <w:p w:rsidR="00E04274" w:rsidRPr="002A3855" w:rsidRDefault="00E04274" w:rsidP="00E04274">
      <w:pPr>
        <w:spacing w:after="0"/>
        <w:jc w:val="center"/>
        <w:rPr>
          <w:rFonts w:ascii="Times New Roman" w:hAnsi="Times New Roman" w:cs="Times New Roman"/>
          <w:b/>
          <w:sz w:val="24"/>
          <w:szCs w:val="24"/>
        </w:rPr>
      </w:pPr>
      <w:r w:rsidRPr="002A3855">
        <w:rPr>
          <w:rFonts w:ascii="Times New Roman" w:hAnsi="Times New Roman" w:cs="Times New Roman"/>
          <w:b/>
          <w:sz w:val="24"/>
          <w:szCs w:val="24"/>
        </w:rPr>
        <w:t>Taller Deporte de Iniciación y Alto Rendimiento</w:t>
      </w:r>
    </w:p>
    <w:p w:rsidR="00E912D0" w:rsidRPr="002A3855" w:rsidRDefault="00E912D0" w:rsidP="00667F10">
      <w:pPr>
        <w:spacing w:after="0"/>
        <w:jc w:val="center"/>
        <w:rPr>
          <w:rFonts w:ascii="Times New Roman" w:hAnsi="Times New Roman" w:cs="Times New Roman"/>
          <w:b/>
          <w:sz w:val="24"/>
          <w:szCs w:val="24"/>
        </w:rPr>
      </w:pPr>
    </w:p>
    <w:p w:rsidR="00915965" w:rsidRPr="002A3855" w:rsidRDefault="00915965" w:rsidP="00915965">
      <w:pPr>
        <w:spacing w:after="0" w:line="240" w:lineRule="auto"/>
        <w:jc w:val="center"/>
        <w:rPr>
          <w:rFonts w:ascii="Times New Roman" w:hAnsi="Times New Roman" w:cs="Times New Roman"/>
          <w:b/>
          <w:sz w:val="24"/>
          <w:szCs w:val="24"/>
        </w:rPr>
      </w:pPr>
      <w:r w:rsidRPr="002A3855">
        <w:rPr>
          <w:rFonts w:ascii="Times New Roman" w:hAnsi="Times New Roman" w:cs="Times New Roman"/>
          <w:b/>
          <w:sz w:val="28"/>
          <w:szCs w:val="28"/>
        </w:rPr>
        <w:t>“</w:t>
      </w:r>
      <w:r w:rsidRPr="002A3855">
        <w:rPr>
          <w:rFonts w:ascii="Times New Roman" w:hAnsi="Times New Roman" w:cs="Times New Roman"/>
          <w:b/>
          <w:sz w:val="24"/>
          <w:szCs w:val="24"/>
        </w:rPr>
        <w:t>VIDEO DIDÁCTICO BASADO EN LA “KATA DE ELEMENTOS BÁSICOS DEL JUDO” PARA LA FORMACIÓN PROFESIONAL EN LA FCF-UCLV”</w:t>
      </w:r>
    </w:p>
    <w:p w:rsidR="008A1C16" w:rsidRPr="002A3855" w:rsidRDefault="008A1C16" w:rsidP="00667F10">
      <w:pPr>
        <w:spacing w:after="0"/>
        <w:jc w:val="center"/>
        <w:rPr>
          <w:rFonts w:ascii="Times New Roman" w:hAnsi="Times New Roman" w:cs="Times New Roman"/>
          <w:b/>
          <w:sz w:val="28"/>
          <w:szCs w:val="28"/>
        </w:rPr>
      </w:pPr>
    </w:p>
    <w:p w:rsidR="008A1C16" w:rsidRPr="002A3855" w:rsidRDefault="00915965" w:rsidP="00667F10">
      <w:pPr>
        <w:spacing w:after="0"/>
        <w:jc w:val="center"/>
        <w:rPr>
          <w:rFonts w:ascii="Times New Roman" w:hAnsi="Times New Roman" w:cs="Times New Roman"/>
          <w:b/>
          <w:i/>
          <w:sz w:val="24"/>
          <w:szCs w:val="24"/>
        </w:rPr>
      </w:pPr>
      <w:r w:rsidRPr="002A3855">
        <w:rPr>
          <w:rFonts w:ascii="Times New Roman" w:hAnsi="Times New Roman" w:cs="Times New Roman"/>
          <w:b/>
          <w:i/>
          <w:sz w:val="24"/>
          <w:szCs w:val="24"/>
        </w:rPr>
        <w:t>DIDACTIC VIDEO BASED ON THE “BASIC JUDO ELEMENTS KATA” IN ORDER TO PROFESSIONAL DEVELOPMENT IN THE FCF-UCLV</w:t>
      </w:r>
    </w:p>
    <w:p w:rsidR="009D5E02" w:rsidRPr="002A3855" w:rsidRDefault="009D5E02" w:rsidP="00FF3346">
      <w:pPr>
        <w:spacing w:after="0" w:line="360" w:lineRule="auto"/>
        <w:rPr>
          <w:rFonts w:ascii="Times New Roman" w:hAnsi="Times New Roman" w:cs="Times New Roman"/>
          <w:b/>
          <w:sz w:val="24"/>
          <w:szCs w:val="24"/>
        </w:rPr>
      </w:pPr>
    </w:p>
    <w:p w:rsidR="00DF39C8" w:rsidRDefault="00DF39C8" w:rsidP="00DF39C8">
      <w:pPr>
        <w:spacing w:after="0" w:line="360" w:lineRule="auto"/>
        <w:jc w:val="center"/>
        <w:rPr>
          <w:rFonts w:ascii="Times New Roman" w:hAnsi="Times New Roman" w:cs="Times New Roman"/>
          <w:b/>
          <w:sz w:val="24"/>
          <w:szCs w:val="24"/>
          <w:vertAlign w:val="superscript"/>
        </w:rPr>
      </w:pPr>
      <w:r w:rsidRPr="002A3855">
        <w:rPr>
          <w:rFonts w:ascii="Times New Roman" w:hAnsi="Times New Roman" w:cs="Times New Roman"/>
          <w:b/>
          <w:sz w:val="24"/>
          <w:szCs w:val="24"/>
        </w:rPr>
        <w:t>Erik Hernández Solis</w:t>
      </w:r>
      <w:r w:rsidRPr="002A3855">
        <w:rPr>
          <w:rFonts w:ascii="Times New Roman" w:hAnsi="Times New Roman" w:cs="Times New Roman"/>
          <w:b/>
          <w:sz w:val="24"/>
          <w:szCs w:val="24"/>
          <w:vertAlign w:val="superscript"/>
        </w:rPr>
        <w:t>1</w:t>
      </w:r>
      <w:r w:rsidRPr="002A3855">
        <w:rPr>
          <w:rFonts w:ascii="Times New Roman" w:hAnsi="Times New Roman" w:cs="Times New Roman"/>
          <w:b/>
          <w:sz w:val="24"/>
          <w:szCs w:val="24"/>
        </w:rPr>
        <w:t>, Jorge Abundio González Pascual</w:t>
      </w:r>
      <w:r w:rsidRPr="002A3855">
        <w:rPr>
          <w:rFonts w:ascii="Times New Roman" w:hAnsi="Times New Roman" w:cs="Times New Roman"/>
          <w:b/>
          <w:sz w:val="24"/>
          <w:szCs w:val="24"/>
          <w:vertAlign w:val="superscript"/>
        </w:rPr>
        <w:t>2</w:t>
      </w:r>
      <w:r w:rsidR="00076B86" w:rsidRPr="002A3855">
        <w:rPr>
          <w:rFonts w:ascii="Times New Roman" w:hAnsi="Times New Roman" w:cs="Times New Roman"/>
          <w:b/>
          <w:sz w:val="24"/>
          <w:szCs w:val="24"/>
        </w:rPr>
        <w:t>, Edgar Hernández Solis</w:t>
      </w:r>
      <w:r w:rsidR="00076B86" w:rsidRPr="002A3855">
        <w:rPr>
          <w:rFonts w:ascii="Times New Roman" w:hAnsi="Times New Roman" w:cs="Times New Roman"/>
          <w:b/>
          <w:sz w:val="24"/>
          <w:szCs w:val="24"/>
          <w:vertAlign w:val="superscript"/>
        </w:rPr>
        <w:t>3</w:t>
      </w:r>
    </w:p>
    <w:p w:rsidR="003135CC" w:rsidRPr="002A3855" w:rsidRDefault="00943B20" w:rsidP="003135CC">
      <w:pPr>
        <w:spacing w:after="0" w:line="360" w:lineRule="auto"/>
        <w:rPr>
          <w:rFonts w:ascii="Times New Roman" w:hAnsi="Times New Roman" w:cs="Times New Roman"/>
          <w:b/>
          <w:sz w:val="24"/>
          <w:szCs w:val="24"/>
          <w:vertAlign w:val="superscript"/>
        </w:rPr>
      </w:pPr>
      <w:r>
        <w:rPr>
          <w:rFonts w:ascii="Times New Roman" w:hAnsi="Times New Roman" w:cs="Times New Roman"/>
          <w:b/>
          <w:sz w:val="24"/>
          <w:szCs w:val="24"/>
          <w:vertAlign w:val="superscript"/>
        </w:rPr>
        <w:t>4</w:t>
      </w:r>
      <w:r>
        <w:rPr>
          <w:rFonts w:ascii="Times New Roman" w:hAnsi="Times New Roman" w:cs="Times New Roman"/>
          <w:b/>
          <w:sz w:val="24"/>
          <w:szCs w:val="24"/>
        </w:rPr>
        <w:t xml:space="preserve">Nelson </w:t>
      </w:r>
      <w:r w:rsidR="00625465">
        <w:rPr>
          <w:rFonts w:ascii="Times New Roman" w:hAnsi="Times New Roman" w:cs="Times New Roman"/>
          <w:b/>
          <w:sz w:val="24"/>
          <w:szCs w:val="24"/>
        </w:rPr>
        <w:t>Leonardo Martínez Ramos</w:t>
      </w:r>
    </w:p>
    <w:p w:rsidR="00914C6B" w:rsidRPr="002A3855" w:rsidRDefault="00914C6B" w:rsidP="00914C6B">
      <w:pPr>
        <w:spacing w:after="0" w:line="360" w:lineRule="auto"/>
        <w:rPr>
          <w:rFonts w:ascii="Times New Roman" w:hAnsi="Times New Roman" w:cs="Times New Roman"/>
          <w:sz w:val="24"/>
          <w:szCs w:val="24"/>
        </w:rPr>
      </w:pPr>
      <w:r w:rsidRPr="002A3855">
        <w:rPr>
          <w:rFonts w:ascii="Times New Roman" w:hAnsi="Times New Roman" w:cs="Times New Roman"/>
          <w:sz w:val="24"/>
          <w:szCs w:val="24"/>
          <w:vertAlign w:val="superscript"/>
        </w:rPr>
        <w:t>1</w:t>
      </w:r>
      <w:r w:rsidRPr="002A3855">
        <w:rPr>
          <w:rFonts w:ascii="Times New Roman" w:hAnsi="Times New Roman" w:cs="Times New Roman"/>
          <w:sz w:val="24"/>
          <w:szCs w:val="24"/>
        </w:rPr>
        <w:t>Doctor en Ciencias de la Cultura Física; Universidad Central “Marta Abreu” de Las Villas, Villa Clara, Cuba, Facultad de Cultura Física https://orcid.org/0000-0002-</w:t>
      </w:r>
      <w:r w:rsidR="008E618A" w:rsidRPr="002A3855">
        <w:rPr>
          <w:rFonts w:ascii="Times New Roman" w:hAnsi="Times New Roman" w:cs="Times New Roman"/>
          <w:sz w:val="24"/>
          <w:szCs w:val="24"/>
        </w:rPr>
        <w:t>6241</w:t>
      </w:r>
      <w:r w:rsidRPr="002A3855">
        <w:rPr>
          <w:rFonts w:ascii="Times New Roman" w:hAnsi="Times New Roman" w:cs="Times New Roman"/>
          <w:sz w:val="24"/>
          <w:szCs w:val="24"/>
        </w:rPr>
        <w:t>-</w:t>
      </w:r>
      <w:r w:rsidR="008E618A" w:rsidRPr="002A3855">
        <w:rPr>
          <w:rFonts w:ascii="Times New Roman" w:hAnsi="Times New Roman" w:cs="Times New Roman"/>
          <w:sz w:val="24"/>
          <w:szCs w:val="24"/>
        </w:rPr>
        <w:t>2380</w:t>
      </w:r>
      <w:r w:rsidRPr="002A3855">
        <w:rPr>
          <w:rFonts w:ascii="Times New Roman" w:hAnsi="Times New Roman" w:cs="Times New Roman"/>
          <w:sz w:val="24"/>
          <w:szCs w:val="24"/>
        </w:rPr>
        <w:t xml:space="preserve"> </w:t>
      </w:r>
      <w:hyperlink r:id="rId7" w:history="1">
        <w:r w:rsidR="00BA5DA7" w:rsidRPr="002A3855">
          <w:rPr>
            <w:rStyle w:val="Hipervnculo"/>
            <w:rFonts w:ascii="Times New Roman" w:hAnsi="Times New Roman" w:cs="Times New Roman"/>
            <w:color w:val="auto"/>
            <w:sz w:val="24"/>
            <w:szCs w:val="24"/>
          </w:rPr>
          <w:t>ehsolis@uclv.cu</w:t>
        </w:r>
      </w:hyperlink>
      <w:r w:rsidR="005051A1" w:rsidRPr="002A3855">
        <w:rPr>
          <w:rFonts w:ascii="Times New Roman" w:hAnsi="Times New Roman" w:cs="Times New Roman"/>
          <w:sz w:val="24"/>
          <w:szCs w:val="24"/>
        </w:rPr>
        <w:t xml:space="preserve">, </w:t>
      </w:r>
      <w:hyperlink r:id="rId8" w:history="1">
        <w:r w:rsidR="005051A1" w:rsidRPr="002A3855">
          <w:rPr>
            <w:rStyle w:val="Hipervnculo"/>
            <w:rFonts w:ascii="Times New Roman" w:hAnsi="Times New Roman" w:cs="Times New Roman"/>
            <w:color w:val="auto"/>
            <w:sz w:val="24"/>
            <w:szCs w:val="24"/>
          </w:rPr>
          <w:t>erikhernandezsolis72@gmail.com</w:t>
        </w:r>
      </w:hyperlink>
    </w:p>
    <w:p w:rsidR="005051A1" w:rsidRPr="002A3855" w:rsidRDefault="005051A1" w:rsidP="005051A1">
      <w:pPr>
        <w:spacing w:after="0" w:line="360" w:lineRule="auto"/>
        <w:rPr>
          <w:rFonts w:ascii="Times New Roman" w:hAnsi="Times New Roman" w:cs="Times New Roman"/>
          <w:sz w:val="24"/>
          <w:szCs w:val="24"/>
        </w:rPr>
      </w:pPr>
      <w:r w:rsidRPr="002A3855">
        <w:rPr>
          <w:rFonts w:ascii="Times New Roman" w:hAnsi="Times New Roman" w:cs="Times New Roman"/>
          <w:sz w:val="24"/>
          <w:szCs w:val="24"/>
          <w:vertAlign w:val="superscript"/>
        </w:rPr>
        <w:t>2</w:t>
      </w:r>
      <w:r w:rsidRPr="002A3855">
        <w:rPr>
          <w:rFonts w:ascii="Times New Roman" w:hAnsi="Times New Roman" w:cs="Times New Roman"/>
          <w:sz w:val="24"/>
          <w:szCs w:val="24"/>
        </w:rPr>
        <w:t xml:space="preserve">Doctor en Ciencias de la Cultura Física; Universidad Central “Marta Abreu” de Las Villas, Villa Clara, Cuba, Facultad de Cultura Física https://orcid.org/0000-0003-3357-074X </w:t>
      </w:r>
      <w:hyperlink r:id="rId9" w:history="1">
        <w:r w:rsidRPr="002A3855">
          <w:rPr>
            <w:rStyle w:val="Hipervnculo"/>
            <w:rFonts w:ascii="Times New Roman" w:hAnsi="Times New Roman" w:cs="Times New Roman"/>
            <w:color w:val="auto"/>
            <w:sz w:val="24"/>
            <w:szCs w:val="24"/>
          </w:rPr>
          <w:t>jgpascual@uclv.cu</w:t>
        </w:r>
      </w:hyperlink>
    </w:p>
    <w:p w:rsidR="00914C6B" w:rsidRDefault="00914C6B" w:rsidP="005B1269">
      <w:pPr>
        <w:tabs>
          <w:tab w:val="left" w:pos="180"/>
          <w:tab w:val="left" w:pos="360"/>
        </w:tabs>
        <w:rPr>
          <w:rStyle w:val="Hipervnculo"/>
          <w:rFonts w:ascii="Times New Roman" w:hAnsi="Times New Roman" w:cs="Times New Roman"/>
          <w:color w:val="auto"/>
          <w:sz w:val="24"/>
          <w:szCs w:val="24"/>
        </w:rPr>
      </w:pPr>
      <w:r w:rsidRPr="002A3855">
        <w:rPr>
          <w:rFonts w:ascii="Times New Roman" w:hAnsi="Times New Roman" w:cs="Times New Roman"/>
          <w:sz w:val="24"/>
          <w:szCs w:val="24"/>
        </w:rPr>
        <w:t xml:space="preserve">³Máster en Entrenamiento Deportivo. </w:t>
      </w:r>
      <w:r w:rsidR="005B1269" w:rsidRPr="002A3855">
        <w:rPr>
          <w:rFonts w:ascii="Times New Roman" w:hAnsi="Times New Roman"/>
          <w:sz w:val="24"/>
          <w:szCs w:val="24"/>
        </w:rPr>
        <w:t xml:space="preserve">Sectorial Provincial de Deporte. Villa Clara. Cuba. </w:t>
      </w:r>
      <w:r w:rsidRPr="002A3855">
        <w:rPr>
          <w:rFonts w:ascii="Times New Roman" w:hAnsi="Times New Roman" w:cs="Times New Roman"/>
          <w:sz w:val="24"/>
          <w:szCs w:val="24"/>
        </w:rPr>
        <w:t xml:space="preserve"> https://orcid.org/0000-000</w:t>
      </w:r>
      <w:r w:rsidR="005051A1" w:rsidRPr="002A3855">
        <w:rPr>
          <w:rFonts w:ascii="Times New Roman" w:hAnsi="Times New Roman" w:cs="Times New Roman"/>
          <w:sz w:val="24"/>
          <w:szCs w:val="24"/>
        </w:rPr>
        <w:t>1</w:t>
      </w:r>
      <w:r w:rsidRPr="002A3855">
        <w:rPr>
          <w:rFonts w:ascii="Times New Roman" w:hAnsi="Times New Roman" w:cs="Times New Roman"/>
          <w:sz w:val="24"/>
          <w:szCs w:val="24"/>
        </w:rPr>
        <w:t>-</w:t>
      </w:r>
      <w:r w:rsidR="005051A1" w:rsidRPr="002A3855">
        <w:rPr>
          <w:rFonts w:ascii="Times New Roman" w:hAnsi="Times New Roman" w:cs="Times New Roman"/>
          <w:sz w:val="24"/>
          <w:szCs w:val="24"/>
        </w:rPr>
        <w:t>5771</w:t>
      </w:r>
      <w:r w:rsidRPr="002A3855">
        <w:rPr>
          <w:rFonts w:ascii="Times New Roman" w:hAnsi="Times New Roman" w:cs="Times New Roman"/>
          <w:sz w:val="24"/>
          <w:szCs w:val="24"/>
        </w:rPr>
        <w:t>-</w:t>
      </w:r>
      <w:r w:rsidR="005051A1" w:rsidRPr="002A3855">
        <w:rPr>
          <w:rFonts w:ascii="Times New Roman" w:hAnsi="Times New Roman" w:cs="Times New Roman"/>
          <w:sz w:val="24"/>
          <w:szCs w:val="24"/>
        </w:rPr>
        <w:t>0060</w:t>
      </w:r>
      <w:r w:rsidRPr="002A3855">
        <w:rPr>
          <w:rFonts w:ascii="Times New Roman" w:hAnsi="Times New Roman" w:cs="Times New Roman"/>
          <w:sz w:val="24"/>
          <w:szCs w:val="24"/>
        </w:rPr>
        <w:t xml:space="preserve">  </w:t>
      </w:r>
      <w:hyperlink r:id="rId10" w:history="1">
        <w:r w:rsidR="005B1269" w:rsidRPr="002A3855">
          <w:rPr>
            <w:rStyle w:val="Hipervnculo"/>
            <w:rFonts w:ascii="Times New Roman" w:hAnsi="Times New Roman" w:cs="Times New Roman"/>
            <w:color w:val="auto"/>
            <w:sz w:val="24"/>
            <w:szCs w:val="24"/>
          </w:rPr>
          <w:t>edgar.hernandez@inder.gov.cu</w:t>
        </w:r>
      </w:hyperlink>
    </w:p>
    <w:p w:rsidR="00943B20" w:rsidRDefault="00943B20" w:rsidP="00943B20">
      <w:pPr>
        <w:spacing w:after="0" w:line="360" w:lineRule="auto"/>
        <w:rPr>
          <w:rFonts w:ascii="Times New Roman" w:hAnsi="Times New Roman" w:cs="Times New Roman"/>
          <w:sz w:val="24"/>
          <w:szCs w:val="24"/>
        </w:rPr>
      </w:pPr>
      <w:r>
        <w:rPr>
          <w:rFonts w:ascii="Times New Roman" w:hAnsi="Times New Roman" w:cs="Times New Roman"/>
          <w:sz w:val="24"/>
          <w:szCs w:val="24"/>
          <w:vertAlign w:val="superscript"/>
        </w:rPr>
        <w:t>4</w:t>
      </w:r>
      <w:r w:rsidRPr="002A3855">
        <w:rPr>
          <w:rFonts w:ascii="Times New Roman" w:hAnsi="Times New Roman" w:cs="Times New Roman"/>
          <w:sz w:val="24"/>
          <w:szCs w:val="24"/>
        </w:rPr>
        <w:t>Máster en</w:t>
      </w:r>
      <w:r>
        <w:rPr>
          <w:rFonts w:ascii="Times New Roman" w:hAnsi="Times New Roman" w:cs="Times New Roman"/>
          <w:sz w:val="24"/>
          <w:szCs w:val="24"/>
        </w:rPr>
        <w:t xml:space="preserve"> Actividad Física en la Comunidad</w:t>
      </w:r>
      <w:r w:rsidRPr="002A3855">
        <w:rPr>
          <w:rFonts w:ascii="Times New Roman" w:hAnsi="Times New Roman" w:cs="Times New Roman"/>
          <w:sz w:val="24"/>
          <w:szCs w:val="24"/>
        </w:rPr>
        <w:t>; Universidad Central “Marta Abreu” de Las Villas, Villa Clara, Cuba, Facultad de Cultura Física https://orcid.org/000</w:t>
      </w:r>
      <w:r>
        <w:rPr>
          <w:rFonts w:ascii="Times New Roman" w:hAnsi="Times New Roman" w:cs="Times New Roman"/>
          <w:sz w:val="24"/>
          <w:szCs w:val="24"/>
        </w:rPr>
        <w:t>9-0008-</w:t>
      </w:r>
      <w:r w:rsidRPr="00625465">
        <w:rPr>
          <w:rFonts w:ascii="Times New Roman" w:hAnsi="Times New Roman" w:cs="Times New Roman"/>
          <w:sz w:val="24"/>
          <w:szCs w:val="24"/>
        </w:rPr>
        <w:t>5276-3110</w:t>
      </w:r>
      <w:r w:rsidRPr="00625465">
        <w:rPr>
          <w:rFonts w:ascii="Times New Roman" w:hAnsi="Times New Roman" w:cs="Times New Roman"/>
          <w:sz w:val="24"/>
          <w:szCs w:val="24"/>
        </w:rPr>
        <w:t xml:space="preserve"> </w:t>
      </w:r>
      <w:hyperlink r:id="rId11" w:history="1">
        <w:r w:rsidR="00625465" w:rsidRPr="00625465">
          <w:rPr>
            <w:rStyle w:val="Hipervnculo"/>
            <w:rFonts w:ascii="Times New Roman" w:hAnsi="Times New Roman" w:cs="Times New Roman"/>
            <w:color w:val="auto"/>
            <w:sz w:val="24"/>
            <w:szCs w:val="24"/>
          </w:rPr>
          <w:t>nmartinez@uclv.cu</w:t>
        </w:r>
      </w:hyperlink>
    </w:p>
    <w:p w:rsidR="00625465" w:rsidRPr="00625465" w:rsidRDefault="00625465" w:rsidP="00943B20">
      <w:pPr>
        <w:spacing w:after="0" w:line="360" w:lineRule="auto"/>
        <w:rPr>
          <w:rFonts w:ascii="Times New Roman" w:hAnsi="Times New Roman" w:cs="Times New Roman"/>
          <w:sz w:val="24"/>
          <w:szCs w:val="24"/>
        </w:rPr>
      </w:pPr>
    </w:p>
    <w:p w:rsidR="007361F1" w:rsidRPr="002A3855" w:rsidRDefault="008A1C16" w:rsidP="00FF3346">
      <w:pPr>
        <w:spacing w:after="0" w:line="360" w:lineRule="auto"/>
        <w:jc w:val="both"/>
        <w:rPr>
          <w:rFonts w:ascii="Times New Roman" w:hAnsi="Times New Roman" w:cs="Times New Roman"/>
          <w:sz w:val="24"/>
          <w:szCs w:val="24"/>
        </w:rPr>
      </w:pPr>
      <w:r w:rsidRPr="002A3855">
        <w:rPr>
          <w:rFonts w:ascii="Times New Roman" w:hAnsi="Times New Roman" w:cs="Times New Roman"/>
          <w:b/>
          <w:sz w:val="24"/>
          <w:szCs w:val="24"/>
        </w:rPr>
        <w:t>Resumen:</w:t>
      </w:r>
      <w:r w:rsidR="009061A5" w:rsidRPr="002A3855">
        <w:rPr>
          <w:rFonts w:ascii="Times New Roman" w:hAnsi="Times New Roman" w:cs="Times New Roman"/>
          <w:sz w:val="24"/>
          <w:szCs w:val="24"/>
        </w:rPr>
        <w:t xml:space="preserve"> </w:t>
      </w:r>
      <w:r w:rsidR="007361F1" w:rsidRPr="002A3855">
        <w:rPr>
          <w:rFonts w:ascii="Times New Roman" w:hAnsi="Times New Roman" w:cs="Times New Roman"/>
          <w:sz w:val="24"/>
          <w:szCs w:val="24"/>
        </w:rPr>
        <w:t xml:space="preserve">La presente investigación permite llevar a cabo la formación profesional de los estudiantes de pregrado en la Facultad de Cultura Física (FCF) de la Universidad Central “Marta Abreu” de Las Villas (UCLV), a partir de adquirir nuevos conocimientos en la asignatura Judo Básico mediante herramientas que mejoren el tránsito de la dependencia a la independencia en aras de desarrollar un marcado sentido común y de pertinencia aprendido de la experiencia con el empleo de distintos medios didácticos de enseñanza del Judo. En el orden práctico, se destaca el empleo del análisis documental, observación, medición y la entrevista. En el orden teórico se centró el estudio en los métodos de análisis y síntesis, inducción y deducción, así como el enfoque de sistema por unidades de análisis donde se parte de filmar un video didáctico </w:t>
      </w:r>
      <w:r w:rsidR="007361F1" w:rsidRPr="002A3855">
        <w:rPr>
          <w:rFonts w:ascii="Times New Roman" w:hAnsi="Times New Roman" w:cs="Times New Roman"/>
          <w:sz w:val="24"/>
          <w:szCs w:val="24"/>
        </w:rPr>
        <w:lastRenderedPageBreak/>
        <w:t xml:space="preserve">para consolidar la ejecución de la “Kata de elementos básicos del Judo”, al proponer tareas para que el estudiante explore el entorno y encuentre nuevas soluciones, luego se analiza el desarrollo del estudiante, a partir de comprender si la propuesta responde a sus necesidades individuales. La tercera unidad se refiere al análisis del tipo de movimiento y los recursos personales con que cuentan los estudiantes de la (FCF) para demostrar la asimilación del contenido, lo que se favorece con el trabajo en dúo kata en función de la adquisición de habilidades profesionales en aras de solucionar problemas particulares en el eslabón de base. </w:t>
      </w:r>
    </w:p>
    <w:p w:rsidR="007361F1" w:rsidRPr="002A3855" w:rsidRDefault="007361F1" w:rsidP="00FF3346">
      <w:pPr>
        <w:spacing w:after="0" w:line="360" w:lineRule="auto"/>
        <w:jc w:val="both"/>
        <w:rPr>
          <w:rFonts w:ascii="Times New Roman" w:hAnsi="Times New Roman" w:cs="Times New Roman"/>
          <w:sz w:val="24"/>
          <w:szCs w:val="24"/>
        </w:rPr>
      </w:pPr>
      <w:r w:rsidRPr="002A3855">
        <w:rPr>
          <w:rFonts w:ascii="Times New Roman" w:hAnsi="Times New Roman" w:cs="Times New Roman"/>
          <w:b/>
          <w:sz w:val="24"/>
          <w:szCs w:val="24"/>
        </w:rPr>
        <w:t>Palabras claves:</w:t>
      </w:r>
      <w:r w:rsidRPr="002A3855">
        <w:rPr>
          <w:rFonts w:ascii="Times New Roman" w:hAnsi="Times New Roman" w:cs="Times New Roman"/>
          <w:sz w:val="24"/>
          <w:szCs w:val="24"/>
        </w:rPr>
        <w:t xml:space="preserve"> Video didáctico, elementos básicos, dúo kata, habilidades profesionales, eslabón de base.</w:t>
      </w:r>
    </w:p>
    <w:p w:rsidR="00DC7C02" w:rsidRPr="002A3855" w:rsidRDefault="009061A5" w:rsidP="00FF3346">
      <w:pPr>
        <w:spacing w:after="0" w:line="360" w:lineRule="auto"/>
        <w:jc w:val="both"/>
        <w:rPr>
          <w:rFonts w:ascii="Times New Roman" w:hAnsi="Times New Roman" w:cs="Times New Roman"/>
          <w:i/>
          <w:sz w:val="24"/>
          <w:szCs w:val="24"/>
        </w:rPr>
      </w:pPr>
      <w:proofErr w:type="spellStart"/>
      <w:r w:rsidRPr="002A3855">
        <w:rPr>
          <w:rFonts w:ascii="Times New Roman" w:hAnsi="Times New Roman" w:cs="Times New Roman"/>
          <w:b/>
          <w:i/>
          <w:sz w:val="24"/>
          <w:szCs w:val="24"/>
        </w:rPr>
        <w:t>Abstract</w:t>
      </w:r>
      <w:proofErr w:type="spellEnd"/>
      <w:r w:rsidRPr="002A3855">
        <w:rPr>
          <w:rFonts w:ascii="Times New Roman" w:hAnsi="Times New Roman" w:cs="Times New Roman"/>
          <w:b/>
          <w:i/>
          <w:sz w:val="24"/>
          <w:szCs w:val="24"/>
        </w:rPr>
        <w:t>:</w:t>
      </w:r>
      <w:r w:rsidRPr="002A3855">
        <w:rPr>
          <w:rFonts w:ascii="Times New Roman" w:hAnsi="Times New Roman" w:cs="Times New Roman"/>
          <w:sz w:val="24"/>
          <w:szCs w:val="24"/>
        </w:rPr>
        <w:t xml:space="preserve"> </w:t>
      </w:r>
      <w:proofErr w:type="spellStart"/>
      <w:r w:rsidR="00DC7C02" w:rsidRPr="002A3855">
        <w:rPr>
          <w:rFonts w:ascii="Times New Roman" w:hAnsi="Times New Roman" w:cs="Times New Roman"/>
          <w:i/>
          <w:sz w:val="24"/>
          <w:szCs w:val="24"/>
        </w:rPr>
        <w:t>This</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research</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enables</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the</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professional</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development</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of</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undergraduate</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students</w:t>
      </w:r>
      <w:proofErr w:type="spellEnd"/>
      <w:r w:rsidR="00DC7C02" w:rsidRPr="002A3855">
        <w:rPr>
          <w:rFonts w:ascii="Times New Roman" w:hAnsi="Times New Roman" w:cs="Times New Roman"/>
          <w:i/>
          <w:sz w:val="24"/>
          <w:szCs w:val="24"/>
        </w:rPr>
        <w:t xml:space="preserve"> in </w:t>
      </w:r>
      <w:proofErr w:type="spellStart"/>
      <w:r w:rsidR="00DC7C02" w:rsidRPr="002A3855">
        <w:rPr>
          <w:rFonts w:ascii="Times New Roman" w:hAnsi="Times New Roman" w:cs="Times New Roman"/>
          <w:i/>
          <w:sz w:val="24"/>
          <w:szCs w:val="24"/>
        </w:rPr>
        <w:t>the</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Faculty</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of</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Physical</w:t>
      </w:r>
      <w:proofErr w:type="spellEnd"/>
      <w:r w:rsidR="00DC7C02" w:rsidRPr="002A3855">
        <w:rPr>
          <w:rFonts w:ascii="Times New Roman" w:hAnsi="Times New Roman" w:cs="Times New Roman"/>
          <w:i/>
          <w:sz w:val="24"/>
          <w:szCs w:val="24"/>
        </w:rPr>
        <w:t xml:space="preserve"> Culture (FCF) at </w:t>
      </w:r>
      <w:proofErr w:type="spellStart"/>
      <w:r w:rsidR="00DC7C02" w:rsidRPr="002A3855">
        <w:rPr>
          <w:rFonts w:ascii="Times New Roman" w:hAnsi="Times New Roman" w:cs="Times New Roman"/>
          <w:i/>
          <w:sz w:val="24"/>
          <w:szCs w:val="24"/>
        </w:rPr>
        <w:t>the</w:t>
      </w:r>
      <w:proofErr w:type="spellEnd"/>
      <w:r w:rsidR="00DC7C02" w:rsidRPr="002A3855">
        <w:rPr>
          <w:rFonts w:ascii="Times New Roman" w:hAnsi="Times New Roman" w:cs="Times New Roman"/>
          <w:i/>
          <w:sz w:val="24"/>
          <w:szCs w:val="24"/>
        </w:rPr>
        <w:t xml:space="preserve"> Central </w:t>
      </w:r>
      <w:proofErr w:type="spellStart"/>
      <w:r w:rsidR="00DC7C02" w:rsidRPr="002A3855">
        <w:rPr>
          <w:rFonts w:ascii="Times New Roman" w:hAnsi="Times New Roman" w:cs="Times New Roman"/>
          <w:i/>
          <w:sz w:val="24"/>
          <w:szCs w:val="24"/>
        </w:rPr>
        <w:t>University</w:t>
      </w:r>
      <w:proofErr w:type="spellEnd"/>
      <w:r w:rsidR="00DC7C02" w:rsidRPr="002A3855">
        <w:rPr>
          <w:rFonts w:ascii="Times New Roman" w:hAnsi="Times New Roman" w:cs="Times New Roman"/>
          <w:i/>
          <w:sz w:val="24"/>
          <w:szCs w:val="24"/>
        </w:rPr>
        <w:t xml:space="preserve"> “Marta Abreu” </w:t>
      </w:r>
      <w:proofErr w:type="spellStart"/>
      <w:r w:rsidR="00DC7C02" w:rsidRPr="002A3855">
        <w:rPr>
          <w:rFonts w:ascii="Times New Roman" w:hAnsi="Times New Roman" w:cs="Times New Roman"/>
          <w:i/>
          <w:sz w:val="24"/>
          <w:szCs w:val="24"/>
        </w:rPr>
        <w:t>of</w:t>
      </w:r>
      <w:proofErr w:type="spellEnd"/>
      <w:r w:rsidR="00DC7C02" w:rsidRPr="002A3855">
        <w:rPr>
          <w:rFonts w:ascii="Times New Roman" w:hAnsi="Times New Roman" w:cs="Times New Roman"/>
          <w:i/>
          <w:sz w:val="24"/>
          <w:szCs w:val="24"/>
        </w:rPr>
        <w:t xml:space="preserve"> Las Villas (UCLV). </w:t>
      </w:r>
      <w:proofErr w:type="spellStart"/>
      <w:r w:rsidR="00DC7C02" w:rsidRPr="002A3855">
        <w:rPr>
          <w:rFonts w:ascii="Times New Roman" w:hAnsi="Times New Roman" w:cs="Times New Roman"/>
          <w:i/>
          <w:sz w:val="24"/>
          <w:szCs w:val="24"/>
        </w:rPr>
        <w:t>It</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involves</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acquiring</w:t>
      </w:r>
      <w:proofErr w:type="spellEnd"/>
      <w:r w:rsidR="00DC7C02" w:rsidRPr="002A3855">
        <w:rPr>
          <w:rFonts w:ascii="Times New Roman" w:hAnsi="Times New Roman" w:cs="Times New Roman"/>
          <w:i/>
          <w:sz w:val="24"/>
          <w:szCs w:val="24"/>
        </w:rPr>
        <w:t xml:space="preserve"> new </w:t>
      </w:r>
      <w:proofErr w:type="spellStart"/>
      <w:r w:rsidR="00DC7C02" w:rsidRPr="002A3855">
        <w:rPr>
          <w:rFonts w:ascii="Times New Roman" w:hAnsi="Times New Roman" w:cs="Times New Roman"/>
          <w:i/>
          <w:sz w:val="24"/>
          <w:szCs w:val="24"/>
        </w:rPr>
        <w:t>knowledge</w:t>
      </w:r>
      <w:proofErr w:type="spellEnd"/>
      <w:r w:rsidR="00DC7C02" w:rsidRPr="002A3855">
        <w:rPr>
          <w:rFonts w:ascii="Times New Roman" w:hAnsi="Times New Roman" w:cs="Times New Roman"/>
          <w:i/>
          <w:sz w:val="24"/>
          <w:szCs w:val="24"/>
        </w:rPr>
        <w:t xml:space="preserve"> in </w:t>
      </w:r>
      <w:proofErr w:type="spellStart"/>
      <w:r w:rsidR="00DC7C02" w:rsidRPr="002A3855">
        <w:rPr>
          <w:rFonts w:ascii="Times New Roman" w:hAnsi="Times New Roman" w:cs="Times New Roman"/>
          <w:i/>
          <w:sz w:val="24"/>
          <w:szCs w:val="24"/>
        </w:rPr>
        <w:t>the</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subject</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of</w:t>
      </w:r>
      <w:proofErr w:type="spellEnd"/>
      <w:r w:rsidR="00DC7C02" w:rsidRPr="002A3855">
        <w:rPr>
          <w:rFonts w:ascii="Times New Roman" w:hAnsi="Times New Roman" w:cs="Times New Roman"/>
          <w:i/>
          <w:sz w:val="24"/>
          <w:szCs w:val="24"/>
        </w:rPr>
        <w:t xml:space="preserve"> Basic Judo </w:t>
      </w:r>
      <w:proofErr w:type="spellStart"/>
      <w:r w:rsidR="00DC7C02" w:rsidRPr="002A3855">
        <w:rPr>
          <w:rFonts w:ascii="Times New Roman" w:hAnsi="Times New Roman" w:cs="Times New Roman"/>
          <w:i/>
          <w:sz w:val="24"/>
          <w:szCs w:val="24"/>
        </w:rPr>
        <w:t>through</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tools</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that</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enhance</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the</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transition</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from</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dependence</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to</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independence</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These</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tools</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include</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various</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didactic</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teaching</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methods</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for</w:t>
      </w:r>
      <w:proofErr w:type="spellEnd"/>
      <w:r w:rsidR="00DC7C02" w:rsidRPr="002A3855">
        <w:rPr>
          <w:rFonts w:ascii="Times New Roman" w:hAnsi="Times New Roman" w:cs="Times New Roman"/>
          <w:i/>
          <w:sz w:val="24"/>
          <w:szCs w:val="24"/>
        </w:rPr>
        <w:t xml:space="preserve"> Judo. In </w:t>
      </w:r>
      <w:proofErr w:type="spellStart"/>
      <w:r w:rsidR="00DC7C02" w:rsidRPr="002A3855">
        <w:rPr>
          <w:rFonts w:ascii="Times New Roman" w:hAnsi="Times New Roman" w:cs="Times New Roman"/>
          <w:i/>
          <w:sz w:val="24"/>
          <w:szCs w:val="24"/>
        </w:rPr>
        <w:t>practical</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terms</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the</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study</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emphasizes</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documentary</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analysis</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observation</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measurement</w:t>
      </w:r>
      <w:proofErr w:type="spellEnd"/>
      <w:r w:rsidR="00DC7C02" w:rsidRPr="002A3855">
        <w:rPr>
          <w:rFonts w:ascii="Times New Roman" w:hAnsi="Times New Roman" w:cs="Times New Roman"/>
          <w:i/>
          <w:sz w:val="24"/>
          <w:szCs w:val="24"/>
        </w:rPr>
        <w:t xml:space="preserve">, and interviews. </w:t>
      </w:r>
      <w:proofErr w:type="spellStart"/>
      <w:r w:rsidR="00DC7C02" w:rsidRPr="002A3855">
        <w:rPr>
          <w:rFonts w:ascii="Times New Roman" w:hAnsi="Times New Roman" w:cs="Times New Roman"/>
          <w:i/>
          <w:sz w:val="24"/>
          <w:szCs w:val="24"/>
        </w:rPr>
        <w:t>The</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theoretical</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aspect</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focuses</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on</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methods</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such</w:t>
      </w:r>
      <w:proofErr w:type="spellEnd"/>
      <w:r w:rsidR="00DC7C02" w:rsidRPr="002A3855">
        <w:rPr>
          <w:rFonts w:ascii="Times New Roman" w:hAnsi="Times New Roman" w:cs="Times New Roman"/>
          <w:i/>
          <w:sz w:val="24"/>
          <w:szCs w:val="24"/>
        </w:rPr>
        <w:t xml:space="preserve"> as </w:t>
      </w:r>
      <w:proofErr w:type="spellStart"/>
      <w:r w:rsidR="00DC7C02" w:rsidRPr="002A3855">
        <w:rPr>
          <w:rFonts w:ascii="Times New Roman" w:hAnsi="Times New Roman" w:cs="Times New Roman"/>
          <w:i/>
          <w:sz w:val="24"/>
          <w:szCs w:val="24"/>
        </w:rPr>
        <w:t>analysis</w:t>
      </w:r>
      <w:proofErr w:type="spellEnd"/>
      <w:r w:rsidR="00DC7C02" w:rsidRPr="002A3855">
        <w:rPr>
          <w:rFonts w:ascii="Times New Roman" w:hAnsi="Times New Roman" w:cs="Times New Roman"/>
          <w:i/>
          <w:sz w:val="24"/>
          <w:szCs w:val="24"/>
        </w:rPr>
        <w:t xml:space="preserve"> and </w:t>
      </w:r>
      <w:proofErr w:type="spellStart"/>
      <w:r w:rsidR="00DC7C02" w:rsidRPr="002A3855">
        <w:rPr>
          <w:rFonts w:ascii="Times New Roman" w:hAnsi="Times New Roman" w:cs="Times New Roman"/>
          <w:i/>
          <w:sz w:val="24"/>
          <w:szCs w:val="24"/>
        </w:rPr>
        <w:t>synthesis</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induction</w:t>
      </w:r>
      <w:proofErr w:type="spellEnd"/>
      <w:r w:rsidR="00DC7C02" w:rsidRPr="002A3855">
        <w:rPr>
          <w:rFonts w:ascii="Times New Roman" w:hAnsi="Times New Roman" w:cs="Times New Roman"/>
          <w:i/>
          <w:sz w:val="24"/>
          <w:szCs w:val="24"/>
        </w:rPr>
        <w:t xml:space="preserve"> and </w:t>
      </w:r>
      <w:proofErr w:type="spellStart"/>
      <w:r w:rsidR="00DC7C02" w:rsidRPr="002A3855">
        <w:rPr>
          <w:rFonts w:ascii="Times New Roman" w:hAnsi="Times New Roman" w:cs="Times New Roman"/>
          <w:i/>
          <w:sz w:val="24"/>
          <w:szCs w:val="24"/>
        </w:rPr>
        <w:t>deduction</w:t>
      </w:r>
      <w:proofErr w:type="spellEnd"/>
      <w:r w:rsidR="00DC7C02" w:rsidRPr="002A3855">
        <w:rPr>
          <w:rFonts w:ascii="Times New Roman" w:hAnsi="Times New Roman" w:cs="Times New Roman"/>
          <w:i/>
          <w:sz w:val="24"/>
          <w:szCs w:val="24"/>
        </w:rPr>
        <w:t xml:space="preserve">, as </w:t>
      </w:r>
      <w:proofErr w:type="spellStart"/>
      <w:r w:rsidR="00DC7C02" w:rsidRPr="002A3855">
        <w:rPr>
          <w:rFonts w:ascii="Times New Roman" w:hAnsi="Times New Roman" w:cs="Times New Roman"/>
          <w:i/>
          <w:sz w:val="24"/>
          <w:szCs w:val="24"/>
        </w:rPr>
        <w:t>well</w:t>
      </w:r>
      <w:proofErr w:type="spellEnd"/>
      <w:r w:rsidR="00DC7C02" w:rsidRPr="002A3855">
        <w:rPr>
          <w:rFonts w:ascii="Times New Roman" w:hAnsi="Times New Roman" w:cs="Times New Roman"/>
          <w:i/>
          <w:sz w:val="24"/>
          <w:szCs w:val="24"/>
        </w:rPr>
        <w:t xml:space="preserve"> as a </w:t>
      </w:r>
      <w:proofErr w:type="spellStart"/>
      <w:r w:rsidR="00DC7C02" w:rsidRPr="002A3855">
        <w:rPr>
          <w:rFonts w:ascii="Times New Roman" w:hAnsi="Times New Roman" w:cs="Times New Roman"/>
          <w:i/>
          <w:sz w:val="24"/>
          <w:szCs w:val="24"/>
        </w:rPr>
        <w:t>system-based</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approach</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using</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units</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of</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analysis</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For</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example</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filming</w:t>
      </w:r>
      <w:proofErr w:type="spellEnd"/>
      <w:r w:rsidR="00DC7C02" w:rsidRPr="002A3855">
        <w:rPr>
          <w:rFonts w:ascii="Times New Roman" w:hAnsi="Times New Roman" w:cs="Times New Roman"/>
          <w:i/>
          <w:sz w:val="24"/>
          <w:szCs w:val="24"/>
        </w:rPr>
        <w:t xml:space="preserve"> a </w:t>
      </w:r>
      <w:proofErr w:type="spellStart"/>
      <w:r w:rsidR="00DC7C02" w:rsidRPr="002A3855">
        <w:rPr>
          <w:rFonts w:ascii="Times New Roman" w:hAnsi="Times New Roman" w:cs="Times New Roman"/>
          <w:i/>
          <w:sz w:val="24"/>
          <w:szCs w:val="24"/>
        </w:rPr>
        <w:t>didactic</w:t>
      </w:r>
      <w:proofErr w:type="spellEnd"/>
      <w:r w:rsidR="00DC7C02" w:rsidRPr="002A3855">
        <w:rPr>
          <w:rFonts w:ascii="Times New Roman" w:hAnsi="Times New Roman" w:cs="Times New Roman"/>
          <w:i/>
          <w:sz w:val="24"/>
          <w:szCs w:val="24"/>
        </w:rPr>
        <w:t xml:space="preserve"> video </w:t>
      </w:r>
      <w:proofErr w:type="spellStart"/>
      <w:r w:rsidR="00DC7C02" w:rsidRPr="002A3855">
        <w:rPr>
          <w:rFonts w:ascii="Times New Roman" w:hAnsi="Times New Roman" w:cs="Times New Roman"/>
          <w:i/>
          <w:sz w:val="24"/>
          <w:szCs w:val="24"/>
        </w:rPr>
        <w:t>to</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reinforce</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the</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execution</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of</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the</w:t>
      </w:r>
      <w:proofErr w:type="spellEnd"/>
      <w:r w:rsidR="00DC7C02" w:rsidRPr="002A3855">
        <w:rPr>
          <w:rFonts w:ascii="Times New Roman" w:hAnsi="Times New Roman" w:cs="Times New Roman"/>
          <w:i/>
          <w:sz w:val="24"/>
          <w:szCs w:val="24"/>
        </w:rPr>
        <w:t xml:space="preserve"> “Basic Judo </w:t>
      </w:r>
      <w:proofErr w:type="spellStart"/>
      <w:r w:rsidR="00DC7C02" w:rsidRPr="002A3855">
        <w:rPr>
          <w:rFonts w:ascii="Times New Roman" w:hAnsi="Times New Roman" w:cs="Times New Roman"/>
          <w:i/>
          <w:sz w:val="24"/>
          <w:szCs w:val="24"/>
        </w:rPr>
        <w:t>Elements</w:t>
      </w:r>
      <w:proofErr w:type="spellEnd"/>
      <w:r w:rsidR="00DC7C02" w:rsidRPr="002A3855">
        <w:rPr>
          <w:rFonts w:ascii="Times New Roman" w:hAnsi="Times New Roman" w:cs="Times New Roman"/>
          <w:i/>
          <w:sz w:val="24"/>
          <w:szCs w:val="24"/>
        </w:rPr>
        <w:t xml:space="preserve"> Kata” </w:t>
      </w:r>
      <w:proofErr w:type="spellStart"/>
      <w:r w:rsidR="00DC7C02" w:rsidRPr="002A3855">
        <w:rPr>
          <w:rFonts w:ascii="Times New Roman" w:hAnsi="Times New Roman" w:cs="Times New Roman"/>
          <w:i/>
          <w:sz w:val="24"/>
          <w:szCs w:val="24"/>
        </w:rPr>
        <w:t>is</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proposed</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Additionally</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tasks</w:t>
      </w:r>
      <w:proofErr w:type="spellEnd"/>
      <w:r w:rsidR="00DC7C02" w:rsidRPr="002A3855">
        <w:rPr>
          <w:rFonts w:ascii="Times New Roman" w:hAnsi="Times New Roman" w:cs="Times New Roman"/>
          <w:i/>
          <w:sz w:val="24"/>
          <w:szCs w:val="24"/>
        </w:rPr>
        <w:t xml:space="preserve"> are </w:t>
      </w:r>
      <w:proofErr w:type="spellStart"/>
      <w:r w:rsidR="00DC7C02" w:rsidRPr="002A3855">
        <w:rPr>
          <w:rFonts w:ascii="Times New Roman" w:hAnsi="Times New Roman" w:cs="Times New Roman"/>
          <w:i/>
          <w:sz w:val="24"/>
          <w:szCs w:val="24"/>
        </w:rPr>
        <w:t>designed</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to</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encourage</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students</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to</w:t>
      </w:r>
      <w:proofErr w:type="spellEnd"/>
      <w:r w:rsidR="00DC7C02" w:rsidRPr="002A3855">
        <w:rPr>
          <w:rFonts w:ascii="Times New Roman" w:hAnsi="Times New Roman" w:cs="Times New Roman"/>
          <w:i/>
          <w:sz w:val="24"/>
          <w:szCs w:val="24"/>
        </w:rPr>
        <w:t xml:space="preserve"> explore </w:t>
      </w:r>
      <w:proofErr w:type="spellStart"/>
      <w:r w:rsidR="00DC7C02" w:rsidRPr="002A3855">
        <w:rPr>
          <w:rFonts w:ascii="Times New Roman" w:hAnsi="Times New Roman" w:cs="Times New Roman"/>
          <w:i/>
          <w:sz w:val="24"/>
          <w:szCs w:val="24"/>
        </w:rPr>
        <w:t>their</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environment</w:t>
      </w:r>
      <w:proofErr w:type="spellEnd"/>
      <w:r w:rsidR="00DC7C02" w:rsidRPr="002A3855">
        <w:rPr>
          <w:rFonts w:ascii="Times New Roman" w:hAnsi="Times New Roman" w:cs="Times New Roman"/>
          <w:i/>
          <w:sz w:val="24"/>
          <w:szCs w:val="24"/>
        </w:rPr>
        <w:t xml:space="preserve"> and </w:t>
      </w:r>
      <w:proofErr w:type="spellStart"/>
      <w:r w:rsidR="00DC7C02" w:rsidRPr="002A3855">
        <w:rPr>
          <w:rFonts w:ascii="Times New Roman" w:hAnsi="Times New Roman" w:cs="Times New Roman"/>
          <w:i/>
          <w:sz w:val="24"/>
          <w:szCs w:val="24"/>
        </w:rPr>
        <w:t>find</w:t>
      </w:r>
      <w:proofErr w:type="spellEnd"/>
      <w:r w:rsidR="00DC7C02" w:rsidRPr="002A3855">
        <w:rPr>
          <w:rFonts w:ascii="Times New Roman" w:hAnsi="Times New Roman" w:cs="Times New Roman"/>
          <w:i/>
          <w:sz w:val="24"/>
          <w:szCs w:val="24"/>
        </w:rPr>
        <w:t xml:space="preserve"> new </w:t>
      </w:r>
      <w:proofErr w:type="spellStart"/>
      <w:r w:rsidR="00DC7C02" w:rsidRPr="002A3855">
        <w:rPr>
          <w:rFonts w:ascii="Times New Roman" w:hAnsi="Times New Roman" w:cs="Times New Roman"/>
          <w:i/>
          <w:sz w:val="24"/>
          <w:szCs w:val="24"/>
        </w:rPr>
        <w:t>solutions</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The</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study</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also</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analyzes</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student</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development</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assessing</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whether</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the</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proposed</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methods</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meet</w:t>
      </w:r>
      <w:proofErr w:type="spellEnd"/>
      <w:r w:rsidR="00DC7C02" w:rsidRPr="002A3855">
        <w:rPr>
          <w:rFonts w:ascii="Times New Roman" w:hAnsi="Times New Roman" w:cs="Times New Roman"/>
          <w:i/>
          <w:sz w:val="24"/>
          <w:szCs w:val="24"/>
        </w:rPr>
        <w:t xml:space="preserve"> individual </w:t>
      </w:r>
      <w:proofErr w:type="spellStart"/>
      <w:r w:rsidR="00DC7C02" w:rsidRPr="002A3855">
        <w:rPr>
          <w:rFonts w:ascii="Times New Roman" w:hAnsi="Times New Roman" w:cs="Times New Roman"/>
          <w:i/>
          <w:sz w:val="24"/>
          <w:szCs w:val="24"/>
        </w:rPr>
        <w:t>needs</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The</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third</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unit</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of</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analysis</w:t>
      </w:r>
      <w:proofErr w:type="spellEnd"/>
      <w:r w:rsidR="00DC7C02" w:rsidRPr="002A3855">
        <w:rPr>
          <w:rFonts w:ascii="Times New Roman" w:hAnsi="Times New Roman" w:cs="Times New Roman"/>
          <w:i/>
          <w:sz w:val="24"/>
          <w:szCs w:val="24"/>
        </w:rPr>
        <w:t xml:space="preserve"> examines </w:t>
      </w:r>
      <w:proofErr w:type="spellStart"/>
      <w:r w:rsidR="00DC7C02" w:rsidRPr="002A3855">
        <w:rPr>
          <w:rFonts w:ascii="Times New Roman" w:hAnsi="Times New Roman" w:cs="Times New Roman"/>
          <w:i/>
          <w:sz w:val="24"/>
          <w:szCs w:val="24"/>
        </w:rPr>
        <w:t>movement</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types</w:t>
      </w:r>
      <w:proofErr w:type="spellEnd"/>
      <w:r w:rsidR="00DC7C02" w:rsidRPr="002A3855">
        <w:rPr>
          <w:rFonts w:ascii="Times New Roman" w:hAnsi="Times New Roman" w:cs="Times New Roman"/>
          <w:i/>
          <w:sz w:val="24"/>
          <w:szCs w:val="24"/>
        </w:rPr>
        <w:t xml:space="preserve"> and personal </w:t>
      </w:r>
      <w:proofErr w:type="spellStart"/>
      <w:r w:rsidR="00DC7C02" w:rsidRPr="002A3855">
        <w:rPr>
          <w:rFonts w:ascii="Times New Roman" w:hAnsi="Times New Roman" w:cs="Times New Roman"/>
          <w:i/>
          <w:sz w:val="24"/>
          <w:szCs w:val="24"/>
        </w:rPr>
        <w:t>resources</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available</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to</w:t>
      </w:r>
      <w:proofErr w:type="spellEnd"/>
      <w:r w:rsidR="00DC7C02" w:rsidRPr="002A3855">
        <w:rPr>
          <w:rFonts w:ascii="Times New Roman" w:hAnsi="Times New Roman" w:cs="Times New Roman"/>
          <w:i/>
          <w:sz w:val="24"/>
          <w:szCs w:val="24"/>
        </w:rPr>
        <w:t xml:space="preserve"> FCF </w:t>
      </w:r>
      <w:proofErr w:type="spellStart"/>
      <w:r w:rsidR="00DC7C02" w:rsidRPr="002A3855">
        <w:rPr>
          <w:rFonts w:ascii="Times New Roman" w:hAnsi="Times New Roman" w:cs="Times New Roman"/>
          <w:i/>
          <w:sz w:val="24"/>
          <w:szCs w:val="24"/>
        </w:rPr>
        <w:t>students</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to</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demonstrate</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content</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assimilation</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Collaborative</w:t>
      </w:r>
      <w:proofErr w:type="spellEnd"/>
      <w:r w:rsidR="00DC7C02" w:rsidRPr="002A3855">
        <w:rPr>
          <w:rFonts w:ascii="Times New Roman" w:hAnsi="Times New Roman" w:cs="Times New Roman"/>
          <w:i/>
          <w:sz w:val="24"/>
          <w:szCs w:val="24"/>
        </w:rPr>
        <w:t xml:space="preserve"> kata </w:t>
      </w:r>
      <w:proofErr w:type="spellStart"/>
      <w:r w:rsidR="00DC7C02" w:rsidRPr="002A3855">
        <w:rPr>
          <w:rFonts w:ascii="Times New Roman" w:hAnsi="Times New Roman" w:cs="Times New Roman"/>
          <w:i/>
          <w:sz w:val="24"/>
          <w:szCs w:val="24"/>
        </w:rPr>
        <w:t>work</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is</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highlighted</w:t>
      </w:r>
      <w:proofErr w:type="spellEnd"/>
      <w:r w:rsidR="00DC7C02" w:rsidRPr="002A3855">
        <w:rPr>
          <w:rFonts w:ascii="Times New Roman" w:hAnsi="Times New Roman" w:cs="Times New Roman"/>
          <w:i/>
          <w:sz w:val="24"/>
          <w:szCs w:val="24"/>
        </w:rPr>
        <w:t xml:space="preserve"> as a </w:t>
      </w:r>
      <w:proofErr w:type="spellStart"/>
      <w:r w:rsidR="00DC7C02" w:rsidRPr="002A3855">
        <w:rPr>
          <w:rFonts w:ascii="Times New Roman" w:hAnsi="Times New Roman" w:cs="Times New Roman"/>
          <w:i/>
          <w:sz w:val="24"/>
          <w:szCs w:val="24"/>
        </w:rPr>
        <w:t>means</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to</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acquire</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professional</w:t>
      </w:r>
      <w:proofErr w:type="spellEnd"/>
      <w:r w:rsidR="00DC7C02" w:rsidRPr="002A3855">
        <w:rPr>
          <w:rFonts w:ascii="Times New Roman" w:hAnsi="Times New Roman" w:cs="Times New Roman"/>
          <w:i/>
          <w:sz w:val="24"/>
          <w:szCs w:val="24"/>
        </w:rPr>
        <w:t xml:space="preserve"> skills and </w:t>
      </w:r>
      <w:proofErr w:type="spellStart"/>
      <w:r w:rsidR="00DC7C02" w:rsidRPr="002A3855">
        <w:rPr>
          <w:rFonts w:ascii="Times New Roman" w:hAnsi="Times New Roman" w:cs="Times New Roman"/>
          <w:i/>
          <w:sz w:val="24"/>
          <w:szCs w:val="24"/>
        </w:rPr>
        <w:t>address</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specific</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challenges</w:t>
      </w:r>
      <w:proofErr w:type="spellEnd"/>
      <w:r w:rsidR="00DC7C02" w:rsidRPr="002A3855">
        <w:rPr>
          <w:rFonts w:ascii="Times New Roman" w:hAnsi="Times New Roman" w:cs="Times New Roman"/>
          <w:i/>
          <w:sz w:val="24"/>
          <w:szCs w:val="24"/>
        </w:rPr>
        <w:t xml:space="preserve"> at </w:t>
      </w:r>
      <w:proofErr w:type="spellStart"/>
      <w:r w:rsidR="00DC7C02" w:rsidRPr="002A3855">
        <w:rPr>
          <w:rFonts w:ascii="Times New Roman" w:hAnsi="Times New Roman" w:cs="Times New Roman"/>
          <w:i/>
          <w:sz w:val="24"/>
          <w:szCs w:val="24"/>
        </w:rPr>
        <w:t>the</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foundational</w:t>
      </w:r>
      <w:proofErr w:type="spellEnd"/>
      <w:r w:rsidR="00DC7C02" w:rsidRPr="002A3855">
        <w:rPr>
          <w:rFonts w:ascii="Times New Roman" w:hAnsi="Times New Roman" w:cs="Times New Roman"/>
          <w:i/>
          <w:sz w:val="24"/>
          <w:szCs w:val="24"/>
        </w:rPr>
        <w:t xml:space="preserve"> </w:t>
      </w:r>
      <w:proofErr w:type="spellStart"/>
      <w:r w:rsidR="00DC7C02" w:rsidRPr="002A3855">
        <w:rPr>
          <w:rFonts w:ascii="Times New Roman" w:hAnsi="Times New Roman" w:cs="Times New Roman"/>
          <w:i/>
          <w:sz w:val="24"/>
          <w:szCs w:val="24"/>
        </w:rPr>
        <w:t>level</w:t>
      </w:r>
      <w:proofErr w:type="spellEnd"/>
      <w:r w:rsidR="00DC7C02" w:rsidRPr="002A3855">
        <w:rPr>
          <w:rFonts w:ascii="Times New Roman" w:hAnsi="Times New Roman" w:cs="Times New Roman"/>
          <w:i/>
          <w:sz w:val="24"/>
          <w:szCs w:val="24"/>
        </w:rPr>
        <w:t>.</w:t>
      </w:r>
    </w:p>
    <w:p w:rsidR="007361F1" w:rsidRDefault="00DC7C02" w:rsidP="00FF3346">
      <w:pPr>
        <w:spacing w:after="0" w:line="360" w:lineRule="auto"/>
        <w:jc w:val="both"/>
        <w:rPr>
          <w:rFonts w:ascii="Times New Roman" w:hAnsi="Times New Roman" w:cs="Times New Roman"/>
          <w:i/>
          <w:sz w:val="24"/>
          <w:szCs w:val="24"/>
        </w:rPr>
      </w:pPr>
      <w:r w:rsidRPr="002A3855">
        <w:rPr>
          <w:rFonts w:ascii="Times New Roman" w:hAnsi="Times New Roman" w:cs="Times New Roman"/>
          <w:b/>
          <w:i/>
          <w:sz w:val="24"/>
          <w:szCs w:val="24"/>
        </w:rPr>
        <w:t>Keywords:</w:t>
      </w:r>
      <w:r w:rsidRPr="002A3855">
        <w:rPr>
          <w:rFonts w:ascii="Times New Roman" w:hAnsi="Times New Roman" w:cs="Times New Roman"/>
          <w:i/>
          <w:sz w:val="24"/>
          <w:szCs w:val="24"/>
        </w:rPr>
        <w:t xml:space="preserve"> </w:t>
      </w:r>
      <w:proofErr w:type="spellStart"/>
      <w:r w:rsidRPr="002A3855">
        <w:rPr>
          <w:rFonts w:ascii="Times New Roman" w:hAnsi="Times New Roman" w:cs="Times New Roman"/>
          <w:i/>
          <w:sz w:val="24"/>
          <w:szCs w:val="24"/>
        </w:rPr>
        <w:t>Didactic</w:t>
      </w:r>
      <w:proofErr w:type="spellEnd"/>
      <w:r w:rsidRPr="002A3855">
        <w:rPr>
          <w:rFonts w:ascii="Times New Roman" w:hAnsi="Times New Roman" w:cs="Times New Roman"/>
          <w:i/>
          <w:sz w:val="24"/>
          <w:szCs w:val="24"/>
        </w:rPr>
        <w:t xml:space="preserve"> </w:t>
      </w:r>
      <w:proofErr w:type="spellStart"/>
      <w:r w:rsidRPr="002A3855">
        <w:rPr>
          <w:rFonts w:ascii="Times New Roman" w:hAnsi="Times New Roman" w:cs="Times New Roman"/>
          <w:i/>
          <w:sz w:val="24"/>
          <w:szCs w:val="24"/>
        </w:rPr>
        <w:t>filming</w:t>
      </w:r>
      <w:proofErr w:type="spellEnd"/>
      <w:r w:rsidRPr="002A3855">
        <w:rPr>
          <w:rFonts w:ascii="Times New Roman" w:hAnsi="Times New Roman" w:cs="Times New Roman"/>
          <w:i/>
          <w:sz w:val="24"/>
          <w:szCs w:val="24"/>
        </w:rPr>
        <w:t xml:space="preserve">, </w:t>
      </w:r>
      <w:proofErr w:type="spellStart"/>
      <w:r w:rsidRPr="002A3855">
        <w:rPr>
          <w:rFonts w:ascii="Times New Roman" w:hAnsi="Times New Roman" w:cs="Times New Roman"/>
          <w:i/>
          <w:sz w:val="24"/>
          <w:szCs w:val="24"/>
        </w:rPr>
        <w:t>basic</w:t>
      </w:r>
      <w:proofErr w:type="spellEnd"/>
      <w:r w:rsidRPr="002A3855">
        <w:rPr>
          <w:rFonts w:ascii="Times New Roman" w:hAnsi="Times New Roman" w:cs="Times New Roman"/>
          <w:i/>
          <w:sz w:val="24"/>
          <w:szCs w:val="24"/>
        </w:rPr>
        <w:t xml:space="preserve"> </w:t>
      </w:r>
      <w:proofErr w:type="spellStart"/>
      <w:r w:rsidRPr="002A3855">
        <w:rPr>
          <w:rFonts w:ascii="Times New Roman" w:hAnsi="Times New Roman" w:cs="Times New Roman"/>
          <w:i/>
          <w:sz w:val="24"/>
          <w:szCs w:val="24"/>
        </w:rPr>
        <w:t>elements</w:t>
      </w:r>
      <w:proofErr w:type="spellEnd"/>
      <w:r w:rsidRPr="002A3855">
        <w:rPr>
          <w:rFonts w:ascii="Times New Roman" w:hAnsi="Times New Roman" w:cs="Times New Roman"/>
          <w:i/>
          <w:sz w:val="24"/>
          <w:szCs w:val="24"/>
        </w:rPr>
        <w:t xml:space="preserve">, </w:t>
      </w:r>
      <w:proofErr w:type="spellStart"/>
      <w:r w:rsidRPr="002A3855">
        <w:rPr>
          <w:rFonts w:ascii="Times New Roman" w:hAnsi="Times New Roman" w:cs="Times New Roman"/>
          <w:i/>
          <w:sz w:val="24"/>
          <w:szCs w:val="24"/>
        </w:rPr>
        <w:t>collaborative</w:t>
      </w:r>
      <w:proofErr w:type="spellEnd"/>
      <w:r w:rsidRPr="002A3855">
        <w:rPr>
          <w:rFonts w:ascii="Times New Roman" w:hAnsi="Times New Roman" w:cs="Times New Roman"/>
          <w:i/>
          <w:sz w:val="24"/>
          <w:szCs w:val="24"/>
        </w:rPr>
        <w:t xml:space="preserve"> kata, </w:t>
      </w:r>
      <w:proofErr w:type="spellStart"/>
      <w:r w:rsidRPr="002A3855">
        <w:rPr>
          <w:rFonts w:ascii="Times New Roman" w:hAnsi="Times New Roman" w:cs="Times New Roman"/>
          <w:i/>
          <w:sz w:val="24"/>
          <w:szCs w:val="24"/>
        </w:rPr>
        <w:t>professional</w:t>
      </w:r>
      <w:proofErr w:type="spellEnd"/>
      <w:r w:rsidRPr="002A3855">
        <w:rPr>
          <w:rFonts w:ascii="Times New Roman" w:hAnsi="Times New Roman" w:cs="Times New Roman"/>
          <w:i/>
          <w:sz w:val="24"/>
          <w:szCs w:val="24"/>
        </w:rPr>
        <w:t xml:space="preserve"> skills, </w:t>
      </w:r>
      <w:proofErr w:type="spellStart"/>
      <w:r w:rsidRPr="002A3855">
        <w:rPr>
          <w:rFonts w:ascii="Times New Roman" w:hAnsi="Times New Roman" w:cs="Times New Roman"/>
          <w:i/>
          <w:sz w:val="24"/>
          <w:szCs w:val="24"/>
        </w:rPr>
        <w:t>foundational</w:t>
      </w:r>
      <w:proofErr w:type="spellEnd"/>
      <w:r w:rsidRPr="002A3855">
        <w:rPr>
          <w:rFonts w:ascii="Times New Roman" w:hAnsi="Times New Roman" w:cs="Times New Roman"/>
          <w:i/>
          <w:sz w:val="24"/>
          <w:szCs w:val="24"/>
        </w:rPr>
        <w:t xml:space="preserve"> </w:t>
      </w:r>
      <w:proofErr w:type="spellStart"/>
      <w:r w:rsidRPr="002A3855">
        <w:rPr>
          <w:rFonts w:ascii="Times New Roman" w:hAnsi="Times New Roman" w:cs="Times New Roman"/>
          <w:i/>
          <w:sz w:val="24"/>
          <w:szCs w:val="24"/>
        </w:rPr>
        <w:t>level</w:t>
      </w:r>
      <w:proofErr w:type="spellEnd"/>
      <w:r w:rsidRPr="002A3855">
        <w:rPr>
          <w:rFonts w:ascii="Times New Roman" w:hAnsi="Times New Roman" w:cs="Times New Roman"/>
          <w:i/>
          <w:sz w:val="24"/>
          <w:szCs w:val="24"/>
        </w:rPr>
        <w:t>.</w:t>
      </w:r>
    </w:p>
    <w:p w:rsidR="00A21A1F" w:rsidRPr="002A3855" w:rsidRDefault="00A21A1F" w:rsidP="00FF3346">
      <w:pPr>
        <w:spacing w:after="0" w:line="360" w:lineRule="auto"/>
        <w:jc w:val="both"/>
        <w:rPr>
          <w:rFonts w:ascii="Times New Roman" w:hAnsi="Times New Roman" w:cs="Times New Roman"/>
          <w:b/>
          <w:sz w:val="24"/>
          <w:szCs w:val="24"/>
        </w:rPr>
      </w:pPr>
      <w:r w:rsidRPr="002A3855">
        <w:rPr>
          <w:rFonts w:ascii="Times New Roman" w:hAnsi="Times New Roman" w:cs="Times New Roman"/>
          <w:b/>
          <w:sz w:val="24"/>
          <w:szCs w:val="24"/>
        </w:rPr>
        <w:t>1. Introducción</w:t>
      </w:r>
    </w:p>
    <w:p w:rsidR="00DC7C02" w:rsidRPr="002A3855" w:rsidRDefault="00DC7C02" w:rsidP="00DC7C02">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En la actualidad, la investigación y el estudio de la didáctica y la metodología del deporte ha permitido que emerjan nuevas propuestas y tendencias en la asignatura Judo Básico, tales como la intervención didáctica adecuada a la situación actual de las Nuevas Tecnologías de la Información y las Comunicaciones (NTICs), la pedagogía no </w:t>
      </w:r>
      <w:r w:rsidRPr="002A3855">
        <w:rPr>
          <w:rFonts w:ascii="Times New Roman" w:hAnsi="Times New Roman" w:cs="Times New Roman"/>
          <w:sz w:val="24"/>
          <w:szCs w:val="24"/>
        </w:rPr>
        <w:lastRenderedPageBreak/>
        <w:t xml:space="preserve">lineal y el empleo de videos didácticos configurados en función del uso de multimedios por parte de los estudiantes que pueden contribuir a la construcción de aprendizajes significativos y desarrolladores. </w:t>
      </w:r>
    </w:p>
    <w:p w:rsidR="00DC7C02" w:rsidRPr="002A3855" w:rsidRDefault="00DC7C02" w:rsidP="00DC7C02">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En este sentido, la presente investigación, se conecta con la demanda tecnológica que apunta hacia el análisis cuantitativo y cualitativo de los test pedagógicos que posibiliten evaluar de manera individual y grupal a los atletas según los indicadores de rendimiento en cada prueba (Departamento Técnico Metodológico del Alto Rendimiento, 2020).</w:t>
      </w:r>
    </w:p>
    <w:p w:rsidR="00DC7C02" w:rsidRPr="002A3855" w:rsidRDefault="00DC7C02" w:rsidP="00DC7C02">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En la actualidad, la compleja situación del entorno en la formación de los futuros profesionales en la Facultad de Cultura Física, ha permitido que emerjan nuevas herramientas didácticas adecuadas a la construcción de nuevos medios didácticos audiovisuales que se establecen de la relación entre los medios de enseñanza y los medios técnico, en particular los multimedios digitales y su relación con la clase. </w:t>
      </w:r>
    </w:p>
    <w:p w:rsidR="00DC7C02" w:rsidRPr="002A3855" w:rsidRDefault="00DC7C02" w:rsidP="00DC7C02">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En la investigación se aborda la filmación de videos didácticos por su fácil elaboración, por el interés y la utilidad que adquieren en el ejercicio profesional (Uria, </w:t>
      </w:r>
      <w:proofErr w:type="gramStart"/>
      <w:r w:rsidRPr="002A3855">
        <w:rPr>
          <w:rFonts w:ascii="Times New Roman" w:hAnsi="Times New Roman" w:cs="Times New Roman"/>
          <w:sz w:val="24"/>
          <w:szCs w:val="24"/>
        </w:rPr>
        <w:t>Gallego</w:t>
      </w:r>
      <w:proofErr w:type="gramEnd"/>
      <w:r w:rsidRPr="002A3855">
        <w:rPr>
          <w:rFonts w:ascii="Times New Roman" w:hAnsi="Times New Roman" w:cs="Times New Roman"/>
          <w:sz w:val="24"/>
          <w:szCs w:val="24"/>
        </w:rPr>
        <w:t xml:space="preserve">, Augier, Milián, Fernández y Rivas, 1989). Por una parte, entre los elementos detectados que justifican la investigación se puede plantear que, en el colectivo de la asignatura de Judo, no se tiene definido un plan de tareas docentes, a través, del uso de los multimedios de los estudiantes. </w:t>
      </w:r>
    </w:p>
    <w:p w:rsidR="00DC7C02" w:rsidRPr="002A3855" w:rsidRDefault="00DC7C02" w:rsidP="00DC7C02">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Por otra parte, la experiencia que conllevo un período prolongado de aislamiento y la estrategia de educación a distancia empleada en la Covid-19, se tradujo en un período de crisis que aporto la consolidación de la enseñanza a través de aulas virtuales, lo cual resulto de la consolidación de un aprendizaje mucho más rápido con la utilización de los multimedios como son celulares, tabletas, laptops y computadoras personales.</w:t>
      </w:r>
    </w:p>
    <w:p w:rsidR="00DC7C02" w:rsidRPr="002A3855" w:rsidRDefault="00DC7C02" w:rsidP="00DC7C02">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Además, no se dispone de un procedimiento que considere cómo proceder para establecer de una manera prospectiva una filmación de un video didáctico que permita al estudiante prepararse y aprender por sí solo, mucho más rápido y de forma independiente la ejecución de los elementos básicos del Judo y las técnicas de proyección y control, a tono con la convergencia tecnológica que se articule con el empleo de las (NTICs) y la Inteligencia Artificial (IA) centrada en la utilización de un modelo comportamental en torno a la “Kata de elementos básicos del Judo”, a partir de la oportunidad de generar contenidos audiovisuales que se conciben teniendo en cuenta las ciencias aplicadas al deporte. </w:t>
      </w:r>
    </w:p>
    <w:p w:rsidR="00DC7C02" w:rsidRPr="002A3855" w:rsidRDefault="00DC7C02" w:rsidP="00DC7C02">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lastRenderedPageBreak/>
        <w:t xml:space="preserve">Estos elementos permiten arribar a la </w:t>
      </w:r>
      <w:r w:rsidRPr="002A3855">
        <w:rPr>
          <w:rFonts w:ascii="Times New Roman" w:hAnsi="Times New Roman" w:cs="Times New Roman"/>
          <w:b/>
          <w:sz w:val="24"/>
          <w:szCs w:val="24"/>
        </w:rPr>
        <w:t>situación problémica</w:t>
      </w:r>
      <w:r w:rsidRPr="002A3855">
        <w:rPr>
          <w:rFonts w:ascii="Times New Roman" w:hAnsi="Times New Roman" w:cs="Times New Roman"/>
          <w:sz w:val="24"/>
          <w:szCs w:val="24"/>
        </w:rPr>
        <w:t xml:space="preserve">: existen Insuficiencias en el empleo de las (NTICs), las herramientas didácticas y otros multimedios por los estudiantes en el ejercicio de la profesión para garantizar el tránsito de la dependencia a la independencia en la formación del profesional en la asignatura Judo Básico. De ahí, se formula el </w:t>
      </w:r>
      <w:r w:rsidRPr="002A3855">
        <w:rPr>
          <w:rFonts w:ascii="Times New Roman" w:hAnsi="Times New Roman" w:cs="Times New Roman"/>
          <w:b/>
          <w:sz w:val="24"/>
          <w:szCs w:val="24"/>
        </w:rPr>
        <w:t>problema científico</w:t>
      </w:r>
      <w:r w:rsidRPr="002A3855">
        <w:rPr>
          <w:rFonts w:ascii="Times New Roman" w:hAnsi="Times New Roman" w:cs="Times New Roman"/>
          <w:sz w:val="24"/>
          <w:szCs w:val="24"/>
        </w:rPr>
        <w:t xml:space="preserve">: ¿cómo estructurar un video con carácter didáctico en la asignatura Judo Básico? </w:t>
      </w:r>
    </w:p>
    <w:p w:rsidR="00DC7C02" w:rsidRPr="002A3855" w:rsidRDefault="00DC7C02" w:rsidP="00DC7C02">
      <w:pPr>
        <w:spacing w:after="0" w:line="360" w:lineRule="auto"/>
        <w:jc w:val="both"/>
        <w:rPr>
          <w:rFonts w:ascii="Times New Roman" w:hAnsi="Times New Roman" w:cs="Times New Roman"/>
          <w:sz w:val="24"/>
          <w:szCs w:val="24"/>
        </w:rPr>
      </w:pPr>
      <w:r w:rsidRPr="002A3855">
        <w:rPr>
          <w:rFonts w:ascii="Times New Roman" w:hAnsi="Times New Roman" w:cs="Times New Roman"/>
          <w:b/>
          <w:sz w:val="24"/>
          <w:szCs w:val="24"/>
        </w:rPr>
        <w:t>Objetivo general</w:t>
      </w:r>
      <w:r w:rsidRPr="002A3855">
        <w:rPr>
          <w:rFonts w:ascii="Times New Roman" w:hAnsi="Times New Roman" w:cs="Times New Roman"/>
          <w:sz w:val="24"/>
          <w:szCs w:val="24"/>
        </w:rPr>
        <w:t>: Filmar un video didáctico basado en la “Kata de elementos básicos del Judo” para la formación profesional de los estudiantes en la asignatura Judo Básico.</w:t>
      </w:r>
    </w:p>
    <w:p w:rsidR="00DC7C02" w:rsidRPr="002A3855" w:rsidRDefault="00DC7C02" w:rsidP="00DC7C02">
      <w:pPr>
        <w:spacing w:after="0" w:line="360" w:lineRule="auto"/>
        <w:jc w:val="both"/>
        <w:rPr>
          <w:rFonts w:ascii="Times New Roman" w:hAnsi="Times New Roman" w:cs="Times New Roman"/>
          <w:sz w:val="24"/>
          <w:szCs w:val="24"/>
        </w:rPr>
      </w:pPr>
      <w:r w:rsidRPr="002A3855">
        <w:rPr>
          <w:rFonts w:ascii="Times New Roman" w:hAnsi="Times New Roman" w:cs="Times New Roman"/>
          <w:b/>
          <w:sz w:val="24"/>
          <w:szCs w:val="24"/>
        </w:rPr>
        <w:t>Objetivos específicos</w:t>
      </w:r>
      <w:r w:rsidRPr="002A3855">
        <w:rPr>
          <w:rFonts w:ascii="Times New Roman" w:hAnsi="Times New Roman" w:cs="Times New Roman"/>
          <w:sz w:val="24"/>
          <w:szCs w:val="24"/>
        </w:rPr>
        <w:t>: 1.- Diagnosticar la apropiación de los conocimientos y habilidades en los estudiantes de la asignatura Judo Básico impartida en la Facultad de Cultura Física. 2.- Describir el orden de ejecución de acciones y su frecuencia de asociación en el video didáctico, acorde al análisis del video didáctico desde tres aristas diferentes, según la matriz de relaciones de reciprocidad en la asignatura Judo Básico.</w:t>
      </w:r>
    </w:p>
    <w:p w:rsidR="00A21A1F" w:rsidRPr="002A3855" w:rsidRDefault="00A21A1F" w:rsidP="00FF3346">
      <w:pPr>
        <w:spacing w:after="0" w:line="360" w:lineRule="auto"/>
        <w:jc w:val="both"/>
        <w:rPr>
          <w:rFonts w:ascii="Times New Roman" w:hAnsi="Times New Roman" w:cs="Times New Roman"/>
          <w:b/>
          <w:sz w:val="24"/>
          <w:szCs w:val="24"/>
        </w:rPr>
      </w:pPr>
      <w:r w:rsidRPr="002A3855">
        <w:rPr>
          <w:rFonts w:ascii="Times New Roman" w:hAnsi="Times New Roman" w:cs="Times New Roman"/>
          <w:b/>
          <w:sz w:val="24"/>
          <w:szCs w:val="24"/>
        </w:rPr>
        <w:t>2. Metodología</w:t>
      </w:r>
    </w:p>
    <w:p w:rsidR="00D668E6" w:rsidRPr="002A3855" w:rsidRDefault="00D668E6" w:rsidP="00D668E6">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Para la descripción de las etapas por las que transita la investigación, se parte de que el desarrollo de la misma constituye un proceso que contextualizo que transita por tres etapas: diagnóstico, diseño y evaluación de la propuesta. </w:t>
      </w:r>
    </w:p>
    <w:p w:rsidR="00D668E6" w:rsidRPr="002A3855" w:rsidRDefault="00D668E6" w:rsidP="00D668E6">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En la primera etapa se elabora unidades de análisis, instrumentos del diagnóstico y descriptores de la asimilación de contenidos y se realiza el análisis estructural de la “Kata de elementos básicos del Judo”. En la segunda etapa se organiza la filmación, según el orden de ejecución y la frecuencia de asociación en el dúo-kata. Se establece un algoritmo de utilización del video didáctico. En la tercera etapa se analiza la propuesta, desde tres aristas diferentes: la asimilación de los contenidos en Judo Básico, el criterio de los usuarios y la opinión de los evaluadores externos. En la investigación se emplearon los métodos del nivel teórico y empírico siguiente:</w:t>
      </w:r>
    </w:p>
    <w:p w:rsidR="00D668E6" w:rsidRPr="002A3855" w:rsidRDefault="00D668E6" w:rsidP="00D668E6">
      <w:pPr>
        <w:pStyle w:val="Prrafodelista"/>
        <w:numPr>
          <w:ilvl w:val="0"/>
          <w:numId w:val="2"/>
        </w:num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Métodos del nivel teórico: Análisis y síntesis, inducción y deducción y enfoque de sistema.</w:t>
      </w:r>
    </w:p>
    <w:p w:rsidR="00D668E6" w:rsidRPr="002A3855" w:rsidRDefault="00D668E6" w:rsidP="00D668E6">
      <w:pPr>
        <w:pStyle w:val="Prrafodelista"/>
        <w:numPr>
          <w:ilvl w:val="0"/>
          <w:numId w:val="2"/>
        </w:num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Métodos y técnicas del nivel empírico: Análisis documental, observación, entrevista, medición en prueba técnica y triangulación metodológica.  </w:t>
      </w:r>
    </w:p>
    <w:p w:rsidR="00D668E6" w:rsidRPr="002A3855" w:rsidRDefault="00D668E6" w:rsidP="00D668E6">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Descripción de los métodos empleados en cada etapa de la investigación, según lo planteado por la Dra. C. Nancy Mesa al citar a Fernández Rivero y un colectivo de </w:t>
      </w:r>
      <w:r w:rsidRPr="002A3855">
        <w:rPr>
          <w:rFonts w:ascii="Times New Roman" w:hAnsi="Times New Roman" w:cs="Times New Roman"/>
          <w:sz w:val="24"/>
          <w:szCs w:val="24"/>
        </w:rPr>
        <w:lastRenderedPageBreak/>
        <w:t>autores en un material complementario del Diplomado Internacional de “Investigación educativa” en el Instituto Pedagógico Latinoamericano y Caribeño (IPLAC, 2001)</w:t>
      </w:r>
    </w:p>
    <w:p w:rsidR="00D668E6" w:rsidRPr="002A3855" w:rsidRDefault="00D668E6" w:rsidP="00D668E6">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La medición y prueba: En el sentido amplio del concepto permitió llevar a su expresión numérica los resultados obtenidos en la prueba técnica aplicada a los estudiantes de la asignatura Judo Básico, teniéndose en cuenta el cumplimiento de una tarea o una situación de test en marcada en las series de la “Kata de elementos básicos del Judo” en función de la estructura interna de la prueba técnica en el eslabón de base (P</w:t>
      </w:r>
      <w:r w:rsidR="0017363F" w:rsidRPr="002A3855">
        <w:rPr>
          <w:rFonts w:ascii="Times New Roman" w:hAnsi="Times New Roman" w:cs="Times New Roman"/>
          <w:sz w:val="24"/>
          <w:szCs w:val="24"/>
        </w:rPr>
        <w:t xml:space="preserve">rograma </w:t>
      </w:r>
      <w:r w:rsidRPr="002A3855">
        <w:rPr>
          <w:rFonts w:ascii="Times New Roman" w:hAnsi="Times New Roman" w:cs="Times New Roman"/>
          <w:sz w:val="24"/>
          <w:szCs w:val="24"/>
        </w:rPr>
        <w:t>I</w:t>
      </w:r>
      <w:r w:rsidR="0017363F" w:rsidRPr="002A3855">
        <w:rPr>
          <w:rFonts w:ascii="Times New Roman" w:hAnsi="Times New Roman" w:cs="Times New Roman"/>
          <w:sz w:val="24"/>
          <w:szCs w:val="24"/>
        </w:rPr>
        <w:t xml:space="preserve">ntegral de </w:t>
      </w:r>
      <w:r w:rsidRPr="002A3855">
        <w:rPr>
          <w:rFonts w:ascii="Times New Roman" w:hAnsi="Times New Roman" w:cs="Times New Roman"/>
          <w:sz w:val="24"/>
          <w:szCs w:val="24"/>
        </w:rPr>
        <w:t>P</w:t>
      </w:r>
      <w:r w:rsidR="0017363F" w:rsidRPr="002A3855">
        <w:rPr>
          <w:rFonts w:ascii="Times New Roman" w:hAnsi="Times New Roman" w:cs="Times New Roman"/>
          <w:sz w:val="24"/>
          <w:szCs w:val="24"/>
        </w:rPr>
        <w:t>reparación del Deportista</w:t>
      </w:r>
      <w:r w:rsidRPr="002A3855">
        <w:rPr>
          <w:rFonts w:ascii="Times New Roman" w:hAnsi="Times New Roman" w:cs="Times New Roman"/>
          <w:sz w:val="24"/>
          <w:szCs w:val="24"/>
        </w:rPr>
        <w:t>, 20</w:t>
      </w:r>
      <w:r w:rsidR="0017363F" w:rsidRPr="002A3855">
        <w:rPr>
          <w:rFonts w:ascii="Times New Roman" w:hAnsi="Times New Roman" w:cs="Times New Roman"/>
          <w:sz w:val="24"/>
          <w:szCs w:val="24"/>
        </w:rPr>
        <w:t xml:space="preserve">13, </w:t>
      </w:r>
      <w:r w:rsidRPr="002A3855">
        <w:rPr>
          <w:rFonts w:ascii="Times New Roman" w:hAnsi="Times New Roman" w:cs="Times New Roman"/>
          <w:sz w:val="24"/>
          <w:szCs w:val="24"/>
        </w:rPr>
        <w:t>2018</w:t>
      </w:r>
      <w:r w:rsidR="0017363F" w:rsidRPr="002A3855">
        <w:rPr>
          <w:rFonts w:ascii="Times New Roman" w:hAnsi="Times New Roman" w:cs="Times New Roman"/>
          <w:sz w:val="24"/>
          <w:szCs w:val="24"/>
        </w:rPr>
        <w:t xml:space="preserve"> y 2024</w:t>
      </w:r>
      <w:r w:rsidRPr="002A3855">
        <w:rPr>
          <w:rFonts w:ascii="Times New Roman" w:hAnsi="Times New Roman" w:cs="Times New Roman"/>
          <w:sz w:val="24"/>
          <w:szCs w:val="24"/>
        </w:rPr>
        <w:t xml:space="preserve">) y adaptada de los principios  del Judo y el carácter didáctico del video de la acción del Kata (según Kawaishi, 1964). </w:t>
      </w:r>
    </w:p>
    <w:p w:rsidR="001E26A3" w:rsidRPr="002A3855" w:rsidRDefault="00D668E6" w:rsidP="00D668E6">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En el sentido estrecho la prueba técnica se desarrolló con el objetivo de obtener información numérica acerca de una propiedad o cualidad del objeto o fenómeno, donde se comparan magnitudes medibles y conocidas. O sea, es la atribución de valores numéricos a los resultados en cada ejecución técnica, según la escala siguiente:</w:t>
      </w:r>
    </w:p>
    <w:tbl>
      <w:tblPr>
        <w:tblW w:w="9132" w:type="dxa"/>
        <w:tblCellMar>
          <w:left w:w="70" w:type="dxa"/>
          <w:right w:w="70" w:type="dxa"/>
        </w:tblCellMar>
        <w:tblLook w:val="04A0" w:firstRow="1" w:lastRow="0" w:firstColumn="1" w:lastColumn="0" w:noHBand="0" w:noVBand="1"/>
      </w:tblPr>
      <w:tblGrid>
        <w:gridCol w:w="3109"/>
        <w:gridCol w:w="3827"/>
        <w:gridCol w:w="2196"/>
      </w:tblGrid>
      <w:tr w:rsidR="002A3855" w:rsidRPr="002A3855" w:rsidTr="00056BCF">
        <w:trPr>
          <w:trHeight w:val="317"/>
        </w:trPr>
        <w:tc>
          <w:tcPr>
            <w:tcW w:w="9132"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D668E6" w:rsidRPr="002A3855" w:rsidRDefault="00D668E6" w:rsidP="00056BCF">
            <w:pPr>
              <w:spacing w:after="0" w:line="240" w:lineRule="auto"/>
              <w:jc w:val="center"/>
              <w:rPr>
                <w:rFonts w:ascii="Times New Roman" w:eastAsia="Times New Roman" w:hAnsi="Times New Roman" w:cs="Times New Roman"/>
                <w:b/>
                <w:bCs/>
              </w:rPr>
            </w:pPr>
            <w:r w:rsidRPr="002A3855">
              <w:rPr>
                <w:rFonts w:ascii="Times New Roman" w:eastAsia="Times New Roman" w:hAnsi="Times New Roman" w:cs="Times New Roman"/>
                <w:b/>
                <w:bCs/>
              </w:rPr>
              <w:t xml:space="preserve">Escala de evaluación </w:t>
            </w:r>
          </w:p>
        </w:tc>
      </w:tr>
      <w:tr w:rsidR="002A3855" w:rsidRPr="002A3855" w:rsidTr="00056BCF">
        <w:trPr>
          <w:trHeight w:val="332"/>
        </w:trPr>
        <w:tc>
          <w:tcPr>
            <w:tcW w:w="3109"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D668E6" w:rsidRPr="002A3855" w:rsidRDefault="00D668E6" w:rsidP="00056BCF">
            <w:pPr>
              <w:spacing w:after="0" w:line="240" w:lineRule="auto"/>
              <w:jc w:val="center"/>
              <w:rPr>
                <w:rFonts w:ascii="Times New Roman" w:eastAsia="Times New Roman" w:hAnsi="Times New Roman" w:cs="Times New Roman"/>
              </w:rPr>
            </w:pPr>
            <w:r w:rsidRPr="002A3855">
              <w:rPr>
                <w:rFonts w:ascii="Times New Roman" w:eastAsia="Times New Roman" w:hAnsi="Times New Roman" w:cs="Times New Roman"/>
              </w:rPr>
              <w:t xml:space="preserve">Indicadores cualitativos </w:t>
            </w:r>
          </w:p>
        </w:tc>
        <w:tc>
          <w:tcPr>
            <w:tcW w:w="3827" w:type="dxa"/>
            <w:tcBorders>
              <w:top w:val="single" w:sz="4" w:space="0" w:color="auto"/>
              <w:left w:val="nil"/>
              <w:bottom w:val="single" w:sz="8" w:space="0" w:color="auto"/>
              <w:right w:val="single" w:sz="4" w:space="0" w:color="auto"/>
            </w:tcBorders>
            <w:shd w:val="clear" w:color="auto" w:fill="auto"/>
            <w:noWrap/>
            <w:vAlign w:val="bottom"/>
            <w:hideMark/>
          </w:tcPr>
          <w:p w:rsidR="00D668E6" w:rsidRPr="002A3855" w:rsidRDefault="00D668E6" w:rsidP="00056BCF">
            <w:pPr>
              <w:spacing w:after="0" w:line="240" w:lineRule="auto"/>
              <w:jc w:val="center"/>
              <w:rPr>
                <w:rFonts w:ascii="Times New Roman" w:eastAsia="Times New Roman" w:hAnsi="Times New Roman" w:cs="Times New Roman"/>
              </w:rPr>
            </w:pPr>
            <w:r w:rsidRPr="002A3855">
              <w:rPr>
                <w:rFonts w:ascii="Times New Roman" w:eastAsia="Times New Roman" w:hAnsi="Times New Roman" w:cs="Times New Roman"/>
              </w:rPr>
              <w:t xml:space="preserve">Indicadores cuantitativos </w:t>
            </w:r>
          </w:p>
        </w:tc>
        <w:tc>
          <w:tcPr>
            <w:tcW w:w="2196" w:type="dxa"/>
            <w:tcBorders>
              <w:top w:val="single" w:sz="4" w:space="0" w:color="auto"/>
              <w:left w:val="nil"/>
              <w:bottom w:val="single" w:sz="8" w:space="0" w:color="auto"/>
              <w:right w:val="single" w:sz="8" w:space="0" w:color="000000"/>
            </w:tcBorders>
            <w:shd w:val="clear" w:color="auto" w:fill="auto"/>
            <w:noWrap/>
            <w:vAlign w:val="bottom"/>
            <w:hideMark/>
          </w:tcPr>
          <w:p w:rsidR="00D668E6" w:rsidRPr="002A3855" w:rsidRDefault="00D668E6" w:rsidP="00056BCF">
            <w:pPr>
              <w:spacing w:after="0" w:line="240" w:lineRule="auto"/>
              <w:jc w:val="center"/>
              <w:rPr>
                <w:rFonts w:ascii="Times New Roman" w:eastAsia="Times New Roman" w:hAnsi="Times New Roman" w:cs="Times New Roman"/>
              </w:rPr>
            </w:pPr>
            <w:r w:rsidRPr="002A3855">
              <w:rPr>
                <w:rFonts w:ascii="Times New Roman" w:eastAsia="Times New Roman" w:hAnsi="Times New Roman" w:cs="Times New Roman"/>
              </w:rPr>
              <w:t>Evaluación</w:t>
            </w:r>
          </w:p>
        </w:tc>
      </w:tr>
      <w:tr w:rsidR="002A3855" w:rsidRPr="002A3855" w:rsidTr="00056BCF">
        <w:trPr>
          <w:trHeight w:val="60"/>
        </w:trPr>
        <w:tc>
          <w:tcPr>
            <w:tcW w:w="3109" w:type="dxa"/>
            <w:tcBorders>
              <w:top w:val="nil"/>
              <w:left w:val="single" w:sz="8" w:space="0" w:color="auto"/>
              <w:bottom w:val="nil"/>
              <w:right w:val="single" w:sz="4" w:space="0" w:color="000000"/>
            </w:tcBorders>
            <w:shd w:val="clear" w:color="auto" w:fill="auto"/>
            <w:noWrap/>
            <w:vAlign w:val="bottom"/>
            <w:hideMark/>
          </w:tcPr>
          <w:p w:rsidR="00D668E6" w:rsidRPr="002A3855" w:rsidRDefault="00D668E6" w:rsidP="00056BCF">
            <w:pPr>
              <w:spacing w:after="0" w:line="240" w:lineRule="auto"/>
              <w:jc w:val="center"/>
              <w:rPr>
                <w:rFonts w:ascii="Times New Roman" w:eastAsia="Times New Roman" w:hAnsi="Times New Roman" w:cs="Times New Roman"/>
              </w:rPr>
            </w:pPr>
            <w:r w:rsidRPr="002A3855">
              <w:rPr>
                <w:rFonts w:ascii="Times New Roman" w:eastAsia="Times New Roman" w:hAnsi="Times New Roman" w:cs="Times New Roman"/>
              </w:rPr>
              <w:t xml:space="preserve">Altamente efectivo </w:t>
            </w:r>
          </w:p>
        </w:tc>
        <w:tc>
          <w:tcPr>
            <w:tcW w:w="3827" w:type="dxa"/>
            <w:tcBorders>
              <w:top w:val="nil"/>
              <w:left w:val="nil"/>
              <w:bottom w:val="nil"/>
              <w:right w:val="single" w:sz="4" w:space="0" w:color="000000"/>
            </w:tcBorders>
            <w:shd w:val="clear" w:color="auto" w:fill="auto"/>
            <w:noWrap/>
            <w:vAlign w:val="bottom"/>
            <w:hideMark/>
          </w:tcPr>
          <w:p w:rsidR="00D668E6" w:rsidRPr="002A3855" w:rsidRDefault="00D668E6" w:rsidP="00056BCF">
            <w:pPr>
              <w:spacing w:after="0" w:line="240" w:lineRule="auto"/>
              <w:jc w:val="center"/>
              <w:rPr>
                <w:rFonts w:ascii="Times New Roman" w:eastAsia="Times New Roman" w:hAnsi="Times New Roman" w:cs="Times New Roman"/>
              </w:rPr>
            </w:pPr>
            <w:r w:rsidRPr="002A3855">
              <w:rPr>
                <w:rFonts w:ascii="Times New Roman" w:eastAsia="Times New Roman" w:hAnsi="Times New Roman" w:cs="Times New Roman"/>
              </w:rPr>
              <w:t>5 puntos</w:t>
            </w:r>
          </w:p>
        </w:tc>
        <w:tc>
          <w:tcPr>
            <w:tcW w:w="2196" w:type="dxa"/>
            <w:tcBorders>
              <w:top w:val="nil"/>
              <w:left w:val="nil"/>
              <w:bottom w:val="nil"/>
              <w:right w:val="single" w:sz="8" w:space="0" w:color="000000"/>
            </w:tcBorders>
            <w:shd w:val="clear" w:color="auto" w:fill="auto"/>
            <w:noWrap/>
            <w:vAlign w:val="bottom"/>
            <w:hideMark/>
          </w:tcPr>
          <w:p w:rsidR="00D668E6" w:rsidRPr="002A3855" w:rsidRDefault="00D668E6" w:rsidP="00056BCF">
            <w:pPr>
              <w:spacing w:after="0" w:line="240" w:lineRule="auto"/>
              <w:jc w:val="center"/>
              <w:rPr>
                <w:rFonts w:ascii="Times New Roman" w:eastAsia="Times New Roman" w:hAnsi="Times New Roman" w:cs="Times New Roman"/>
              </w:rPr>
            </w:pPr>
            <w:r w:rsidRPr="002A3855">
              <w:rPr>
                <w:rFonts w:ascii="Times New Roman" w:eastAsia="Times New Roman" w:hAnsi="Times New Roman" w:cs="Times New Roman"/>
              </w:rPr>
              <w:t>"Muy Bien"</w:t>
            </w:r>
          </w:p>
        </w:tc>
      </w:tr>
      <w:tr w:rsidR="002A3855" w:rsidRPr="002A3855" w:rsidTr="00056BCF">
        <w:trPr>
          <w:trHeight w:val="70"/>
        </w:trPr>
        <w:tc>
          <w:tcPr>
            <w:tcW w:w="3109" w:type="dxa"/>
            <w:tcBorders>
              <w:top w:val="nil"/>
              <w:left w:val="single" w:sz="8" w:space="0" w:color="auto"/>
              <w:bottom w:val="nil"/>
              <w:right w:val="single" w:sz="4" w:space="0" w:color="000000"/>
            </w:tcBorders>
            <w:shd w:val="clear" w:color="auto" w:fill="auto"/>
            <w:noWrap/>
            <w:vAlign w:val="bottom"/>
            <w:hideMark/>
          </w:tcPr>
          <w:p w:rsidR="00D668E6" w:rsidRPr="002A3855" w:rsidRDefault="00D668E6" w:rsidP="00056BCF">
            <w:pPr>
              <w:spacing w:after="0" w:line="240" w:lineRule="auto"/>
              <w:jc w:val="center"/>
              <w:rPr>
                <w:rFonts w:ascii="Times New Roman" w:eastAsia="Times New Roman" w:hAnsi="Times New Roman" w:cs="Times New Roman"/>
              </w:rPr>
            </w:pPr>
            <w:r w:rsidRPr="002A3855">
              <w:rPr>
                <w:rFonts w:ascii="Times New Roman" w:eastAsia="Times New Roman" w:hAnsi="Times New Roman" w:cs="Times New Roman"/>
              </w:rPr>
              <w:t>Efectivo</w:t>
            </w:r>
          </w:p>
        </w:tc>
        <w:tc>
          <w:tcPr>
            <w:tcW w:w="3827" w:type="dxa"/>
            <w:tcBorders>
              <w:top w:val="nil"/>
              <w:left w:val="nil"/>
              <w:bottom w:val="nil"/>
              <w:right w:val="single" w:sz="4" w:space="0" w:color="000000"/>
            </w:tcBorders>
            <w:shd w:val="clear" w:color="auto" w:fill="auto"/>
            <w:noWrap/>
            <w:vAlign w:val="bottom"/>
            <w:hideMark/>
          </w:tcPr>
          <w:p w:rsidR="00D668E6" w:rsidRPr="002A3855" w:rsidRDefault="00D668E6" w:rsidP="00056BCF">
            <w:pPr>
              <w:spacing w:after="0" w:line="240" w:lineRule="auto"/>
              <w:jc w:val="center"/>
              <w:rPr>
                <w:rFonts w:ascii="Times New Roman" w:eastAsia="Times New Roman" w:hAnsi="Times New Roman" w:cs="Times New Roman"/>
              </w:rPr>
            </w:pPr>
            <w:r w:rsidRPr="002A3855">
              <w:rPr>
                <w:rFonts w:ascii="Times New Roman" w:eastAsia="Times New Roman" w:hAnsi="Times New Roman" w:cs="Times New Roman"/>
              </w:rPr>
              <w:t xml:space="preserve">4 puntos </w:t>
            </w:r>
          </w:p>
        </w:tc>
        <w:tc>
          <w:tcPr>
            <w:tcW w:w="2196" w:type="dxa"/>
            <w:tcBorders>
              <w:top w:val="nil"/>
              <w:left w:val="nil"/>
              <w:bottom w:val="nil"/>
              <w:right w:val="single" w:sz="8" w:space="0" w:color="000000"/>
            </w:tcBorders>
            <w:shd w:val="clear" w:color="auto" w:fill="auto"/>
            <w:noWrap/>
            <w:vAlign w:val="bottom"/>
            <w:hideMark/>
          </w:tcPr>
          <w:p w:rsidR="00D668E6" w:rsidRPr="002A3855" w:rsidRDefault="00D668E6" w:rsidP="00056BCF">
            <w:pPr>
              <w:spacing w:after="0" w:line="240" w:lineRule="auto"/>
              <w:jc w:val="center"/>
              <w:rPr>
                <w:rFonts w:ascii="Times New Roman" w:eastAsia="Times New Roman" w:hAnsi="Times New Roman" w:cs="Times New Roman"/>
              </w:rPr>
            </w:pPr>
            <w:r w:rsidRPr="002A3855">
              <w:rPr>
                <w:rFonts w:ascii="Times New Roman" w:eastAsia="Times New Roman" w:hAnsi="Times New Roman" w:cs="Times New Roman"/>
              </w:rPr>
              <w:t>"Bien"</w:t>
            </w:r>
          </w:p>
        </w:tc>
      </w:tr>
      <w:tr w:rsidR="002A3855" w:rsidRPr="002A3855" w:rsidTr="00056BCF">
        <w:trPr>
          <w:trHeight w:val="317"/>
        </w:trPr>
        <w:tc>
          <w:tcPr>
            <w:tcW w:w="3109" w:type="dxa"/>
            <w:tcBorders>
              <w:top w:val="nil"/>
              <w:left w:val="single" w:sz="8" w:space="0" w:color="auto"/>
              <w:bottom w:val="nil"/>
              <w:right w:val="single" w:sz="4" w:space="0" w:color="000000"/>
            </w:tcBorders>
            <w:shd w:val="clear" w:color="auto" w:fill="auto"/>
            <w:noWrap/>
            <w:vAlign w:val="bottom"/>
            <w:hideMark/>
          </w:tcPr>
          <w:p w:rsidR="00D668E6" w:rsidRPr="002A3855" w:rsidRDefault="00D668E6" w:rsidP="00056BCF">
            <w:pPr>
              <w:spacing w:after="0" w:line="240" w:lineRule="auto"/>
              <w:jc w:val="center"/>
              <w:rPr>
                <w:rFonts w:ascii="Times New Roman" w:eastAsia="Times New Roman" w:hAnsi="Times New Roman" w:cs="Times New Roman"/>
              </w:rPr>
            </w:pPr>
            <w:r w:rsidRPr="002A3855">
              <w:rPr>
                <w:rFonts w:ascii="Times New Roman" w:eastAsia="Times New Roman" w:hAnsi="Times New Roman" w:cs="Times New Roman"/>
              </w:rPr>
              <w:t xml:space="preserve">Relativamente efectivo </w:t>
            </w:r>
          </w:p>
        </w:tc>
        <w:tc>
          <w:tcPr>
            <w:tcW w:w="3827" w:type="dxa"/>
            <w:tcBorders>
              <w:top w:val="nil"/>
              <w:left w:val="nil"/>
              <w:bottom w:val="nil"/>
              <w:right w:val="single" w:sz="4" w:space="0" w:color="000000"/>
            </w:tcBorders>
            <w:shd w:val="clear" w:color="auto" w:fill="auto"/>
            <w:noWrap/>
            <w:vAlign w:val="bottom"/>
            <w:hideMark/>
          </w:tcPr>
          <w:p w:rsidR="00D668E6" w:rsidRPr="002A3855" w:rsidRDefault="00D668E6" w:rsidP="00056BCF">
            <w:pPr>
              <w:spacing w:after="0" w:line="240" w:lineRule="auto"/>
              <w:jc w:val="center"/>
              <w:rPr>
                <w:rFonts w:ascii="Times New Roman" w:eastAsia="Times New Roman" w:hAnsi="Times New Roman" w:cs="Times New Roman"/>
              </w:rPr>
            </w:pPr>
            <w:r w:rsidRPr="002A3855">
              <w:rPr>
                <w:rFonts w:ascii="Times New Roman" w:eastAsia="Times New Roman" w:hAnsi="Times New Roman" w:cs="Times New Roman"/>
              </w:rPr>
              <w:t>3 puntos</w:t>
            </w:r>
          </w:p>
        </w:tc>
        <w:tc>
          <w:tcPr>
            <w:tcW w:w="2196" w:type="dxa"/>
            <w:tcBorders>
              <w:top w:val="nil"/>
              <w:left w:val="nil"/>
              <w:bottom w:val="nil"/>
              <w:right w:val="single" w:sz="8" w:space="0" w:color="000000"/>
            </w:tcBorders>
            <w:shd w:val="clear" w:color="auto" w:fill="auto"/>
            <w:noWrap/>
            <w:vAlign w:val="bottom"/>
            <w:hideMark/>
          </w:tcPr>
          <w:p w:rsidR="00D668E6" w:rsidRPr="002A3855" w:rsidRDefault="00D668E6" w:rsidP="00056BCF">
            <w:pPr>
              <w:spacing w:after="0" w:line="240" w:lineRule="auto"/>
              <w:jc w:val="center"/>
              <w:rPr>
                <w:rFonts w:ascii="Times New Roman" w:eastAsia="Times New Roman" w:hAnsi="Times New Roman" w:cs="Times New Roman"/>
              </w:rPr>
            </w:pPr>
            <w:r w:rsidRPr="002A3855">
              <w:rPr>
                <w:rFonts w:ascii="Times New Roman" w:eastAsia="Times New Roman" w:hAnsi="Times New Roman" w:cs="Times New Roman"/>
              </w:rPr>
              <w:t>"Regular"</w:t>
            </w:r>
          </w:p>
        </w:tc>
      </w:tr>
      <w:tr w:rsidR="00D668E6" w:rsidRPr="002A3855" w:rsidTr="00056BCF">
        <w:trPr>
          <w:trHeight w:val="70"/>
        </w:trPr>
        <w:tc>
          <w:tcPr>
            <w:tcW w:w="3109" w:type="dxa"/>
            <w:tcBorders>
              <w:top w:val="nil"/>
              <w:left w:val="single" w:sz="8" w:space="0" w:color="auto"/>
              <w:bottom w:val="single" w:sz="8" w:space="0" w:color="auto"/>
              <w:right w:val="single" w:sz="4" w:space="0" w:color="000000"/>
            </w:tcBorders>
            <w:shd w:val="clear" w:color="auto" w:fill="auto"/>
            <w:noWrap/>
            <w:vAlign w:val="bottom"/>
            <w:hideMark/>
          </w:tcPr>
          <w:p w:rsidR="00D668E6" w:rsidRPr="002A3855" w:rsidRDefault="00D668E6" w:rsidP="00056BCF">
            <w:pPr>
              <w:spacing w:after="0" w:line="240" w:lineRule="auto"/>
              <w:jc w:val="center"/>
              <w:rPr>
                <w:rFonts w:ascii="Times New Roman" w:eastAsia="Times New Roman" w:hAnsi="Times New Roman" w:cs="Times New Roman"/>
              </w:rPr>
            </w:pPr>
            <w:r w:rsidRPr="002A3855">
              <w:rPr>
                <w:rFonts w:ascii="Times New Roman" w:eastAsia="Times New Roman" w:hAnsi="Times New Roman" w:cs="Times New Roman"/>
              </w:rPr>
              <w:t>No efectivo</w:t>
            </w:r>
          </w:p>
        </w:tc>
        <w:tc>
          <w:tcPr>
            <w:tcW w:w="3827" w:type="dxa"/>
            <w:tcBorders>
              <w:top w:val="nil"/>
              <w:left w:val="nil"/>
              <w:bottom w:val="single" w:sz="8" w:space="0" w:color="auto"/>
              <w:right w:val="single" w:sz="4" w:space="0" w:color="000000"/>
            </w:tcBorders>
            <w:shd w:val="clear" w:color="auto" w:fill="auto"/>
            <w:noWrap/>
            <w:vAlign w:val="bottom"/>
            <w:hideMark/>
          </w:tcPr>
          <w:p w:rsidR="00D668E6" w:rsidRPr="002A3855" w:rsidRDefault="00D668E6" w:rsidP="00056BCF">
            <w:pPr>
              <w:spacing w:after="0" w:line="240" w:lineRule="auto"/>
              <w:jc w:val="center"/>
              <w:rPr>
                <w:rFonts w:ascii="Times New Roman" w:eastAsia="Times New Roman" w:hAnsi="Times New Roman" w:cs="Times New Roman"/>
              </w:rPr>
            </w:pPr>
            <w:r w:rsidRPr="002A3855">
              <w:rPr>
                <w:rFonts w:ascii="Times New Roman" w:eastAsia="Times New Roman" w:hAnsi="Times New Roman" w:cs="Times New Roman"/>
              </w:rPr>
              <w:t>2 puntos</w:t>
            </w:r>
          </w:p>
        </w:tc>
        <w:tc>
          <w:tcPr>
            <w:tcW w:w="2196" w:type="dxa"/>
            <w:tcBorders>
              <w:top w:val="nil"/>
              <w:left w:val="nil"/>
              <w:bottom w:val="single" w:sz="8" w:space="0" w:color="auto"/>
              <w:right w:val="single" w:sz="8" w:space="0" w:color="000000"/>
            </w:tcBorders>
            <w:shd w:val="clear" w:color="auto" w:fill="auto"/>
            <w:noWrap/>
            <w:vAlign w:val="bottom"/>
            <w:hideMark/>
          </w:tcPr>
          <w:p w:rsidR="00D668E6" w:rsidRPr="002A3855" w:rsidRDefault="00D668E6" w:rsidP="00056BCF">
            <w:pPr>
              <w:spacing w:after="0" w:line="240" w:lineRule="auto"/>
              <w:jc w:val="center"/>
              <w:rPr>
                <w:rFonts w:ascii="Times New Roman" w:eastAsia="Times New Roman" w:hAnsi="Times New Roman" w:cs="Times New Roman"/>
              </w:rPr>
            </w:pPr>
            <w:r w:rsidRPr="002A3855">
              <w:rPr>
                <w:rFonts w:ascii="Times New Roman" w:eastAsia="Times New Roman" w:hAnsi="Times New Roman" w:cs="Times New Roman"/>
              </w:rPr>
              <w:t>"Mal"</w:t>
            </w:r>
          </w:p>
        </w:tc>
      </w:tr>
    </w:tbl>
    <w:p w:rsidR="00D668E6" w:rsidRPr="002A3855" w:rsidRDefault="00D668E6" w:rsidP="00D668E6">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La </w:t>
      </w:r>
      <w:r w:rsidRPr="002A3855">
        <w:rPr>
          <w:rFonts w:ascii="Times New Roman" w:hAnsi="Times New Roman" w:cs="Times New Roman"/>
          <w:b/>
          <w:sz w:val="24"/>
          <w:szCs w:val="24"/>
        </w:rPr>
        <w:t>triangulación metodológica</w:t>
      </w:r>
      <w:r w:rsidRPr="002A3855">
        <w:rPr>
          <w:rFonts w:ascii="Times New Roman" w:hAnsi="Times New Roman" w:cs="Times New Roman"/>
          <w:sz w:val="24"/>
          <w:szCs w:val="24"/>
        </w:rPr>
        <w:t xml:space="preserve"> se empleó con el objetivo de valorar desde tres aristas diferentes la utilización del video didáctico de la “Kata de elementos básicos del Judo”, a partir de la observación, análisis estructural, el sondeo de opinión mediante la entrevista y la medición en prueba técnica, que se toma como base en el examen final de la asignatura Judo Básico.  </w:t>
      </w:r>
    </w:p>
    <w:p w:rsidR="00D668E6" w:rsidRPr="002A3855" w:rsidRDefault="00D668E6" w:rsidP="00D668E6">
      <w:pPr>
        <w:spacing w:after="0" w:line="360" w:lineRule="auto"/>
        <w:jc w:val="both"/>
        <w:rPr>
          <w:rFonts w:ascii="Times New Roman" w:hAnsi="Times New Roman" w:cs="Times New Roman"/>
          <w:sz w:val="24"/>
          <w:szCs w:val="24"/>
        </w:rPr>
      </w:pPr>
      <w:r w:rsidRPr="002A3855">
        <w:rPr>
          <w:rFonts w:ascii="Times New Roman" w:hAnsi="Times New Roman" w:cs="Times New Roman"/>
          <w:b/>
          <w:sz w:val="24"/>
          <w:szCs w:val="24"/>
        </w:rPr>
        <w:t>Población y muestra</w:t>
      </w:r>
      <w:r w:rsidRPr="002A3855">
        <w:rPr>
          <w:rFonts w:ascii="Times New Roman" w:hAnsi="Times New Roman" w:cs="Times New Roman"/>
          <w:sz w:val="24"/>
          <w:szCs w:val="24"/>
        </w:rPr>
        <w:t>: Para el estudio se seleccionaron tres poblaciones en función de las tres etapas de la investigación referidas al diagnóstico, diseño y evaluación de la propuesta. La descripción de cada población y muestras seleccionadas, se caracterizan por expresar los elementos siguientes:</w:t>
      </w:r>
    </w:p>
    <w:p w:rsidR="00D668E6" w:rsidRPr="002A3855" w:rsidRDefault="00D668E6" w:rsidP="00D668E6">
      <w:pPr>
        <w:pStyle w:val="Prrafodelista"/>
        <w:numPr>
          <w:ilvl w:val="0"/>
          <w:numId w:val="3"/>
        </w:numPr>
        <w:spacing w:after="0" w:line="360" w:lineRule="auto"/>
        <w:jc w:val="both"/>
        <w:rPr>
          <w:rFonts w:ascii="Times New Roman" w:hAnsi="Times New Roman" w:cs="Times New Roman"/>
          <w:sz w:val="24"/>
          <w:szCs w:val="24"/>
        </w:rPr>
      </w:pPr>
      <w:r w:rsidRPr="002A3855">
        <w:rPr>
          <w:rFonts w:ascii="Times New Roman" w:hAnsi="Times New Roman" w:cs="Times New Roman"/>
          <w:b/>
          <w:sz w:val="24"/>
          <w:szCs w:val="24"/>
        </w:rPr>
        <w:t>Población 1</w:t>
      </w:r>
      <w:r w:rsidRPr="002A3855">
        <w:rPr>
          <w:rFonts w:ascii="Times New Roman" w:hAnsi="Times New Roman" w:cs="Times New Roman"/>
          <w:sz w:val="24"/>
          <w:szCs w:val="24"/>
        </w:rPr>
        <w:t xml:space="preserve">: compuesta por 29 estudiantes de segundo año, CRD, evaluados en la asignatura de Judo Básico en el período I del curso 2024. </w:t>
      </w:r>
    </w:p>
    <w:p w:rsidR="00D668E6" w:rsidRPr="002A3855" w:rsidRDefault="00D668E6" w:rsidP="00D668E6">
      <w:pPr>
        <w:pStyle w:val="Prrafodelista"/>
        <w:numPr>
          <w:ilvl w:val="0"/>
          <w:numId w:val="3"/>
        </w:numPr>
        <w:spacing w:after="0" w:line="360" w:lineRule="auto"/>
        <w:jc w:val="both"/>
        <w:rPr>
          <w:rFonts w:ascii="Times New Roman" w:hAnsi="Times New Roman" w:cs="Times New Roman"/>
          <w:sz w:val="24"/>
          <w:szCs w:val="24"/>
        </w:rPr>
      </w:pPr>
      <w:r w:rsidRPr="002A3855">
        <w:rPr>
          <w:rFonts w:ascii="Times New Roman" w:hAnsi="Times New Roman" w:cs="Times New Roman"/>
          <w:b/>
          <w:sz w:val="24"/>
          <w:szCs w:val="24"/>
        </w:rPr>
        <w:t>Población 2</w:t>
      </w:r>
      <w:r w:rsidRPr="002A3855">
        <w:rPr>
          <w:rFonts w:ascii="Times New Roman" w:hAnsi="Times New Roman" w:cs="Times New Roman"/>
          <w:sz w:val="24"/>
          <w:szCs w:val="24"/>
        </w:rPr>
        <w:t xml:space="preserve">: compuesta por 35 estudiantes de tercer año, CRD, evaluados en la asignatura de Judo Básico en el período I del curso 2023. </w:t>
      </w:r>
    </w:p>
    <w:p w:rsidR="00D668E6" w:rsidRPr="002A3855" w:rsidRDefault="00D668E6" w:rsidP="00D668E6">
      <w:pPr>
        <w:pStyle w:val="Prrafodelista"/>
        <w:numPr>
          <w:ilvl w:val="0"/>
          <w:numId w:val="3"/>
        </w:numPr>
        <w:spacing w:after="0" w:line="360" w:lineRule="auto"/>
        <w:jc w:val="both"/>
        <w:rPr>
          <w:rFonts w:ascii="Times New Roman" w:hAnsi="Times New Roman" w:cs="Times New Roman"/>
          <w:sz w:val="24"/>
          <w:szCs w:val="24"/>
        </w:rPr>
      </w:pPr>
      <w:r w:rsidRPr="002A3855">
        <w:rPr>
          <w:rFonts w:ascii="Times New Roman" w:hAnsi="Times New Roman" w:cs="Times New Roman"/>
          <w:b/>
          <w:sz w:val="24"/>
          <w:szCs w:val="24"/>
        </w:rPr>
        <w:t>Población 3</w:t>
      </w:r>
      <w:r w:rsidRPr="002A3855">
        <w:rPr>
          <w:rFonts w:ascii="Times New Roman" w:hAnsi="Times New Roman" w:cs="Times New Roman"/>
          <w:sz w:val="24"/>
          <w:szCs w:val="24"/>
        </w:rPr>
        <w:t>: compuesta por 37 estudiantes de cuarto año, CPE, evaluados en la asignatura de Judo Básico en el período II del curso 2023.</w:t>
      </w:r>
    </w:p>
    <w:p w:rsidR="00D668E6" w:rsidRPr="002A3855" w:rsidRDefault="00D668E6" w:rsidP="00D668E6">
      <w:pPr>
        <w:spacing w:after="0" w:line="360" w:lineRule="auto"/>
        <w:jc w:val="both"/>
        <w:rPr>
          <w:rFonts w:ascii="Times New Roman" w:hAnsi="Times New Roman" w:cs="Times New Roman"/>
          <w:sz w:val="24"/>
          <w:szCs w:val="24"/>
        </w:rPr>
      </w:pPr>
      <w:r w:rsidRPr="002A3855">
        <w:rPr>
          <w:rFonts w:ascii="Times New Roman" w:hAnsi="Times New Roman" w:cs="Times New Roman"/>
          <w:b/>
          <w:sz w:val="24"/>
          <w:szCs w:val="24"/>
        </w:rPr>
        <w:lastRenderedPageBreak/>
        <w:t>Muestra</w:t>
      </w:r>
      <w:r w:rsidRPr="002A3855">
        <w:rPr>
          <w:rFonts w:ascii="Times New Roman" w:hAnsi="Times New Roman" w:cs="Times New Roman"/>
          <w:sz w:val="24"/>
          <w:szCs w:val="24"/>
        </w:rPr>
        <w:t>: la muestra fue seleccionada aleatoriamente, está conformada por 27 sujetos que representan el 28% de un universo inicial de 101 estudiantes que fueron entrevistados en un sondeo de opinión sobre la utilización del video didáctico para el aprendizaje de la “Kata de elementos básicos del Judo”.</w:t>
      </w:r>
    </w:p>
    <w:p w:rsidR="00D668E6" w:rsidRPr="002A3855" w:rsidRDefault="00D668E6" w:rsidP="00D668E6">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Población 4: compuesta por </w:t>
      </w:r>
      <w:r w:rsidR="008B1F07" w:rsidRPr="002A3855">
        <w:rPr>
          <w:rFonts w:ascii="Times New Roman" w:hAnsi="Times New Roman" w:cs="Times New Roman"/>
          <w:sz w:val="24"/>
          <w:szCs w:val="24"/>
        </w:rPr>
        <w:t>siete</w:t>
      </w:r>
      <w:r w:rsidRPr="002A3855">
        <w:rPr>
          <w:rFonts w:ascii="Times New Roman" w:hAnsi="Times New Roman" w:cs="Times New Roman"/>
          <w:sz w:val="24"/>
          <w:szCs w:val="24"/>
        </w:rPr>
        <w:t xml:space="preserve"> (7) sujetos que son especialistas en deportes de combate y que cuentan con más de cinco (5) años de experiencia de trabajo.</w:t>
      </w:r>
    </w:p>
    <w:p w:rsidR="00D668E6" w:rsidRPr="002A3855" w:rsidRDefault="00D668E6" w:rsidP="00D668E6">
      <w:pPr>
        <w:spacing w:after="0" w:line="360" w:lineRule="auto"/>
        <w:jc w:val="both"/>
        <w:rPr>
          <w:rFonts w:ascii="Times New Roman" w:hAnsi="Times New Roman" w:cs="Times New Roman"/>
          <w:sz w:val="24"/>
          <w:szCs w:val="24"/>
        </w:rPr>
      </w:pPr>
      <w:r w:rsidRPr="002A3855">
        <w:rPr>
          <w:rFonts w:ascii="Times New Roman" w:hAnsi="Times New Roman" w:cs="Times New Roman"/>
          <w:b/>
          <w:sz w:val="24"/>
          <w:szCs w:val="24"/>
        </w:rPr>
        <w:t>Procesamiento de los dato</w:t>
      </w:r>
      <w:r w:rsidRPr="002A3855">
        <w:rPr>
          <w:rFonts w:ascii="Times New Roman" w:hAnsi="Times New Roman" w:cs="Times New Roman"/>
          <w:sz w:val="24"/>
          <w:szCs w:val="24"/>
        </w:rPr>
        <w:t>s:</w:t>
      </w:r>
    </w:p>
    <w:p w:rsidR="00D668E6" w:rsidRPr="002A3855" w:rsidRDefault="00D668E6" w:rsidP="00D668E6">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Los resultados obtenidos se procesaron estadísticamente, teniéndose en cuenta, que constituyen variables aleatorias de carácter discretas con un nivel de medición a escala ordinal; empleándose para su análisis las técnicas pertenecientes a la estadística descriptiva en lo referente al máximo y mínimo, la media aritmética como valor de tendencia central, así como la desviación estándar y el rango o amplitud para medir la dispersión. Además, se calculó de la distribución empírica de frecuencia para el análisis cualitativo relativo a la valoración de la propuesta. Esta información fue procesada, a través, del paquete estadístico IBM SPSS para Windows en su versión </w:t>
      </w:r>
      <w:proofErr w:type="spellStart"/>
      <w:r w:rsidRPr="002A3855">
        <w:rPr>
          <w:rFonts w:ascii="Times New Roman" w:hAnsi="Times New Roman" w:cs="Times New Roman"/>
          <w:sz w:val="24"/>
          <w:szCs w:val="24"/>
        </w:rPr>
        <w:t>Statistics</w:t>
      </w:r>
      <w:proofErr w:type="spellEnd"/>
      <w:r w:rsidRPr="002A3855">
        <w:rPr>
          <w:rFonts w:ascii="Times New Roman" w:hAnsi="Times New Roman" w:cs="Times New Roman"/>
          <w:sz w:val="24"/>
          <w:szCs w:val="24"/>
        </w:rPr>
        <w:t xml:space="preserve"> V21. En el procesamiento, llevado a cabo, se tuvo en cuenta el libro “Asesoría estadística en la investigación aplicada al deporte”, de la Dra. C. Magda Mesa Anoceto (2006).</w:t>
      </w:r>
    </w:p>
    <w:p w:rsidR="00A21A1F" w:rsidRPr="002A3855" w:rsidRDefault="00A21A1F" w:rsidP="00FF3346">
      <w:pPr>
        <w:spacing w:after="0" w:line="360" w:lineRule="auto"/>
        <w:jc w:val="both"/>
        <w:rPr>
          <w:rFonts w:ascii="Times New Roman" w:hAnsi="Times New Roman" w:cs="Times New Roman"/>
          <w:b/>
          <w:sz w:val="24"/>
          <w:szCs w:val="24"/>
        </w:rPr>
      </w:pPr>
      <w:r w:rsidRPr="002A3855">
        <w:rPr>
          <w:rFonts w:ascii="Times New Roman" w:hAnsi="Times New Roman" w:cs="Times New Roman"/>
          <w:b/>
          <w:sz w:val="24"/>
          <w:szCs w:val="24"/>
        </w:rPr>
        <w:t>3. Resultados y discusión</w:t>
      </w:r>
    </w:p>
    <w:p w:rsidR="00D11B94" w:rsidRPr="002A3855" w:rsidRDefault="00D11B94" w:rsidP="00D11B94">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La filmación, edición, diagnóstico y descripción de la acción del kata mediante un video didáctico ha permitido capturar la dinámica de comportamiento del trabajo en dúo-kata, en función de la acción del docente para activar el proceso de enseñanza de la “Kata de elementos básicos del Judo”, y a la vez logra juntar los ánimos de los estudiantes en los roles y comunicación entre el Tori y el Uke, a través de la actividad docente en la clase. </w:t>
      </w:r>
    </w:p>
    <w:p w:rsidR="00D11B94" w:rsidRPr="002A3855" w:rsidRDefault="00D11B94" w:rsidP="00D11B94">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De donde, es importante que uno de los aspectos que más se trabajen es el hecho de que el estudiante comprenda que el contenido que aprende debe ser aplicado en circunstancias diferentes, que su utilidad radica en ello y no en su memorización y reproducción para el examen final en la asignatura Judo Básico. </w:t>
      </w:r>
    </w:p>
    <w:p w:rsidR="00D11B94" w:rsidRPr="002A3855" w:rsidRDefault="00D11B94" w:rsidP="00D11B94">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En este contexto el autor toma como fuentes de argumentación lo planteado por Gloria-Fariña citada por González-Abreu (2008) la cual señala que aprender a aprender significa recepcionar la parte de la realidad con que se interactúa, procesarla y relacionarla con el saber que se posee, integrar lo conocido a lo nuevo y tomar decisiones, es un proceso de preparación sistemática para los cambios que impone el </w:t>
      </w:r>
      <w:r w:rsidRPr="002A3855">
        <w:rPr>
          <w:rFonts w:ascii="Times New Roman" w:hAnsi="Times New Roman" w:cs="Times New Roman"/>
          <w:sz w:val="24"/>
          <w:szCs w:val="24"/>
        </w:rPr>
        <w:lastRenderedPageBreak/>
        <w:t xml:space="preserve">desarrollo. Mientras que enseñar a aprender es la estrategia para lograr la identificación del alumno con el contenido y su vinculación con la profesión y la vida, así como ofrecer y vivenciar estrategias para que el alumno en cierta medida incorpore paulatinamente lo nuevo a su experiencia personal. </w:t>
      </w:r>
    </w:p>
    <w:p w:rsidR="00D11B94" w:rsidRPr="002A3855" w:rsidRDefault="00D11B94" w:rsidP="00D11B94">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Ahora bien, estructurar efectivamente el proceso de enseñanza aprendizaje como un proceso consciente que para ser sostenible en el tiempo requiere de un equilibrio entre lo social, lo ambiental y lo económico, requiere el empleo de medios de enseñanza adecuados a los nuevos tiempos en el empleo de las NTICs, mediante computadoras, laptops, celulares y tabletas. Según Klingberg (1972) la vía y la adquisición de los conocimientos y habilidades están determinados por la relación objetivo-contenido-método. Aquí, los medios de enseñanza que promueven los conocimientos, juegan un papel fundamental. Para la adquisición de conocimientos, los medios de enseñanza tienen la función de medios informativos, ilustrativos o explicativos, y en relación con su apoyo al proceso de conocimientos, tiene la de los medios auxiliares. </w:t>
      </w:r>
    </w:p>
    <w:p w:rsidR="00D11B94" w:rsidRPr="002A3855" w:rsidRDefault="00D11B94" w:rsidP="00D11B94">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Pero el proceso de enseñanza de la “Kata de elementos básicos del Judo”, no sólo es un proceso del conocimiento. También lo es garantizar los conocimientos adquiridos mediante medidas o medios didácticos que garanticen el tratamiento de una habilidad determinada, la cual se puede desarrollar a partir de la sistematización adecuada en tres actividades diferentes como mínimo, aunque si el docente lo considera puede repetirse para reforzar el aprendizaje (Turner y Chávez, 1989). </w:t>
      </w:r>
    </w:p>
    <w:p w:rsidR="00D11B94" w:rsidRPr="002A3855" w:rsidRDefault="00D11B94" w:rsidP="00D11B94">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Las tres actividades se dividirán en tres tipos, de acuerdo con el papel que cada una de ellas juega en el proceso de aprendizaje de la habilidad, ajustándose a los niveles de asimilación del conocimiento. Será de presentación (familiarización); reproducción (al aplicarse a contenidos conocidos por los alumnos) y aplicación (con contenidos desconocidos). Con el empleo de los medios de enseñanza adecuados como es el caso de los videos didácticos y otros medios audiovisuales se puede estructurar con eficacia estas fases de la enseñanza. De manera, que el docente hará la selección o filmación de un video didáctico para su utilización en clase.</w:t>
      </w:r>
    </w:p>
    <w:p w:rsidR="00D668E6" w:rsidRPr="002A3855" w:rsidRDefault="00D668E6" w:rsidP="00D668E6">
      <w:pPr>
        <w:spacing w:after="0" w:line="360" w:lineRule="auto"/>
        <w:jc w:val="both"/>
        <w:rPr>
          <w:rFonts w:ascii="Times New Roman" w:hAnsi="Times New Roman" w:cs="Times New Roman"/>
          <w:b/>
          <w:sz w:val="24"/>
          <w:szCs w:val="24"/>
        </w:rPr>
      </w:pPr>
      <w:r w:rsidRPr="002A3855">
        <w:rPr>
          <w:rFonts w:ascii="Times New Roman" w:hAnsi="Times New Roman" w:cs="Times New Roman"/>
          <w:b/>
          <w:sz w:val="24"/>
          <w:szCs w:val="24"/>
        </w:rPr>
        <w:t>Descripción del orden de ejecución y la frecuencia de asociación de actividades a través del sistema de clases para la utilización del video didáctico</w:t>
      </w:r>
    </w:p>
    <w:p w:rsidR="00D668E6" w:rsidRPr="002A3855" w:rsidRDefault="00D668E6" w:rsidP="00D668E6">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Se toma como base las recomendaciones generales de Turner y Chávez (1989), expuestas en su “proyecto aprender a aprender”, las cuales se refieren a los aspectos </w:t>
      </w:r>
      <w:r w:rsidRPr="002A3855">
        <w:rPr>
          <w:rFonts w:ascii="Times New Roman" w:hAnsi="Times New Roman" w:cs="Times New Roman"/>
          <w:sz w:val="24"/>
          <w:szCs w:val="24"/>
        </w:rPr>
        <w:lastRenderedPageBreak/>
        <w:t xml:space="preserve">metodológicos que pueden ser usados indistintamente en las diferentes actividades que se programen teniendo en cuenta en la presente investigación las orientaciones específicas para el desarrollo de las actividades en función de la “Kata de elementos básicos del Judo”, en aras de favorecer el proceso de formación del profesional en la asignatura Judo Básico. </w:t>
      </w:r>
    </w:p>
    <w:p w:rsidR="00D668E6" w:rsidRPr="002A3855" w:rsidRDefault="00D668E6" w:rsidP="00D668E6">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De ahí, que se requiere que los profesores que van a impartir la asignatura Judo Básico hayan recibido un sencillo entrenamiento para poder operar con efectividad en el empleo del video didáctico, a fin de contribuir a materializar los logros en los estudiantes a través del sistema de clases para desarrollar cada habilidad en función de la asimilación del contenido que proponen la “Kata de elementos básicos del Judo”. </w:t>
      </w:r>
    </w:p>
    <w:p w:rsidR="00D668E6" w:rsidRPr="002A3855" w:rsidRDefault="00D668E6" w:rsidP="00D668E6">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Donde se parte de una relación multinivel, la cual según Hristovski (2011) puede ser explicada por la relación circular resultante de la asociación (correlación) entre comportamientos identificados a diferentes niveles de organización jerárquica del sistema de clases y que se caracterizan por una evolución en escalas de evaluación técnica del saber hacer y dominio de la ejecución de movimientos a escalas espacio-temporales distintas en función de la asimilación del contenido impartido en clase. En este caso, con el empleo del video didáctico, “Kata de elementos básicos del Judo”. </w:t>
      </w:r>
    </w:p>
    <w:p w:rsidR="00D668E6" w:rsidRPr="002A3855" w:rsidRDefault="00D668E6" w:rsidP="00D668E6">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De esta forma los estudiantes pueden cobrar conciencia de que el saber hacer y el dominio de la ejecución técnica de la “Kata de elementos básicos del Judo” constituye un proceso, que de forma deliberada se puede aprender y mejorar. </w:t>
      </w:r>
    </w:p>
    <w:p w:rsidR="00D668E6" w:rsidRPr="002A3855" w:rsidRDefault="00D668E6" w:rsidP="00D668E6">
      <w:pPr>
        <w:pStyle w:val="Prrafodelista"/>
        <w:numPr>
          <w:ilvl w:val="0"/>
          <w:numId w:val="4"/>
        </w:numPr>
        <w:spacing w:after="0" w:line="360" w:lineRule="auto"/>
        <w:jc w:val="both"/>
        <w:rPr>
          <w:rFonts w:ascii="Times New Roman" w:hAnsi="Times New Roman" w:cs="Times New Roman"/>
          <w:b/>
          <w:sz w:val="24"/>
          <w:szCs w:val="24"/>
        </w:rPr>
      </w:pPr>
      <w:r w:rsidRPr="002A3855">
        <w:rPr>
          <w:rFonts w:ascii="Times New Roman" w:hAnsi="Times New Roman" w:cs="Times New Roman"/>
          <w:b/>
          <w:sz w:val="24"/>
          <w:szCs w:val="24"/>
        </w:rPr>
        <w:t xml:space="preserve">Algoritmo de trabajo con el video didáctico que se propone: </w:t>
      </w:r>
    </w:p>
    <w:p w:rsidR="00D668E6" w:rsidRPr="002A3855" w:rsidRDefault="00D668E6" w:rsidP="00D668E6">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(1) En el video didáctico, con el objetivo de consolidar la idea de la “Kata de elementos básicos del Judo”, cada “serie” tratará un contenido determinado y se desarrollará en tres actividades diferentes como mínimo, aunque si el profesor lo considera puede repetirlos para reforzar el aprendizaje.</w:t>
      </w:r>
    </w:p>
    <w:p w:rsidR="00D668E6" w:rsidRPr="002A3855" w:rsidRDefault="00D668E6" w:rsidP="00D668E6">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(2) Las actividades se dividirán en tres tipos, de acuerdo con los roles y comunicación entre el Tori y el Uke, así como el papel que cada actividad contiene a partir de un sistema de acciones para operar en el proceso de ejecución de la “Kata de elementos básicos del Judo”. </w:t>
      </w:r>
    </w:p>
    <w:p w:rsidR="00D668E6" w:rsidRPr="002A3855" w:rsidRDefault="00D668E6" w:rsidP="00D668E6">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(4) Ajustándose a los niveles de asimilación del conocimiento y las habilidades, las actividades docentes serán de: </w:t>
      </w:r>
    </w:p>
    <w:p w:rsidR="00D668E6" w:rsidRPr="002A3855" w:rsidRDefault="00D668E6" w:rsidP="00D668E6">
      <w:pPr>
        <w:pStyle w:val="Prrafodelista"/>
        <w:numPr>
          <w:ilvl w:val="0"/>
          <w:numId w:val="4"/>
        </w:num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Presentación (familiarización a partir de visualizar el video didáctico)</w:t>
      </w:r>
    </w:p>
    <w:p w:rsidR="00D668E6" w:rsidRPr="002A3855" w:rsidRDefault="00D668E6" w:rsidP="00D668E6">
      <w:pPr>
        <w:pStyle w:val="Prrafodelista"/>
        <w:numPr>
          <w:ilvl w:val="0"/>
          <w:numId w:val="4"/>
        </w:num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lastRenderedPageBreak/>
        <w:t>Reproducción (ejercitar con juegos, ejercicios y tareas en función del video)</w:t>
      </w:r>
    </w:p>
    <w:p w:rsidR="00D668E6" w:rsidRPr="002A3855" w:rsidRDefault="00D668E6" w:rsidP="00D668E6">
      <w:pPr>
        <w:pStyle w:val="Prrafodelista"/>
        <w:numPr>
          <w:ilvl w:val="0"/>
          <w:numId w:val="4"/>
        </w:num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Aplicación (consolidación del trabajo en Dúo-kata según el video didáctico)</w:t>
      </w:r>
    </w:p>
    <w:p w:rsidR="00D668E6" w:rsidRPr="002A3855" w:rsidRDefault="00D668E6" w:rsidP="00D668E6">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(5) Cada actividad, de cualquier tipo que se adopte, se dividirá en tres (3) partes que coincidirá con la estructura de la habilidad: pudiendo ser de introducción, ejercitación y consolidación. </w:t>
      </w:r>
    </w:p>
    <w:p w:rsidR="00D668E6" w:rsidRPr="002A3855" w:rsidRDefault="00D668E6" w:rsidP="00D668E6">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(6) A continuación, se esquematiza el sistema de clases para desarrollar cada actividad en función del video didáctico de la “Kata de elemento básicos del Judo”, con el fin de que se comprenda bien.</w:t>
      </w:r>
    </w:p>
    <w:p w:rsidR="00D668E6" w:rsidRPr="002A3855" w:rsidRDefault="00D668E6" w:rsidP="00D668E6">
      <w:pPr>
        <w:pStyle w:val="Prrafodelista"/>
        <w:numPr>
          <w:ilvl w:val="0"/>
          <w:numId w:val="6"/>
        </w:numPr>
        <w:spacing w:after="0" w:line="360" w:lineRule="auto"/>
        <w:jc w:val="both"/>
        <w:rPr>
          <w:rFonts w:ascii="Times New Roman" w:hAnsi="Times New Roman" w:cs="Times New Roman"/>
          <w:b/>
          <w:sz w:val="24"/>
          <w:szCs w:val="24"/>
        </w:rPr>
      </w:pPr>
      <w:r w:rsidRPr="002A3855">
        <w:rPr>
          <w:rFonts w:ascii="Times New Roman" w:hAnsi="Times New Roman" w:cs="Times New Roman"/>
          <w:b/>
          <w:sz w:val="24"/>
          <w:szCs w:val="24"/>
        </w:rPr>
        <w:t>Esquema de utilización del video didáctico en Judo</w:t>
      </w:r>
    </w:p>
    <w:p w:rsidR="00D668E6" w:rsidRPr="002A3855" w:rsidRDefault="00D668E6" w:rsidP="00FF3346">
      <w:pPr>
        <w:spacing w:after="0" w:line="360" w:lineRule="auto"/>
        <w:jc w:val="both"/>
        <w:rPr>
          <w:rFonts w:ascii="Times New Roman" w:hAnsi="Times New Roman" w:cs="Times New Roman"/>
          <w:sz w:val="24"/>
          <w:szCs w:val="24"/>
        </w:rPr>
      </w:pPr>
      <w:r w:rsidRPr="002A3855">
        <w:rPr>
          <w:noProof/>
        </w:rPr>
        <w:drawing>
          <wp:inline distT="0" distB="0" distL="0" distR="0" wp14:anchorId="10A4C342" wp14:editId="1BE3787F">
            <wp:extent cx="6060558" cy="1827379"/>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4802" cy="1834689"/>
                    </a:xfrm>
                    <a:prstGeom prst="rect">
                      <a:avLst/>
                    </a:prstGeom>
                    <a:noFill/>
                    <a:ln>
                      <a:noFill/>
                    </a:ln>
                  </pic:spPr>
                </pic:pic>
              </a:graphicData>
            </a:graphic>
          </wp:inline>
        </w:drawing>
      </w:r>
    </w:p>
    <w:p w:rsidR="00D668E6" w:rsidRPr="002A3855" w:rsidRDefault="00D668E6" w:rsidP="00D668E6">
      <w:pPr>
        <w:spacing w:after="0" w:line="240" w:lineRule="auto"/>
        <w:jc w:val="center"/>
        <w:rPr>
          <w:rFonts w:ascii="Times New Roman" w:hAnsi="Times New Roman" w:cs="Times New Roman"/>
          <w:lang w:val="en-US"/>
        </w:rPr>
      </w:pPr>
      <w:r w:rsidRPr="002A3855">
        <w:rPr>
          <w:rFonts w:ascii="Times New Roman" w:hAnsi="Times New Roman" w:cs="Times New Roman"/>
          <w:lang w:val="en-US"/>
        </w:rPr>
        <w:t xml:space="preserve">Figura </w:t>
      </w:r>
      <w:r w:rsidR="00D11B94" w:rsidRPr="002A3855">
        <w:rPr>
          <w:rFonts w:ascii="Times New Roman" w:hAnsi="Times New Roman" w:cs="Times New Roman"/>
          <w:lang w:val="en-US"/>
        </w:rPr>
        <w:t>1</w:t>
      </w:r>
      <w:r w:rsidRPr="002A3855">
        <w:rPr>
          <w:rFonts w:ascii="Times New Roman" w:hAnsi="Times New Roman" w:cs="Times New Roman"/>
          <w:lang w:val="en-US"/>
        </w:rPr>
        <w:t xml:space="preserve"> (Fuente: Adaptado de Turner y Chávez, 1989)</w:t>
      </w:r>
    </w:p>
    <w:p w:rsidR="00D668E6" w:rsidRPr="002A3855" w:rsidRDefault="00D668E6" w:rsidP="00FF3346">
      <w:pPr>
        <w:spacing w:after="0" w:line="360" w:lineRule="auto"/>
        <w:jc w:val="both"/>
        <w:rPr>
          <w:rFonts w:ascii="Times New Roman" w:hAnsi="Times New Roman" w:cs="Times New Roman"/>
        </w:rPr>
      </w:pPr>
    </w:p>
    <w:p w:rsidR="00AB6D9E" w:rsidRPr="002A3855" w:rsidRDefault="00AB6D9E" w:rsidP="00FF3346">
      <w:pPr>
        <w:spacing w:after="0" w:line="360" w:lineRule="auto"/>
        <w:jc w:val="both"/>
        <w:rPr>
          <w:rFonts w:ascii="Times New Roman" w:hAnsi="Times New Roman" w:cs="Times New Roman"/>
        </w:rPr>
      </w:pPr>
      <w:r w:rsidRPr="002A3855">
        <w:rPr>
          <w:noProof/>
        </w:rPr>
        <w:drawing>
          <wp:inline distT="0" distB="0" distL="0" distR="0" wp14:anchorId="3CDDFC2D" wp14:editId="2B201F78">
            <wp:extent cx="6020789" cy="331279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9055" cy="3317343"/>
                    </a:xfrm>
                    <a:prstGeom prst="rect">
                      <a:avLst/>
                    </a:prstGeom>
                    <a:noFill/>
                    <a:ln>
                      <a:noFill/>
                    </a:ln>
                  </pic:spPr>
                </pic:pic>
              </a:graphicData>
            </a:graphic>
          </wp:inline>
        </w:drawing>
      </w:r>
    </w:p>
    <w:p w:rsidR="00AB6D9E" w:rsidRPr="002A3855" w:rsidRDefault="00AB6D9E" w:rsidP="00AB6D9E">
      <w:pPr>
        <w:spacing w:after="0" w:line="240" w:lineRule="auto"/>
        <w:jc w:val="center"/>
        <w:rPr>
          <w:rFonts w:ascii="Times New Roman" w:hAnsi="Times New Roman" w:cs="Times New Roman"/>
          <w:lang w:val="en-US"/>
        </w:rPr>
      </w:pPr>
      <w:r w:rsidRPr="002A3855">
        <w:rPr>
          <w:rFonts w:ascii="Times New Roman" w:hAnsi="Times New Roman" w:cs="Times New Roman"/>
          <w:lang w:val="en-US"/>
        </w:rPr>
        <w:t>Figura 2 (Fuente: elaboración propia)</w:t>
      </w:r>
    </w:p>
    <w:p w:rsidR="00AB6D9E" w:rsidRPr="002A3855" w:rsidRDefault="00AB6D9E" w:rsidP="00AB6D9E">
      <w:pPr>
        <w:spacing w:after="0" w:line="360" w:lineRule="auto"/>
        <w:jc w:val="both"/>
        <w:rPr>
          <w:rFonts w:ascii="Times New Roman" w:hAnsi="Times New Roman" w:cs="Times New Roman"/>
          <w:b/>
          <w:sz w:val="24"/>
          <w:szCs w:val="24"/>
        </w:rPr>
      </w:pPr>
    </w:p>
    <w:p w:rsidR="00AB6D9E" w:rsidRPr="002A3855" w:rsidRDefault="00AB6D9E" w:rsidP="00FF3346">
      <w:pPr>
        <w:spacing w:after="0" w:line="360" w:lineRule="auto"/>
        <w:jc w:val="both"/>
        <w:rPr>
          <w:rFonts w:ascii="Times New Roman" w:hAnsi="Times New Roman" w:cs="Times New Roman"/>
        </w:rPr>
        <w:sectPr w:rsidR="00AB6D9E" w:rsidRPr="002A3855" w:rsidSect="00C8585B">
          <w:headerReference w:type="default" r:id="rId14"/>
          <w:footerReference w:type="default" r:id="rId15"/>
          <w:pgSz w:w="11906" w:h="16838"/>
          <w:pgMar w:top="1417" w:right="1701" w:bottom="1417" w:left="1701" w:header="567" w:footer="708" w:gutter="0"/>
          <w:cols w:space="708"/>
          <w:docGrid w:linePitch="360"/>
        </w:sectPr>
      </w:pPr>
      <w:bookmarkStart w:id="0" w:name="_GoBack"/>
      <w:bookmarkEnd w:id="0"/>
    </w:p>
    <w:p w:rsidR="00D668E6" w:rsidRPr="002A3855" w:rsidRDefault="00BB42F4" w:rsidP="00DD526E">
      <w:pPr>
        <w:spacing w:after="0" w:line="360" w:lineRule="auto"/>
        <w:jc w:val="both"/>
        <w:rPr>
          <w:rFonts w:ascii="Times New Roman" w:hAnsi="Times New Roman" w:cs="Times New Roman"/>
          <w:b/>
          <w:sz w:val="24"/>
          <w:szCs w:val="24"/>
        </w:rPr>
      </w:pPr>
      <w:r w:rsidRPr="002A3855">
        <w:rPr>
          <w:rFonts w:ascii="Times New Roman" w:hAnsi="Times New Roman" w:cs="Times New Roman"/>
          <w:b/>
          <w:sz w:val="24"/>
          <w:szCs w:val="24"/>
        </w:rPr>
        <w:lastRenderedPageBreak/>
        <w:t>A continuación, se expone cómo proceder para la utilización del video didáctico:</w:t>
      </w:r>
    </w:p>
    <w:tbl>
      <w:tblPr>
        <w:tblW w:w="9629" w:type="dxa"/>
        <w:tblCellMar>
          <w:left w:w="70" w:type="dxa"/>
          <w:right w:w="70" w:type="dxa"/>
        </w:tblCellMar>
        <w:tblLook w:val="04A0" w:firstRow="1" w:lastRow="0" w:firstColumn="1" w:lastColumn="0" w:noHBand="0" w:noVBand="1"/>
      </w:tblPr>
      <w:tblGrid>
        <w:gridCol w:w="293"/>
        <w:gridCol w:w="677"/>
        <w:gridCol w:w="388"/>
        <w:gridCol w:w="388"/>
        <w:gridCol w:w="388"/>
        <w:gridCol w:w="278"/>
        <w:gridCol w:w="295"/>
        <w:gridCol w:w="622"/>
        <w:gridCol w:w="388"/>
        <w:gridCol w:w="388"/>
        <w:gridCol w:w="120"/>
        <w:gridCol w:w="75"/>
        <w:gridCol w:w="622"/>
        <w:gridCol w:w="388"/>
        <w:gridCol w:w="388"/>
        <w:gridCol w:w="195"/>
        <w:gridCol w:w="6"/>
        <w:gridCol w:w="612"/>
        <w:gridCol w:w="389"/>
        <w:gridCol w:w="388"/>
        <w:gridCol w:w="393"/>
        <w:gridCol w:w="389"/>
        <w:gridCol w:w="388"/>
        <w:gridCol w:w="393"/>
        <w:gridCol w:w="480"/>
        <w:gridCol w:w="298"/>
      </w:tblGrid>
      <w:tr w:rsidR="002A3855" w:rsidRPr="002A3855" w:rsidTr="00056BCF">
        <w:trPr>
          <w:trHeight w:val="153"/>
        </w:trPr>
        <w:tc>
          <w:tcPr>
            <w:tcW w:w="293" w:type="dxa"/>
            <w:tcBorders>
              <w:top w:val="single" w:sz="4" w:space="0" w:color="auto"/>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677" w:type="dxa"/>
            <w:tcBorders>
              <w:top w:val="single" w:sz="4" w:space="0" w:color="auto"/>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388" w:type="dxa"/>
            <w:tcBorders>
              <w:top w:val="single" w:sz="4" w:space="0" w:color="auto"/>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388" w:type="dxa"/>
            <w:tcBorders>
              <w:top w:val="single" w:sz="4" w:space="0" w:color="auto"/>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388" w:type="dxa"/>
            <w:tcBorders>
              <w:top w:val="single" w:sz="4" w:space="0" w:color="auto"/>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278" w:type="dxa"/>
            <w:tcBorders>
              <w:top w:val="single" w:sz="4" w:space="0" w:color="auto"/>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295" w:type="dxa"/>
            <w:tcBorders>
              <w:top w:val="single" w:sz="4" w:space="0" w:color="auto"/>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622" w:type="dxa"/>
            <w:tcBorders>
              <w:top w:val="single" w:sz="4" w:space="0" w:color="auto"/>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388" w:type="dxa"/>
            <w:tcBorders>
              <w:top w:val="single" w:sz="4" w:space="0" w:color="auto"/>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388" w:type="dxa"/>
            <w:tcBorders>
              <w:top w:val="single" w:sz="4" w:space="0" w:color="auto"/>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195" w:type="dxa"/>
            <w:gridSpan w:val="2"/>
            <w:tcBorders>
              <w:top w:val="single" w:sz="4" w:space="0" w:color="auto"/>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622" w:type="dxa"/>
            <w:tcBorders>
              <w:top w:val="single" w:sz="4" w:space="0" w:color="auto"/>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388" w:type="dxa"/>
            <w:tcBorders>
              <w:top w:val="single" w:sz="4" w:space="0" w:color="auto"/>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388" w:type="dxa"/>
            <w:tcBorders>
              <w:top w:val="single" w:sz="4" w:space="0" w:color="auto"/>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195" w:type="dxa"/>
            <w:tcBorders>
              <w:top w:val="single" w:sz="4" w:space="0" w:color="auto"/>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618" w:type="dxa"/>
            <w:gridSpan w:val="2"/>
            <w:tcBorders>
              <w:top w:val="single" w:sz="4" w:space="0" w:color="auto"/>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389" w:type="dxa"/>
            <w:tcBorders>
              <w:top w:val="single" w:sz="4" w:space="0" w:color="auto"/>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388" w:type="dxa"/>
            <w:tcBorders>
              <w:top w:val="single" w:sz="4" w:space="0" w:color="auto"/>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393" w:type="dxa"/>
            <w:tcBorders>
              <w:top w:val="single" w:sz="4" w:space="0" w:color="auto"/>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389" w:type="dxa"/>
            <w:tcBorders>
              <w:top w:val="single" w:sz="4" w:space="0" w:color="auto"/>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388" w:type="dxa"/>
            <w:tcBorders>
              <w:top w:val="single" w:sz="4" w:space="0" w:color="auto"/>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393" w:type="dxa"/>
            <w:tcBorders>
              <w:top w:val="single" w:sz="4" w:space="0" w:color="auto"/>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480" w:type="dxa"/>
            <w:tcBorders>
              <w:top w:val="single" w:sz="4" w:space="0" w:color="auto"/>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298" w:type="dxa"/>
            <w:tcBorders>
              <w:top w:val="single" w:sz="4" w:space="0" w:color="auto"/>
              <w:left w:val="nil"/>
              <w:bottom w:val="nil"/>
              <w:right w:val="single" w:sz="4" w:space="0" w:color="auto"/>
            </w:tcBorders>
            <w:shd w:val="clear" w:color="auto" w:fill="auto"/>
            <w:noWrap/>
            <w:vAlign w:val="bottom"/>
            <w:hideMark/>
          </w:tcPr>
          <w:p w:rsidR="00BB42F4" w:rsidRPr="002A3855" w:rsidRDefault="00BB42F4" w:rsidP="00056BCF">
            <w:pPr>
              <w:spacing w:after="0" w:line="240" w:lineRule="auto"/>
              <w:rPr>
                <w:rFonts w:eastAsia="Times New Roman" w:cs="Calibri"/>
              </w:rPr>
            </w:pPr>
            <w:r w:rsidRPr="002A3855">
              <w:rPr>
                <w:rFonts w:eastAsia="Times New Roman" w:cs="Calibri"/>
              </w:rPr>
              <w:t> </w:t>
            </w:r>
          </w:p>
        </w:tc>
      </w:tr>
      <w:tr w:rsidR="002A3855" w:rsidRPr="002A3855" w:rsidTr="00056BCF">
        <w:trPr>
          <w:trHeight w:val="153"/>
        </w:trPr>
        <w:tc>
          <w:tcPr>
            <w:tcW w:w="293"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9038" w:type="dxa"/>
            <w:gridSpan w:val="24"/>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b/>
                <w:bCs/>
                <w:sz w:val="18"/>
                <w:szCs w:val="18"/>
              </w:rPr>
            </w:pPr>
            <w:r w:rsidRPr="002A3855">
              <w:rPr>
                <w:rFonts w:ascii="Times New Roman" w:eastAsia="Times New Roman" w:hAnsi="Times New Roman" w:cs="Times New Roman"/>
                <w:b/>
                <w:bCs/>
                <w:sz w:val="18"/>
                <w:szCs w:val="18"/>
              </w:rPr>
              <w:t xml:space="preserve">1.- Actividad docente de presentación del video didáctico </w:t>
            </w:r>
            <w:r w:rsidRPr="002A3855">
              <w:rPr>
                <w:rFonts w:ascii="Times New Roman" w:eastAsia="Times New Roman" w:hAnsi="Times New Roman" w:cs="Times New Roman"/>
                <w:sz w:val="18"/>
                <w:szCs w:val="18"/>
              </w:rPr>
              <w:t>(Familiarización)</w:t>
            </w:r>
          </w:p>
        </w:tc>
        <w:tc>
          <w:tcPr>
            <w:tcW w:w="298" w:type="dxa"/>
            <w:tcBorders>
              <w:top w:val="nil"/>
              <w:left w:val="nil"/>
              <w:bottom w:val="nil"/>
              <w:right w:val="single" w:sz="4" w:space="0" w:color="auto"/>
            </w:tcBorders>
            <w:shd w:val="clear" w:color="auto" w:fill="auto"/>
            <w:noWrap/>
            <w:vAlign w:val="bottom"/>
            <w:hideMark/>
          </w:tcPr>
          <w:p w:rsidR="00BB42F4" w:rsidRPr="002A3855" w:rsidRDefault="00BB42F4" w:rsidP="00056BCF">
            <w:pPr>
              <w:spacing w:after="0" w:line="240" w:lineRule="auto"/>
              <w:rPr>
                <w:rFonts w:eastAsia="Times New Roman" w:cs="Calibri"/>
              </w:rPr>
            </w:pPr>
            <w:r w:rsidRPr="002A3855">
              <w:rPr>
                <w:rFonts w:eastAsia="Times New Roman" w:cs="Calibri"/>
              </w:rPr>
              <w:t> </w:t>
            </w:r>
          </w:p>
        </w:tc>
      </w:tr>
      <w:tr w:rsidR="002A3855" w:rsidRPr="002A3855" w:rsidTr="00056BCF">
        <w:trPr>
          <w:trHeight w:val="153"/>
        </w:trPr>
        <w:tc>
          <w:tcPr>
            <w:tcW w:w="970" w:type="dxa"/>
            <w:gridSpan w:val="2"/>
            <w:tcBorders>
              <w:top w:val="nil"/>
              <w:left w:val="single" w:sz="4" w:space="0" w:color="auto"/>
              <w:bottom w:val="nil"/>
              <w:right w:val="single" w:sz="4"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Repetición</w:t>
            </w:r>
          </w:p>
        </w:tc>
        <w:tc>
          <w:tcPr>
            <w:tcW w:w="1442" w:type="dxa"/>
            <w:gridSpan w:val="4"/>
            <w:tcBorders>
              <w:top w:val="single" w:sz="4" w:space="0" w:color="auto"/>
              <w:left w:val="nil"/>
              <w:bottom w:val="single" w:sz="4" w:space="0" w:color="auto"/>
              <w:right w:val="single" w:sz="4" w:space="0" w:color="auto"/>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xml:space="preserve">Ceremonia de Entrada </w:t>
            </w:r>
          </w:p>
        </w:tc>
        <w:tc>
          <w:tcPr>
            <w:tcW w:w="2510" w:type="dxa"/>
            <w:gridSpan w:val="7"/>
            <w:tcBorders>
              <w:top w:val="single" w:sz="4" w:space="0" w:color="auto"/>
              <w:left w:val="nil"/>
              <w:bottom w:val="single" w:sz="4" w:space="0" w:color="auto"/>
              <w:right w:val="single" w:sz="4" w:space="0" w:color="auto"/>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Serie I</w:t>
            </w:r>
          </w:p>
        </w:tc>
        <w:tc>
          <w:tcPr>
            <w:tcW w:w="1978" w:type="dxa"/>
            <w:gridSpan w:val="6"/>
            <w:tcBorders>
              <w:top w:val="single" w:sz="4" w:space="0" w:color="auto"/>
              <w:left w:val="nil"/>
              <w:bottom w:val="single" w:sz="4" w:space="0" w:color="auto"/>
              <w:right w:val="single" w:sz="4" w:space="0" w:color="auto"/>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Serie II</w:t>
            </w:r>
          </w:p>
        </w:tc>
        <w:tc>
          <w:tcPr>
            <w:tcW w:w="1951" w:type="dxa"/>
            <w:gridSpan w:val="5"/>
            <w:tcBorders>
              <w:top w:val="single" w:sz="4" w:space="0" w:color="auto"/>
              <w:left w:val="nil"/>
              <w:bottom w:val="single" w:sz="4" w:space="0" w:color="auto"/>
              <w:right w:val="single" w:sz="4" w:space="0" w:color="auto"/>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Serie III</w:t>
            </w:r>
          </w:p>
        </w:tc>
        <w:tc>
          <w:tcPr>
            <w:tcW w:w="778" w:type="dxa"/>
            <w:gridSpan w:val="2"/>
            <w:tcBorders>
              <w:top w:val="nil"/>
              <w:left w:val="nil"/>
              <w:bottom w:val="nil"/>
              <w:right w:val="single" w:sz="4"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tiempo</w:t>
            </w:r>
          </w:p>
        </w:tc>
      </w:tr>
      <w:tr w:rsidR="002A3855" w:rsidRPr="002A3855" w:rsidTr="00056BCF">
        <w:trPr>
          <w:trHeight w:val="153"/>
        </w:trPr>
        <w:tc>
          <w:tcPr>
            <w:tcW w:w="970" w:type="dxa"/>
            <w:gridSpan w:val="2"/>
            <w:tcBorders>
              <w:top w:val="nil"/>
              <w:left w:val="single" w:sz="4" w:space="0" w:color="auto"/>
              <w:bottom w:val="nil"/>
              <w:right w:val="single" w:sz="4"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1442" w:type="dxa"/>
            <w:gridSpan w:val="4"/>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xml:space="preserve">                      </w:t>
            </w:r>
            <w:proofErr w:type="gramStart"/>
            <w:r w:rsidRPr="002A3855">
              <w:rPr>
                <w:rFonts w:ascii="Times New Roman" w:eastAsia="Times New Roman" w:hAnsi="Times New Roman" w:cs="Times New Roman"/>
                <w:sz w:val="18"/>
                <w:szCs w:val="18"/>
              </w:rPr>
              <w:t>( I</w:t>
            </w:r>
            <w:proofErr w:type="gramEnd"/>
            <w:r w:rsidRPr="002A3855">
              <w:rPr>
                <w:rFonts w:ascii="Times New Roman" w:eastAsia="Times New Roman" w:hAnsi="Times New Roman" w:cs="Times New Roman"/>
                <w:sz w:val="18"/>
                <w:szCs w:val="18"/>
              </w:rPr>
              <w:t xml:space="preserve"> )</w:t>
            </w:r>
          </w:p>
        </w:tc>
        <w:tc>
          <w:tcPr>
            <w:tcW w:w="2510" w:type="dxa"/>
            <w:gridSpan w:val="7"/>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xml:space="preserve">                        </w:t>
            </w:r>
            <w:proofErr w:type="gramStart"/>
            <w:r w:rsidRPr="002A3855">
              <w:rPr>
                <w:rFonts w:ascii="Times New Roman" w:eastAsia="Times New Roman" w:hAnsi="Times New Roman" w:cs="Times New Roman"/>
                <w:sz w:val="18"/>
                <w:szCs w:val="18"/>
              </w:rPr>
              <w:t>( II</w:t>
            </w:r>
            <w:proofErr w:type="gramEnd"/>
            <w:r w:rsidRPr="002A3855">
              <w:rPr>
                <w:rFonts w:ascii="Times New Roman" w:eastAsia="Times New Roman" w:hAnsi="Times New Roman" w:cs="Times New Roman"/>
                <w:sz w:val="18"/>
                <w:szCs w:val="18"/>
              </w:rPr>
              <w:t xml:space="preserve"> )</w:t>
            </w:r>
          </w:p>
        </w:tc>
        <w:tc>
          <w:tcPr>
            <w:tcW w:w="1978" w:type="dxa"/>
            <w:gridSpan w:val="6"/>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xml:space="preserve">               </w:t>
            </w:r>
            <w:proofErr w:type="gramStart"/>
            <w:r w:rsidRPr="002A3855">
              <w:rPr>
                <w:rFonts w:ascii="Times New Roman" w:eastAsia="Times New Roman" w:hAnsi="Times New Roman" w:cs="Times New Roman"/>
                <w:sz w:val="18"/>
                <w:szCs w:val="18"/>
              </w:rPr>
              <w:t>( III</w:t>
            </w:r>
            <w:proofErr w:type="gramEnd"/>
            <w:r w:rsidRPr="002A3855">
              <w:rPr>
                <w:rFonts w:ascii="Times New Roman" w:eastAsia="Times New Roman" w:hAnsi="Times New Roman" w:cs="Times New Roman"/>
                <w:sz w:val="18"/>
                <w:szCs w:val="18"/>
              </w:rPr>
              <w:t xml:space="preserve"> )</w:t>
            </w:r>
          </w:p>
        </w:tc>
        <w:tc>
          <w:tcPr>
            <w:tcW w:w="1951" w:type="dxa"/>
            <w:gridSpan w:val="5"/>
            <w:tcBorders>
              <w:top w:val="nil"/>
              <w:left w:val="nil"/>
              <w:bottom w:val="nil"/>
              <w:right w:val="single" w:sz="4" w:space="0" w:color="000000"/>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xml:space="preserve">                </w:t>
            </w:r>
            <w:proofErr w:type="gramStart"/>
            <w:r w:rsidRPr="002A3855">
              <w:rPr>
                <w:rFonts w:ascii="Times New Roman" w:eastAsia="Times New Roman" w:hAnsi="Times New Roman" w:cs="Times New Roman"/>
                <w:sz w:val="18"/>
                <w:szCs w:val="18"/>
              </w:rPr>
              <w:t>( IV</w:t>
            </w:r>
            <w:proofErr w:type="gramEnd"/>
            <w:r w:rsidRPr="002A3855">
              <w:rPr>
                <w:rFonts w:ascii="Times New Roman" w:eastAsia="Times New Roman" w:hAnsi="Times New Roman" w:cs="Times New Roman"/>
                <w:sz w:val="18"/>
                <w:szCs w:val="18"/>
              </w:rPr>
              <w:t xml:space="preserve"> )</w:t>
            </w:r>
          </w:p>
        </w:tc>
        <w:tc>
          <w:tcPr>
            <w:tcW w:w="778" w:type="dxa"/>
            <w:gridSpan w:val="2"/>
            <w:tcBorders>
              <w:top w:val="nil"/>
              <w:left w:val="nil"/>
              <w:bottom w:val="nil"/>
              <w:right w:val="single" w:sz="4"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r>
      <w:tr w:rsidR="002A3855" w:rsidRPr="002A3855" w:rsidTr="00056BCF">
        <w:trPr>
          <w:trHeight w:val="153"/>
        </w:trPr>
        <w:tc>
          <w:tcPr>
            <w:tcW w:w="970" w:type="dxa"/>
            <w:gridSpan w:val="2"/>
            <w:tcBorders>
              <w:top w:val="nil"/>
              <w:left w:val="single" w:sz="4" w:space="0" w:color="auto"/>
              <w:bottom w:val="nil"/>
              <w:right w:val="single" w:sz="4"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2 rep</w:t>
            </w:r>
          </w:p>
        </w:tc>
        <w:tc>
          <w:tcPr>
            <w:tcW w:w="1442" w:type="dxa"/>
            <w:gridSpan w:val="4"/>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xml:space="preserve">          Tachi-rei</w:t>
            </w:r>
          </w:p>
        </w:tc>
        <w:tc>
          <w:tcPr>
            <w:tcW w:w="2510" w:type="dxa"/>
            <w:gridSpan w:val="7"/>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xml:space="preserve">             Roll de frente </w:t>
            </w:r>
          </w:p>
        </w:tc>
        <w:tc>
          <w:tcPr>
            <w:tcW w:w="1978" w:type="dxa"/>
            <w:gridSpan w:val="6"/>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xml:space="preserve">        Caída atrás </w:t>
            </w:r>
          </w:p>
        </w:tc>
        <w:tc>
          <w:tcPr>
            <w:tcW w:w="1951" w:type="dxa"/>
            <w:gridSpan w:val="5"/>
            <w:tcBorders>
              <w:top w:val="nil"/>
              <w:left w:val="nil"/>
              <w:bottom w:val="nil"/>
              <w:right w:val="single" w:sz="4" w:space="0" w:color="000000"/>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xml:space="preserve">     Postura - Agarre</w:t>
            </w:r>
          </w:p>
        </w:tc>
        <w:tc>
          <w:tcPr>
            <w:tcW w:w="778" w:type="dxa"/>
            <w:gridSpan w:val="2"/>
            <w:tcBorders>
              <w:top w:val="nil"/>
              <w:left w:val="nil"/>
              <w:bottom w:val="nil"/>
              <w:right w:val="single" w:sz="4"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1 min</w:t>
            </w:r>
          </w:p>
        </w:tc>
      </w:tr>
      <w:tr w:rsidR="002A3855" w:rsidRPr="002A3855" w:rsidTr="00056BCF">
        <w:trPr>
          <w:trHeight w:val="153"/>
        </w:trPr>
        <w:tc>
          <w:tcPr>
            <w:tcW w:w="970" w:type="dxa"/>
            <w:gridSpan w:val="2"/>
            <w:tcBorders>
              <w:top w:val="nil"/>
              <w:left w:val="single" w:sz="4" w:space="0" w:color="auto"/>
              <w:bottom w:val="nil"/>
              <w:right w:val="single" w:sz="4"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27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295"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622"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195" w:type="dxa"/>
            <w:gridSpan w:val="2"/>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622"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195"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618" w:type="dxa"/>
            <w:gridSpan w:val="2"/>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9"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93"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9"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93" w:type="dxa"/>
            <w:tcBorders>
              <w:top w:val="nil"/>
              <w:left w:val="nil"/>
              <w:bottom w:val="nil"/>
              <w:right w:val="single" w:sz="4" w:space="0" w:color="auto"/>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778" w:type="dxa"/>
            <w:gridSpan w:val="2"/>
            <w:tcBorders>
              <w:top w:val="nil"/>
              <w:left w:val="nil"/>
              <w:bottom w:val="nil"/>
              <w:right w:val="single" w:sz="4"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r>
      <w:tr w:rsidR="002A3855" w:rsidRPr="002A3855" w:rsidTr="00056BCF">
        <w:trPr>
          <w:trHeight w:val="153"/>
        </w:trPr>
        <w:tc>
          <w:tcPr>
            <w:tcW w:w="970" w:type="dxa"/>
            <w:gridSpan w:val="2"/>
            <w:tcBorders>
              <w:top w:val="nil"/>
              <w:left w:val="single" w:sz="4" w:space="0" w:color="auto"/>
              <w:bottom w:val="nil"/>
              <w:right w:val="single" w:sz="4"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27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295"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622"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195" w:type="dxa"/>
            <w:gridSpan w:val="2"/>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622"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195"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618" w:type="dxa"/>
            <w:gridSpan w:val="2"/>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9"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93"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9"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93" w:type="dxa"/>
            <w:tcBorders>
              <w:top w:val="nil"/>
              <w:left w:val="nil"/>
              <w:bottom w:val="nil"/>
              <w:right w:val="single" w:sz="4" w:space="0" w:color="auto"/>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778" w:type="dxa"/>
            <w:gridSpan w:val="2"/>
            <w:tcBorders>
              <w:top w:val="nil"/>
              <w:left w:val="nil"/>
              <w:bottom w:val="nil"/>
              <w:right w:val="single" w:sz="4"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r>
      <w:tr w:rsidR="002A3855" w:rsidRPr="002A3855" w:rsidTr="00056BCF">
        <w:trPr>
          <w:trHeight w:val="153"/>
        </w:trPr>
        <w:tc>
          <w:tcPr>
            <w:tcW w:w="970" w:type="dxa"/>
            <w:gridSpan w:val="2"/>
            <w:tcBorders>
              <w:top w:val="nil"/>
              <w:left w:val="single" w:sz="4" w:space="0" w:color="auto"/>
              <w:bottom w:val="nil"/>
              <w:right w:val="single" w:sz="4"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1442" w:type="dxa"/>
            <w:gridSpan w:val="4"/>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xml:space="preserve">             Za-rei</w:t>
            </w:r>
          </w:p>
        </w:tc>
        <w:tc>
          <w:tcPr>
            <w:tcW w:w="917" w:type="dxa"/>
            <w:gridSpan w:val="2"/>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195" w:type="dxa"/>
            <w:gridSpan w:val="2"/>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622"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195"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618" w:type="dxa"/>
            <w:gridSpan w:val="2"/>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9"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93"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9"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93" w:type="dxa"/>
            <w:tcBorders>
              <w:top w:val="nil"/>
              <w:left w:val="nil"/>
              <w:bottom w:val="nil"/>
              <w:right w:val="single" w:sz="4" w:space="0" w:color="auto"/>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778" w:type="dxa"/>
            <w:gridSpan w:val="2"/>
            <w:tcBorders>
              <w:top w:val="nil"/>
              <w:left w:val="nil"/>
              <w:bottom w:val="nil"/>
              <w:right w:val="single" w:sz="4"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r>
      <w:tr w:rsidR="002A3855" w:rsidRPr="002A3855" w:rsidTr="00056BCF">
        <w:trPr>
          <w:trHeight w:val="153"/>
        </w:trPr>
        <w:tc>
          <w:tcPr>
            <w:tcW w:w="970" w:type="dxa"/>
            <w:gridSpan w:val="2"/>
            <w:tcBorders>
              <w:top w:val="nil"/>
              <w:left w:val="single" w:sz="4" w:space="0" w:color="auto"/>
              <w:bottom w:val="nil"/>
              <w:right w:val="single" w:sz="4"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1442" w:type="dxa"/>
            <w:gridSpan w:val="4"/>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917" w:type="dxa"/>
            <w:gridSpan w:val="2"/>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195" w:type="dxa"/>
            <w:gridSpan w:val="2"/>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622"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195"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618" w:type="dxa"/>
            <w:gridSpan w:val="2"/>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9"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93"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9"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93" w:type="dxa"/>
            <w:tcBorders>
              <w:top w:val="nil"/>
              <w:left w:val="nil"/>
              <w:bottom w:val="nil"/>
              <w:right w:val="single" w:sz="4" w:space="0" w:color="auto"/>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778" w:type="dxa"/>
            <w:gridSpan w:val="2"/>
            <w:tcBorders>
              <w:top w:val="nil"/>
              <w:left w:val="nil"/>
              <w:bottom w:val="nil"/>
              <w:right w:val="single" w:sz="4"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r>
      <w:tr w:rsidR="002A3855" w:rsidRPr="002A3855" w:rsidTr="00056BCF">
        <w:trPr>
          <w:trHeight w:val="153"/>
        </w:trPr>
        <w:tc>
          <w:tcPr>
            <w:tcW w:w="970" w:type="dxa"/>
            <w:gridSpan w:val="2"/>
            <w:tcBorders>
              <w:top w:val="nil"/>
              <w:left w:val="single" w:sz="4" w:space="0" w:color="auto"/>
              <w:bottom w:val="nil"/>
              <w:right w:val="single" w:sz="4"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2 rep</w:t>
            </w:r>
          </w:p>
        </w:tc>
        <w:tc>
          <w:tcPr>
            <w:tcW w:w="1442" w:type="dxa"/>
            <w:gridSpan w:val="4"/>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2510" w:type="dxa"/>
            <w:gridSpan w:val="7"/>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xml:space="preserve">             Rol de espalda</w:t>
            </w:r>
          </w:p>
        </w:tc>
        <w:tc>
          <w:tcPr>
            <w:tcW w:w="1978" w:type="dxa"/>
            <w:gridSpan w:val="6"/>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xml:space="preserve">    Caídas laterales</w:t>
            </w:r>
          </w:p>
        </w:tc>
        <w:tc>
          <w:tcPr>
            <w:tcW w:w="1951" w:type="dxa"/>
            <w:gridSpan w:val="5"/>
            <w:tcBorders>
              <w:top w:val="nil"/>
              <w:left w:val="nil"/>
              <w:bottom w:val="nil"/>
              <w:right w:val="single" w:sz="4" w:space="0" w:color="000000"/>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xml:space="preserve">  DES - Desequilibrio</w:t>
            </w:r>
          </w:p>
        </w:tc>
        <w:tc>
          <w:tcPr>
            <w:tcW w:w="778" w:type="dxa"/>
            <w:gridSpan w:val="2"/>
            <w:tcBorders>
              <w:top w:val="nil"/>
              <w:left w:val="nil"/>
              <w:bottom w:val="nil"/>
              <w:right w:val="single" w:sz="4"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2 min</w:t>
            </w:r>
          </w:p>
        </w:tc>
      </w:tr>
      <w:tr w:rsidR="002A3855" w:rsidRPr="002A3855" w:rsidTr="00056BCF">
        <w:trPr>
          <w:trHeight w:val="153"/>
        </w:trPr>
        <w:tc>
          <w:tcPr>
            <w:tcW w:w="970" w:type="dxa"/>
            <w:gridSpan w:val="2"/>
            <w:tcBorders>
              <w:top w:val="nil"/>
              <w:left w:val="single" w:sz="4" w:space="0" w:color="auto"/>
              <w:bottom w:val="nil"/>
              <w:right w:val="single" w:sz="4"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1442" w:type="dxa"/>
            <w:gridSpan w:val="4"/>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917" w:type="dxa"/>
            <w:gridSpan w:val="2"/>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195" w:type="dxa"/>
            <w:gridSpan w:val="2"/>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622"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589" w:type="dxa"/>
            <w:gridSpan w:val="3"/>
            <w:tcBorders>
              <w:top w:val="nil"/>
              <w:left w:val="nil"/>
              <w:bottom w:val="nil"/>
              <w:right w:val="nil"/>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xml:space="preserve">  (I/D)</w:t>
            </w:r>
          </w:p>
        </w:tc>
        <w:tc>
          <w:tcPr>
            <w:tcW w:w="612"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p>
        </w:tc>
        <w:tc>
          <w:tcPr>
            <w:tcW w:w="389"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93"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9"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93" w:type="dxa"/>
            <w:tcBorders>
              <w:top w:val="nil"/>
              <w:left w:val="nil"/>
              <w:bottom w:val="nil"/>
              <w:right w:val="single" w:sz="4" w:space="0" w:color="auto"/>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778" w:type="dxa"/>
            <w:gridSpan w:val="2"/>
            <w:tcBorders>
              <w:top w:val="nil"/>
              <w:left w:val="nil"/>
              <w:bottom w:val="nil"/>
              <w:right w:val="single" w:sz="4"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r>
      <w:tr w:rsidR="002A3855" w:rsidRPr="002A3855" w:rsidTr="00056BCF">
        <w:trPr>
          <w:trHeight w:val="153"/>
        </w:trPr>
        <w:tc>
          <w:tcPr>
            <w:tcW w:w="970" w:type="dxa"/>
            <w:gridSpan w:val="2"/>
            <w:tcBorders>
              <w:top w:val="nil"/>
              <w:left w:val="single" w:sz="4" w:space="0" w:color="auto"/>
              <w:bottom w:val="nil"/>
              <w:right w:val="single" w:sz="4"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1442" w:type="dxa"/>
            <w:gridSpan w:val="4"/>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917" w:type="dxa"/>
            <w:gridSpan w:val="2"/>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195" w:type="dxa"/>
            <w:gridSpan w:val="2"/>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622"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195"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618" w:type="dxa"/>
            <w:gridSpan w:val="2"/>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9"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93"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9"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93" w:type="dxa"/>
            <w:tcBorders>
              <w:top w:val="nil"/>
              <w:left w:val="nil"/>
              <w:bottom w:val="nil"/>
              <w:right w:val="single" w:sz="4" w:space="0" w:color="auto"/>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778" w:type="dxa"/>
            <w:gridSpan w:val="2"/>
            <w:tcBorders>
              <w:top w:val="nil"/>
              <w:left w:val="nil"/>
              <w:bottom w:val="nil"/>
              <w:right w:val="single" w:sz="4"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r>
      <w:tr w:rsidR="002A3855" w:rsidRPr="002A3855" w:rsidTr="00056BCF">
        <w:trPr>
          <w:trHeight w:val="153"/>
        </w:trPr>
        <w:tc>
          <w:tcPr>
            <w:tcW w:w="970" w:type="dxa"/>
            <w:gridSpan w:val="2"/>
            <w:tcBorders>
              <w:top w:val="nil"/>
              <w:left w:val="single" w:sz="4" w:space="0" w:color="auto"/>
              <w:bottom w:val="nil"/>
              <w:right w:val="single" w:sz="4"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1442" w:type="dxa"/>
            <w:gridSpan w:val="4"/>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xml:space="preserve">             Za-rei</w:t>
            </w:r>
          </w:p>
        </w:tc>
        <w:tc>
          <w:tcPr>
            <w:tcW w:w="917" w:type="dxa"/>
            <w:gridSpan w:val="2"/>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195" w:type="dxa"/>
            <w:gridSpan w:val="2"/>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622"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195"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618" w:type="dxa"/>
            <w:gridSpan w:val="2"/>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9"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93"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9"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93" w:type="dxa"/>
            <w:tcBorders>
              <w:top w:val="nil"/>
              <w:left w:val="nil"/>
              <w:bottom w:val="nil"/>
              <w:right w:val="single" w:sz="4" w:space="0" w:color="auto"/>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778" w:type="dxa"/>
            <w:gridSpan w:val="2"/>
            <w:tcBorders>
              <w:top w:val="nil"/>
              <w:left w:val="nil"/>
              <w:bottom w:val="nil"/>
              <w:right w:val="single" w:sz="4"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r>
      <w:tr w:rsidR="002A3855" w:rsidRPr="002A3855" w:rsidTr="00056BCF">
        <w:trPr>
          <w:trHeight w:val="153"/>
        </w:trPr>
        <w:tc>
          <w:tcPr>
            <w:tcW w:w="970" w:type="dxa"/>
            <w:gridSpan w:val="2"/>
            <w:tcBorders>
              <w:top w:val="nil"/>
              <w:left w:val="single" w:sz="4" w:space="0" w:color="auto"/>
              <w:bottom w:val="nil"/>
              <w:right w:val="single" w:sz="4"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27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295"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622"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195" w:type="dxa"/>
            <w:gridSpan w:val="2"/>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622"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195"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618" w:type="dxa"/>
            <w:gridSpan w:val="2"/>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9"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93"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9"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93" w:type="dxa"/>
            <w:tcBorders>
              <w:top w:val="nil"/>
              <w:left w:val="nil"/>
              <w:bottom w:val="nil"/>
              <w:right w:val="single" w:sz="4" w:space="0" w:color="auto"/>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778" w:type="dxa"/>
            <w:gridSpan w:val="2"/>
            <w:tcBorders>
              <w:top w:val="nil"/>
              <w:left w:val="nil"/>
              <w:bottom w:val="nil"/>
              <w:right w:val="single" w:sz="4"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r>
      <w:tr w:rsidR="002A3855" w:rsidRPr="002A3855" w:rsidTr="00056BCF">
        <w:trPr>
          <w:trHeight w:val="153"/>
        </w:trPr>
        <w:tc>
          <w:tcPr>
            <w:tcW w:w="970" w:type="dxa"/>
            <w:gridSpan w:val="2"/>
            <w:tcBorders>
              <w:top w:val="nil"/>
              <w:left w:val="single" w:sz="4" w:space="0" w:color="auto"/>
              <w:bottom w:val="nil"/>
              <w:right w:val="single" w:sz="4"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2 rep</w:t>
            </w: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38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388"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278"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295" w:type="dxa"/>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2215" w:type="dxa"/>
            <w:gridSpan w:val="6"/>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xml:space="preserve">         Campana (I/D)</w:t>
            </w:r>
          </w:p>
        </w:tc>
        <w:tc>
          <w:tcPr>
            <w:tcW w:w="1978" w:type="dxa"/>
            <w:gridSpan w:val="6"/>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xml:space="preserve">     Caída rodando</w:t>
            </w:r>
          </w:p>
        </w:tc>
        <w:tc>
          <w:tcPr>
            <w:tcW w:w="1951" w:type="dxa"/>
            <w:gridSpan w:val="5"/>
            <w:tcBorders>
              <w:top w:val="nil"/>
              <w:left w:val="nil"/>
              <w:bottom w:val="nil"/>
              <w:right w:val="single" w:sz="4" w:space="0" w:color="000000"/>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xml:space="preserve">   Proyección en cont.</w:t>
            </w:r>
          </w:p>
        </w:tc>
        <w:tc>
          <w:tcPr>
            <w:tcW w:w="778" w:type="dxa"/>
            <w:gridSpan w:val="2"/>
            <w:tcBorders>
              <w:top w:val="nil"/>
              <w:left w:val="nil"/>
              <w:bottom w:val="nil"/>
              <w:right w:val="single" w:sz="4"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3 min</w:t>
            </w:r>
          </w:p>
        </w:tc>
      </w:tr>
      <w:tr w:rsidR="002A3855" w:rsidRPr="002A3855" w:rsidTr="00056BCF">
        <w:trPr>
          <w:trHeight w:val="153"/>
        </w:trPr>
        <w:tc>
          <w:tcPr>
            <w:tcW w:w="970" w:type="dxa"/>
            <w:gridSpan w:val="2"/>
            <w:tcBorders>
              <w:top w:val="nil"/>
              <w:left w:val="single" w:sz="4" w:space="0" w:color="auto"/>
              <w:bottom w:val="nil"/>
              <w:right w:val="single" w:sz="4"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1442" w:type="dxa"/>
            <w:gridSpan w:val="4"/>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xml:space="preserve">         Tachi-rei</w:t>
            </w:r>
          </w:p>
        </w:tc>
        <w:tc>
          <w:tcPr>
            <w:tcW w:w="2510" w:type="dxa"/>
            <w:gridSpan w:val="7"/>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1978" w:type="dxa"/>
            <w:gridSpan w:val="6"/>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xml:space="preserve">       al frente (I/D)</w:t>
            </w:r>
          </w:p>
        </w:tc>
        <w:tc>
          <w:tcPr>
            <w:tcW w:w="1951" w:type="dxa"/>
            <w:gridSpan w:val="5"/>
            <w:tcBorders>
              <w:top w:val="nil"/>
              <w:left w:val="nil"/>
              <w:bottom w:val="nil"/>
              <w:right w:val="single" w:sz="4" w:space="0" w:color="000000"/>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xml:space="preserve">          al control.</w:t>
            </w:r>
          </w:p>
        </w:tc>
        <w:tc>
          <w:tcPr>
            <w:tcW w:w="778" w:type="dxa"/>
            <w:gridSpan w:val="2"/>
            <w:tcBorders>
              <w:top w:val="nil"/>
              <w:left w:val="nil"/>
              <w:bottom w:val="nil"/>
              <w:right w:val="single" w:sz="4"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r>
      <w:tr w:rsidR="002A3855" w:rsidRPr="002A3855" w:rsidTr="00056BCF">
        <w:trPr>
          <w:trHeight w:val="153"/>
        </w:trPr>
        <w:tc>
          <w:tcPr>
            <w:tcW w:w="970" w:type="dxa"/>
            <w:gridSpan w:val="2"/>
            <w:tcBorders>
              <w:top w:val="nil"/>
              <w:left w:val="single" w:sz="4" w:space="0" w:color="auto"/>
              <w:bottom w:val="nil"/>
              <w:right w:val="single" w:sz="4"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1442" w:type="dxa"/>
            <w:gridSpan w:val="4"/>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2510" w:type="dxa"/>
            <w:gridSpan w:val="7"/>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1978" w:type="dxa"/>
            <w:gridSpan w:val="6"/>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1951" w:type="dxa"/>
            <w:gridSpan w:val="5"/>
            <w:tcBorders>
              <w:top w:val="nil"/>
              <w:left w:val="nil"/>
              <w:bottom w:val="nil"/>
              <w:right w:val="single" w:sz="4"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p>
        </w:tc>
        <w:tc>
          <w:tcPr>
            <w:tcW w:w="778" w:type="dxa"/>
            <w:gridSpan w:val="2"/>
            <w:tcBorders>
              <w:top w:val="nil"/>
              <w:left w:val="nil"/>
              <w:bottom w:val="nil"/>
              <w:right w:val="single" w:sz="4"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r>
      <w:tr w:rsidR="002A3855" w:rsidRPr="002A3855" w:rsidTr="00056BCF">
        <w:trPr>
          <w:trHeight w:val="147"/>
        </w:trPr>
        <w:tc>
          <w:tcPr>
            <w:tcW w:w="970" w:type="dxa"/>
            <w:gridSpan w:val="2"/>
            <w:tcBorders>
              <w:top w:val="nil"/>
              <w:left w:val="single" w:sz="4" w:space="0" w:color="auto"/>
              <w:bottom w:val="nil"/>
              <w:right w:val="single" w:sz="4"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1442" w:type="dxa"/>
            <w:gridSpan w:val="4"/>
            <w:tcBorders>
              <w:top w:val="single" w:sz="4" w:space="0" w:color="auto"/>
              <w:left w:val="nil"/>
              <w:bottom w:val="single" w:sz="4" w:space="0" w:color="auto"/>
              <w:right w:val="single" w:sz="4" w:space="0" w:color="auto"/>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Ceremonia de Salida</w:t>
            </w:r>
          </w:p>
        </w:tc>
        <w:tc>
          <w:tcPr>
            <w:tcW w:w="2510" w:type="dxa"/>
            <w:gridSpan w:val="7"/>
            <w:tcBorders>
              <w:top w:val="single" w:sz="4" w:space="0" w:color="auto"/>
              <w:left w:val="nil"/>
              <w:bottom w:val="single" w:sz="4" w:space="0" w:color="auto"/>
              <w:right w:val="single" w:sz="4" w:space="0" w:color="auto"/>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"Acrobacia"</w:t>
            </w:r>
          </w:p>
        </w:tc>
        <w:tc>
          <w:tcPr>
            <w:tcW w:w="1978" w:type="dxa"/>
            <w:gridSpan w:val="6"/>
            <w:tcBorders>
              <w:top w:val="single" w:sz="4" w:space="0" w:color="auto"/>
              <w:left w:val="nil"/>
              <w:bottom w:val="single" w:sz="4" w:space="0" w:color="auto"/>
              <w:right w:val="single" w:sz="4" w:space="0" w:color="auto"/>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"Las Caídas"</w:t>
            </w:r>
          </w:p>
        </w:tc>
        <w:tc>
          <w:tcPr>
            <w:tcW w:w="1951" w:type="dxa"/>
            <w:gridSpan w:val="5"/>
            <w:tcBorders>
              <w:top w:val="single" w:sz="4" w:space="0" w:color="auto"/>
              <w:left w:val="nil"/>
              <w:bottom w:val="single" w:sz="4" w:space="0" w:color="auto"/>
              <w:right w:val="single" w:sz="4" w:space="0" w:color="auto"/>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"Acción conjugada"</w:t>
            </w:r>
          </w:p>
        </w:tc>
        <w:tc>
          <w:tcPr>
            <w:tcW w:w="778" w:type="dxa"/>
            <w:gridSpan w:val="2"/>
            <w:tcBorders>
              <w:top w:val="nil"/>
              <w:left w:val="nil"/>
              <w:bottom w:val="nil"/>
              <w:right w:val="single" w:sz="4"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r>
      <w:tr w:rsidR="002A3855" w:rsidRPr="002A3855" w:rsidTr="00056BCF">
        <w:trPr>
          <w:trHeight w:val="153"/>
        </w:trPr>
        <w:tc>
          <w:tcPr>
            <w:tcW w:w="293"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9038" w:type="dxa"/>
            <w:gridSpan w:val="24"/>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b/>
                <w:bCs/>
                <w:sz w:val="18"/>
                <w:szCs w:val="18"/>
              </w:rPr>
            </w:pPr>
            <w:r w:rsidRPr="002A3855">
              <w:rPr>
                <w:rFonts w:ascii="Times New Roman" w:eastAsia="Times New Roman" w:hAnsi="Times New Roman" w:cs="Times New Roman"/>
                <w:b/>
                <w:bCs/>
                <w:sz w:val="18"/>
                <w:szCs w:val="18"/>
              </w:rPr>
              <w:t xml:space="preserve">2.- Actividad docente de ejercitación con juegos, ejercicios y tareas </w:t>
            </w:r>
            <w:r w:rsidRPr="002A3855">
              <w:rPr>
                <w:rFonts w:ascii="Times New Roman" w:eastAsia="Times New Roman" w:hAnsi="Times New Roman" w:cs="Times New Roman"/>
                <w:sz w:val="18"/>
                <w:szCs w:val="18"/>
              </w:rPr>
              <w:t>(Reproducción)</w:t>
            </w:r>
          </w:p>
        </w:tc>
        <w:tc>
          <w:tcPr>
            <w:tcW w:w="298" w:type="dxa"/>
            <w:tcBorders>
              <w:top w:val="nil"/>
              <w:left w:val="nil"/>
              <w:bottom w:val="nil"/>
              <w:right w:val="single" w:sz="4" w:space="0" w:color="auto"/>
            </w:tcBorders>
            <w:shd w:val="clear" w:color="auto" w:fill="auto"/>
            <w:noWrap/>
            <w:vAlign w:val="bottom"/>
            <w:hideMark/>
          </w:tcPr>
          <w:p w:rsidR="00BB42F4" w:rsidRPr="002A3855" w:rsidRDefault="00BB42F4" w:rsidP="00056BCF">
            <w:pPr>
              <w:spacing w:after="0" w:line="240" w:lineRule="auto"/>
              <w:rPr>
                <w:rFonts w:eastAsia="Times New Roman" w:cs="Calibri"/>
              </w:rPr>
            </w:pPr>
            <w:r w:rsidRPr="002A3855">
              <w:rPr>
                <w:rFonts w:eastAsia="Times New Roman" w:cs="Calibri"/>
              </w:rPr>
              <w:t> </w:t>
            </w:r>
          </w:p>
        </w:tc>
      </w:tr>
      <w:tr w:rsidR="002A3855" w:rsidRPr="002A3855" w:rsidTr="00056BCF">
        <w:trPr>
          <w:trHeight w:val="153"/>
        </w:trPr>
        <w:tc>
          <w:tcPr>
            <w:tcW w:w="293"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2119" w:type="dxa"/>
            <w:gridSpan w:val="5"/>
            <w:tcBorders>
              <w:top w:val="single" w:sz="8" w:space="0" w:color="auto"/>
              <w:left w:val="single" w:sz="8" w:space="0" w:color="auto"/>
              <w:bottom w:val="nil"/>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1813" w:type="dxa"/>
            <w:gridSpan w:val="5"/>
            <w:tcBorders>
              <w:top w:val="single" w:sz="8" w:space="0" w:color="auto"/>
              <w:left w:val="nil"/>
              <w:bottom w:val="nil"/>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1674" w:type="dxa"/>
            <w:gridSpan w:val="6"/>
            <w:tcBorders>
              <w:top w:val="single" w:sz="8" w:space="0" w:color="auto"/>
              <w:left w:val="nil"/>
              <w:bottom w:val="nil"/>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1782" w:type="dxa"/>
            <w:gridSpan w:val="4"/>
            <w:tcBorders>
              <w:top w:val="single" w:sz="8" w:space="0" w:color="auto"/>
              <w:left w:val="nil"/>
              <w:bottom w:val="nil"/>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1650" w:type="dxa"/>
            <w:gridSpan w:val="4"/>
            <w:tcBorders>
              <w:top w:val="single" w:sz="8" w:space="0" w:color="auto"/>
              <w:left w:val="nil"/>
              <w:bottom w:val="nil"/>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298" w:type="dxa"/>
            <w:tcBorders>
              <w:top w:val="nil"/>
              <w:left w:val="nil"/>
              <w:bottom w:val="nil"/>
              <w:right w:val="single" w:sz="4" w:space="0" w:color="auto"/>
            </w:tcBorders>
            <w:shd w:val="clear" w:color="auto" w:fill="auto"/>
            <w:noWrap/>
            <w:vAlign w:val="bottom"/>
            <w:hideMark/>
          </w:tcPr>
          <w:p w:rsidR="00BB42F4" w:rsidRPr="002A3855" w:rsidRDefault="00BB42F4" w:rsidP="00056BCF">
            <w:pPr>
              <w:spacing w:after="0" w:line="240" w:lineRule="auto"/>
              <w:rPr>
                <w:rFonts w:eastAsia="Times New Roman" w:cs="Calibri"/>
              </w:rPr>
            </w:pPr>
            <w:r w:rsidRPr="002A3855">
              <w:rPr>
                <w:rFonts w:eastAsia="Times New Roman" w:cs="Calibri"/>
              </w:rPr>
              <w:t> </w:t>
            </w:r>
          </w:p>
        </w:tc>
      </w:tr>
      <w:tr w:rsidR="002A3855" w:rsidRPr="002A3855" w:rsidTr="00056BCF">
        <w:trPr>
          <w:trHeight w:val="161"/>
        </w:trPr>
        <w:tc>
          <w:tcPr>
            <w:tcW w:w="293"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2119" w:type="dxa"/>
            <w:gridSpan w:val="5"/>
            <w:tcBorders>
              <w:top w:val="nil"/>
              <w:left w:val="single" w:sz="8" w:space="0" w:color="auto"/>
              <w:bottom w:val="nil"/>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1813" w:type="dxa"/>
            <w:gridSpan w:val="5"/>
            <w:tcBorders>
              <w:top w:val="nil"/>
              <w:left w:val="nil"/>
              <w:bottom w:val="single" w:sz="8" w:space="0" w:color="auto"/>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proofErr w:type="gramStart"/>
            <w:r w:rsidRPr="002A3855">
              <w:rPr>
                <w:rFonts w:ascii="Times New Roman" w:eastAsia="Times New Roman" w:hAnsi="Times New Roman" w:cs="Times New Roman"/>
                <w:sz w:val="18"/>
                <w:szCs w:val="18"/>
              </w:rPr>
              <w:t>( I</w:t>
            </w:r>
            <w:proofErr w:type="gramEnd"/>
            <w:r w:rsidRPr="002A3855">
              <w:rPr>
                <w:rFonts w:ascii="Times New Roman" w:eastAsia="Times New Roman" w:hAnsi="Times New Roman" w:cs="Times New Roman"/>
                <w:sz w:val="18"/>
                <w:szCs w:val="18"/>
              </w:rPr>
              <w:t xml:space="preserve"> ) </w:t>
            </w:r>
          </w:p>
        </w:tc>
        <w:tc>
          <w:tcPr>
            <w:tcW w:w="1674" w:type="dxa"/>
            <w:gridSpan w:val="6"/>
            <w:tcBorders>
              <w:top w:val="nil"/>
              <w:left w:val="nil"/>
              <w:bottom w:val="single" w:sz="8" w:space="0" w:color="auto"/>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proofErr w:type="gramStart"/>
            <w:r w:rsidRPr="002A3855">
              <w:rPr>
                <w:rFonts w:ascii="Times New Roman" w:eastAsia="Times New Roman" w:hAnsi="Times New Roman" w:cs="Times New Roman"/>
                <w:sz w:val="18"/>
                <w:szCs w:val="18"/>
              </w:rPr>
              <w:t>( II</w:t>
            </w:r>
            <w:proofErr w:type="gramEnd"/>
            <w:r w:rsidRPr="002A3855">
              <w:rPr>
                <w:rFonts w:ascii="Times New Roman" w:eastAsia="Times New Roman" w:hAnsi="Times New Roman" w:cs="Times New Roman"/>
                <w:sz w:val="18"/>
                <w:szCs w:val="18"/>
              </w:rPr>
              <w:t xml:space="preserve"> ) </w:t>
            </w:r>
          </w:p>
        </w:tc>
        <w:tc>
          <w:tcPr>
            <w:tcW w:w="1782" w:type="dxa"/>
            <w:gridSpan w:val="4"/>
            <w:tcBorders>
              <w:top w:val="nil"/>
              <w:left w:val="nil"/>
              <w:bottom w:val="single" w:sz="8" w:space="0" w:color="auto"/>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proofErr w:type="gramStart"/>
            <w:r w:rsidRPr="002A3855">
              <w:rPr>
                <w:rFonts w:ascii="Times New Roman" w:eastAsia="Times New Roman" w:hAnsi="Times New Roman" w:cs="Times New Roman"/>
                <w:sz w:val="18"/>
                <w:szCs w:val="18"/>
              </w:rPr>
              <w:t>( III</w:t>
            </w:r>
            <w:proofErr w:type="gramEnd"/>
            <w:r w:rsidRPr="002A3855">
              <w:rPr>
                <w:rFonts w:ascii="Times New Roman" w:eastAsia="Times New Roman" w:hAnsi="Times New Roman" w:cs="Times New Roman"/>
                <w:sz w:val="18"/>
                <w:szCs w:val="18"/>
              </w:rPr>
              <w:t xml:space="preserve"> ) </w:t>
            </w:r>
          </w:p>
        </w:tc>
        <w:tc>
          <w:tcPr>
            <w:tcW w:w="1650" w:type="dxa"/>
            <w:gridSpan w:val="4"/>
            <w:tcBorders>
              <w:top w:val="nil"/>
              <w:left w:val="nil"/>
              <w:bottom w:val="single" w:sz="8" w:space="0" w:color="auto"/>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proofErr w:type="gramStart"/>
            <w:r w:rsidRPr="002A3855">
              <w:rPr>
                <w:rFonts w:ascii="Times New Roman" w:eastAsia="Times New Roman" w:hAnsi="Times New Roman" w:cs="Times New Roman"/>
                <w:sz w:val="18"/>
                <w:szCs w:val="18"/>
              </w:rPr>
              <w:t>( IV</w:t>
            </w:r>
            <w:proofErr w:type="gramEnd"/>
            <w:r w:rsidRPr="002A3855">
              <w:rPr>
                <w:rFonts w:ascii="Times New Roman" w:eastAsia="Times New Roman" w:hAnsi="Times New Roman" w:cs="Times New Roman"/>
                <w:sz w:val="18"/>
                <w:szCs w:val="18"/>
              </w:rPr>
              <w:t xml:space="preserve"> )</w:t>
            </w:r>
          </w:p>
        </w:tc>
        <w:tc>
          <w:tcPr>
            <w:tcW w:w="298" w:type="dxa"/>
            <w:tcBorders>
              <w:top w:val="nil"/>
              <w:left w:val="nil"/>
              <w:bottom w:val="nil"/>
              <w:right w:val="single" w:sz="4" w:space="0" w:color="auto"/>
            </w:tcBorders>
            <w:shd w:val="clear" w:color="auto" w:fill="auto"/>
            <w:noWrap/>
            <w:vAlign w:val="bottom"/>
            <w:hideMark/>
          </w:tcPr>
          <w:p w:rsidR="00BB42F4" w:rsidRPr="002A3855" w:rsidRDefault="00BB42F4" w:rsidP="00056BCF">
            <w:pPr>
              <w:spacing w:after="0" w:line="240" w:lineRule="auto"/>
              <w:rPr>
                <w:rFonts w:eastAsia="Times New Roman" w:cs="Calibri"/>
              </w:rPr>
            </w:pPr>
            <w:r w:rsidRPr="002A3855">
              <w:rPr>
                <w:rFonts w:eastAsia="Times New Roman" w:cs="Calibri"/>
              </w:rPr>
              <w:t> </w:t>
            </w:r>
          </w:p>
        </w:tc>
      </w:tr>
      <w:tr w:rsidR="002A3855" w:rsidRPr="002A3855" w:rsidTr="00056BCF">
        <w:trPr>
          <w:trHeight w:val="153"/>
        </w:trPr>
        <w:tc>
          <w:tcPr>
            <w:tcW w:w="293"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2119" w:type="dxa"/>
            <w:gridSpan w:val="5"/>
            <w:tcBorders>
              <w:top w:val="nil"/>
              <w:left w:val="single" w:sz="8" w:space="0" w:color="auto"/>
              <w:bottom w:val="nil"/>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xml:space="preserve">Ejercitación de la </w:t>
            </w:r>
          </w:p>
        </w:tc>
        <w:tc>
          <w:tcPr>
            <w:tcW w:w="1813" w:type="dxa"/>
            <w:gridSpan w:val="5"/>
            <w:vMerge w:val="restart"/>
            <w:tcBorders>
              <w:top w:val="nil"/>
              <w:left w:val="nil"/>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Ubicar el eje de la Kata </w:t>
            </w:r>
          </w:p>
        </w:tc>
        <w:tc>
          <w:tcPr>
            <w:tcW w:w="1674" w:type="dxa"/>
            <w:gridSpan w:val="6"/>
            <w:vMerge w:val="restart"/>
            <w:tcBorders>
              <w:top w:val="nil"/>
              <w:left w:val="nil"/>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Realizar en grupo los saludos</w:t>
            </w:r>
          </w:p>
        </w:tc>
        <w:tc>
          <w:tcPr>
            <w:tcW w:w="1782" w:type="dxa"/>
            <w:gridSpan w:val="4"/>
            <w:vMerge w:val="restart"/>
            <w:tcBorders>
              <w:top w:val="nil"/>
              <w:left w:val="nil"/>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Ejecutar en grupo las posturas</w:t>
            </w:r>
          </w:p>
        </w:tc>
        <w:tc>
          <w:tcPr>
            <w:tcW w:w="1650" w:type="dxa"/>
            <w:gridSpan w:val="4"/>
            <w:vMerge w:val="restart"/>
            <w:tcBorders>
              <w:top w:val="nil"/>
              <w:left w:val="nil"/>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Realizar en dúo </w:t>
            </w:r>
          </w:p>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el desequilibrio </w:t>
            </w:r>
          </w:p>
        </w:tc>
        <w:tc>
          <w:tcPr>
            <w:tcW w:w="298" w:type="dxa"/>
            <w:tcBorders>
              <w:top w:val="nil"/>
              <w:left w:val="nil"/>
              <w:bottom w:val="nil"/>
              <w:right w:val="single" w:sz="4" w:space="0" w:color="auto"/>
            </w:tcBorders>
            <w:shd w:val="clear" w:color="auto" w:fill="auto"/>
            <w:noWrap/>
            <w:vAlign w:val="bottom"/>
            <w:hideMark/>
          </w:tcPr>
          <w:p w:rsidR="00BB42F4" w:rsidRPr="002A3855" w:rsidRDefault="00BB42F4" w:rsidP="00056BCF">
            <w:pPr>
              <w:spacing w:after="0" w:line="240" w:lineRule="auto"/>
              <w:rPr>
                <w:rFonts w:eastAsia="Times New Roman" w:cs="Calibri"/>
              </w:rPr>
            </w:pPr>
            <w:r w:rsidRPr="002A3855">
              <w:rPr>
                <w:rFonts w:eastAsia="Times New Roman" w:cs="Calibri"/>
              </w:rPr>
              <w:t> </w:t>
            </w:r>
          </w:p>
        </w:tc>
      </w:tr>
      <w:tr w:rsidR="002A3855" w:rsidRPr="002A3855" w:rsidTr="00056BCF">
        <w:trPr>
          <w:trHeight w:val="153"/>
        </w:trPr>
        <w:tc>
          <w:tcPr>
            <w:tcW w:w="293"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2119" w:type="dxa"/>
            <w:gridSpan w:val="5"/>
            <w:tcBorders>
              <w:top w:val="nil"/>
              <w:left w:val="single" w:sz="8" w:space="0" w:color="auto"/>
              <w:bottom w:val="nil"/>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xml:space="preserve">Kata de elementos </w:t>
            </w:r>
          </w:p>
        </w:tc>
        <w:tc>
          <w:tcPr>
            <w:tcW w:w="1813" w:type="dxa"/>
            <w:gridSpan w:val="5"/>
            <w:vMerge/>
            <w:tcBorders>
              <w:left w:val="nil"/>
              <w:bottom w:val="single" w:sz="4" w:space="0" w:color="auto"/>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p>
        </w:tc>
        <w:tc>
          <w:tcPr>
            <w:tcW w:w="1674" w:type="dxa"/>
            <w:gridSpan w:val="6"/>
            <w:vMerge/>
            <w:tcBorders>
              <w:left w:val="nil"/>
              <w:bottom w:val="single" w:sz="4" w:space="0" w:color="auto"/>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p>
        </w:tc>
        <w:tc>
          <w:tcPr>
            <w:tcW w:w="1782" w:type="dxa"/>
            <w:gridSpan w:val="4"/>
            <w:vMerge/>
            <w:tcBorders>
              <w:left w:val="nil"/>
              <w:bottom w:val="single" w:sz="4" w:space="0" w:color="auto"/>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p>
        </w:tc>
        <w:tc>
          <w:tcPr>
            <w:tcW w:w="1650" w:type="dxa"/>
            <w:gridSpan w:val="4"/>
            <w:vMerge/>
            <w:tcBorders>
              <w:left w:val="nil"/>
              <w:bottom w:val="single" w:sz="4" w:space="0" w:color="auto"/>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p>
        </w:tc>
        <w:tc>
          <w:tcPr>
            <w:tcW w:w="298" w:type="dxa"/>
            <w:tcBorders>
              <w:top w:val="nil"/>
              <w:left w:val="nil"/>
              <w:bottom w:val="nil"/>
              <w:right w:val="single" w:sz="4" w:space="0" w:color="auto"/>
            </w:tcBorders>
            <w:shd w:val="clear" w:color="auto" w:fill="auto"/>
            <w:noWrap/>
            <w:vAlign w:val="bottom"/>
            <w:hideMark/>
          </w:tcPr>
          <w:p w:rsidR="00BB42F4" w:rsidRPr="002A3855" w:rsidRDefault="00BB42F4" w:rsidP="00056BCF">
            <w:pPr>
              <w:spacing w:after="0" w:line="240" w:lineRule="auto"/>
              <w:rPr>
                <w:rFonts w:eastAsia="Times New Roman" w:cs="Calibri"/>
              </w:rPr>
            </w:pPr>
            <w:r w:rsidRPr="002A3855">
              <w:rPr>
                <w:rFonts w:eastAsia="Times New Roman" w:cs="Calibri"/>
              </w:rPr>
              <w:t> </w:t>
            </w:r>
          </w:p>
        </w:tc>
      </w:tr>
      <w:tr w:rsidR="002A3855" w:rsidRPr="002A3855" w:rsidTr="00056BCF">
        <w:trPr>
          <w:trHeight w:val="153"/>
        </w:trPr>
        <w:tc>
          <w:tcPr>
            <w:tcW w:w="293"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2119" w:type="dxa"/>
            <w:gridSpan w:val="5"/>
            <w:tcBorders>
              <w:top w:val="nil"/>
              <w:left w:val="single" w:sz="8" w:space="0" w:color="auto"/>
              <w:bottom w:val="nil"/>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básicos del Judo</w:t>
            </w:r>
          </w:p>
        </w:tc>
        <w:tc>
          <w:tcPr>
            <w:tcW w:w="1813" w:type="dxa"/>
            <w:gridSpan w:val="5"/>
            <w:vMerge w:val="restart"/>
            <w:tcBorders>
              <w:top w:val="single" w:sz="4" w:space="0" w:color="auto"/>
              <w:left w:val="nil"/>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Ejercitar en dúo-kata las caídas </w:t>
            </w:r>
          </w:p>
        </w:tc>
        <w:tc>
          <w:tcPr>
            <w:tcW w:w="1674" w:type="dxa"/>
            <w:gridSpan w:val="6"/>
            <w:vMerge w:val="restart"/>
            <w:tcBorders>
              <w:top w:val="single" w:sz="4" w:space="0" w:color="auto"/>
              <w:left w:val="nil"/>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Ejercitar en dúo la acrobacia</w:t>
            </w:r>
          </w:p>
        </w:tc>
        <w:tc>
          <w:tcPr>
            <w:tcW w:w="1782" w:type="dxa"/>
            <w:gridSpan w:val="4"/>
            <w:vMerge w:val="restart"/>
            <w:tcBorders>
              <w:top w:val="single" w:sz="4" w:space="0" w:color="auto"/>
              <w:left w:val="nil"/>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Ejercitar en dúo </w:t>
            </w:r>
          </w:p>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desplazamientos </w:t>
            </w:r>
          </w:p>
        </w:tc>
        <w:tc>
          <w:tcPr>
            <w:tcW w:w="1650" w:type="dxa"/>
            <w:gridSpan w:val="4"/>
            <w:vMerge w:val="restart"/>
            <w:tcBorders>
              <w:top w:val="single" w:sz="4" w:space="0" w:color="auto"/>
              <w:left w:val="nil"/>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Realizar la Kata</w:t>
            </w:r>
          </w:p>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Frente al Joseki </w:t>
            </w:r>
          </w:p>
        </w:tc>
        <w:tc>
          <w:tcPr>
            <w:tcW w:w="298" w:type="dxa"/>
            <w:tcBorders>
              <w:top w:val="nil"/>
              <w:left w:val="nil"/>
              <w:bottom w:val="nil"/>
              <w:right w:val="single" w:sz="4" w:space="0" w:color="auto"/>
            </w:tcBorders>
            <w:shd w:val="clear" w:color="auto" w:fill="auto"/>
            <w:noWrap/>
            <w:vAlign w:val="bottom"/>
            <w:hideMark/>
          </w:tcPr>
          <w:p w:rsidR="00BB42F4" w:rsidRPr="002A3855" w:rsidRDefault="00BB42F4" w:rsidP="00056BCF">
            <w:pPr>
              <w:spacing w:after="0" w:line="240" w:lineRule="auto"/>
              <w:rPr>
                <w:rFonts w:eastAsia="Times New Roman" w:cs="Calibri"/>
              </w:rPr>
            </w:pPr>
            <w:r w:rsidRPr="002A3855">
              <w:rPr>
                <w:rFonts w:eastAsia="Times New Roman" w:cs="Calibri"/>
              </w:rPr>
              <w:t> </w:t>
            </w:r>
          </w:p>
        </w:tc>
      </w:tr>
      <w:tr w:rsidR="002A3855" w:rsidRPr="002A3855" w:rsidTr="00056BCF">
        <w:trPr>
          <w:trHeight w:val="161"/>
        </w:trPr>
        <w:tc>
          <w:tcPr>
            <w:tcW w:w="293"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2119" w:type="dxa"/>
            <w:gridSpan w:val="5"/>
            <w:tcBorders>
              <w:top w:val="nil"/>
              <w:left w:val="single" w:sz="8" w:space="0" w:color="auto"/>
              <w:bottom w:val="single" w:sz="8" w:space="0" w:color="auto"/>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1813" w:type="dxa"/>
            <w:gridSpan w:val="5"/>
            <w:vMerge/>
            <w:tcBorders>
              <w:left w:val="nil"/>
              <w:bottom w:val="single" w:sz="8" w:space="0" w:color="auto"/>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p>
        </w:tc>
        <w:tc>
          <w:tcPr>
            <w:tcW w:w="1674" w:type="dxa"/>
            <w:gridSpan w:val="6"/>
            <w:vMerge/>
            <w:tcBorders>
              <w:left w:val="nil"/>
              <w:bottom w:val="single" w:sz="8" w:space="0" w:color="auto"/>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p>
        </w:tc>
        <w:tc>
          <w:tcPr>
            <w:tcW w:w="1782" w:type="dxa"/>
            <w:gridSpan w:val="4"/>
            <w:vMerge/>
            <w:tcBorders>
              <w:left w:val="nil"/>
              <w:bottom w:val="single" w:sz="8" w:space="0" w:color="auto"/>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p>
        </w:tc>
        <w:tc>
          <w:tcPr>
            <w:tcW w:w="1650" w:type="dxa"/>
            <w:gridSpan w:val="4"/>
            <w:vMerge/>
            <w:tcBorders>
              <w:left w:val="nil"/>
              <w:bottom w:val="single" w:sz="8" w:space="0" w:color="auto"/>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p>
        </w:tc>
        <w:tc>
          <w:tcPr>
            <w:tcW w:w="298" w:type="dxa"/>
            <w:tcBorders>
              <w:top w:val="nil"/>
              <w:left w:val="nil"/>
              <w:bottom w:val="nil"/>
              <w:right w:val="single" w:sz="4" w:space="0" w:color="auto"/>
            </w:tcBorders>
            <w:shd w:val="clear" w:color="auto" w:fill="auto"/>
            <w:noWrap/>
            <w:vAlign w:val="bottom"/>
            <w:hideMark/>
          </w:tcPr>
          <w:p w:rsidR="00BB42F4" w:rsidRPr="002A3855" w:rsidRDefault="00BB42F4" w:rsidP="00056BCF">
            <w:pPr>
              <w:spacing w:after="0" w:line="240" w:lineRule="auto"/>
              <w:rPr>
                <w:rFonts w:eastAsia="Times New Roman" w:cs="Calibri"/>
              </w:rPr>
            </w:pPr>
            <w:r w:rsidRPr="002A3855">
              <w:rPr>
                <w:rFonts w:eastAsia="Times New Roman" w:cs="Calibri"/>
              </w:rPr>
              <w:t> </w:t>
            </w:r>
          </w:p>
        </w:tc>
      </w:tr>
      <w:tr w:rsidR="002A3855" w:rsidRPr="002A3855" w:rsidTr="00056BCF">
        <w:trPr>
          <w:trHeight w:val="153"/>
        </w:trPr>
        <w:tc>
          <w:tcPr>
            <w:tcW w:w="293"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9038" w:type="dxa"/>
            <w:gridSpan w:val="24"/>
            <w:tcBorders>
              <w:top w:val="nil"/>
              <w:left w:val="nil"/>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b/>
                <w:bCs/>
                <w:sz w:val="18"/>
                <w:szCs w:val="18"/>
              </w:rPr>
            </w:pPr>
            <w:r w:rsidRPr="002A3855">
              <w:rPr>
                <w:rFonts w:ascii="Times New Roman" w:eastAsia="Times New Roman" w:hAnsi="Times New Roman" w:cs="Times New Roman"/>
                <w:b/>
                <w:bCs/>
                <w:sz w:val="18"/>
                <w:szCs w:val="18"/>
              </w:rPr>
              <w:t xml:space="preserve">3.- Actividad docente de manipulación de constreñimientos en la clase </w:t>
            </w:r>
            <w:r w:rsidRPr="002A3855">
              <w:rPr>
                <w:rFonts w:ascii="Times New Roman" w:eastAsia="Times New Roman" w:hAnsi="Times New Roman" w:cs="Times New Roman"/>
                <w:sz w:val="18"/>
                <w:szCs w:val="18"/>
              </w:rPr>
              <w:t>(Consolidación)</w:t>
            </w:r>
          </w:p>
        </w:tc>
        <w:tc>
          <w:tcPr>
            <w:tcW w:w="298" w:type="dxa"/>
            <w:tcBorders>
              <w:top w:val="nil"/>
              <w:left w:val="nil"/>
              <w:bottom w:val="nil"/>
              <w:right w:val="single" w:sz="4" w:space="0" w:color="auto"/>
            </w:tcBorders>
            <w:shd w:val="clear" w:color="auto" w:fill="auto"/>
            <w:noWrap/>
            <w:vAlign w:val="bottom"/>
            <w:hideMark/>
          </w:tcPr>
          <w:p w:rsidR="00BB42F4" w:rsidRPr="002A3855" w:rsidRDefault="00BB42F4" w:rsidP="00056BCF">
            <w:pPr>
              <w:spacing w:after="0" w:line="240" w:lineRule="auto"/>
              <w:rPr>
                <w:rFonts w:eastAsia="Times New Roman" w:cs="Calibri"/>
              </w:rPr>
            </w:pPr>
            <w:r w:rsidRPr="002A3855">
              <w:rPr>
                <w:rFonts w:eastAsia="Times New Roman" w:cs="Calibri"/>
              </w:rPr>
              <w:t> </w:t>
            </w:r>
          </w:p>
        </w:tc>
      </w:tr>
      <w:tr w:rsidR="002A3855" w:rsidRPr="002A3855" w:rsidTr="00056BCF">
        <w:trPr>
          <w:trHeight w:val="153"/>
        </w:trPr>
        <w:tc>
          <w:tcPr>
            <w:tcW w:w="293"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2119" w:type="dxa"/>
            <w:gridSpan w:val="5"/>
            <w:tcBorders>
              <w:top w:val="single" w:sz="8" w:space="0" w:color="auto"/>
              <w:left w:val="single" w:sz="8" w:space="0" w:color="auto"/>
              <w:bottom w:val="nil"/>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1813" w:type="dxa"/>
            <w:gridSpan w:val="5"/>
            <w:tcBorders>
              <w:top w:val="single" w:sz="8" w:space="0" w:color="auto"/>
              <w:left w:val="nil"/>
              <w:bottom w:val="nil"/>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1674" w:type="dxa"/>
            <w:gridSpan w:val="6"/>
            <w:tcBorders>
              <w:top w:val="single" w:sz="8" w:space="0" w:color="auto"/>
              <w:left w:val="nil"/>
              <w:bottom w:val="nil"/>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1782" w:type="dxa"/>
            <w:gridSpan w:val="4"/>
            <w:tcBorders>
              <w:top w:val="single" w:sz="8" w:space="0" w:color="auto"/>
              <w:left w:val="nil"/>
              <w:bottom w:val="nil"/>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1650" w:type="dxa"/>
            <w:gridSpan w:val="4"/>
            <w:tcBorders>
              <w:top w:val="single" w:sz="8" w:space="0" w:color="auto"/>
              <w:left w:val="nil"/>
              <w:bottom w:val="nil"/>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298" w:type="dxa"/>
            <w:tcBorders>
              <w:top w:val="nil"/>
              <w:left w:val="nil"/>
              <w:bottom w:val="nil"/>
              <w:right w:val="single" w:sz="4" w:space="0" w:color="auto"/>
            </w:tcBorders>
            <w:shd w:val="clear" w:color="auto" w:fill="auto"/>
            <w:noWrap/>
            <w:vAlign w:val="bottom"/>
            <w:hideMark/>
          </w:tcPr>
          <w:p w:rsidR="00BB42F4" w:rsidRPr="002A3855" w:rsidRDefault="00BB42F4" w:rsidP="00056BCF">
            <w:pPr>
              <w:spacing w:after="0" w:line="240" w:lineRule="auto"/>
              <w:rPr>
                <w:rFonts w:eastAsia="Times New Roman" w:cs="Calibri"/>
              </w:rPr>
            </w:pPr>
            <w:r w:rsidRPr="002A3855">
              <w:rPr>
                <w:rFonts w:eastAsia="Times New Roman" w:cs="Calibri"/>
              </w:rPr>
              <w:t> </w:t>
            </w:r>
          </w:p>
        </w:tc>
      </w:tr>
      <w:tr w:rsidR="002A3855" w:rsidRPr="002A3855" w:rsidTr="00056BCF">
        <w:trPr>
          <w:trHeight w:val="161"/>
        </w:trPr>
        <w:tc>
          <w:tcPr>
            <w:tcW w:w="293"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2119" w:type="dxa"/>
            <w:gridSpan w:val="5"/>
            <w:tcBorders>
              <w:top w:val="nil"/>
              <w:left w:val="single" w:sz="8" w:space="0" w:color="auto"/>
              <w:bottom w:val="nil"/>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1813" w:type="dxa"/>
            <w:gridSpan w:val="5"/>
            <w:tcBorders>
              <w:top w:val="nil"/>
              <w:left w:val="nil"/>
              <w:bottom w:val="single" w:sz="8" w:space="0" w:color="auto"/>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proofErr w:type="gramStart"/>
            <w:r w:rsidRPr="002A3855">
              <w:rPr>
                <w:rFonts w:ascii="Times New Roman" w:eastAsia="Times New Roman" w:hAnsi="Times New Roman" w:cs="Times New Roman"/>
                <w:sz w:val="18"/>
                <w:szCs w:val="18"/>
              </w:rPr>
              <w:t>( I</w:t>
            </w:r>
            <w:proofErr w:type="gramEnd"/>
            <w:r w:rsidRPr="002A3855">
              <w:rPr>
                <w:rFonts w:ascii="Times New Roman" w:eastAsia="Times New Roman" w:hAnsi="Times New Roman" w:cs="Times New Roman"/>
                <w:sz w:val="18"/>
                <w:szCs w:val="18"/>
              </w:rPr>
              <w:t xml:space="preserve"> ) </w:t>
            </w:r>
          </w:p>
        </w:tc>
        <w:tc>
          <w:tcPr>
            <w:tcW w:w="1674" w:type="dxa"/>
            <w:gridSpan w:val="6"/>
            <w:tcBorders>
              <w:top w:val="nil"/>
              <w:left w:val="nil"/>
              <w:bottom w:val="single" w:sz="8" w:space="0" w:color="auto"/>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proofErr w:type="gramStart"/>
            <w:r w:rsidRPr="002A3855">
              <w:rPr>
                <w:rFonts w:ascii="Times New Roman" w:eastAsia="Times New Roman" w:hAnsi="Times New Roman" w:cs="Times New Roman"/>
                <w:sz w:val="18"/>
                <w:szCs w:val="18"/>
              </w:rPr>
              <w:t>( II</w:t>
            </w:r>
            <w:proofErr w:type="gramEnd"/>
            <w:r w:rsidRPr="002A3855">
              <w:rPr>
                <w:rFonts w:ascii="Times New Roman" w:eastAsia="Times New Roman" w:hAnsi="Times New Roman" w:cs="Times New Roman"/>
                <w:sz w:val="18"/>
                <w:szCs w:val="18"/>
              </w:rPr>
              <w:t xml:space="preserve"> ) </w:t>
            </w:r>
          </w:p>
        </w:tc>
        <w:tc>
          <w:tcPr>
            <w:tcW w:w="1782" w:type="dxa"/>
            <w:gridSpan w:val="4"/>
            <w:tcBorders>
              <w:top w:val="nil"/>
              <w:left w:val="nil"/>
              <w:bottom w:val="single" w:sz="8" w:space="0" w:color="auto"/>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proofErr w:type="gramStart"/>
            <w:r w:rsidRPr="002A3855">
              <w:rPr>
                <w:rFonts w:ascii="Times New Roman" w:eastAsia="Times New Roman" w:hAnsi="Times New Roman" w:cs="Times New Roman"/>
                <w:sz w:val="18"/>
                <w:szCs w:val="18"/>
              </w:rPr>
              <w:t>( III</w:t>
            </w:r>
            <w:proofErr w:type="gramEnd"/>
            <w:r w:rsidRPr="002A3855">
              <w:rPr>
                <w:rFonts w:ascii="Times New Roman" w:eastAsia="Times New Roman" w:hAnsi="Times New Roman" w:cs="Times New Roman"/>
                <w:sz w:val="18"/>
                <w:szCs w:val="18"/>
              </w:rPr>
              <w:t xml:space="preserve"> ) </w:t>
            </w:r>
          </w:p>
        </w:tc>
        <w:tc>
          <w:tcPr>
            <w:tcW w:w="1650" w:type="dxa"/>
            <w:gridSpan w:val="4"/>
            <w:tcBorders>
              <w:top w:val="nil"/>
              <w:left w:val="nil"/>
              <w:bottom w:val="single" w:sz="8" w:space="0" w:color="auto"/>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proofErr w:type="gramStart"/>
            <w:r w:rsidRPr="002A3855">
              <w:rPr>
                <w:rFonts w:ascii="Times New Roman" w:eastAsia="Times New Roman" w:hAnsi="Times New Roman" w:cs="Times New Roman"/>
                <w:sz w:val="18"/>
                <w:szCs w:val="18"/>
              </w:rPr>
              <w:t>( IV</w:t>
            </w:r>
            <w:proofErr w:type="gramEnd"/>
            <w:r w:rsidRPr="002A3855">
              <w:rPr>
                <w:rFonts w:ascii="Times New Roman" w:eastAsia="Times New Roman" w:hAnsi="Times New Roman" w:cs="Times New Roman"/>
                <w:sz w:val="18"/>
                <w:szCs w:val="18"/>
              </w:rPr>
              <w:t xml:space="preserve"> )</w:t>
            </w:r>
          </w:p>
        </w:tc>
        <w:tc>
          <w:tcPr>
            <w:tcW w:w="298" w:type="dxa"/>
            <w:tcBorders>
              <w:top w:val="nil"/>
              <w:left w:val="nil"/>
              <w:bottom w:val="nil"/>
              <w:right w:val="single" w:sz="4" w:space="0" w:color="auto"/>
            </w:tcBorders>
            <w:shd w:val="clear" w:color="auto" w:fill="auto"/>
            <w:noWrap/>
            <w:vAlign w:val="bottom"/>
            <w:hideMark/>
          </w:tcPr>
          <w:p w:rsidR="00BB42F4" w:rsidRPr="002A3855" w:rsidRDefault="00BB42F4" w:rsidP="00056BCF">
            <w:pPr>
              <w:spacing w:after="0" w:line="240" w:lineRule="auto"/>
              <w:rPr>
                <w:rFonts w:eastAsia="Times New Roman" w:cs="Calibri"/>
              </w:rPr>
            </w:pPr>
            <w:r w:rsidRPr="002A3855">
              <w:rPr>
                <w:rFonts w:eastAsia="Times New Roman" w:cs="Calibri"/>
              </w:rPr>
              <w:t> </w:t>
            </w:r>
          </w:p>
        </w:tc>
      </w:tr>
      <w:tr w:rsidR="002A3855" w:rsidRPr="002A3855" w:rsidTr="00056BCF">
        <w:trPr>
          <w:trHeight w:val="153"/>
        </w:trPr>
        <w:tc>
          <w:tcPr>
            <w:tcW w:w="293"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2119" w:type="dxa"/>
            <w:gridSpan w:val="5"/>
            <w:tcBorders>
              <w:top w:val="nil"/>
              <w:left w:val="single" w:sz="8" w:space="0" w:color="auto"/>
              <w:bottom w:val="nil"/>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xml:space="preserve">Consolidación de la </w:t>
            </w:r>
          </w:p>
        </w:tc>
        <w:tc>
          <w:tcPr>
            <w:tcW w:w="1813" w:type="dxa"/>
            <w:gridSpan w:val="5"/>
            <w:vMerge w:val="restart"/>
            <w:tcBorders>
              <w:top w:val="single" w:sz="8" w:space="0" w:color="auto"/>
              <w:left w:val="nil"/>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Restricción del</w:t>
            </w:r>
          </w:p>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tiempo de trabajo</w:t>
            </w:r>
          </w:p>
        </w:tc>
        <w:tc>
          <w:tcPr>
            <w:tcW w:w="1674" w:type="dxa"/>
            <w:gridSpan w:val="6"/>
            <w:vMerge w:val="restart"/>
            <w:tcBorders>
              <w:top w:val="single" w:sz="8" w:space="0" w:color="auto"/>
              <w:left w:val="nil"/>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Aumento de la cantidad de rep</w:t>
            </w:r>
          </w:p>
          <w:p w:rsidR="00BB42F4" w:rsidRPr="002A3855" w:rsidRDefault="00BB42F4" w:rsidP="00056BCF">
            <w:pPr>
              <w:spacing w:after="0" w:line="240" w:lineRule="auto"/>
              <w:jc w:val="center"/>
              <w:rPr>
                <w:rFonts w:ascii="Times New Roman" w:eastAsia="Times New Roman" w:hAnsi="Times New Roman" w:cs="Times New Roman"/>
                <w:sz w:val="18"/>
                <w:szCs w:val="18"/>
              </w:rPr>
            </w:pPr>
          </w:p>
        </w:tc>
        <w:tc>
          <w:tcPr>
            <w:tcW w:w="1782" w:type="dxa"/>
            <w:gridSpan w:val="4"/>
            <w:vMerge w:val="restart"/>
            <w:tcBorders>
              <w:top w:val="single" w:sz="8" w:space="0" w:color="auto"/>
              <w:left w:val="nil"/>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xml:space="preserve">Delimitar la </w:t>
            </w:r>
            <w:proofErr w:type="spellStart"/>
            <w:r w:rsidRPr="002A3855">
              <w:rPr>
                <w:rFonts w:ascii="Times New Roman" w:eastAsia="Times New Roman" w:hAnsi="Times New Roman" w:cs="Times New Roman"/>
                <w:sz w:val="18"/>
                <w:szCs w:val="18"/>
              </w:rPr>
              <w:t>cant</w:t>
            </w:r>
            <w:proofErr w:type="spellEnd"/>
            <w:r w:rsidRPr="002A3855">
              <w:rPr>
                <w:rFonts w:ascii="Times New Roman" w:eastAsia="Times New Roman" w:hAnsi="Times New Roman" w:cs="Times New Roman"/>
                <w:sz w:val="18"/>
                <w:szCs w:val="18"/>
              </w:rPr>
              <w:t>. de movimientos</w:t>
            </w:r>
          </w:p>
          <w:p w:rsidR="00BB42F4" w:rsidRPr="002A3855" w:rsidRDefault="00BB42F4" w:rsidP="00056BCF">
            <w:pPr>
              <w:spacing w:after="0" w:line="240" w:lineRule="auto"/>
              <w:jc w:val="center"/>
              <w:rPr>
                <w:rFonts w:ascii="Times New Roman" w:eastAsia="Times New Roman" w:hAnsi="Times New Roman" w:cs="Times New Roman"/>
                <w:sz w:val="18"/>
                <w:szCs w:val="18"/>
              </w:rPr>
            </w:pPr>
          </w:p>
        </w:tc>
        <w:tc>
          <w:tcPr>
            <w:tcW w:w="1650" w:type="dxa"/>
            <w:gridSpan w:val="4"/>
            <w:vMerge w:val="restart"/>
            <w:tcBorders>
              <w:top w:val="single" w:sz="8" w:space="0" w:color="auto"/>
              <w:left w:val="nil"/>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A mayor orden de ejecución</w:t>
            </w:r>
          </w:p>
          <w:p w:rsidR="00BB42F4" w:rsidRPr="002A3855" w:rsidRDefault="00BB42F4" w:rsidP="00056BCF">
            <w:pPr>
              <w:spacing w:after="0" w:line="240" w:lineRule="auto"/>
              <w:jc w:val="center"/>
              <w:rPr>
                <w:rFonts w:ascii="Times New Roman" w:eastAsia="Times New Roman" w:hAnsi="Times New Roman" w:cs="Times New Roman"/>
                <w:sz w:val="18"/>
                <w:szCs w:val="18"/>
              </w:rPr>
            </w:pPr>
          </w:p>
        </w:tc>
        <w:tc>
          <w:tcPr>
            <w:tcW w:w="298" w:type="dxa"/>
            <w:tcBorders>
              <w:top w:val="nil"/>
              <w:left w:val="nil"/>
              <w:bottom w:val="nil"/>
              <w:right w:val="single" w:sz="4" w:space="0" w:color="auto"/>
            </w:tcBorders>
            <w:shd w:val="clear" w:color="auto" w:fill="auto"/>
            <w:noWrap/>
            <w:vAlign w:val="bottom"/>
            <w:hideMark/>
          </w:tcPr>
          <w:p w:rsidR="00BB42F4" w:rsidRPr="002A3855" w:rsidRDefault="00BB42F4" w:rsidP="00056BCF">
            <w:pPr>
              <w:spacing w:after="0" w:line="240" w:lineRule="auto"/>
              <w:rPr>
                <w:rFonts w:eastAsia="Times New Roman" w:cs="Calibri"/>
              </w:rPr>
            </w:pPr>
            <w:r w:rsidRPr="002A3855">
              <w:rPr>
                <w:rFonts w:eastAsia="Times New Roman" w:cs="Calibri"/>
              </w:rPr>
              <w:t> </w:t>
            </w:r>
          </w:p>
        </w:tc>
      </w:tr>
      <w:tr w:rsidR="002A3855" w:rsidRPr="002A3855" w:rsidTr="00056BCF">
        <w:trPr>
          <w:trHeight w:val="153"/>
        </w:trPr>
        <w:tc>
          <w:tcPr>
            <w:tcW w:w="293"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2119" w:type="dxa"/>
            <w:gridSpan w:val="5"/>
            <w:tcBorders>
              <w:top w:val="nil"/>
              <w:left w:val="single" w:sz="8" w:space="0" w:color="auto"/>
              <w:bottom w:val="nil"/>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xml:space="preserve">Kata de elementos </w:t>
            </w:r>
          </w:p>
        </w:tc>
        <w:tc>
          <w:tcPr>
            <w:tcW w:w="1813" w:type="dxa"/>
            <w:gridSpan w:val="5"/>
            <w:vMerge/>
            <w:tcBorders>
              <w:left w:val="nil"/>
              <w:bottom w:val="single" w:sz="4" w:space="0" w:color="auto"/>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p>
        </w:tc>
        <w:tc>
          <w:tcPr>
            <w:tcW w:w="1674" w:type="dxa"/>
            <w:gridSpan w:val="6"/>
            <w:vMerge/>
            <w:tcBorders>
              <w:left w:val="nil"/>
              <w:bottom w:val="single" w:sz="4" w:space="0" w:color="auto"/>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p>
        </w:tc>
        <w:tc>
          <w:tcPr>
            <w:tcW w:w="1782" w:type="dxa"/>
            <w:gridSpan w:val="4"/>
            <w:vMerge/>
            <w:tcBorders>
              <w:left w:val="nil"/>
              <w:bottom w:val="single" w:sz="4" w:space="0" w:color="auto"/>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p>
        </w:tc>
        <w:tc>
          <w:tcPr>
            <w:tcW w:w="1650" w:type="dxa"/>
            <w:gridSpan w:val="4"/>
            <w:vMerge/>
            <w:tcBorders>
              <w:left w:val="nil"/>
              <w:bottom w:val="single" w:sz="4" w:space="0" w:color="auto"/>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p>
        </w:tc>
        <w:tc>
          <w:tcPr>
            <w:tcW w:w="298" w:type="dxa"/>
            <w:tcBorders>
              <w:top w:val="nil"/>
              <w:left w:val="nil"/>
              <w:bottom w:val="nil"/>
              <w:right w:val="single" w:sz="4" w:space="0" w:color="auto"/>
            </w:tcBorders>
            <w:shd w:val="clear" w:color="auto" w:fill="auto"/>
            <w:noWrap/>
            <w:vAlign w:val="bottom"/>
            <w:hideMark/>
          </w:tcPr>
          <w:p w:rsidR="00BB42F4" w:rsidRPr="002A3855" w:rsidRDefault="00BB42F4" w:rsidP="00056BCF">
            <w:pPr>
              <w:spacing w:after="0" w:line="240" w:lineRule="auto"/>
              <w:rPr>
                <w:rFonts w:eastAsia="Times New Roman" w:cs="Calibri"/>
              </w:rPr>
            </w:pPr>
            <w:r w:rsidRPr="002A3855">
              <w:rPr>
                <w:rFonts w:eastAsia="Times New Roman" w:cs="Calibri"/>
              </w:rPr>
              <w:t> </w:t>
            </w:r>
          </w:p>
        </w:tc>
      </w:tr>
      <w:tr w:rsidR="002A3855" w:rsidRPr="002A3855" w:rsidTr="00056BCF">
        <w:trPr>
          <w:trHeight w:val="153"/>
        </w:trPr>
        <w:tc>
          <w:tcPr>
            <w:tcW w:w="293"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2119" w:type="dxa"/>
            <w:gridSpan w:val="5"/>
            <w:tcBorders>
              <w:top w:val="nil"/>
              <w:left w:val="single" w:sz="8" w:space="0" w:color="auto"/>
              <w:bottom w:val="nil"/>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básicos del Judo</w:t>
            </w:r>
          </w:p>
        </w:tc>
        <w:tc>
          <w:tcPr>
            <w:tcW w:w="1813" w:type="dxa"/>
            <w:gridSpan w:val="5"/>
            <w:vMerge w:val="restart"/>
            <w:tcBorders>
              <w:top w:val="single" w:sz="4" w:space="0" w:color="auto"/>
              <w:left w:val="nil"/>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Delinear el espacio</w:t>
            </w:r>
          </w:p>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según eje del Kata</w:t>
            </w:r>
          </w:p>
          <w:p w:rsidR="00BB42F4" w:rsidRPr="002A3855" w:rsidRDefault="00BB42F4" w:rsidP="00056BCF">
            <w:pPr>
              <w:spacing w:after="0" w:line="240" w:lineRule="auto"/>
              <w:jc w:val="center"/>
              <w:rPr>
                <w:rFonts w:ascii="Times New Roman" w:eastAsia="Times New Roman" w:hAnsi="Times New Roman" w:cs="Times New Roman"/>
                <w:sz w:val="18"/>
                <w:szCs w:val="18"/>
              </w:rPr>
            </w:pPr>
          </w:p>
        </w:tc>
        <w:tc>
          <w:tcPr>
            <w:tcW w:w="1674" w:type="dxa"/>
            <w:gridSpan w:val="6"/>
            <w:vMerge w:val="restart"/>
            <w:tcBorders>
              <w:top w:val="single" w:sz="4" w:space="0" w:color="auto"/>
              <w:left w:val="nil"/>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Exigir mayor ritmo y fluidez</w:t>
            </w:r>
          </w:p>
          <w:p w:rsidR="00BB42F4" w:rsidRPr="002A3855" w:rsidRDefault="00BB42F4" w:rsidP="00056BCF">
            <w:pPr>
              <w:spacing w:after="0" w:line="240" w:lineRule="auto"/>
              <w:jc w:val="center"/>
              <w:rPr>
                <w:rFonts w:ascii="Times New Roman" w:eastAsia="Times New Roman" w:hAnsi="Times New Roman" w:cs="Times New Roman"/>
                <w:sz w:val="18"/>
                <w:szCs w:val="18"/>
              </w:rPr>
            </w:pPr>
          </w:p>
        </w:tc>
        <w:tc>
          <w:tcPr>
            <w:tcW w:w="1782" w:type="dxa"/>
            <w:gridSpan w:val="4"/>
            <w:vMerge w:val="restart"/>
            <w:tcBorders>
              <w:top w:val="single" w:sz="4" w:space="0" w:color="auto"/>
              <w:left w:val="nil"/>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xml:space="preserve">Limitar la </w:t>
            </w:r>
            <w:proofErr w:type="spellStart"/>
            <w:r w:rsidRPr="002A3855">
              <w:rPr>
                <w:rFonts w:ascii="Times New Roman" w:eastAsia="Times New Roman" w:hAnsi="Times New Roman" w:cs="Times New Roman"/>
                <w:sz w:val="18"/>
                <w:szCs w:val="18"/>
              </w:rPr>
              <w:t>cant</w:t>
            </w:r>
            <w:proofErr w:type="spellEnd"/>
            <w:r w:rsidRPr="002A3855">
              <w:rPr>
                <w:rFonts w:ascii="Times New Roman" w:eastAsia="Times New Roman" w:hAnsi="Times New Roman" w:cs="Times New Roman"/>
                <w:sz w:val="18"/>
                <w:szCs w:val="18"/>
              </w:rPr>
              <w:t>. de errores grandes</w:t>
            </w:r>
          </w:p>
          <w:p w:rsidR="00BB42F4" w:rsidRPr="002A3855" w:rsidRDefault="00BB42F4" w:rsidP="00056BCF">
            <w:pPr>
              <w:spacing w:after="0" w:line="240" w:lineRule="auto"/>
              <w:jc w:val="center"/>
              <w:rPr>
                <w:rFonts w:ascii="Times New Roman" w:eastAsia="Times New Roman" w:hAnsi="Times New Roman" w:cs="Times New Roman"/>
                <w:sz w:val="18"/>
                <w:szCs w:val="18"/>
              </w:rPr>
            </w:pPr>
          </w:p>
        </w:tc>
        <w:tc>
          <w:tcPr>
            <w:tcW w:w="1650" w:type="dxa"/>
            <w:gridSpan w:val="4"/>
            <w:vMerge w:val="restart"/>
            <w:tcBorders>
              <w:top w:val="single" w:sz="4" w:space="0" w:color="auto"/>
              <w:left w:val="nil"/>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Exigir frecuencia de asociación</w:t>
            </w:r>
          </w:p>
          <w:p w:rsidR="00BB42F4" w:rsidRPr="002A3855" w:rsidRDefault="00BB42F4" w:rsidP="00056BCF">
            <w:pPr>
              <w:spacing w:after="0" w:line="240" w:lineRule="auto"/>
              <w:jc w:val="center"/>
              <w:rPr>
                <w:rFonts w:ascii="Times New Roman" w:eastAsia="Times New Roman" w:hAnsi="Times New Roman" w:cs="Times New Roman"/>
                <w:sz w:val="18"/>
                <w:szCs w:val="18"/>
              </w:rPr>
            </w:pPr>
          </w:p>
        </w:tc>
        <w:tc>
          <w:tcPr>
            <w:tcW w:w="298" w:type="dxa"/>
            <w:tcBorders>
              <w:top w:val="nil"/>
              <w:left w:val="nil"/>
              <w:bottom w:val="nil"/>
              <w:right w:val="single" w:sz="4" w:space="0" w:color="auto"/>
            </w:tcBorders>
            <w:shd w:val="clear" w:color="auto" w:fill="auto"/>
            <w:noWrap/>
            <w:vAlign w:val="bottom"/>
            <w:hideMark/>
          </w:tcPr>
          <w:p w:rsidR="00BB42F4" w:rsidRPr="002A3855" w:rsidRDefault="00BB42F4" w:rsidP="00056BCF">
            <w:pPr>
              <w:spacing w:after="0" w:line="240" w:lineRule="auto"/>
              <w:rPr>
                <w:rFonts w:eastAsia="Times New Roman" w:cs="Calibri"/>
              </w:rPr>
            </w:pPr>
            <w:r w:rsidRPr="002A3855">
              <w:rPr>
                <w:rFonts w:eastAsia="Times New Roman" w:cs="Calibri"/>
              </w:rPr>
              <w:t> </w:t>
            </w:r>
          </w:p>
        </w:tc>
      </w:tr>
      <w:tr w:rsidR="002A3855" w:rsidRPr="002A3855" w:rsidTr="00056BCF">
        <w:trPr>
          <w:trHeight w:val="161"/>
        </w:trPr>
        <w:tc>
          <w:tcPr>
            <w:tcW w:w="293" w:type="dxa"/>
            <w:tcBorders>
              <w:top w:val="nil"/>
              <w:left w:val="single" w:sz="4" w:space="0" w:color="auto"/>
              <w:bottom w:val="nil"/>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2119" w:type="dxa"/>
            <w:gridSpan w:val="5"/>
            <w:tcBorders>
              <w:top w:val="nil"/>
              <w:left w:val="single" w:sz="8" w:space="0" w:color="auto"/>
              <w:bottom w:val="single" w:sz="8" w:space="0" w:color="auto"/>
              <w:right w:val="single" w:sz="8" w:space="0" w:color="000000"/>
            </w:tcBorders>
            <w:shd w:val="clear" w:color="auto" w:fill="auto"/>
            <w:noWrap/>
            <w:vAlign w:val="bottom"/>
            <w:hideMark/>
          </w:tcPr>
          <w:p w:rsidR="00BB42F4" w:rsidRPr="002A3855" w:rsidRDefault="00BB42F4" w:rsidP="00056BCF">
            <w:pPr>
              <w:spacing w:after="0" w:line="240" w:lineRule="auto"/>
              <w:jc w:val="center"/>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1813" w:type="dxa"/>
            <w:gridSpan w:val="5"/>
            <w:vMerge/>
            <w:tcBorders>
              <w:left w:val="nil"/>
              <w:bottom w:val="single" w:sz="8" w:space="0" w:color="auto"/>
              <w:right w:val="single" w:sz="8" w:space="0" w:color="000000"/>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1674" w:type="dxa"/>
            <w:gridSpan w:val="6"/>
            <w:vMerge/>
            <w:tcBorders>
              <w:left w:val="nil"/>
              <w:bottom w:val="single" w:sz="8" w:space="0" w:color="auto"/>
              <w:right w:val="single" w:sz="8" w:space="0" w:color="000000"/>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1782" w:type="dxa"/>
            <w:gridSpan w:val="4"/>
            <w:vMerge/>
            <w:tcBorders>
              <w:left w:val="nil"/>
              <w:bottom w:val="single" w:sz="8" w:space="0" w:color="auto"/>
              <w:right w:val="single" w:sz="8" w:space="0" w:color="000000"/>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1650" w:type="dxa"/>
            <w:gridSpan w:val="4"/>
            <w:vMerge/>
            <w:tcBorders>
              <w:left w:val="nil"/>
              <w:bottom w:val="single" w:sz="8" w:space="0" w:color="auto"/>
              <w:right w:val="single" w:sz="8" w:space="0" w:color="000000"/>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p>
        </w:tc>
        <w:tc>
          <w:tcPr>
            <w:tcW w:w="298" w:type="dxa"/>
            <w:tcBorders>
              <w:top w:val="nil"/>
              <w:left w:val="nil"/>
              <w:bottom w:val="nil"/>
              <w:right w:val="single" w:sz="4" w:space="0" w:color="auto"/>
            </w:tcBorders>
            <w:shd w:val="clear" w:color="auto" w:fill="auto"/>
            <w:noWrap/>
            <w:vAlign w:val="bottom"/>
            <w:hideMark/>
          </w:tcPr>
          <w:p w:rsidR="00BB42F4" w:rsidRPr="002A3855" w:rsidRDefault="00BB42F4" w:rsidP="00056BCF">
            <w:pPr>
              <w:spacing w:after="0" w:line="240" w:lineRule="auto"/>
              <w:rPr>
                <w:rFonts w:eastAsia="Times New Roman" w:cs="Calibri"/>
              </w:rPr>
            </w:pPr>
            <w:r w:rsidRPr="002A3855">
              <w:rPr>
                <w:rFonts w:eastAsia="Times New Roman" w:cs="Calibri"/>
              </w:rPr>
              <w:t> </w:t>
            </w:r>
          </w:p>
        </w:tc>
      </w:tr>
      <w:tr w:rsidR="002A3855" w:rsidRPr="002A3855" w:rsidTr="00B67996">
        <w:trPr>
          <w:trHeight w:val="60"/>
        </w:trPr>
        <w:tc>
          <w:tcPr>
            <w:tcW w:w="293" w:type="dxa"/>
            <w:tcBorders>
              <w:top w:val="nil"/>
              <w:left w:val="single" w:sz="4" w:space="0" w:color="auto"/>
              <w:bottom w:val="single" w:sz="4" w:space="0" w:color="auto"/>
              <w:right w:val="nil"/>
            </w:tcBorders>
            <w:shd w:val="clear" w:color="auto" w:fill="auto"/>
            <w:noWrap/>
            <w:vAlign w:val="bottom"/>
            <w:hideMark/>
          </w:tcPr>
          <w:p w:rsidR="00BB42F4" w:rsidRPr="002A3855" w:rsidRDefault="00BB42F4" w:rsidP="00056BCF">
            <w:pPr>
              <w:spacing w:after="0" w:line="240" w:lineRule="auto"/>
              <w:rPr>
                <w:rFonts w:ascii="Times New Roman" w:eastAsia="Times New Roman" w:hAnsi="Times New Roman" w:cs="Times New Roman"/>
                <w:sz w:val="18"/>
                <w:szCs w:val="18"/>
              </w:rPr>
            </w:pPr>
            <w:r w:rsidRPr="002A3855">
              <w:rPr>
                <w:rFonts w:ascii="Times New Roman" w:eastAsia="Times New Roman" w:hAnsi="Times New Roman" w:cs="Times New Roman"/>
                <w:sz w:val="18"/>
                <w:szCs w:val="18"/>
              </w:rPr>
              <w:t> </w:t>
            </w:r>
          </w:p>
        </w:tc>
        <w:tc>
          <w:tcPr>
            <w:tcW w:w="9038" w:type="dxa"/>
            <w:gridSpan w:val="24"/>
            <w:tcBorders>
              <w:top w:val="nil"/>
              <w:left w:val="nil"/>
              <w:bottom w:val="single" w:sz="4" w:space="0" w:color="auto"/>
              <w:right w:val="nil"/>
            </w:tcBorders>
            <w:shd w:val="clear" w:color="auto" w:fill="auto"/>
            <w:noWrap/>
            <w:vAlign w:val="bottom"/>
            <w:hideMark/>
          </w:tcPr>
          <w:p w:rsidR="00BB42F4" w:rsidRPr="002A3855" w:rsidRDefault="00BB42F4" w:rsidP="00BB42F4">
            <w:pPr>
              <w:spacing w:after="0" w:line="240" w:lineRule="auto"/>
              <w:jc w:val="center"/>
              <w:rPr>
                <w:rFonts w:ascii="Times New Roman" w:eastAsia="Times New Roman" w:hAnsi="Times New Roman" w:cs="Times New Roman"/>
                <w:b/>
                <w:bCs/>
                <w:sz w:val="18"/>
                <w:szCs w:val="18"/>
              </w:rPr>
            </w:pPr>
            <w:r w:rsidRPr="002A3855">
              <w:rPr>
                <w:rFonts w:ascii="Times New Roman" w:eastAsia="Times New Roman" w:hAnsi="Times New Roman" w:cs="Times New Roman"/>
                <w:b/>
                <w:bCs/>
                <w:sz w:val="18"/>
                <w:szCs w:val="18"/>
              </w:rPr>
              <w:t>  </w:t>
            </w:r>
            <w:r w:rsidRPr="002A3855">
              <w:rPr>
                <w:rFonts w:ascii="Times New Roman" w:hAnsi="Times New Roman" w:cs="Times New Roman"/>
                <w:lang w:val="en-US"/>
              </w:rPr>
              <w:t xml:space="preserve">Figura </w:t>
            </w:r>
            <w:r w:rsidR="00AB6D9E" w:rsidRPr="002A3855">
              <w:rPr>
                <w:rFonts w:ascii="Times New Roman" w:hAnsi="Times New Roman" w:cs="Times New Roman"/>
                <w:lang w:val="en-US"/>
              </w:rPr>
              <w:t>3</w:t>
            </w:r>
            <w:r w:rsidRPr="002A3855">
              <w:rPr>
                <w:rFonts w:ascii="Times New Roman" w:hAnsi="Times New Roman" w:cs="Times New Roman"/>
                <w:lang w:val="en-US"/>
              </w:rPr>
              <w:t xml:space="preserve"> (Fuente: Elaboración propia</w:t>
            </w:r>
          </w:p>
        </w:tc>
        <w:tc>
          <w:tcPr>
            <w:tcW w:w="298" w:type="dxa"/>
            <w:tcBorders>
              <w:top w:val="nil"/>
              <w:left w:val="nil"/>
              <w:bottom w:val="single" w:sz="4" w:space="0" w:color="auto"/>
              <w:right w:val="single" w:sz="4" w:space="0" w:color="auto"/>
            </w:tcBorders>
            <w:shd w:val="clear" w:color="auto" w:fill="auto"/>
            <w:noWrap/>
            <w:vAlign w:val="bottom"/>
            <w:hideMark/>
          </w:tcPr>
          <w:p w:rsidR="00BB42F4" w:rsidRPr="002A3855" w:rsidRDefault="00BB42F4" w:rsidP="00056BCF">
            <w:pPr>
              <w:spacing w:after="0" w:line="240" w:lineRule="auto"/>
              <w:rPr>
                <w:rFonts w:eastAsia="Times New Roman" w:cs="Calibri"/>
              </w:rPr>
            </w:pPr>
            <w:r w:rsidRPr="002A3855">
              <w:rPr>
                <w:rFonts w:eastAsia="Times New Roman" w:cs="Calibri"/>
              </w:rPr>
              <w:t> </w:t>
            </w:r>
          </w:p>
        </w:tc>
      </w:tr>
    </w:tbl>
    <w:p w:rsidR="00BB42F4" w:rsidRPr="002A3855" w:rsidRDefault="00BB42F4" w:rsidP="00FF3346">
      <w:pPr>
        <w:spacing w:after="0" w:line="360" w:lineRule="auto"/>
        <w:jc w:val="both"/>
        <w:rPr>
          <w:rFonts w:ascii="Times New Roman" w:hAnsi="Times New Roman" w:cs="Times New Roman"/>
          <w:b/>
          <w:sz w:val="24"/>
          <w:szCs w:val="24"/>
        </w:rPr>
      </w:pPr>
      <w:r w:rsidRPr="002A3855">
        <w:rPr>
          <w:noProof/>
        </w:rPr>
        <w:drawing>
          <wp:inline distT="0" distB="0" distL="0" distR="0" wp14:anchorId="2CB63D5B" wp14:editId="665C915E">
            <wp:extent cx="6114415" cy="2615609"/>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7899" cy="2621377"/>
                    </a:xfrm>
                    <a:prstGeom prst="rect">
                      <a:avLst/>
                    </a:prstGeom>
                    <a:noFill/>
                    <a:ln>
                      <a:noFill/>
                    </a:ln>
                  </pic:spPr>
                </pic:pic>
              </a:graphicData>
            </a:graphic>
          </wp:inline>
        </w:drawing>
      </w:r>
    </w:p>
    <w:p w:rsidR="00DD526E" w:rsidRPr="002A3855" w:rsidRDefault="00DD526E" w:rsidP="00DD526E">
      <w:pPr>
        <w:spacing w:after="0" w:line="240" w:lineRule="auto"/>
        <w:jc w:val="center"/>
        <w:rPr>
          <w:rFonts w:ascii="Times New Roman" w:hAnsi="Times New Roman" w:cs="Times New Roman"/>
          <w:lang w:val="en-US"/>
        </w:rPr>
      </w:pPr>
      <w:r w:rsidRPr="002A3855">
        <w:rPr>
          <w:rFonts w:ascii="Times New Roman" w:hAnsi="Times New Roman" w:cs="Times New Roman"/>
          <w:lang w:val="en-US"/>
        </w:rPr>
        <w:t xml:space="preserve">Figura </w:t>
      </w:r>
      <w:r w:rsidR="00AB6D9E" w:rsidRPr="002A3855">
        <w:rPr>
          <w:rFonts w:ascii="Times New Roman" w:hAnsi="Times New Roman" w:cs="Times New Roman"/>
          <w:lang w:val="en-US"/>
        </w:rPr>
        <w:t>4</w:t>
      </w:r>
      <w:r w:rsidRPr="002A3855">
        <w:rPr>
          <w:rFonts w:ascii="Times New Roman" w:hAnsi="Times New Roman" w:cs="Times New Roman"/>
          <w:lang w:val="en-US"/>
        </w:rPr>
        <w:t xml:space="preserve"> (Fuente: elaboración propia)</w:t>
      </w:r>
    </w:p>
    <w:p w:rsidR="00DD526E" w:rsidRPr="002A3855" w:rsidRDefault="00DD526E" w:rsidP="00FF3346">
      <w:pPr>
        <w:spacing w:after="0" w:line="360" w:lineRule="auto"/>
        <w:jc w:val="both"/>
        <w:rPr>
          <w:rFonts w:ascii="Times New Roman" w:hAnsi="Times New Roman" w:cs="Times New Roman"/>
          <w:b/>
          <w:sz w:val="24"/>
          <w:szCs w:val="24"/>
        </w:rPr>
        <w:sectPr w:rsidR="00DD526E" w:rsidRPr="002A3855" w:rsidSect="00C8585B">
          <w:pgSz w:w="11906" w:h="16838"/>
          <w:pgMar w:top="1417" w:right="1701" w:bottom="1417" w:left="1701" w:header="567" w:footer="708" w:gutter="0"/>
          <w:cols w:space="708"/>
          <w:docGrid w:linePitch="360"/>
        </w:sectPr>
      </w:pP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b/>
          <w:sz w:val="24"/>
          <w:szCs w:val="24"/>
        </w:rPr>
        <w:lastRenderedPageBreak/>
        <w:t>Valoración de la propuesta elaborada</w:t>
      </w:r>
      <w:r w:rsidR="00AB6D9E" w:rsidRPr="002A3855">
        <w:rPr>
          <w:rFonts w:ascii="Times New Roman" w:hAnsi="Times New Roman" w:cs="Times New Roman"/>
          <w:b/>
          <w:sz w:val="24"/>
          <w:szCs w:val="24"/>
        </w:rPr>
        <w:t xml:space="preserve">: </w:t>
      </w:r>
      <w:r w:rsidRPr="002A3855">
        <w:rPr>
          <w:rFonts w:ascii="Times New Roman" w:hAnsi="Times New Roman" w:cs="Times New Roman"/>
          <w:sz w:val="24"/>
          <w:szCs w:val="24"/>
        </w:rPr>
        <w:t>La propuesta que se construye, parte de una herramienta sencilla para resolver tareas complejas sobre el tatami, por este motivo la propuesta está centrada en “dos tablas y un esquema” para facilitar la utilización del video didáctico dentro de la clase en la asignatura Judo Básico y en la etapa de iniciación deportiva de los judokas en el eslabón de base del territorio. En la valoración de la propuesta, se observa que en la pregunta 1 el 71,4% de los sujetos encuestados, en la consulta a especialistas, plantearon que el video didáctico que se propone puede contribuir a preparar a los estudiantes de la asignatura a aprender por si solos la acción</w:t>
      </w:r>
      <w:r w:rsidR="00AB6D9E" w:rsidRPr="002A3855">
        <w:rPr>
          <w:rFonts w:ascii="Times New Roman" w:hAnsi="Times New Roman" w:cs="Times New Roman"/>
          <w:sz w:val="24"/>
          <w:szCs w:val="24"/>
        </w:rPr>
        <w:t>.</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Asimismo, en la pregunta 2 de los siete (7) especialistas consultados el 85,7%, valoró positivamente cómo la propuesta elaborada responde al orden metodológico de la enseñanza de los elementos básicos del Judo según el modelo comportamental de González-Pascual (2016). Todo ello, en función de la integración dinámica y no lineal para la asimilación de los contenidos tanto del Tachi-waza como del Ne-waza. Solamente, un sujeto que representa el 14,2%, le otorgo una categoría de nivel medio de aceptación en cuanto al orden metodológico que se asume en la concepción del video didáctico basado en la “Kata de elementos básicos del Judo”.  </w:t>
      </w:r>
    </w:p>
    <w:p w:rsidR="00AB6D9E"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Positivamente, opinan que la orientación eficiente del modo de ejecutar la acción del kata acorde a la estructura interna de la “Kata de elementos básicos del Judo” coadyuva, a su vez, al aprendizaje de la lógica interna del combate imaginario, como base de las formas de orientar el modo de combatir en los judokas escolares.</w:t>
      </w:r>
      <w:r w:rsidR="00AB6D9E" w:rsidRPr="002A3855">
        <w:rPr>
          <w:rFonts w:ascii="Times New Roman" w:hAnsi="Times New Roman" w:cs="Times New Roman"/>
          <w:sz w:val="24"/>
          <w:szCs w:val="24"/>
        </w:rPr>
        <w:t xml:space="preserve"> </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En la pregunta 3 referida al grado de conexión de la propuesta con la actual tendencia en el uso de multimedios, un 57,1% opinó que es “muy alto”, un 28.5% lo ubicó en un nivel “alto” y un especialista que representa el 14,2% considera que aún requiere mayor adecuación al entorno digital por lo que le otorgó un nivel “medio”. Se refiere la necesidad de consolidar la propuesta, ya que brinda niveles de ayuda en la enseñanza de habilidades motrices, incluso a través de la internet y la intranet con el empleo de la plataforma “Moodle”. Según la pregunta 4, se puede afirmar que el video cumple su función didáctica, ya que más del 85% de los especialistas opinan que es alto su nivel de pertinencia en el ejercicio de la profesión en la FCF y en Judo.   </w:t>
      </w:r>
    </w:p>
    <w:p w:rsidR="00011EBA" w:rsidRPr="002A3855" w:rsidRDefault="00011EBA" w:rsidP="00011EBA">
      <w:pPr>
        <w:spacing w:after="0" w:line="360" w:lineRule="auto"/>
        <w:jc w:val="both"/>
        <w:rPr>
          <w:rFonts w:ascii="Times New Roman" w:hAnsi="Times New Roman" w:cs="Times New Roman"/>
          <w:b/>
          <w:sz w:val="24"/>
          <w:szCs w:val="24"/>
        </w:rPr>
      </w:pPr>
      <w:r w:rsidRPr="002A3855">
        <w:rPr>
          <w:rFonts w:ascii="Times New Roman" w:hAnsi="Times New Roman" w:cs="Times New Roman"/>
          <w:b/>
          <w:sz w:val="24"/>
          <w:szCs w:val="24"/>
        </w:rPr>
        <w:t>4. Conclusiones</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1.- A través, del diagnóstico realizado se conoce que en el programa de la asignatura Judo Básico, no se cuenta con un algoritmo para la manipulación y/o utilización del </w:t>
      </w:r>
      <w:r w:rsidRPr="002A3855">
        <w:rPr>
          <w:rFonts w:ascii="Times New Roman" w:hAnsi="Times New Roman" w:cs="Times New Roman"/>
          <w:sz w:val="24"/>
          <w:szCs w:val="24"/>
        </w:rPr>
        <w:lastRenderedPageBreak/>
        <w:t xml:space="preserve">video didáctico en función de lograr una asimilación más efectiva de los contenidos de la “Kata de elementos básicos del Judo”, que incluya la tecnología de avanzada con empleo de multimedios audiovisuales que permita en los estudiantes la adquisición de habilidades mediante distintas formas de aprendizajes significativos y desarrolladores. </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2.- El orden de ejecución de cada acción en el video didáctico sigue la lógica interna de la prueba técnica aplicada en la etapa de iniciación de los judokas en el eslabón de base, se observa que de forma global el trabajo en dúo-kata tiene una evaluación de bien, las mayores dificultades al enfrentarse el aprendizaje de los elementos básicos del Judo se ubican en la ejecución de las caídas y la frecuencia de asociación entre los elementos básicos, los principales errores en la acción del kata y su delimitación reglamentaria responde a los roles y comunicación entre Tori y Uke, a partir del rigor en el cumplimiento de los principios del Judo, lo cual resulta positivo y de alta aprobación por los estudiantes en el sondeo de opinión.  </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3.- En opinión de los especialistas consultados la propuesta tiene una alta aceptación para facilitar el aprendizaje de la lógica interna de la acción del kata como base para orientar el modo de combatir en Judo, con la utilización del video didáctico a través de dos tablas y un esquema de manipulación de constreñimientos dentro de la clase en la asignatura Judo Básico, no obstante, se considera que el video didáctico aún requiere mayor elaboración en su edición para entornos digitales adecuado al ejercicio de la profesión y en función del ambiente universitario de la Facultad de Cultura Física en la UCLV.    </w:t>
      </w:r>
    </w:p>
    <w:p w:rsidR="00FF3346" w:rsidRPr="002A3855" w:rsidRDefault="00FF3346" w:rsidP="00FF3346">
      <w:pPr>
        <w:spacing w:after="0" w:line="360" w:lineRule="auto"/>
        <w:jc w:val="both"/>
        <w:rPr>
          <w:rFonts w:ascii="Times New Roman" w:hAnsi="Times New Roman" w:cs="Times New Roman"/>
          <w:b/>
          <w:sz w:val="24"/>
          <w:szCs w:val="24"/>
        </w:rPr>
      </w:pPr>
      <w:r w:rsidRPr="002A3855">
        <w:rPr>
          <w:rFonts w:ascii="Times New Roman" w:hAnsi="Times New Roman" w:cs="Times New Roman"/>
          <w:b/>
          <w:sz w:val="24"/>
          <w:szCs w:val="24"/>
        </w:rPr>
        <w:t>5. Referencias bibliográficas</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Abric, J. C (1976) Central </w:t>
      </w:r>
      <w:proofErr w:type="spellStart"/>
      <w:r w:rsidRPr="002A3855">
        <w:rPr>
          <w:rFonts w:ascii="Times New Roman" w:hAnsi="Times New Roman" w:cs="Times New Roman"/>
          <w:sz w:val="24"/>
          <w:szCs w:val="24"/>
        </w:rPr>
        <w:t>system</w:t>
      </w:r>
      <w:proofErr w:type="spellEnd"/>
      <w:r w:rsidRPr="002A3855">
        <w:rPr>
          <w:rFonts w:ascii="Times New Roman" w:hAnsi="Times New Roman" w:cs="Times New Roman"/>
          <w:sz w:val="24"/>
          <w:szCs w:val="24"/>
        </w:rPr>
        <w:t xml:space="preserve">, </w:t>
      </w:r>
      <w:proofErr w:type="spellStart"/>
      <w:r w:rsidRPr="002A3855">
        <w:rPr>
          <w:rFonts w:ascii="Times New Roman" w:hAnsi="Times New Roman" w:cs="Times New Roman"/>
          <w:sz w:val="24"/>
          <w:szCs w:val="24"/>
        </w:rPr>
        <w:t>peripheral</w:t>
      </w:r>
      <w:proofErr w:type="spellEnd"/>
      <w:r w:rsidRPr="002A3855">
        <w:rPr>
          <w:rFonts w:ascii="Times New Roman" w:hAnsi="Times New Roman" w:cs="Times New Roman"/>
          <w:sz w:val="24"/>
          <w:szCs w:val="24"/>
        </w:rPr>
        <w:t xml:space="preserve"> </w:t>
      </w:r>
      <w:proofErr w:type="spellStart"/>
      <w:r w:rsidRPr="002A3855">
        <w:rPr>
          <w:rFonts w:ascii="Times New Roman" w:hAnsi="Times New Roman" w:cs="Times New Roman"/>
          <w:sz w:val="24"/>
          <w:szCs w:val="24"/>
        </w:rPr>
        <w:t>system</w:t>
      </w:r>
      <w:proofErr w:type="spellEnd"/>
      <w:r w:rsidRPr="002A3855">
        <w:rPr>
          <w:rFonts w:ascii="Times New Roman" w:hAnsi="Times New Roman" w:cs="Times New Roman"/>
          <w:sz w:val="24"/>
          <w:szCs w:val="24"/>
        </w:rPr>
        <w:t xml:space="preserve">. </w:t>
      </w:r>
      <w:proofErr w:type="spellStart"/>
      <w:r w:rsidRPr="002A3855">
        <w:rPr>
          <w:rFonts w:ascii="Times New Roman" w:hAnsi="Times New Roman" w:cs="Times New Roman"/>
          <w:sz w:val="24"/>
          <w:szCs w:val="24"/>
        </w:rPr>
        <w:t>Their</w:t>
      </w:r>
      <w:proofErr w:type="spellEnd"/>
      <w:r w:rsidRPr="002A3855">
        <w:rPr>
          <w:rFonts w:ascii="Times New Roman" w:hAnsi="Times New Roman" w:cs="Times New Roman"/>
          <w:sz w:val="24"/>
          <w:szCs w:val="24"/>
        </w:rPr>
        <w:t xml:space="preserve"> </w:t>
      </w:r>
      <w:proofErr w:type="spellStart"/>
      <w:r w:rsidRPr="002A3855">
        <w:rPr>
          <w:rFonts w:ascii="Times New Roman" w:hAnsi="Times New Roman" w:cs="Times New Roman"/>
          <w:sz w:val="24"/>
          <w:szCs w:val="24"/>
        </w:rPr>
        <w:t>functions</w:t>
      </w:r>
      <w:proofErr w:type="spellEnd"/>
      <w:r w:rsidRPr="002A3855">
        <w:rPr>
          <w:rFonts w:ascii="Times New Roman" w:hAnsi="Times New Roman" w:cs="Times New Roman"/>
          <w:sz w:val="24"/>
          <w:szCs w:val="24"/>
        </w:rPr>
        <w:t xml:space="preserve"> and roles in </w:t>
      </w:r>
      <w:proofErr w:type="spellStart"/>
      <w:r w:rsidRPr="002A3855">
        <w:rPr>
          <w:rFonts w:ascii="Times New Roman" w:hAnsi="Times New Roman" w:cs="Times New Roman"/>
          <w:sz w:val="24"/>
          <w:szCs w:val="24"/>
        </w:rPr>
        <w:t>the</w:t>
      </w:r>
      <w:proofErr w:type="spellEnd"/>
      <w:r w:rsidRPr="002A3855">
        <w:rPr>
          <w:rFonts w:ascii="Times New Roman" w:hAnsi="Times New Roman" w:cs="Times New Roman"/>
          <w:sz w:val="24"/>
          <w:szCs w:val="24"/>
        </w:rPr>
        <w:t xml:space="preserve"> </w:t>
      </w:r>
      <w:proofErr w:type="spellStart"/>
      <w:r w:rsidRPr="002A3855">
        <w:rPr>
          <w:rFonts w:ascii="Times New Roman" w:hAnsi="Times New Roman" w:cs="Times New Roman"/>
          <w:sz w:val="24"/>
          <w:szCs w:val="24"/>
        </w:rPr>
        <w:t>dynamics</w:t>
      </w:r>
      <w:proofErr w:type="spellEnd"/>
      <w:r w:rsidRPr="002A3855">
        <w:rPr>
          <w:rFonts w:ascii="Times New Roman" w:hAnsi="Times New Roman" w:cs="Times New Roman"/>
          <w:sz w:val="24"/>
          <w:szCs w:val="24"/>
        </w:rPr>
        <w:t xml:space="preserve"> </w:t>
      </w:r>
      <w:proofErr w:type="spellStart"/>
      <w:r w:rsidRPr="002A3855">
        <w:rPr>
          <w:rFonts w:ascii="Times New Roman" w:hAnsi="Times New Roman" w:cs="Times New Roman"/>
          <w:sz w:val="24"/>
          <w:szCs w:val="24"/>
        </w:rPr>
        <w:t>of</w:t>
      </w:r>
      <w:proofErr w:type="spellEnd"/>
      <w:r w:rsidRPr="002A3855">
        <w:rPr>
          <w:rFonts w:ascii="Times New Roman" w:hAnsi="Times New Roman" w:cs="Times New Roman"/>
          <w:sz w:val="24"/>
          <w:szCs w:val="24"/>
        </w:rPr>
        <w:t xml:space="preserve"> social </w:t>
      </w:r>
      <w:proofErr w:type="spellStart"/>
      <w:r w:rsidRPr="002A3855">
        <w:rPr>
          <w:rFonts w:ascii="Times New Roman" w:hAnsi="Times New Roman" w:cs="Times New Roman"/>
          <w:sz w:val="24"/>
          <w:szCs w:val="24"/>
        </w:rPr>
        <w:t>representation</w:t>
      </w:r>
      <w:proofErr w:type="spellEnd"/>
      <w:r w:rsidRPr="002A3855">
        <w:rPr>
          <w:rFonts w:ascii="Times New Roman" w:hAnsi="Times New Roman" w:cs="Times New Roman"/>
          <w:sz w:val="24"/>
          <w:szCs w:val="24"/>
        </w:rPr>
        <w:t xml:space="preserve">. </w:t>
      </w:r>
      <w:proofErr w:type="spellStart"/>
      <w:r w:rsidRPr="002A3855">
        <w:rPr>
          <w:rFonts w:ascii="Times New Roman" w:hAnsi="Times New Roman" w:cs="Times New Roman"/>
          <w:sz w:val="24"/>
          <w:szCs w:val="24"/>
        </w:rPr>
        <w:t>Journal</w:t>
      </w:r>
      <w:proofErr w:type="spellEnd"/>
      <w:r w:rsidRPr="002A3855">
        <w:rPr>
          <w:rFonts w:ascii="Times New Roman" w:hAnsi="Times New Roman" w:cs="Times New Roman"/>
          <w:sz w:val="24"/>
          <w:szCs w:val="24"/>
        </w:rPr>
        <w:t xml:space="preserve"> </w:t>
      </w:r>
      <w:proofErr w:type="spellStart"/>
      <w:r w:rsidRPr="002A3855">
        <w:rPr>
          <w:rFonts w:ascii="Times New Roman" w:hAnsi="Times New Roman" w:cs="Times New Roman"/>
          <w:sz w:val="24"/>
          <w:szCs w:val="24"/>
        </w:rPr>
        <w:t>Paper</w:t>
      </w:r>
      <w:proofErr w:type="spellEnd"/>
      <w:r w:rsidRPr="002A3855">
        <w:rPr>
          <w:rFonts w:ascii="Times New Roman" w:hAnsi="Times New Roman" w:cs="Times New Roman"/>
          <w:sz w:val="24"/>
          <w:szCs w:val="24"/>
        </w:rPr>
        <w:t xml:space="preserve"> </w:t>
      </w:r>
      <w:proofErr w:type="spellStart"/>
      <w:r w:rsidRPr="002A3855">
        <w:rPr>
          <w:rFonts w:ascii="Times New Roman" w:hAnsi="Times New Roman" w:cs="Times New Roman"/>
          <w:sz w:val="24"/>
          <w:szCs w:val="24"/>
        </w:rPr>
        <w:t>on</w:t>
      </w:r>
      <w:proofErr w:type="spellEnd"/>
      <w:r w:rsidRPr="002A3855">
        <w:rPr>
          <w:rFonts w:ascii="Times New Roman" w:hAnsi="Times New Roman" w:cs="Times New Roman"/>
          <w:sz w:val="24"/>
          <w:szCs w:val="24"/>
        </w:rPr>
        <w:t xml:space="preserve"> Social </w:t>
      </w:r>
      <w:proofErr w:type="spellStart"/>
      <w:r w:rsidRPr="002A3855">
        <w:rPr>
          <w:rFonts w:ascii="Times New Roman" w:hAnsi="Times New Roman" w:cs="Times New Roman"/>
          <w:sz w:val="24"/>
          <w:szCs w:val="24"/>
        </w:rPr>
        <w:t>Representation</w:t>
      </w:r>
      <w:proofErr w:type="spellEnd"/>
      <w:r w:rsidRPr="002A3855">
        <w:rPr>
          <w:rFonts w:ascii="Times New Roman" w:hAnsi="Times New Roman" w:cs="Times New Roman"/>
          <w:sz w:val="24"/>
          <w:szCs w:val="24"/>
        </w:rPr>
        <w:t xml:space="preserve"> (1021-5573) Vol.2 (2), 75-78.</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Becali, A. E. (2009). Metodología para el desarrollo de la fuerza en atletas femeninas de judo en el alto rendimiento. </w:t>
      </w:r>
      <w:r w:rsidR="001418B9" w:rsidRPr="002A3855">
        <w:rPr>
          <w:rFonts w:ascii="Times New Roman" w:hAnsi="Times New Roman" w:cs="Times New Roman"/>
          <w:sz w:val="24"/>
          <w:szCs w:val="24"/>
        </w:rPr>
        <w:t>(Doctor en Ciencias de la Cultura Física) La Habana, ISCF “Manuel Fajardo”.</w:t>
      </w:r>
      <w:r w:rsidRPr="002A3855">
        <w:rPr>
          <w:rFonts w:ascii="Times New Roman" w:hAnsi="Times New Roman" w:cs="Times New Roman"/>
          <w:sz w:val="24"/>
          <w:szCs w:val="24"/>
        </w:rPr>
        <w:t xml:space="preserve">  </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 Bermúdez, R. y Rodríguez, M. (1996). Teoría y Metodología del Aprendizaje. Ciudad de La Habana: Editorial Pueblo y Educación.</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Castellano, D. y Grueiro, I. (1999). Enseñanza y Estrategia de Aprendizaje: Los Caminos del Aprendizaje Autorregulado. La Habana: Presentado en Pedagogía ´99.  </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lastRenderedPageBreak/>
        <w:t xml:space="preserve">Copello, M. (2001). Diseño didáctico para la formación de los judokas a partir de la estructura de las acciones y los elementos básicos. </w:t>
      </w:r>
      <w:r w:rsidR="001418B9" w:rsidRPr="002A3855">
        <w:rPr>
          <w:rFonts w:ascii="Times New Roman" w:hAnsi="Times New Roman" w:cs="Times New Roman"/>
          <w:sz w:val="24"/>
          <w:szCs w:val="24"/>
        </w:rPr>
        <w:t xml:space="preserve">(Doctor en Ciencias de la Cultura Física) La Habana, ISCF “Manuel Fajardo”. </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Díaz R., R. Noda de la Nuez, y D.  Guerra (2021) Propuesta metodológica de entrenamiento en los deportes colectivos desde los elementos de la lógica interna aplicada al fútbol. Revista Acción motriz, 26, 123-135</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Donskoi, D.  y V. Zatsiorski.  (1988) Biomecánica de los Ejercicios Físicos. La Habana, Editorial Pueblo y Educación.</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DTM de Alto Rendimiento (2020) Indicaciones Metodológicas para el curso escolar 2020-2021. La Habana. INDER.</w:t>
      </w:r>
    </w:p>
    <w:p w:rsidR="00E047AE" w:rsidRPr="002A3855" w:rsidRDefault="00E047AE"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Federación Cubana de Judo (2013) Programa Integral de Preparación del Deportista. Editorial Deportes (2013, 2018, 2024). La Habana. INDER</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Fernández Rivero, E. y col.  (2001) Investigación educativa. Lima-Perú, Editorial Derrama Magisterial.</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Frade Rubio, L. G. (2016) Complejidad y competencias: Acerca del cambio paradigmático necesario y posible en la educación </w:t>
      </w:r>
      <w:r w:rsidR="001418B9" w:rsidRPr="002A3855">
        <w:rPr>
          <w:rFonts w:ascii="Times New Roman" w:hAnsi="Times New Roman" w:cs="Times New Roman"/>
          <w:sz w:val="24"/>
          <w:szCs w:val="24"/>
        </w:rPr>
        <w:t>contemporánea</w:t>
      </w:r>
      <w:r w:rsidRPr="002A3855">
        <w:rPr>
          <w:rFonts w:ascii="Times New Roman" w:hAnsi="Times New Roman" w:cs="Times New Roman"/>
          <w:sz w:val="24"/>
          <w:szCs w:val="24"/>
        </w:rPr>
        <w:t>.  Tesis de grado (Doctor en Ciencias de Pensamiento Complejo) Multiversidad, Mundo Real de Edgar Morin, México.</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Fuentes González, H.  y col.  (1997) El modelo de actuación del profesional. Una propuesta viable para el diseño curricular de la educación superior.  Santiago de Cuba, material impreso, Centro de Estudios de la Educación Superior “Manuel F. Gran”.</w:t>
      </w:r>
    </w:p>
    <w:p w:rsidR="00011EBA" w:rsidRPr="002A3855" w:rsidRDefault="00011EBA" w:rsidP="00011EBA">
      <w:pPr>
        <w:spacing w:after="0" w:line="360" w:lineRule="auto"/>
        <w:jc w:val="both"/>
        <w:rPr>
          <w:rFonts w:ascii="Times New Roman" w:hAnsi="Times New Roman" w:cs="Times New Roman"/>
          <w:sz w:val="24"/>
          <w:szCs w:val="24"/>
        </w:rPr>
      </w:pPr>
      <w:proofErr w:type="spellStart"/>
      <w:r w:rsidRPr="002A3855">
        <w:rPr>
          <w:rFonts w:ascii="Times New Roman" w:hAnsi="Times New Roman" w:cs="Times New Roman"/>
          <w:sz w:val="24"/>
          <w:szCs w:val="24"/>
        </w:rPr>
        <w:t>Galperin</w:t>
      </w:r>
      <w:proofErr w:type="spellEnd"/>
      <w:r w:rsidRPr="002A3855">
        <w:rPr>
          <w:rFonts w:ascii="Times New Roman" w:hAnsi="Times New Roman" w:cs="Times New Roman"/>
          <w:sz w:val="24"/>
          <w:szCs w:val="24"/>
        </w:rPr>
        <w:t>, P. Y. (1982). Antología de la psicología pedagógica y de las edades.</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González Abreu, J.L. (2008). Aprender a aprender, clase y desempeño docente. Instituto Superior Pedagógico “Félix Varela” (Material ligero).</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González Pascual, J. A. (2016) Modelo Comportamental de la Actividad Competitiva para Propiciar la Orientación del Modo de Combatir del Judoka. (Tesis de Doctorado). FCF: Universidad Central “Marta Abreu” de Las Villas. </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Guillén Pereira, C. M., </w:t>
      </w:r>
      <w:r w:rsidR="001418B9" w:rsidRPr="002A3855">
        <w:rPr>
          <w:rFonts w:ascii="Times New Roman" w:hAnsi="Times New Roman" w:cs="Times New Roman"/>
          <w:sz w:val="24"/>
          <w:szCs w:val="24"/>
        </w:rPr>
        <w:t>Gutiérrez</w:t>
      </w:r>
      <w:r w:rsidRPr="002A3855">
        <w:rPr>
          <w:rFonts w:ascii="Times New Roman" w:hAnsi="Times New Roman" w:cs="Times New Roman"/>
          <w:sz w:val="24"/>
          <w:szCs w:val="24"/>
        </w:rPr>
        <w:t xml:space="preserve"> Manuel. (2018). Metodología para el perfeccionamiento del proceso de enseñanza- aprendizaje de los elementos técnico-tácticos en los deportes de combate. </w:t>
      </w:r>
      <w:proofErr w:type="spellStart"/>
      <w:r w:rsidRPr="002A3855">
        <w:rPr>
          <w:rFonts w:ascii="Times New Roman" w:hAnsi="Times New Roman" w:cs="Times New Roman"/>
          <w:sz w:val="24"/>
          <w:szCs w:val="24"/>
        </w:rPr>
        <w:t>ResearchGate</w:t>
      </w:r>
      <w:proofErr w:type="spellEnd"/>
      <w:r w:rsidRPr="002A3855">
        <w:rPr>
          <w:rFonts w:ascii="Times New Roman" w:hAnsi="Times New Roman" w:cs="Times New Roman"/>
          <w:sz w:val="24"/>
          <w:szCs w:val="24"/>
        </w:rPr>
        <w:t xml:space="preserve">. </w:t>
      </w:r>
      <w:proofErr w:type="spellStart"/>
      <w:r w:rsidRPr="002A3855">
        <w:rPr>
          <w:rFonts w:ascii="Times New Roman" w:hAnsi="Times New Roman" w:cs="Times New Roman"/>
          <w:sz w:val="24"/>
          <w:szCs w:val="24"/>
        </w:rPr>
        <w:t>doi</w:t>
      </w:r>
      <w:proofErr w:type="spellEnd"/>
      <w:r w:rsidRPr="002A3855">
        <w:rPr>
          <w:rFonts w:ascii="Times New Roman" w:hAnsi="Times New Roman" w:cs="Times New Roman"/>
          <w:sz w:val="24"/>
          <w:szCs w:val="24"/>
        </w:rPr>
        <w:t>: 10.47197/</w:t>
      </w:r>
      <w:proofErr w:type="gramStart"/>
      <w:r w:rsidRPr="002A3855">
        <w:rPr>
          <w:rFonts w:ascii="Times New Roman" w:hAnsi="Times New Roman" w:cs="Times New Roman"/>
          <w:sz w:val="24"/>
          <w:szCs w:val="24"/>
        </w:rPr>
        <w:t>retos.v</w:t>
      </w:r>
      <w:proofErr w:type="gramEnd"/>
      <w:r w:rsidRPr="002A3855">
        <w:rPr>
          <w:rFonts w:ascii="Times New Roman" w:hAnsi="Times New Roman" w:cs="Times New Roman"/>
          <w:sz w:val="24"/>
          <w:szCs w:val="24"/>
        </w:rPr>
        <w:t>0i34.58752</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Hernández, M. J. (1994) Análisis de la estructura del juego. Barcelona. Ed. </w:t>
      </w:r>
      <w:proofErr w:type="spellStart"/>
      <w:r w:rsidRPr="002A3855">
        <w:rPr>
          <w:rFonts w:ascii="Times New Roman" w:hAnsi="Times New Roman" w:cs="Times New Roman"/>
          <w:sz w:val="24"/>
          <w:szCs w:val="24"/>
        </w:rPr>
        <w:t>Inde</w:t>
      </w:r>
      <w:proofErr w:type="spellEnd"/>
      <w:r w:rsidRPr="002A3855">
        <w:rPr>
          <w:rFonts w:ascii="Times New Roman" w:hAnsi="Times New Roman" w:cs="Times New Roman"/>
          <w:sz w:val="24"/>
          <w:szCs w:val="24"/>
        </w:rPr>
        <w:t>.</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lastRenderedPageBreak/>
        <w:t>Hernández Sampieri, C.  R. y col.  (2006) Metodología de la Investigación. 4ta.  edición. México, Industria Editorial Mexicana.</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Hernández-Sol</w:t>
      </w:r>
      <w:r w:rsidR="006A48A4" w:rsidRPr="002A3855">
        <w:rPr>
          <w:rFonts w:ascii="Times New Roman" w:hAnsi="Times New Roman" w:cs="Times New Roman"/>
          <w:sz w:val="24"/>
          <w:szCs w:val="24"/>
        </w:rPr>
        <w:t>i</w:t>
      </w:r>
      <w:r w:rsidRPr="002A3855">
        <w:rPr>
          <w:rFonts w:ascii="Times New Roman" w:hAnsi="Times New Roman" w:cs="Times New Roman"/>
          <w:sz w:val="24"/>
          <w:szCs w:val="24"/>
        </w:rPr>
        <w:t xml:space="preserve">s, E., González-Pascual, J. A. y Hernández-Solís, E. (2021) Análisis Estructural del Plan Táctico de los Judokas. DeporVida. Revista Especializada en Ciencias de la Cultura Física y Deporte. </w:t>
      </w:r>
      <w:proofErr w:type="spellStart"/>
      <w:r w:rsidRPr="002A3855">
        <w:rPr>
          <w:rFonts w:ascii="Times New Roman" w:hAnsi="Times New Roman" w:cs="Times New Roman"/>
          <w:sz w:val="24"/>
          <w:szCs w:val="24"/>
        </w:rPr>
        <w:t>Vol</w:t>
      </w:r>
      <w:proofErr w:type="spellEnd"/>
      <w:r w:rsidRPr="002A3855">
        <w:rPr>
          <w:rFonts w:ascii="Times New Roman" w:hAnsi="Times New Roman" w:cs="Times New Roman"/>
          <w:sz w:val="24"/>
          <w:szCs w:val="24"/>
        </w:rPr>
        <w:t xml:space="preserve"> 18, No. 49, julio-septiembre, pág. 117-124.</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Hristovski, R., Torrents Martín, C. y Balagué i Serre, N. (2013) Creatividad y Emergencia Espontánea de Habilidades de Danza. Retos. Nuevas Tendencias en Educación Física, Deportes y Recreación. No. 24, julio-diciembre, pp. 129-134. Disponible en: http://www.redalyc.org/articulo.oa?id=345732290027.</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Jiménez Amaro, J. S. y col. (1991) Programa de preparación del deportista, </w:t>
      </w:r>
      <w:proofErr w:type="spellStart"/>
      <w:r w:rsidRPr="002A3855">
        <w:rPr>
          <w:rFonts w:ascii="Times New Roman" w:hAnsi="Times New Roman" w:cs="Times New Roman"/>
          <w:sz w:val="24"/>
          <w:szCs w:val="24"/>
        </w:rPr>
        <w:t>tt</w:t>
      </w:r>
      <w:proofErr w:type="spellEnd"/>
      <w:r w:rsidRPr="002A3855">
        <w:rPr>
          <w:rFonts w:ascii="Times New Roman" w:hAnsi="Times New Roman" w:cs="Times New Roman"/>
          <w:sz w:val="24"/>
          <w:szCs w:val="24"/>
        </w:rPr>
        <w:t>. I y II, Ciudad de La Habana, Unidad Impresora “José A. Huelga”.</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Kawaishi, M. (1964). Mi Método de Judo. Barcelona: Editorial Bruguera S.A.  </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Klingberg, L. (1972). Introducción a la Didáctica General. La Habana: Editorial Pueblo y Educación.</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Kolychkine, T. A. (1987). Judo, Arte y Ciencia. Ciudad de la Habana: Editorial Científico Técnica.</w:t>
      </w:r>
    </w:p>
    <w:p w:rsidR="00011EBA" w:rsidRPr="002A3855" w:rsidRDefault="00011EBA" w:rsidP="00011EBA">
      <w:pPr>
        <w:spacing w:after="0" w:line="360" w:lineRule="auto"/>
        <w:jc w:val="both"/>
        <w:rPr>
          <w:rFonts w:ascii="Times New Roman" w:hAnsi="Times New Roman" w:cs="Times New Roman"/>
          <w:sz w:val="24"/>
          <w:szCs w:val="24"/>
        </w:rPr>
      </w:pPr>
      <w:proofErr w:type="spellStart"/>
      <w:r w:rsidRPr="002A3855">
        <w:rPr>
          <w:rFonts w:ascii="Times New Roman" w:hAnsi="Times New Roman" w:cs="Times New Roman"/>
          <w:sz w:val="24"/>
          <w:szCs w:val="24"/>
        </w:rPr>
        <w:t>Kudo</w:t>
      </w:r>
      <w:proofErr w:type="spellEnd"/>
      <w:r w:rsidRPr="002A3855">
        <w:rPr>
          <w:rFonts w:ascii="Times New Roman" w:hAnsi="Times New Roman" w:cs="Times New Roman"/>
          <w:sz w:val="24"/>
          <w:szCs w:val="24"/>
        </w:rPr>
        <w:t>, K. (1987). Judo en Acción. Tomo I</w:t>
      </w:r>
      <w:r w:rsidR="006A48A4" w:rsidRPr="002A3855">
        <w:rPr>
          <w:rFonts w:ascii="Times New Roman" w:hAnsi="Times New Roman" w:cs="Times New Roman"/>
          <w:sz w:val="24"/>
          <w:szCs w:val="24"/>
        </w:rPr>
        <w:t xml:space="preserve">, </w:t>
      </w:r>
      <w:r w:rsidRPr="002A3855">
        <w:rPr>
          <w:rFonts w:ascii="Times New Roman" w:hAnsi="Times New Roman" w:cs="Times New Roman"/>
          <w:sz w:val="24"/>
          <w:szCs w:val="24"/>
        </w:rPr>
        <w:t xml:space="preserve">II. </w:t>
      </w:r>
      <w:r w:rsidR="006A48A4" w:rsidRPr="002A3855">
        <w:rPr>
          <w:rFonts w:ascii="Times New Roman" w:hAnsi="Times New Roman" w:cs="Times New Roman"/>
          <w:sz w:val="24"/>
          <w:szCs w:val="24"/>
        </w:rPr>
        <w:t xml:space="preserve">La </w:t>
      </w:r>
      <w:r w:rsidRPr="002A3855">
        <w:rPr>
          <w:rFonts w:ascii="Times New Roman" w:hAnsi="Times New Roman" w:cs="Times New Roman"/>
          <w:sz w:val="24"/>
          <w:szCs w:val="24"/>
        </w:rPr>
        <w:t>Habana: Ed</w:t>
      </w:r>
      <w:r w:rsidR="006A48A4" w:rsidRPr="002A3855">
        <w:rPr>
          <w:rFonts w:ascii="Times New Roman" w:hAnsi="Times New Roman" w:cs="Times New Roman"/>
          <w:sz w:val="24"/>
          <w:szCs w:val="24"/>
        </w:rPr>
        <w:t>itorial</w:t>
      </w:r>
      <w:r w:rsidRPr="002A3855">
        <w:rPr>
          <w:rFonts w:ascii="Times New Roman" w:hAnsi="Times New Roman" w:cs="Times New Roman"/>
          <w:sz w:val="24"/>
          <w:szCs w:val="24"/>
        </w:rPr>
        <w:t xml:space="preserve"> Pueblo y Educación.</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Lanier, A y F. A., Ochoa Amed (2006) Sistema de entrenamiento multidireccional del tenis de campo por capacidades motoras y cognoscitivas. Tesis de grado (Doctor en Ciencias de la Cultura Física) La Habana, ISCF “Manuel Fajardo”.</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Leyva Infante, R. (2006) Metodología de la comprensión y decisión táctica para el desarrollo de habilidades en la etapa inicial de la formación de los judokas.  Tesis de grado (Doctor en Ciencias de la Cultura Física) La Habana, ISCF “Manuel Fajardo”.</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López Rodríguez, A.  (2001) Directividad y no directividad. La Habana, material           impreso, ISCF “Manuel Fajardo”.</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López Rodríguez, A. (2006) El proceso de enseñanza-aprendizaje en Educación Física. La Habana, Editorial Científico-Técnica.</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Matvieev, L. P. (1990) El entrenamiento y su organización. Escuela de deportes, Roma.</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Mesa Anoceto, M.  (2006) Asesoría estadística en la investigación aplicada al deporte. La Habana, Instituto Cubano del Libro, Editorial José Martí.</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lastRenderedPageBreak/>
        <w:t>Mesa Peñalver, J., Becali Garrido, A. (2018) Programa Integral de Preparación del Deportista. Judo 2017-2020. Comisión de Expertos de Comisión Nacional de Judo. La Habana, Inder.</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Moreno, H. (1994). Análisis de la estructura del juego deportivo. Barcelona: Ed. </w:t>
      </w:r>
      <w:proofErr w:type="spellStart"/>
      <w:r w:rsidRPr="002A3855">
        <w:rPr>
          <w:rFonts w:ascii="Times New Roman" w:hAnsi="Times New Roman" w:cs="Times New Roman"/>
          <w:sz w:val="24"/>
          <w:szCs w:val="24"/>
        </w:rPr>
        <w:t>Inde</w:t>
      </w:r>
      <w:proofErr w:type="spellEnd"/>
      <w:r w:rsidRPr="002A3855">
        <w:rPr>
          <w:rFonts w:ascii="Times New Roman" w:hAnsi="Times New Roman" w:cs="Times New Roman"/>
          <w:sz w:val="24"/>
          <w:szCs w:val="24"/>
        </w:rPr>
        <w:t xml:space="preserve">. </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Morin, E. (1996) La Reforma del pensamiento. Barcelona. Editorial Káiros.</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Novak, J. D. y D. B. Gowin.  (1988) Aprender a aprender. Barcelona, Ediciones Martínez Roca, S. A.</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Parlebas, P. (2001). Juegos, deportes y sociedades. Léxico de praxiología motriz. Barcelona Paidotribo. </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Pons E., A. Martín y F. Seirul-lo (2021) Entrenamiento en deportes de equipo: el entrenamiento optimizador en el Fútbol Club Barcelona. Revista Apunts. Educación física y deportes, 142, 55-67.</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Rivilla, I. (2018) Perspectiva neuropsicología del entrenamiento deportivo. Una organización sistémica, neurociencia, deporte y educación. 1ra. edición. Sevilla: </w:t>
      </w:r>
      <w:proofErr w:type="spellStart"/>
      <w:r w:rsidRPr="002A3855">
        <w:rPr>
          <w:rFonts w:ascii="Times New Roman" w:hAnsi="Times New Roman" w:cs="Times New Roman"/>
          <w:sz w:val="24"/>
          <w:szCs w:val="24"/>
        </w:rPr>
        <w:t>Waceulen</w:t>
      </w:r>
      <w:proofErr w:type="spellEnd"/>
      <w:r w:rsidRPr="002A3855">
        <w:rPr>
          <w:rFonts w:ascii="Times New Roman" w:hAnsi="Times New Roman" w:cs="Times New Roman"/>
          <w:sz w:val="24"/>
          <w:szCs w:val="24"/>
        </w:rPr>
        <w:t>, editorial.</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Romero R. J., y Becali (2014) Metodología del entrenamiento deportivo. La escuela cubana. L Habana, Editorial Deportes.</w:t>
      </w:r>
    </w:p>
    <w:p w:rsidR="00011EBA" w:rsidRPr="002A3855" w:rsidRDefault="00011EBA" w:rsidP="00011EBA">
      <w:pPr>
        <w:spacing w:after="0" w:line="360" w:lineRule="auto"/>
        <w:jc w:val="both"/>
        <w:rPr>
          <w:rFonts w:ascii="Times New Roman" w:hAnsi="Times New Roman" w:cs="Times New Roman"/>
          <w:sz w:val="24"/>
          <w:szCs w:val="24"/>
        </w:rPr>
      </w:pPr>
      <w:proofErr w:type="spellStart"/>
      <w:r w:rsidRPr="002A3855">
        <w:rPr>
          <w:rFonts w:ascii="Times New Roman" w:hAnsi="Times New Roman" w:cs="Times New Roman"/>
          <w:sz w:val="24"/>
          <w:szCs w:val="24"/>
        </w:rPr>
        <w:t>Sanches</w:t>
      </w:r>
      <w:proofErr w:type="spellEnd"/>
      <w:r w:rsidRPr="002A3855">
        <w:rPr>
          <w:rFonts w:ascii="Times New Roman" w:hAnsi="Times New Roman" w:cs="Times New Roman"/>
          <w:sz w:val="24"/>
          <w:szCs w:val="24"/>
        </w:rPr>
        <w:t xml:space="preserve"> </w:t>
      </w:r>
      <w:proofErr w:type="spellStart"/>
      <w:r w:rsidRPr="002A3855">
        <w:rPr>
          <w:rFonts w:ascii="Times New Roman" w:hAnsi="Times New Roman" w:cs="Times New Roman"/>
          <w:sz w:val="24"/>
          <w:szCs w:val="24"/>
        </w:rPr>
        <w:t>Sanches</w:t>
      </w:r>
      <w:proofErr w:type="spellEnd"/>
      <w:r w:rsidRPr="002A3855">
        <w:rPr>
          <w:rFonts w:ascii="Times New Roman" w:hAnsi="Times New Roman" w:cs="Times New Roman"/>
          <w:sz w:val="24"/>
          <w:szCs w:val="24"/>
        </w:rPr>
        <w:t xml:space="preserve"> V., H. O., Pastor L., et al. (2020). Ejercicios especiales para mejorar la </w:t>
      </w:r>
      <w:proofErr w:type="spellStart"/>
      <w:r w:rsidRPr="002A3855">
        <w:rPr>
          <w:rFonts w:ascii="Times New Roman" w:hAnsi="Times New Roman" w:cs="Times New Roman"/>
          <w:sz w:val="24"/>
          <w:szCs w:val="24"/>
        </w:rPr>
        <w:t>ejecucion</w:t>
      </w:r>
      <w:proofErr w:type="spellEnd"/>
      <w:r w:rsidRPr="002A3855">
        <w:rPr>
          <w:rFonts w:ascii="Times New Roman" w:hAnsi="Times New Roman" w:cs="Times New Roman"/>
          <w:sz w:val="24"/>
          <w:szCs w:val="24"/>
        </w:rPr>
        <w:t xml:space="preserve"> de </w:t>
      </w:r>
      <w:proofErr w:type="spellStart"/>
      <w:r w:rsidRPr="002A3855">
        <w:rPr>
          <w:rFonts w:ascii="Times New Roman" w:hAnsi="Times New Roman" w:cs="Times New Roman"/>
          <w:sz w:val="24"/>
          <w:szCs w:val="24"/>
        </w:rPr>
        <w:t>tecnicas</w:t>
      </w:r>
      <w:proofErr w:type="spellEnd"/>
      <w:r w:rsidRPr="002A3855">
        <w:rPr>
          <w:rFonts w:ascii="Times New Roman" w:hAnsi="Times New Roman" w:cs="Times New Roman"/>
          <w:sz w:val="24"/>
          <w:szCs w:val="24"/>
        </w:rPr>
        <w:t xml:space="preserve"> de piernas en judocas escolares. </w:t>
      </w:r>
      <w:proofErr w:type="spellStart"/>
      <w:r w:rsidRPr="002A3855">
        <w:rPr>
          <w:rFonts w:ascii="Times New Roman" w:hAnsi="Times New Roman" w:cs="Times New Roman"/>
          <w:sz w:val="24"/>
          <w:szCs w:val="24"/>
        </w:rPr>
        <w:t>Podium</w:t>
      </w:r>
      <w:proofErr w:type="spellEnd"/>
      <w:r w:rsidRPr="002A3855">
        <w:rPr>
          <w:rFonts w:ascii="Times New Roman" w:hAnsi="Times New Roman" w:cs="Times New Roman"/>
          <w:sz w:val="24"/>
          <w:szCs w:val="24"/>
        </w:rPr>
        <w:t xml:space="preserve">. Revista de Ciencia y </w:t>
      </w:r>
      <w:proofErr w:type="spellStart"/>
      <w:r w:rsidRPr="002A3855">
        <w:rPr>
          <w:rFonts w:ascii="Times New Roman" w:hAnsi="Times New Roman" w:cs="Times New Roman"/>
          <w:sz w:val="24"/>
          <w:szCs w:val="24"/>
        </w:rPr>
        <w:t>Tecnilogía</w:t>
      </w:r>
      <w:proofErr w:type="spellEnd"/>
      <w:r w:rsidRPr="002A3855">
        <w:rPr>
          <w:rFonts w:ascii="Times New Roman" w:hAnsi="Times New Roman" w:cs="Times New Roman"/>
          <w:sz w:val="24"/>
          <w:szCs w:val="24"/>
        </w:rPr>
        <w:t xml:space="preserve"> en la Cultura </w:t>
      </w:r>
      <w:proofErr w:type="spellStart"/>
      <w:r w:rsidRPr="002A3855">
        <w:rPr>
          <w:rFonts w:ascii="Times New Roman" w:hAnsi="Times New Roman" w:cs="Times New Roman"/>
          <w:sz w:val="24"/>
          <w:szCs w:val="24"/>
        </w:rPr>
        <w:t>Fisica</w:t>
      </w:r>
      <w:proofErr w:type="spellEnd"/>
      <w:r w:rsidRPr="002A3855">
        <w:rPr>
          <w:rFonts w:ascii="Times New Roman" w:hAnsi="Times New Roman" w:cs="Times New Roman"/>
          <w:sz w:val="24"/>
          <w:szCs w:val="24"/>
        </w:rPr>
        <w:t xml:space="preserve">, 15(3), 550-562. </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Uria Peña, A. M, Gallego Alfonso, et al. (1989) Medios de enseñanza: infinidad de iniciativas. Editorial, Pueblo y Educación. Ciudad de La Habana. </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Torrents Martín, C. (2001) La teoría de los sistemas dinámicos y el entrenamiento deportivo.  Tesis de grado (Doctor en Ciencias en Actividad Física y Deporte) </w:t>
      </w:r>
      <w:proofErr w:type="spellStart"/>
      <w:r w:rsidRPr="002A3855">
        <w:rPr>
          <w:rFonts w:ascii="Times New Roman" w:hAnsi="Times New Roman" w:cs="Times New Roman"/>
          <w:sz w:val="24"/>
          <w:szCs w:val="24"/>
        </w:rPr>
        <w:t>Universitat</w:t>
      </w:r>
      <w:proofErr w:type="spellEnd"/>
      <w:r w:rsidRPr="002A3855">
        <w:rPr>
          <w:rFonts w:ascii="Times New Roman" w:hAnsi="Times New Roman" w:cs="Times New Roman"/>
          <w:sz w:val="24"/>
          <w:szCs w:val="24"/>
        </w:rPr>
        <w:t xml:space="preserve"> de Barcelona, España.</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Turner, N. y Chávez, J. (1989) Aprender a aprender. Editorial, Pueblo y Educación. Ciudad de La Habana. </w:t>
      </w:r>
    </w:p>
    <w:p w:rsidR="00011EBA" w:rsidRPr="002A3855" w:rsidRDefault="00011EBA" w:rsidP="00011EBA">
      <w:pPr>
        <w:spacing w:after="0" w:line="360" w:lineRule="auto"/>
        <w:jc w:val="both"/>
        <w:rPr>
          <w:rFonts w:ascii="Times New Roman" w:hAnsi="Times New Roman" w:cs="Times New Roman"/>
          <w:sz w:val="24"/>
          <w:szCs w:val="24"/>
        </w:rPr>
      </w:pPr>
      <w:r w:rsidRPr="002A3855">
        <w:rPr>
          <w:rFonts w:ascii="Times New Roman" w:hAnsi="Times New Roman" w:cs="Times New Roman"/>
          <w:sz w:val="24"/>
          <w:szCs w:val="24"/>
        </w:rPr>
        <w:t xml:space="preserve">Turró, Y. (2016). Tareas problémicas de orientación técnico-táctica para el </w:t>
      </w:r>
      <w:r w:rsidR="001418B9" w:rsidRPr="002A3855">
        <w:rPr>
          <w:rFonts w:ascii="Times New Roman" w:hAnsi="Times New Roman" w:cs="Times New Roman"/>
          <w:sz w:val="24"/>
          <w:szCs w:val="24"/>
        </w:rPr>
        <w:t>Uchikomi</w:t>
      </w:r>
      <w:r w:rsidRPr="002A3855">
        <w:rPr>
          <w:rFonts w:ascii="Times New Roman" w:hAnsi="Times New Roman" w:cs="Times New Roman"/>
          <w:sz w:val="24"/>
          <w:szCs w:val="24"/>
        </w:rPr>
        <w:t xml:space="preserve"> en judokas escolares de Villa Clara. Universidad Central Marta Abreu de Las Villas. </w:t>
      </w:r>
      <w:proofErr w:type="spellStart"/>
      <w:r w:rsidRPr="002A3855">
        <w:rPr>
          <w:rFonts w:ascii="Times New Roman" w:hAnsi="Times New Roman" w:cs="Times New Roman"/>
          <w:sz w:val="24"/>
          <w:szCs w:val="24"/>
        </w:rPr>
        <w:t>Retrieved</w:t>
      </w:r>
      <w:proofErr w:type="spellEnd"/>
      <w:r w:rsidRPr="002A3855">
        <w:rPr>
          <w:rFonts w:ascii="Times New Roman" w:hAnsi="Times New Roman" w:cs="Times New Roman"/>
          <w:sz w:val="24"/>
          <w:szCs w:val="24"/>
        </w:rPr>
        <w:t xml:space="preserve"> </w:t>
      </w:r>
      <w:proofErr w:type="spellStart"/>
      <w:r w:rsidRPr="002A3855">
        <w:rPr>
          <w:rFonts w:ascii="Times New Roman" w:hAnsi="Times New Roman" w:cs="Times New Roman"/>
          <w:sz w:val="24"/>
          <w:szCs w:val="24"/>
        </w:rPr>
        <w:t>from</w:t>
      </w:r>
      <w:proofErr w:type="spellEnd"/>
      <w:r w:rsidRPr="002A3855">
        <w:rPr>
          <w:rFonts w:ascii="Times New Roman" w:hAnsi="Times New Roman" w:cs="Times New Roman"/>
          <w:sz w:val="24"/>
          <w:szCs w:val="24"/>
        </w:rPr>
        <w:t xml:space="preserve"> http://dspace.uclv.edu.cu  </w:t>
      </w:r>
    </w:p>
    <w:p w:rsidR="00011EBA" w:rsidRPr="002A3855" w:rsidRDefault="00011EBA" w:rsidP="00FF3346">
      <w:pPr>
        <w:spacing w:after="0" w:line="360" w:lineRule="auto"/>
        <w:jc w:val="both"/>
        <w:rPr>
          <w:rFonts w:ascii="Times New Roman" w:hAnsi="Times New Roman" w:cs="Times New Roman"/>
          <w:sz w:val="24"/>
          <w:szCs w:val="24"/>
        </w:rPr>
      </w:pPr>
    </w:p>
    <w:sectPr w:rsidR="00011EBA" w:rsidRPr="002A3855" w:rsidSect="00C8585B">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7B6F" w:rsidRDefault="00EC7B6F" w:rsidP="00C8585B">
      <w:pPr>
        <w:spacing w:after="0" w:line="240" w:lineRule="auto"/>
      </w:pPr>
      <w:r>
        <w:separator/>
      </w:r>
    </w:p>
  </w:endnote>
  <w:endnote w:type="continuationSeparator" w:id="0">
    <w:p w:rsidR="00EC7B6F" w:rsidRDefault="00EC7B6F"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70190"/>
      <w:docPartObj>
        <w:docPartGallery w:val="Page Numbers (Bottom of Page)"/>
        <w:docPartUnique/>
      </w:docPartObj>
    </w:sdtPr>
    <w:sdtEndPr/>
    <w:sdtContent>
      <w:p w:rsidR="009D5E02" w:rsidRDefault="00E40131">
        <w:pPr>
          <w:pStyle w:val="Piedepgina"/>
          <w:jc w:val="right"/>
        </w:pPr>
        <w:r>
          <w:fldChar w:fldCharType="begin"/>
        </w:r>
        <w:r>
          <w:instrText xml:space="preserve"> PAGE   \* MERGEFORMAT </w:instrText>
        </w:r>
        <w:r>
          <w:fldChar w:fldCharType="separate"/>
        </w:r>
        <w:r w:rsidR="00E04274">
          <w:rPr>
            <w:noProof/>
          </w:rPr>
          <w:t>1</w:t>
        </w:r>
        <w:r>
          <w:rPr>
            <w:noProof/>
          </w:rPr>
          <w:fldChar w:fldCharType="end"/>
        </w:r>
      </w:p>
    </w:sdtContent>
  </w:sdt>
  <w:p w:rsidR="009D5E02" w:rsidRPr="00C8585B" w:rsidRDefault="00972A58" w:rsidP="001A2515">
    <w:pPr>
      <w:pStyle w:val="Encabezado"/>
      <w:jc w:val="center"/>
      <w:rPr>
        <w:rFonts w:ascii="Verdana" w:hAnsi="Verdana"/>
        <w:b/>
        <w:sz w:val="16"/>
        <w:szCs w:val="16"/>
        <w:lang w:val="es-ES_tradnl"/>
      </w:rPr>
    </w:pPr>
    <w:r w:rsidRPr="00972A58">
      <w:rPr>
        <w:rFonts w:ascii="Verdana" w:hAnsi="Verdana"/>
        <w:b/>
        <w:sz w:val="16"/>
        <w:szCs w:val="16"/>
        <w:lang w:val="es-ES_tradnl"/>
      </w:rPr>
      <w:t>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w:t>
    </w:r>
    <w:r w:rsidR="00357A82">
      <w:rPr>
        <w:rFonts w:ascii="Verdana" w:hAnsi="Verdana"/>
        <w:b/>
        <w:sz w:val="16"/>
        <w:szCs w:val="16"/>
        <w:lang w:val="es-ES_tradnl"/>
      </w:rPr>
      <w:t>5</w:t>
    </w:r>
  </w:p>
  <w:p w:rsidR="009D5E02" w:rsidRPr="00C8585B" w:rsidRDefault="009D5E02" w:rsidP="001A2515">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9D5E02" w:rsidRPr="001A2515" w:rsidRDefault="009D5E02" w:rsidP="001A2515">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7B6F" w:rsidRDefault="00EC7B6F" w:rsidP="00C8585B">
      <w:pPr>
        <w:spacing w:after="0" w:line="240" w:lineRule="auto"/>
      </w:pPr>
      <w:r>
        <w:separator/>
      </w:r>
    </w:p>
  </w:footnote>
  <w:footnote w:type="continuationSeparator" w:id="0">
    <w:p w:rsidR="00EC7B6F" w:rsidRDefault="00EC7B6F"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57" w:type="dxa"/>
      <w:jc w:val="center"/>
      <w:tblLayout w:type="fixed"/>
      <w:tblLook w:val="04A0" w:firstRow="1" w:lastRow="0" w:firstColumn="1" w:lastColumn="0" w:noHBand="0" w:noVBand="1"/>
    </w:tblPr>
    <w:tblGrid>
      <w:gridCol w:w="1425"/>
      <w:gridCol w:w="8632"/>
    </w:tblGrid>
    <w:tr w:rsidR="00F31B37" w:rsidRPr="004D77C8" w:rsidTr="00F31B37">
      <w:trPr>
        <w:trHeight w:val="1114"/>
        <w:jc w:val="center"/>
      </w:trPr>
      <w:tc>
        <w:tcPr>
          <w:tcW w:w="1425" w:type="dxa"/>
        </w:tcPr>
        <w:p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val="es-ES_tradnl" w:eastAsia="es-ES_tradnl"/>
            </w:rPr>
            <w:drawing>
              <wp:anchor distT="0" distB="0" distL="114300" distR="114300" simplePos="0" relativeHeight="251661312" behindDoc="1" locked="0" layoutInCell="1" allowOverlap="1" wp14:anchorId="1C64F098" wp14:editId="676EC152">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F31B37" w:rsidRDefault="00F31B37" w:rsidP="00F31B37">
          <w:pPr>
            <w:pStyle w:val="Encabezado"/>
            <w:jc w:val="center"/>
            <w:rPr>
              <w:rFonts w:ascii="Verdana" w:hAnsi="Verdana"/>
              <w:b/>
              <w:sz w:val="16"/>
              <w:szCs w:val="16"/>
              <w:lang w:val="es-ES_tradnl"/>
            </w:rPr>
          </w:pPr>
        </w:p>
        <w:p w:rsidR="00F31B37" w:rsidRPr="00C8585B" w:rsidRDefault="00972A58" w:rsidP="00972A58">
          <w:pPr>
            <w:pStyle w:val="Encabezado"/>
            <w:jc w:val="center"/>
            <w:rPr>
              <w:rFonts w:ascii="Verdana" w:hAnsi="Verdana"/>
              <w:b/>
              <w:sz w:val="16"/>
              <w:szCs w:val="16"/>
              <w:lang w:val="es-ES_tradnl"/>
            </w:rPr>
          </w:pPr>
          <w:r w:rsidRPr="00972A58">
            <w:rPr>
              <w:rFonts w:ascii="Verdana" w:hAnsi="Verdana"/>
              <w:b/>
              <w:sz w:val="16"/>
              <w:szCs w:val="16"/>
              <w:lang w:val="es-ES_tradnl"/>
            </w:rPr>
            <w:t>V Convención Científica</w:t>
          </w:r>
          <w:r>
            <w:rPr>
              <w:rFonts w:ascii="Verdana" w:hAnsi="Verdana"/>
              <w:b/>
              <w:sz w:val="16"/>
              <w:szCs w:val="16"/>
              <w:lang w:val="es-ES_tradnl"/>
            </w:rPr>
            <w:t xml:space="preserve"> </w:t>
          </w:r>
          <w:r w:rsidR="00357A82">
            <w:rPr>
              <w:rFonts w:ascii="Verdana" w:hAnsi="Verdana"/>
              <w:b/>
              <w:sz w:val="16"/>
              <w:szCs w:val="16"/>
              <w:lang w:val="es-ES_tradnl"/>
            </w:rPr>
            <w:t>Internacional UCLV 2025</w:t>
          </w:r>
        </w:p>
        <w:p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F31B37" w:rsidRPr="000A6EC7" w:rsidRDefault="00F31B37" w:rsidP="00F31B37">
          <w:pPr>
            <w:pStyle w:val="Encabezado"/>
            <w:jc w:val="center"/>
            <w:rPr>
              <w:rFonts w:ascii="Verdana" w:hAnsi="Verdana"/>
              <w:b/>
              <w:sz w:val="18"/>
              <w:szCs w:val="18"/>
              <w:lang w:val="en-GB"/>
            </w:rPr>
          </w:pPr>
        </w:p>
      </w:tc>
    </w:tr>
  </w:tbl>
  <w:p w:rsidR="009D5E02" w:rsidRDefault="009D5E0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147311"/>
    <w:multiLevelType w:val="hybridMultilevel"/>
    <w:tmpl w:val="2C16BC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5F455D3"/>
    <w:multiLevelType w:val="hybridMultilevel"/>
    <w:tmpl w:val="370069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64F541F"/>
    <w:multiLevelType w:val="hybridMultilevel"/>
    <w:tmpl w:val="BCB051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90E004E"/>
    <w:multiLevelType w:val="hybridMultilevel"/>
    <w:tmpl w:val="26828B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E285652"/>
    <w:multiLevelType w:val="hybridMultilevel"/>
    <w:tmpl w:val="FC10A1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585B"/>
    <w:rsid w:val="00011EBA"/>
    <w:rsid w:val="00046F14"/>
    <w:rsid w:val="00076B86"/>
    <w:rsid w:val="000900A7"/>
    <w:rsid w:val="000A6EC7"/>
    <w:rsid w:val="000C14DC"/>
    <w:rsid w:val="001418B9"/>
    <w:rsid w:val="0017363F"/>
    <w:rsid w:val="001A2515"/>
    <w:rsid w:val="001D55C7"/>
    <w:rsid w:val="001E26A3"/>
    <w:rsid w:val="0024259A"/>
    <w:rsid w:val="002A3855"/>
    <w:rsid w:val="002E0882"/>
    <w:rsid w:val="002E272A"/>
    <w:rsid w:val="003135CC"/>
    <w:rsid w:val="0033714E"/>
    <w:rsid w:val="00357A82"/>
    <w:rsid w:val="003B4EC0"/>
    <w:rsid w:val="00403285"/>
    <w:rsid w:val="004403B7"/>
    <w:rsid w:val="005051A1"/>
    <w:rsid w:val="005754D8"/>
    <w:rsid w:val="005B1269"/>
    <w:rsid w:val="00625465"/>
    <w:rsid w:val="006271E4"/>
    <w:rsid w:val="00667F10"/>
    <w:rsid w:val="00671849"/>
    <w:rsid w:val="00673131"/>
    <w:rsid w:val="006A48A4"/>
    <w:rsid w:val="007361F1"/>
    <w:rsid w:val="007455FF"/>
    <w:rsid w:val="00815971"/>
    <w:rsid w:val="0088159E"/>
    <w:rsid w:val="00886B31"/>
    <w:rsid w:val="008A1C16"/>
    <w:rsid w:val="008B1F07"/>
    <w:rsid w:val="008B5C25"/>
    <w:rsid w:val="008E618A"/>
    <w:rsid w:val="009061A5"/>
    <w:rsid w:val="00914C6B"/>
    <w:rsid w:val="00915965"/>
    <w:rsid w:val="0091621C"/>
    <w:rsid w:val="00943B20"/>
    <w:rsid w:val="00972A58"/>
    <w:rsid w:val="009B1EF2"/>
    <w:rsid w:val="009D5E02"/>
    <w:rsid w:val="009D67CD"/>
    <w:rsid w:val="00A156A5"/>
    <w:rsid w:val="00A21A1F"/>
    <w:rsid w:val="00A62A14"/>
    <w:rsid w:val="00A83B6C"/>
    <w:rsid w:val="00AB6D9E"/>
    <w:rsid w:val="00AE534B"/>
    <w:rsid w:val="00B00CBE"/>
    <w:rsid w:val="00B2024E"/>
    <w:rsid w:val="00B80E97"/>
    <w:rsid w:val="00BA5DA7"/>
    <w:rsid w:val="00BB42F4"/>
    <w:rsid w:val="00BC770B"/>
    <w:rsid w:val="00C1349F"/>
    <w:rsid w:val="00C17100"/>
    <w:rsid w:val="00C579DD"/>
    <w:rsid w:val="00C8585B"/>
    <w:rsid w:val="00CD2BC3"/>
    <w:rsid w:val="00D07BE5"/>
    <w:rsid w:val="00D11B94"/>
    <w:rsid w:val="00D36D1C"/>
    <w:rsid w:val="00D668E6"/>
    <w:rsid w:val="00D73DE9"/>
    <w:rsid w:val="00DC7C02"/>
    <w:rsid w:val="00DD526E"/>
    <w:rsid w:val="00DF39C8"/>
    <w:rsid w:val="00E04274"/>
    <w:rsid w:val="00E047AE"/>
    <w:rsid w:val="00E40131"/>
    <w:rsid w:val="00E912D0"/>
    <w:rsid w:val="00EA782F"/>
    <w:rsid w:val="00EC7B6F"/>
    <w:rsid w:val="00F31B37"/>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26197B"/>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s-ES"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26A3"/>
  </w:style>
  <w:style w:type="paragraph" w:styleId="Ttulo1">
    <w:name w:val="heading 1"/>
    <w:basedOn w:val="Normal"/>
    <w:next w:val="Normal"/>
    <w:link w:val="Ttulo1Car"/>
    <w:uiPriority w:val="9"/>
    <w:qFormat/>
    <w:rsid w:val="001E26A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1E26A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1E26A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1E26A3"/>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1E26A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1E26A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1E26A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1E26A3"/>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1E26A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styleId="Mencinsinresolver">
    <w:name w:val="Unresolved Mention"/>
    <w:basedOn w:val="Fuentedeprrafopredeter"/>
    <w:uiPriority w:val="99"/>
    <w:semiHidden/>
    <w:unhideWhenUsed/>
    <w:rsid w:val="00076B86"/>
    <w:rPr>
      <w:color w:val="605E5C"/>
      <w:shd w:val="clear" w:color="auto" w:fill="E1DFDD"/>
    </w:rPr>
  </w:style>
  <w:style w:type="character" w:customStyle="1" w:styleId="Ttulo1Car">
    <w:name w:val="Título 1 Car"/>
    <w:basedOn w:val="Fuentedeprrafopredeter"/>
    <w:link w:val="Ttulo1"/>
    <w:uiPriority w:val="9"/>
    <w:rsid w:val="001E26A3"/>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semiHidden/>
    <w:rsid w:val="001E26A3"/>
    <w:rPr>
      <w:rFonts w:asciiTheme="majorHAnsi" w:eastAsiaTheme="majorEastAsia" w:hAnsiTheme="majorHAnsi" w:cstheme="majorBidi"/>
      <w:color w:val="404040" w:themeColor="text1" w:themeTint="BF"/>
      <w:sz w:val="28"/>
      <w:szCs w:val="28"/>
    </w:rPr>
  </w:style>
  <w:style w:type="character" w:customStyle="1" w:styleId="Ttulo3Car">
    <w:name w:val="Título 3 Car"/>
    <w:basedOn w:val="Fuentedeprrafopredeter"/>
    <w:link w:val="Ttulo3"/>
    <w:uiPriority w:val="9"/>
    <w:semiHidden/>
    <w:rsid w:val="001E26A3"/>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1E26A3"/>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1E26A3"/>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1E26A3"/>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1E26A3"/>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1E26A3"/>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1E26A3"/>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1E26A3"/>
    <w:pPr>
      <w:spacing w:line="240" w:lineRule="auto"/>
    </w:pPr>
    <w:rPr>
      <w:b/>
      <w:bCs/>
      <w:smallCaps/>
      <w:color w:val="595959" w:themeColor="text1" w:themeTint="A6"/>
      <w:spacing w:val="6"/>
    </w:rPr>
  </w:style>
  <w:style w:type="paragraph" w:styleId="Ttulo">
    <w:name w:val="Title"/>
    <w:basedOn w:val="Normal"/>
    <w:next w:val="Normal"/>
    <w:link w:val="TtuloCar"/>
    <w:uiPriority w:val="10"/>
    <w:qFormat/>
    <w:rsid w:val="001E26A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tuloCar">
    <w:name w:val="Título Car"/>
    <w:basedOn w:val="Fuentedeprrafopredeter"/>
    <w:link w:val="Ttulo"/>
    <w:uiPriority w:val="10"/>
    <w:rsid w:val="001E26A3"/>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1E26A3"/>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1E26A3"/>
    <w:rPr>
      <w:rFonts w:asciiTheme="majorHAnsi" w:eastAsiaTheme="majorEastAsia" w:hAnsiTheme="majorHAnsi" w:cstheme="majorBidi"/>
      <w:sz w:val="24"/>
      <w:szCs w:val="24"/>
    </w:rPr>
  </w:style>
  <w:style w:type="character" w:styleId="Textoennegrita">
    <w:name w:val="Strong"/>
    <w:basedOn w:val="Fuentedeprrafopredeter"/>
    <w:uiPriority w:val="22"/>
    <w:qFormat/>
    <w:rsid w:val="001E26A3"/>
    <w:rPr>
      <w:b/>
      <w:bCs/>
    </w:rPr>
  </w:style>
  <w:style w:type="character" w:styleId="nfasis">
    <w:name w:val="Emphasis"/>
    <w:basedOn w:val="Fuentedeprrafopredeter"/>
    <w:uiPriority w:val="20"/>
    <w:qFormat/>
    <w:rsid w:val="001E26A3"/>
    <w:rPr>
      <w:i/>
      <w:iCs/>
    </w:rPr>
  </w:style>
  <w:style w:type="paragraph" w:styleId="Sinespaciado">
    <w:name w:val="No Spacing"/>
    <w:uiPriority w:val="1"/>
    <w:qFormat/>
    <w:rsid w:val="001E26A3"/>
    <w:pPr>
      <w:spacing w:after="0" w:line="240" w:lineRule="auto"/>
    </w:pPr>
  </w:style>
  <w:style w:type="paragraph" w:styleId="Cita">
    <w:name w:val="Quote"/>
    <w:basedOn w:val="Normal"/>
    <w:next w:val="Normal"/>
    <w:link w:val="CitaCar"/>
    <w:uiPriority w:val="29"/>
    <w:qFormat/>
    <w:rsid w:val="001E26A3"/>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1E26A3"/>
    <w:rPr>
      <w:i/>
      <w:iCs/>
      <w:color w:val="404040" w:themeColor="text1" w:themeTint="BF"/>
    </w:rPr>
  </w:style>
  <w:style w:type="paragraph" w:styleId="Citadestacada">
    <w:name w:val="Intense Quote"/>
    <w:basedOn w:val="Normal"/>
    <w:next w:val="Normal"/>
    <w:link w:val="CitadestacadaCar"/>
    <w:uiPriority w:val="30"/>
    <w:qFormat/>
    <w:rsid w:val="001E26A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1E26A3"/>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1E26A3"/>
    <w:rPr>
      <w:i/>
      <w:iCs/>
      <w:color w:val="404040" w:themeColor="text1" w:themeTint="BF"/>
    </w:rPr>
  </w:style>
  <w:style w:type="character" w:styleId="nfasisintenso">
    <w:name w:val="Intense Emphasis"/>
    <w:basedOn w:val="Fuentedeprrafopredeter"/>
    <w:uiPriority w:val="21"/>
    <w:qFormat/>
    <w:rsid w:val="001E26A3"/>
    <w:rPr>
      <w:b/>
      <w:bCs/>
      <w:i/>
      <w:iCs/>
    </w:rPr>
  </w:style>
  <w:style w:type="character" w:styleId="Referenciasutil">
    <w:name w:val="Subtle Reference"/>
    <w:basedOn w:val="Fuentedeprrafopredeter"/>
    <w:uiPriority w:val="31"/>
    <w:qFormat/>
    <w:rsid w:val="001E26A3"/>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1E26A3"/>
    <w:rPr>
      <w:b/>
      <w:bCs/>
      <w:smallCaps/>
      <w:spacing w:val="5"/>
      <w:u w:val="single"/>
    </w:rPr>
  </w:style>
  <w:style w:type="character" w:styleId="Ttulodellibro">
    <w:name w:val="Book Title"/>
    <w:basedOn w:val="Fuentedeprrafopredeter"/>
    <w:uiPriority w:val="33"/>
    <w:qFormat/>
    <w:rsid w:val="001E26A3"/>
    <w:rPr>
      <w:b/>
      <w:bCs/>
      <w:smallCaps/>
    </w:rPr>
  </w:style>
  <w:style w:type="paragraph" w:styleId="TtuloTDC">
    <w:name w:val="TOC Heading"/>
    <w:basedOn w:val="Ttulo1"/>
    <w:next w:val="Normal"/>
    <w:uiPriority w:val="39"/>
    <w:semiHidden/>
    <w:unhideWhenUsed/>
    <w:qFormat/>
    <w:rsid w:val="001E26A3"/>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34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rikhernandezsolis72@gmail.com"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hsolis@uclv.cu" TargetMode="Externa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martinez@uclv.c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edgar.hernandez@inder.gov.cu" TargetMode="External"/><Relationship Id="rId4" Type="http://schemas.openxmlformats.org/officeDocument/2006/relationships/webSettings" Target="webSettings.xml"/><Relationship Id="rId9" Type="http://schemas.openxmlformats.org/officeDocument/2006/relationships/hyperlink" Target="mailto:jgpascual@uclv.cu"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TotalTime>
  <Pages>15</Pages>
  <Words>5192</Words>
  <Characters>28560</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33685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lio</cp:lastModifiedBy>
  <cp:revision>24</cp:revision>
  <dcterms:created xsi:type="dcterms:W3CDTF">2021-05-14T03:18:00Z</dcterms:created>
  <dcterms:modified xsi:type="dcterms:W3CDTF">2025-07-18T12:47:00Z</dcterms:modified>
</cp:coreProperties>
</file>