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71C3C" w14:textId="1D99A96A" w:rsidR="0060506E" w:rsidRPr="0060506E" w:rsidRDefault="0060506E" w:rsidP="005466EB">
      <w:pPr>
        <w:spacing w:line="276" w:lineRule="auto"/>
        <w:rPr>
          <w:rFonts w:cs="Arial"/>
          <w:b/>
          <w:kern w:val="2"/>
          <w:sz w:val="40"/>
          <w:szCs w:val="40"/>
        </w:rPr>
      </w:pPr>
    </w:p>
    <w:p w14:paraId="71B30D13" w14:textId="05081298" w:rsidR="00B22E73" w:rsidRPr="00D75054" w:rsidRDefault="00000000" w:rsidP="00093B50">
      <w:pPr>
        <w:jc w:val="left"/>
        <w:rPr>
          <w:rStyle w:val="Estilo1"/>
          <w:rFonts w:cs="Arial"/>
          <w:szCs w:val="40"/>
        </w:rPr>
      </w:pPr>
      <w:sdt>
        <w:sdtPr>
          <w:rPr>
            <w:rStyle w:val="Estilo2"/>
            <w:rFonts w:cs="Arial"/>
            <w:szCs w:val="40"/>
          </w:rPr>
          <w:alias w:val="Título"/>
          <w:tag w:val="Título"/>
          <w:id w:val="28322219"/>
          <w:lock w:val="sdtLocked"/>
          <w:placeholder>
            <w:docPart w:val="FE62231491BA400CA7A769FFDC67880A"/>
          </w:placeholder>
        </w:sdtPr>
        <w:sdtEndPr>
          <w:rPr>
            <w:rStyle w:val="Estilo2"/>
            <w:rFonts w:cs="Times New Roman"/>
            <w:szCs w:val="22"/>
          </w:rPr>
        </w:sdtEndPr>
        <w:sdtContent>
          <w:r w:rsidR="00D75054" w:rsidRPr="00D75054">
            <w:rPr>
              <w:rFonts w:cs="Arial"/>
              <w:sz w:val="40"/>
              <w:szCs w:val="40"/>
            </w:rPr>
            <w:t>CUANTIFICACIÓN DE AUSTENITA EN ZAT DE SOLDADURAS DE ACEROS DÚPLEX CON PROCESAMIENTO DE IMÁGENES EN PYTHON</w:t>
          </w:r>
        </w:sdtContent>
      </w:sdt>
    </w:p>
    <w:sdt>
      <w:sdtPr>
        <w:rPr>
          <w:rStyle w:val="Estilo2"/>
          <w:i/>
          <w:iCs/>
        </w:rPr>
        <w:alias w:val="Title"/>
        <w:tag w:val="Title"/>
        <w:id w:val="28322220"/>
        <w:lock w:val="sdtLocked"/>
        <w:placeholder>
          <w:docPart w:val="FE62231491BA400CA7A769FFDC67880A"/>
        </w:placeholder>
      </w:sdtPr>
      <w:sdtEndPr>
        <w:rPr>
          <w:rStyle w:val="Estilo2"/>
          <w:rFonts w:cs="Arial"/>
          <w:sz w:val="56"/>
          <w:szCs w:val="36"/>
        </w:rPr>
      </w:sdtEndPr>
      <w:sdtContent>
        <w:p w14:paraId="7D098597" w14:textId="2148510E" w:rsidR="00D92002" w:rsidRPr="006A78DB" w:rsidRDefault="00D75054" w:rsidP="00093B50">
          <w:pPr>
            <w:spacing w:before="240"/>
            <w:jc w:val="left"/>
            <w:rPr>
              <w:rFonts w:cs="Arial"/>
              <w:i/>
              <w:iCs/>
              <w:sz w:val="40"/>
              <w:szCs w:val="40"/>
              <w:lang w:val="en-US"/>
            </w:rPr>
          </w:pPr>
          <w:r w:rsidRPr="006A78DB">
            <w:rPr>
              <w:rFonts w:cs="Arial"/>
              <w:i/>
              <w:iCs/>
              <w:sz w:val="40"/>
              <w:szCs w:val="40"/>
              <w:lang w:val="en-US"/>
            </w:rPr>
            <w:t>AUSTENITE QUANTIFICATION IN THE HAZ OF DUPLEX STEEL WELDS USING IMAGE PROCESSING IN PYTHON</w:t>
          </w:r>
        </w:p>
      </w:sdtContent>
    </w:sdt>
    <w:p w14:paraId="7156DD13" w14:textId="77777777" w:rsidR="00B22E73" w:rsidRPr="00C943F5" w:rsidRDefault="00B22E73" w:rsidP="005466EB">
      <w:pPr>
        <w:spacing w:line="276" w:lineRule="auto"/>
        <w:rPr>
          <w:b/>
          <w:kern w:val="2"/>
          <w:sz w:val="20"/>
          <w:szCs w:val="20"/>
          <w:lang w:val="en-US"/>
        </w:rPr>
      </w:pPr>
    </w:p>
    <w:p w14:paraId="4AFDBC36" w14:textId="67D842A0" w:rsidR="00D92002" w:rsidRPr="00093B50" w:rsidRDefault="00000000" w:rsidP="00093B50">
      <w:pPr>
        <w:rPr>
          <w:rFonts w:cs="Arial"/>
          <w:smallCaps/>
          <w:kern w:val="2"/>
          <w:sz w:val="24"/>
          <w:szCs w:val="24"/>
        </w:rPr>
      </w:pPr>
      <w:sdt>
        <w:sdtPr>
          <w:rPr>
            <w:rFonts w:ascii="Times New Roman" w:hAnsi="Times New Roman"/>
            <w:caps/>
            <w:kern w:val="2"/>
            <w:sz w:val="24"/>
            <w:szCs w:val="24"/>
          </w:rPr>
          <w:alias w:val="autor"/>
          <w:tag w:val="autor"/>
          <w:id w:val="28322221"/>
          <w:lock w:val="sdtLocked"/>
          <w:placeholder>
            <w:docPart w:val="FE62231491BA400CA7A769FFDC67880A"/>
          </w:placeholder>
        </w:sdtPr>
        <w:sdtEndPr>
          <w:rPr>
            <w:vertAlign w:val="superscript"/>
          </w:rPr>
        </w:sdtEndPr>
        <w:sdtContent>
          <w:r w:rsidR="00AB01B8" w:rsidRPr="00093B50">
            <w:rPr>
              <w:rFonts w:cs="Arial"/>
              <w:smallCaps/>
              <w:kern w:val="2"/>
              <w:sz w:val="24"/>
              <w:szCs w:val="24"/>
            </w:rPr>
            <w:t xml:space="preserve">E.V. </w:t>
          </w:r>
          <w:r w:rsidR="00B53CC7" w:rsidRPr="00093B50">
            <w:rPr>
              <w:rFonts w:cs="Arial"/>
              <w:smallCaps/>
              <w:kern w:val="2"/>
              <w:sz w:val="24"/>
              <w:szCs w:val="24"/>
            </w:rPr>
            <w:t xml:space="preserve">Pérez </w:t>
          </w:r>
          <w:r w:rsidR="00A24B16" w:rsidRPr="00093B50">
            <w:rPr>
              <w:rFonts w:cs="Arial"/>
              <w:kern w:val="2"/>
              <w:sz w:val="24"/>
              <w:szCs w:val="24"/>
              <w:vertAlign w:val="superscript"/>
            </w:rPr>
            <w:t>a</w:t>
          </w:r>
          <w:r w:rsidR="00D75054" w:rsidRPr="00093B50">
            <w:rPr>
              <w:rFonts w:cs="Arial"/>
              <w:kern w:val="2"/>
              <w:sz w:val="24"/>
              <w:szCs w:val="24"/>
              <w:vertAlign w:val="superscript"/>
            </w:rPr>
            <w:t>†</w:t>
          </w:r>
          <w:r w:rsidR="00B22E73" w:rsidRPr="00093B50">
            <w:rPr>
              <w:rFonts w:cs="Arial"/>
              <w:smallCaps/>
              <w:kern w:val="2"/>
              <w:sz w:val="24"/>
              <w:szCs w:val="24"/>
            </w:rPr>
            <w:t xml:space="preserve">, </w:t>
          </w:r>
          <w:r w:rsidR="00D75054" w:rsidRPr="00093B50">
            <w:rPr>
              <w:rFonts w:cs="Arial"/>
              <w:smallCaps/>
              <w:kern w:val="2"/>
              <w:sz w:val="24"/>
              <w:szCs w:val="24"/>
            </w:rPr>
            <w:t>A</w:t>
          </w:r>
          <w:r w:rsidR="00B22E73" w:rsidRPr="00093B50">
            <w:rPr>
              <w:rFonts w:cs="Arial"/>
              <w:smallCaps/>
              <w:kern w:val="2"/>
              <w:sz w:val="24"/>
              <w:szCs w:val="24"/>
            </w:rPr>
            <w:t xml:space="preserve">. </w:t>
          </w:r>
          <w:r w:rsidR="00D75054" w:rsidRPr="00093B50">
            <w:rPr>
              <w:rFonts w:cs="Arial"/>
              <w:smallCaps/>
              <w:kern w:val="2"/>
              <w:sz w:val="24"/>
              <w:szCs w:val="24"/>
            </w:rPr>
            <w:t>Cr</w:t>
          </w:r>
          <w:r w:rsidR="00B22E73" w:rsidRPr="00093B50">
            <w:rPr>
              <w:rFonts w:cs="Arial"/>
              <w:smallCaps/>
              <w:kern w:val="2"/>
              <w:sz w:val="24"/>
              <w:szCs w:val="24"/>
            </w:rPr>
            <w:t>uz</w:t>
          </w:r>
          <w:r w:rsidR="00D75054" w:rsidRPr="00093B50">
            <w:rPr>
              <w:rFonts w:cs="Arial"/>
              <w:smallCaps/>
              <w:kern w:val="2"/>
              <w:sz w:val="24"/>
              <w:szCs w:val="24"/>
            </w:rPr>
            <w:t>-Crespo</w:t>
          </w:r>
          <w:r w:rsidR="00B53CC7" w:rsidRPr="00093B50">
            <w:rPr>
              <w:rFonts w:cs="Arial"/>
              <w:smallCaps/>
              <w:kern w:val="2"/>
              <w:sz w:val="24"/>
              <w:szCs w:val="24"/>
            </w:rPr>
            <w:t xml:space="preserve"> </w:t>
          </w:r>
          <w:r w:rsidR="00D92002" w:rsidRPr="00093B50">
            <w:rPr>
              <w:rFonts w:cs="Arial"/>
              <w:kern w:val="2"/>
              <w:sz w:val="24"/>
              <w:szCs w:val="24"/>
              <w:vertAlign w:val="superscript"/>
            </w:rPr>
            <w:t>b</w:t>
          </w:r>
          <w:r w:rsidR="00D75054" w:rsidRPr="00093B50">
            <w:rPr>
              <w:rFonts w:cs="Arial"/>
              <w:smallCaps/>
              <w:kern w:val="2"/>
              <w:sz w:val="24"/>
              <w:szCs w:val="24"/>
            </w:rPr>
            <w:t>,</w:t>
          </w:r>
          <w:r w:rsidR="006A78DB" w:rsidRPr="00093B50">
            <w:rPr>
              <w:rFonts w:cs="Arial"/>
              <w:smallCaps/>
              <w:kern w:val="2"/>
              <w:sz w:val="24"/>
              <w:szCs w:val="24"/>
            </w:rPr>
            <w:t xml:space="preserve"> J.L. Ginori </w:t>
          </w:r>
          <w:r w:rsidR="006A78DB" w:rsidRPr="00093B50">
            <w:rPr>
              <w:rFonts w:cs="Arial"/>
              <w:kern w:val="2"/>
              <w:sz w:val="24"/>
              <w:szCs w:val="24"/>
              <w:vertAlign w:val="superscript"/>
            </w:rPr>
            <w:t>c</w:t>
          </w:r>
          <w:r w:rsidR="00AB01B8" w:rsidRPr="00093B50">
            <w:rPr>
              <w:rFonts w:cs="Arial"/>
              <w:smallCaps/>
              <w:kern w:val="2"/>
              <w:sz w:val="24"/>
              <w:szCs w:val="24"/>
            </w:rPr>
            <w:t>,</w:t>
          </w:r>
          <w:r w:rsidR="006A78DB" w:rsidRPr="00093B50">
            <w:rPr>
              <w:rFonts w:cs="Arial"/>
              <w:smallCaps/>
              <w:kern w:val="2"/>
              <w:sz w:val="24"/>
              <w:szCs w:val="24"/>
            </w:rPr>
            <w:t xml:space="preserve"> </w:t>
          </w:r>
          <w:r w:rsidR="00AB01B8" w:rsidRPr="00093B50">
            <w:rPr>
              <w:rFonts w:cs="Arial"/>
              <w:smallCaps/>
              <w:kern w:val="2"/>
              <w:sz w:val="24"/>
              <w:szCs w:val="24"/>
            </w:rPr>
            <w:t>R</w:t>
          </w:r>
          <w:r w:rsidR="00B22E73" w:rsidRPr="00093B50">
            <w:rPr>
              <w:rFonts w:cs="Arial"/>
              <w:smallCaps/>
              <w:kern w:val="2"/>
              <w:sz w:val="24"/>
              <w:szCs w:val="24"/>
            </w:rPr>
            <w:t>.</w:t>
          </w:r>
          <w:r w:rsidR="00AB01B8" w:rsidRPr="00093B50">
            <w:rPr>
              <w:rFonts w:cs="Arial"/>
              <w:smallCaps/>
              <w:kern w:val="2"/>
              <w:sz w:val="24"/>
              <w:szCs w:val="24"/>
            </w:rPr>
            <w:t>V. Arencibia</w:t>
          </w:r>
          <w:r w:rsidR="00B53CC7" w:rsidRPr="00093B50">
            <w:rPr>
              <w:rFonts w:cs="Arial"/>
              <w:smallCaps/>
              <w:kern w:val="2"/>
              <w:sz w:val="24"/>
              <w:szCs w:val="24"/>
            </w:rPr>
            <w:t xml:space="preserve"> </w:t>
          </w:r>
          <w:r w:rsidR="006A78DB" w:rsidRPr="00093B50">
            <w:rPr>
              <w:rFonts w:cs="Arial"/>
              <w:kern w:val="2"/>
              <w:sz w:val="24"/>
              <w:szCs w:val="24"/>
              <w:vertAlign w:val="superscript"/>
            </w:rPr>
            <w:t xml:space="preserve">d </w:t>
          </w:r>
        </w:sdtContent>
      </w:sdt>
      <w:r w:rsidR="006A78DB" w:rsidRPr="00093B50">
        <w:rPr>
          <w:rFonts w:cs="Arial"/>
          <w:smallCaps/>
          <w:kern w:val="2"/>
          <w:sz w:val="24"/>
          <w:szCs w:val="24"/>
        </w:rPr>
        <w:t xml:space="preserve">, E.V. Morales </w:t>
      </w:r>
      <w:r w:rsidR="006A78DB" w:rsidRPr="00093B50">
        <w:rPr>
          <w:rFonts w:cs="Arial"/>
          <w:kern w:val="2"/>
          <w:sz w:val="24"/>
          <w:szCs w:val="24"/>
          <w:vertAlign w:val="superscript"/>
        </w:rPr>
        <w:t>a</w:t>
      </w:r>
      <w:r w:rsidR="00017B82">
        <w:rPr>
          <w:rFonts w:cs="Arial"/>
          <w:kern w:val="2"/>
          <w:sz w:val="24"/>
          <w:szCs w:val="24"/>
          <w:vertAlign w:val="superscript"/>
        </w:rPr>
        <w:t>,b</w:t>
      </w:r>
      <w:r w:rsidR="006A78DB" w:rsidRPr="00093B50">
        <w:rPr>
          <w:rFonts w:cs="Arial"/>
          <w:smallCaps/>
          <w:kern w:val="2"/>
          <w:sz w:val="24"/>
          <w:szCs w:val="24"/>
        </w:rPr>
        <w:t xml:space="preserve"> y J.M. Oria </w:t>
      </w:r>
      <w:r w:rsidR="006A78DB" w:rsidRPr="00093B50">
        <w:rPr>
          <w:rFonts w:cs="Arial"/>
          <w:kern w:val="2"/>
          <w:sz w:val="24"/>
          <w:szCs w:val="24"/>
          <w:vertAlign w:val="superscript"/>
        </w:rPr>
        <w:t>b</w:t>
      </w:r>
      <w:r w:rsidR="00017B82">
        <w:rPr>
          <w:rFonts w:cs="Arial"/>
          <w:kern w:val="2"/>
          <w:sz w:val="24"/>
          <w:szCs w:val="24"/>
          <w:vertAlign w:val="superscript"/>
        </w:rPr>
        <w:t>,b</w:t>
      </w:r>
    </w:p>
    <w:sdt>
      <w:sdtPr>
        <w:rPr>
          <w:rFonts w:ascii="Times New Roman" w:hAnsi="Times New Roman"/>
          <w:kern w:val="2"/>
          <w:sz w:val="24"/>
          <w:szCs w:val="24"/>
        </w:rPr>
        <w:alias w:val="afiliación"/>
        <w:tag w:val="afiliación"/>
        <w:id w:val="28322222"/>
        <w:lock w:val="sdtLocked"/>
        <w:placeholder>
          <w:docPart w:val="FE62231491BA400CA7A769FFDC67880A"/>
        </w:placeholder>
      </w:sdtPr>
      <w:sdtEndPr>
        <w:rPr>
          <w:rFonts w:ascii="Arial" w:hAnsi="Arial" w:cs="Arial"/>
        </w:rPr>
      </w:sdtEndPr>
      <w:sdtContent>
        <w:p w14:paraId="032A3EE2" w14:textId="7289A3F4" w:rsidR="00D92002" w:rsidRPr="00093B50" w:rsidRDefault="00D92002" w:rsidP="00093B50">
          <w:pPr>
            <w:rPr>
              <w:rFonts w:cs="Arial"/>
              <w:kern w:val="2"/>
              <w:sz w:val="24"/>
              <w:szCs w:val="24"/>
            </w:rPr>
          </w:pPr>
          <w:r w:rsidRPr="00093B50">
            <w:rPr>
              <w:rFonts w:cs="Arial"/>
              <w:kern w:val="2"/>
              <w:sz w:val="24"/>
              <w:szCs w:val="24"/>
            </w:rPr>
            <w:t xml:space="preserve">a) </w:t>
          </w:r>
          <w:r w:rsidR="00B22E73" w:rsidRPr="00093B50">
            <w:rPr>
              <w:rFonts w:cs="Arial"/>
              <w:kern w:val="2"/>
              <w:sz w:val="24"/>
              <w:szCs w:val="24"/>
            </w:rPr>
            <w:t>Facultad de</w:t>
          </w:r>
          <w:r w:rsidR="00AB01B8" w:rsidRPr="00093B50">
            <w:rPr>
              <w:rFonts w:cs="Arial"/>
              <w:kern w:val="2"/>
              <w:sz w:val="24"/>
              <w:szCs w:val="24"/>
            </w:rPr>
            <w:t xml:space="preserve"> Matemática, </w:t>
          </w:r>
          <w:r w:rsidR="00B22E73" w:rsidRPr="00093B50">
            <w:rPr>
              <w:rFonts w:cs="Arial"/>
              <w:kern w:val="2"/>
              <w:sz w:val="24"/>
              <w:szCs w:val="24"/>
            </w:rPr>
            <w:t>Física</w:t>
          </w:r>
          <w:r w:rsidR="00AB01B8" w:rsidRPr="00093B50">
            <w:rPr>
              <w:rFonts w:cs="Arial"/>
              <w:kern w:val="2"/>
              <w:sz w:val="24"/>
              <w:szCs w:val="24"/>
            </w:rPr>
            <w:t xml:space="preserve"> y Computación</w:t>
          </w:r>
          <w:r w:rsidR="00E75E20" w:rsidRPr="00093B50">
            <w:rPr>
              <w:rFonts w:cs="Arial"/>
              <w:sz w:val="24"/>
              <w:szCs w:val="24"/>
            </w:rPr>
            <w:t xml:space="preserve">, </w:t>
          </w:r>
          <w:r w:rsidR="00AB01B8" w:rsidRPr="00093B50">
            <w:rPr>
              <w:rFonts w:cs="Arial"/>
              <w:sz w:val="24"/>
              <w:szCs w:val="24"/>
            </w:rPr>
            <w:t>Universidad Central "Marta Abreu" de Las Villas,</w:t>
          </w:r>
          <w:r w:rsidR="00AB01B8" w:rsidRPr="00093B50">
            <w:rPr>
              <w:rFonts w:cs="Arial"/>
              <w:kern w:val="2"/>
              <w:sz w:val="24"/>
              <w:szCs w:val="24"/>
            </w:rPr>
            <w:t xml:space="preserve"> </w:t>
          </w:r>
          <w:r w:rsidR="00B22E73" w:rsidRPr="00093B50">
            <w:rPr>
              <w:rFonts w:cs="Arial"/>
              <w:kern w:val="2"/>
              <w:sz w:val="24"/>
              <w:szCs w:val="24"/>
            </w:rPr>
            <w:t>Cuba.</w:t>
          </w:r>
          <w:r w:rsidR="00111083" w:rsidRPr="00093B50">
            <w:rPr>
              <w:rFonts w:cs="Arial"/>
              <w:kern w:val="2"/>
              <w:sz w:val="24"/>
              <w:szCs w:val="24"/>
            </w:rPr>
            <w:t xml:space="preserve"> </w:t>
          </w:r>
          <w:hyperlink r:id="rId8" w:history="1">
            <w:r w:rsidR="00111083" w:rsidRPr="00093B50">
              <w:rPr>
                <w:rStyle w:val="Hyperlink"/>
                <w:rFonts w:cs="Arial"/>
                <w:sz w:val="24"/>
                <w:szCs w:val="24"/>
              </w:rPr>
              <w:t>valencia@uclv.edu.cu</w:t>
            </w:r>
          </w:hyperlink>
          <w:r w:rsidR="00017B82">
            <w:t xml:space="preserve"> </w:t>
          </w:r>
          <w:r w:rsidR="00017B82" w:rsidRPr="00093B50">
            <w:rPr>
              <w:rFonts w:cs="Arial"/>
              <w:kern w:val="2"/>
              <w:sz w:val="24"/>
              <w:szCs w:val="24"/>
              <w:vertAlign w:val="superscript"/>
            </w:rPr>
            <w:t>a</w:t>
          </w:r>
          <w:r w:rsidR="00017B82">
            <w:rPr>
              <w:rFonts w:cs="Arial"/>
              <w:kern w:val="2"/>
              <w:sz w:val="24"/>
              <w:szCs w:val="24"/>
              <w:vertAlign w:val="superscript"/>
            </w:rPr>
            <w:t>,b</w:t>
          </w:r>
          <w:r w:rsidR="00111083" w:rsidRPr="00093B50">
            <w:rPr>
              <w:sz w:val="24"/>
              <w:szCs w:val="24"/>
            </w:rPr>
            <w:t xml:space="preserve"> y </w:t>
          </w:r>
          <w:hyperlink r:id="rId9" w:history="1">
            <w:r w:rsidR="00111083" w:rsidRPr="00093B50">
              <w:rPr>
                <w:rStyle w:val="Hyperlink"/>
                <w:rFonts w:cs="Arial"/>
                <w:sz w:val="24"/>
                <w:szCs w:val="24"/>
              </w:rPr>
              <w:t>evperez@uclv.cu</w:t>
            </w:r>
          </w:hyperlink>
          <w:r w:rsidR="00017B82">
            <w:t xml:space="preserve"> </w:t>
          </w:r>
          <w:r w:rsidR="00017B82">
            <w:rPr>
              <w:rFonts w:cs="Arial"/>
              <w:kern w:val="2"/>
              <w:sz w:val="24"/>
              <w:szCs w:val="24"/>
              <w:vertAlign w:val="superscript"/>
            </w:rPr>
            <w:t>a</w:t>
          </w:r>
          <w:r w:rsidR="00017B82" w:rsidRPr="00093B50">
            <w:rPr>
              <w:rFonts w:cs="Arial"/>
              <w:kern w:val="2"/>
              <w:sz w:val="24"/>
              <w:szCs w:val="24"/>
              <w:vertAlign w:val="superscript"/>
            </w:rPr>
            <w:t>†</w:t>
          </w:r>
        </w:p>
        <w:p w14:paraId="6C1CC249" w14:textId="679DCB7F" w:rsidR="00AB01B8" w:rsidRPr="00093B50" w:rsidRDefault="00D92002" w:rsidP="00093B50">
          <w:pPr>
            <w:spacing w:before="240" w:after="160"/>
            <w:rPr>
              <w:rFonts w:cs="Arial"/>
              <w:sz w:val="24"/>
              <w:szCs w:val="24"/>
            </w:rPr>
          </w:pPr>
          <w:r w:rsidRPr="00093B50">
            <w:rPr>
              <w:rFonts w:cs="Arial"/>
              <w:kern w:val="2"/>
              <w:sz w:val="24"/>
              <w:szCs w:val="24"/>
            </w:rPr>
            <w:t>b</w:t>
          </w:r>
          <w:r w:rsidR="00B22E73" w:rsidRPr="00093B50">
            <w:rPr>
              <w:rFonts w:cs="Arial"/>
              <w:kern w:val="2"/>
              <w:sz w:val="24"/>
              <w:szCs w:val="24"/>
            </w:rPr>
            <w:t xml:space="preserve">) </w:t>
          </w:r>
          <w:r w:rsidR="00AB01B8" w:rsidRPr="00093B50">
            <w:rPr>
              <w:rFonts w:cs="Arial"/>
              <w:sz w:val="24"/>
              <w:szCs w:val="24"/>
            </w:rPr>
            <w:t>Facultad de Ingeniería Mecánica e Industrial</w:t>
          </w:r>
          <w:bookmarkStart w:id="0" w:name="_Hlk210120513"/>
          <w:r w:rsidR="00AB01B8" w:rsidRPr="00093B50">
            <w:rPr>
              <w:rFonts w:cs="Arial"/>
              <w:sz w:val="24"/>
              <w:szCs w:val="24"/>
            </w:rPr>
            <w:t>, Universidad Central "Marta Abreu" de Las Villas</w:t>
          </w:r>
          <w:bookmarkEnd w:id="0"/>
          <w:r w:rsidR="00AB01B8" w:rsidRPr="00093B50">
            <w:rPr>
              <w:rFonts w:cs="Arial"/>
              <w:sz w:val="24"/>
              <w:szCs w:val="24"/>
            </w:rPr>
            <w:t>, Cuba.</w:t>
          </w:r>
          <w:r w:rsidR="00C370AA" w:rsidRPr="00093B50">
            <w:rPr>
              <w:rFonts w:cs="Arial"/>
              <w:sz w:val="24"/>
              <w:szCs w:val="24"/>
            </w:rPr>
            <w:t xml:space="preserve"> </w:t>
          </w:r>
          <w:hyperlink r:id="rId10" w:history="1">
            <w:r w:rsidR="00C370AA" w:rsidRPr="00093B50">
              <w:rPr>
                <w:rStyle w:val="Hyperlink"/>
                <w:rFonts w:cs="Arial"/>
                <w:sz w:val="24"/>
                <w:szCs w:val="24"/>
              </w:rPr>
              <w:t>acruz@uclv.edu.cu</w:t>
            </w:r>
          </w:hyperlink>
          <w:r w:rsidR="00017B82">
            <w:t xml:space="preserve"> </w:t>
          </w:r>
          <w:r w:rsidR="00017B82" w:rsidRPr="00093B50">
            <w:rPr>
              <w:rFonts w:cs="Arial"/>
              <w:kern w:val="2"/>
              <w:sz w:val="24"/>
              <w:szCs w:val="24"/>
              <w:vertAlign w:val="superscript"/>
            </w:rPr>
            <w:t>b</w:t>
          </w:r>
          <w:r w:rsidR="00111083" w:rsidRPr="00093B50">
            <w:rPr>
              <w:sz w:val="24"/>
              <w:szCs w:val="24"/>
            </w:rPr>
            <w:t xml:space="preserve"> y</w:t>
          </w:r>
          <w:r w:rsidR="006A78DB" w:rsidRPr="00093B50">
            <w:rPr>
              <w:sz w:val="24"/>
              <w:szCs w:val="24"/>
            </w:rPr>
            <w:t xml:space="preserve"> </w:t>
          </w:r>
          <w:hyperlink r:id="rId11" w:history="1">
            <w:r w:rsidR="006A78DB" w:rsidRPr="00093B50">
              <w:rPr>
                <w:rStyle w:val="Hyperlink"/>
                <w:rFonts w:cs="Arial"/>
                <w:sz w:val="24"/>
                <w:szCs w:val="24"/>
              </w:rPr>
              <w:t>jmiguel@uclv.cu</w:t>
            </w:r>
          </w:hyperlink>
          <w:r w:rsidR="00017B82">
            <w:t xml:space="preserve"> </w:t>
          </w:r>
          <w:r w:rsidR="00017B82" w:rsidRPr="00093B50">
            <w:rPr>
              <w:rFonts w:cs="Arial"/>
              <w:kern w:val="2"/>
              <w:sz w:val="24"/>
              <w:szCs w:val="24"/>
              <w:vertAlign w:val="superscript"/>
            </w:rPr>
            <w:t>b</w:t>
          </w:r>
          <w:r w:rsidR="00017B82">
            <w:rPr>
              <w:rFonts w:cs="Arial"/>
              <w:kern w:val="2"/>
              <w:sz w:val="24"/>
              <w:szCs w:val="24"/>
              <w:vertAlign w:val="superscript"/>
            </w:rPr>
            <w:t>,b</w:t>
          </w:r>
        </w:p>
        <w:p w14:paraId="1914819D" w14:textId="2DD7241F" w:rsidR="00E75E20" w:rsidRPr="00093B50" w:rsidRDefault="006605E8" w:rsidP="00093B50">
          <w:pPr>
            <w:rPr>
              <w:rFonts w:cs="Arial"/>
              <w:sz w:val="24"/>
              <w:szCs w:val="24"/>
            </w:rPr>
          </w:pPr>
          <w:r w:rsidRPr="00093B50">
            <w:rPr>
              <w:rFonts w:cs="Arial"/>
              <w:sz w:val="24"/>
              <w:szCs w:val="24"/>
            </w:rPr>
            <w:t>c</w:t>
          </w:r>
          <w:r w:rsidR="00E75E20" w:rsidRPr="00093B50">
            <w:rPr>
              <w:rFonts w:cs="Arial"/>
              <w:sz w:val="24"/>
              <w:szCs w:val="24"/>
            </w:rPr>
            <w:t xml:space="preserve">) Facultad de Ingeniería Eléctrica, Universidad Central "Marta Abreu" de Las Villas, Cuba. </w:t>
          </w:r>
          <w:bookmarkStart w:id="1" w:name="_Hlk210120886"/>
          <w:r w:rsidR="00E75E20" w:rsidRPr="00093B50">
            <w:rPr>
              <w:rFonts w:cs="Arial"/>
              <w:sz w:val="24"/>
              <w:szCs w:val="24"/>
            </w:rPr>
            <w:fldChar w:fldCharType="begin"/>
          </w:r>
          <w:r w:rsidR="00E75E20" w:rsidRPr="00093B50">
            <w:rPr>
              <w:rFonts w:cs="Arial"/>
              <w:sz w:val="24"/>
              <w:szCs w:val="24"/>
            </w:rPr>
            <w:instrText>HYPERLINK "mailto:juanl@uclv.edu.cu"</w:instrText>
          </w:r>
          <w:r w:rsidR="00E75E20" w:rsidRPr="00093B50">
            <w:rPr>
              <w:rFonts w:cs="Arial"/>
              <w:sz w:val="24"/>
              <w:szCs w:val="24"/>
            </w:rPr>
          </w:r>
          <w:r w:rsidR="00E75E20" w:rsidRPr="00093B50">
            <w:rPr>
              <w:rFonts w:cs="Arial"/>
              <w:sz w:val="24"/>
              <w:szCs w:val="24"/>
            </w:rPr>
            <w:fldChar w:fldCharType="separate"/>
          </w:r>
          <w:r w:rsidR="00E75E20" w:rsidRPr="00093B50">
            <w:rPr>
              <w:rStyle w:val="Hyperlink"/>
              <w:rFonts w:cs="Arial"/>
              <w:sz w:val="24"/>
              <w:szCs w:val="24"/>
            </w:rPr>
            <w:t>juanl@uclv.edu.cu</w:t>
          </w:r>
          <w:r w:rsidR="00E75E20" w:rsidRPr="00093B50">
            <w:rPr>
              <w:rFonts w:cs="Arial"/>
              <w:sz w:val="24"/>
              <w:szCs w:val="24"/>
            </w:rPr>
            <w:fldChar w:fldCharType="end"/>
          </w:r>
          <w:bookmarkEnd w:id="1"/>
          <w:r w:rsidR="00017B82">
            <w:rPr>
              <w:rFonts w:cs="Arial"/>
              <w:sz w:val="24"/>
              <w:szCs w:val="24"/>
            </w:rPr>
            <w:t xml:space="preserve"> </w:t>
          </w:r>
          <w:r w:rsidR="00017B82">
            <w:rPr>
              <w:rFonts w:cs="Arial"/>
              <w:kern w:val="2"/>
              <w:sz w:val="24"/>
              <w:szCs w:val="24"/>
              <w:vertAlign w:val="superscript"/>
            </w:rPr>
            <w:t>c</w:t>
          </w:r>
        </w:p>
        <w:p w14:paraId="2B88DD42" w14:textId="40407803" w:rsidR="00E75E20" w:rsidRPr="00093B50" w:rsidRDefault="006605E8" w:rsidP="00093B50">
          <w:pPr>
            <w:rPr>
              <w:rFonts w:cs="Arial"/>
              <w:sz w:val="24"/>
              <w:szCs w:val="24"/>
            </w:rPr>
          </w:pPr>
          <w:r w:rsidRPr="00093B50">
            <w:rPr>
              <w:rFonts w:cs="Arial"/>
              <w:sz w:val="24"/>
              <w:szCs w:val="24"/>
            </w:rPr>
            <w:t>d</w:t>
          </w:r>
          <w:r w:rsidR="00E75E20" w:rsidRPr="00093B50">
            <w:rPr>
              <w:rFonts w:cs="Arial"/>
              <w:sz w:val="24"/>
              <w:szCs w:val="24"/>
            </w:rPr>
            <w:t xml:space="preserve">) </w:t>
          </w:r>
          <w:r w:rsidR="00B825D9" w:rsidRPr="00093B50">
            <w:rPr>
              <w:rFonts w:cs="Arial"/>
              <w:sz w:val="24"/>
              <w:szCs w:val="24"/>
            </w:rPr>
            <w:t xml:space="preserve">Instituto de Ciencias Biomédicas, Universidad Federal de Uberlândia, Brasil. </w:t>
          </w:r>
          <w:hyperlink r:id="rId12" w:history="1">
            <w:r w:rsidR="00B825D9" w:rsidRPr="00093B50">
              <w:rPr>
                <w:rStyle w:val="Hyperlink"/>
                <w:rFonts w:cs="Arial"/>
                <w:sz w:val="24"/>
                <w:szCs w:val="24"/>
              </w:rPr>
              <w:t>rosenda.arencibia@ufu.br</w:t>
            </w:r>
          </w:hyperlink>
          <w:r w:rsidR="00017B82">
            <w:t xml:space="preserve"> </w:t>
          </w:r>
          <w:r w:rsidR="00017B82">
            <w:rPr>
              <w:rFonts w:cs="Arial"/>
              <w:kern w:val="2"/>
              <w:sz w:val="24"/>
              <w:szCs w:val="24"/>
              <w:vertAlign w:val="superscript"/>
            </w:rPr>
            <w:t>d</w:t>
          </w:r>
        </w:p>
      </w:sdtContent>
    </w:sdt>
    <w:sdt>
      <w:sdtPr>
        <w:rPr>
          <w:rFonts w:ascii="Times New Roman" w:hAnsi="Times New Roman"/>
          <w:kern w:val="2"/>
          <w:sz w:val="16"/>
          <w:szCs w:val="16"/>
        </w:rPr>
        <w:id w:val="28322223"/>
        <w:lock w:val="sdtContentLocked"/>
        <w:placeholder>
          <w:docPart w:val="FE62231491BA400CA7A769FFDC67880A"/>
        </w:placeholder>
      </w:sdtPr>
      <w:sdtContent>
        <w:p w14:paraId="53E30AA9" w14:textId="77777777" w:rsidR="00B9489E" w:rsidRPr="008629CB" w:rsidRDefault="000E45C4" w:rsidP="005466EB">
          <w:pPr>
            <w:spacing w:line="276" w:lineRule="auto"/>
            <w:rPr>
              <w:rFonts w:ascii="Times New Roman" w:hAnsi="Times New Roman"/>
              <w:kern w:val="2"/>
              <w:sz w:val="16"/>
              <w:szCs w:val="16"/>
            </w:rPr>
          </w:pPr>
          <w:r>
            <w:rPr>
              <w:rFonts w:ascii="Times New Roman" w:hAnsi="Times New Roman"/>
              <w:kern w:val="2"/>
              <w:sz w:val="16"/>
              <w:szCs w:val="16"/>
            </w:rPr>
            <w:t>†</w:t>
          </w:r>
          <w:r w:rsidR="008629CB" w:rsidRPr="008629CB">
            <w:rPr>
              <w:rFonts w:ascii="Times New Roman" w:hAnsi="Times New Roman"/>
              <w:kern w:val="2"/>
              <w:sz w:val="16"/>
              <w:szCs w:val="16"/>
            </w:rPr>
            <w:t>autor para la correspondencia</w:t>
          </w:r>
        </w:p>
      </w:sdtContent>
    </w:sdt>
    <w:sdt>
      <w:sdtPr>
        <w:rPr>
          <w:rFonts w:cs="Arial"/>
          <w:sz w:val="24"/>
          <w:szCs w:val="24"/>
        </w:rPr>
        <w:alias w:val="sumario"/>
        <w:tag w:val="sumario"/>
        <w:id w:val="28322249"/>
        <w:lock w:val="sdtLocked"/>
        <w:placeholder>
          <w:docPart w:val="FE62231491BA400CA7A769FFDC67880A"/>
        </w:placeholder>
      </w:sdtPr>
      <w:sdtContent>
        <w:p w14:paraId="481CE1BB" w14:textId="1AE29831" w:rsidR="002D33EF" w:rsidRPr="00093B50" w:rsidRDefault="00E75E20" w:rsidP="00093B50">
          <w:pPr>
            <w:spacing w:before="0" w:after="0"/>
            <w:rPr>
              <w:rFonts w:cs="Arial"/>
              <w:color w:val="EE0000"/>
              <w:sz w:val="24"/>
              <w:szCs w:val="24"/>
            </w:rPr>
          </w:pPr>
          <w:r w:rsidRPr="00093B50">
            <w:rPr>
              <w:rFonts w:cs="Arial"/>
              <w:sz w:val="24"/>
              <w:szCs w:val="24"/>
            </w:rPr>
            <w:t>Los métodos actuales para la identificación y cuantificación de microconstituyentes de igual tonalidad y diferente morfología requieren mucho trabajo del analista y son propensos a errores, siendo aún insuficientes los estudios sobre técnicas avanzadas de procesamiento digital de imágenes para estas microestructuras complejas.</w:t>
          </w:r>
          <w:r w:rsidR="00701A08" w:rsidRPr="00093B50">
            <w:rPr>
              <w:rFonts w:cs="Arial"/>
              <w:color w:val="EE0000"/>
              <w:sz w:val="24"/>
              <w:szCs w:val="24"/>
            </w:rPr>
            <w:t xml:space="preserve"> </w:t>
          </w:r>
          <w:r w:rsidRPr="00093B50">
            <w:rPr>
              <w:rFonts w:cs="Arial"/>
              <w:sz w:val="24"/>
              <w:szCs w:val="24"/>
            </w:rPr>
            <w:t xml:space="preserve">El objetivo consiste en identificar y cuantificar morfologías de austenita en la Zona Afectada </w:t>
          </w:r>
          <w:r w:rsidRPr="00093B50">
            <w:rPr>
              <w:rFonts w:cs="Arial"/>
              <w:sz w:val="24"/>
              <w:szCs w:val="24"/>
            </w:rPr>
            <w:lastRenderedPageBreak/>
            <w:t xml:space="preserve">Térmicamente de soldaduras de aceros dúplex, mediante procesamiento digital de imágenes en </w:t>
          </w:r>
          <w:r w:rsidRPr="00093B50">
            <w:rPr>
              <w:rFonts w:cs="Arial"/>
              <w:i/>
              <w:iCs/>
              <w:sz w:val="24"/>
              <w:szCs w:val="24"/>
            </w:rPr>
            <w:t>Python</w:t>
          </w:r>
          <w:r w:rsidRPr="00093B50">
            <w:rPr>
              <w:rFonts w:cs="Arial"/>
              <w:sz w:val="24"/>
              <w:szCs w:val="24"/>
            </w:rPr>
            <w:t>.</w:t>
          </w:r>
          <w:r w:rsidR="00701A08" w:rsidRPr="00093B50">
            <w:rPr>
              <w:rFonts w:cs="Arial"/>
              <w:sz w:val="24"/>
              <w:szCs w:val="24"/>
            </w:rPr>
            <w:t xml:space="preserve"> </w:t>
          </w:r>
          <w:r w:rsidRPr="00093B50">
            <w:rPr>
              <w:rFonts w:cs="Arial"/>
              <w:sz w:val="24"/>
              <w:szCs w:val="24"/>
            </w:rPr>
            <w:t xml:space="preserve">Fueron desarrollados algoritmos en </w:t>
          </w:r>
          <w:r w:rsidRPr="00093B50">
            <w:rPr>
              <w:rFonts w:cs="Arial"/>
              <w:i/>
              <w:iCs/>
              <w:sz w:val="24"/>
              <w:szCs w:val="24"/>
            </w:rPr>
            <w:t>Python</w:t>
          </w:r>
          <w:r w:rsidRPr="00093B50">
            <w:rPr>
              <w:rFonts w:cs="Arial"/>
              <w:sz w:val="24"/>
              <w:szCs w:val="24"/>
            </w:rPr>
            <w:t>, para segmentar y cuantificar las fases de igual tonalidad. Estos fueron aplicados a la identificación y cuantificación de austenitas de diferentes morfologías, en la Zona Afectada Térmicamente de soldaduras de aceros dúplex, realizadas con diferentes energías de entrada del proceso (1</w:t>
          </w:r>
          <w:r w:rsidR="0054082E" w:rsidRPr="00093B50">
            <w:rPr>
              <w:rFonts w:cs="Arial"/>
              <w:sz w:val="24"/>
              <w:szCs w:val="24"/>
            </w:rPr>
            <w:t>.</w:t>
          </w:r>
          <w:r w:rsidRPr="00093B50">
            <w:rPr>
              <w:rFonts w:cs="Arial"/>
              <w:sz w:val="24"/>
              <w:szCs w:val="24"/>
            </w:rPr>
            <w:t>5 kJ/mm y 2</w:t>
          </w:r>
          <w:r w:rsidR="0054082E" w:rsidRPr="00093B50">
            <w:rPr>
              <w:rFonts w:cs="Arial"/>
              <w:sz w:val="24"/>
              <w:szCs w:val="24"/>
            </w:rPr>
            <w:t>.</w:t>
          </w:r>
          <w:r w:rsidRPr="00093B50">
            <w:rPr>
              <w:rFonts w:cs="Arial"/>
              <w:sz w:val="24"/>
              <w:szCs w:val="24"/>
            </w:rPr>
            <w:t>5 kJ/mm). Fue realizada una comparación con la identificación y cuantificación de fases ejecutada con ImageJ-Fiji.</w:t>
          </w:r>
          <w:r w:rsidR="00701A08" w:rsidRPr="00093B50">
            <w:rPr>
              <w:rFonts w:cs="Arial"/>
              <w:color w:val="EE0000"/>
              <w:sz w:val="24"/>
              <w:szCs w:val="24"/>
            </w:rPr>
            <w:t xml:space="preserve"> </w:t>
          </w:r>
          <w:r w:rsidRPr="00093B50">
            <w:rPr>
              <w:rFonts w:cs="Arial"/>
              <w:sz w:val="24"/>
              <w:szCs w:val="24"/>
            </w:rPr>
            <w:t xml:space="preserve">Se obtuvo como resultado la implementación de algoritmos en </w:t>
          </w:r>
          <w:r w:rsidRPr="00093B50">
            <w:rPr>
              <w:rFonts w:cs="Arial"/>
              <w:i/>
              <w:iCs/>
              <w:sz w:val="24"/>
              <w:szCs w:val="24"/>
            </w:rPr>
            <w:t>Python</w:t>
          </w:r>
          <w:r w:rsidRPr="00093B50">
            <w:rPr>
              <w:rFonts w:cs="Arial"/>
              <w:sz w:val="24"/>
              <w:szCs w:val="24"/>
            </w:rPr>
            <w:t>, para la identificación y cuantificación de austenitas de diferentes morfologías, en la Zona Afectada Térmicamente de aceros dúplex. Ello permitió establecer las diferencias microestructurales en función de la energía de entrada del proceso de soldadura; así como comparar con la cuantificación de austenita con ImageJ-Fiji.</w:t>
          </w:r>
          <w:r w:rsidR="00701A08" w:rsidRPr="00093B50">
            <w:rPr>
              <w:rFonts w:cs="Arial"/>
              <w:color w:val="EE0000"/>
              <w:sz w:val="24"/>
              <w:szCs w:val="24"/>
            </w:rPr>
            <w:t xml:space="preserve"> </w:t>
          </w:r>
          <w:r w:rsidRPr="00093B50">
            <w:rPr>
              <w:rFonts w:cs="Arial"/>
              <w:sz w:val="24"/>
              <w:szCs w:val="24"/>
            </w:rPr>
            <w:t xml:space="preserve">Los algoritmos desarrollados en </w:t>
          </w:r>
          <w:r w:rsidRPr="00093B50">
            <w:rPr>
              <w:rFonts w:cs="Arial"/>
              <w:i/>
              <w:iCs/>
              <w:sz w:val="24"/>
              <w:szCs w:val="24"/>
            </w:rPr>
            <w:t>Python</w:t>
          </w:r>
          <w:r w:rsidRPr="00093B50">
            <w:rPr>
              <w:rFonts w:cs="Arial"/>
              <w:sz w:val="24"/>
              <w:szCs w:val="24"/>
            </w:rPr>
            <w:t xml:space="preserve"> posibilitan el análisis microestructural, ofreciendo una alternativa reproducible en la identificación y cuantificación de austenita en la ZAT de soldaduras de aceros dúplex. </w:t>
          </w:r>
        </w:p>
      </w:sdtContent>
    </w:sdt>
    <w:p w14:paraId="170CA684" w14:textId="77777777" w:rsidR="00A24B16" w:rsidRPr="00093B50" w:rsidRDefault="00A24B16" w:rsidP="00093B50">
      <w:pPr>
        <w:spacing w:before="0" w:after="0"/>
        <w:rPr>
          <w:rFonts w:cs="Arial"/>
          <w:sz w:val="24"/>
          <w:szCs w:val="24"/>
        </w:rPr>
      </w:pPr>
    </w:p>
    <w:sdt>
      <w:sdtPr>
        <w:rPr>
          <w:rFonts w:cs="Arial"/>
          <w:sz w:val="24"/>
          <w:szCs w:val="24"/>
        </w:rPr>
        <w:alias w:val="abstract"/>
        <w:tag w:val="abstract"/>
        <w:id w:val="28322250"/>
        <w:lock w:val="sdtLocked"/>
        <w:placeholder>
          <w:docPart w:val="FE62231491BA400CA7A769FFDC67880A"/>
        </w:placeholder>
      </w:sdtPr>
      <w:sdtContent>
        <w:p w14:paraId="13F59820" w14:textId="52D764AA" w:rsidR="00A24B16" w:rsidRPr="00093B50" w:rsidRDefault="00E75E20" w:rsidP="00093B50">
          <w:pPr>
            <w:rPr>
              <w:rFonts w:cs="Arial"/>
              <w:sz w:val="24"/>
              <w:szCs w:val="24"/>
              <w:lang w:val="en-US"/>
            </w:rPr>
          </w:pPr>
          <w:r w:rsidRPr="00093B50">
            <w:rPr>
              <w:rFonts w:cs="Arial"/>
              <w:sz w:val="24"/>
              <w:szCs w:val="24"/>
              <w:lang w:val="en-US"/>
            </w:rPr>
            <w:t>Current methods for identifying and quantifying microconstituents of the same hue but different morphology are labor-intensive and error-prone for the analyst. Studies on advanced digital image processing techniques for these complex microstructures are still insufficient.</w:t>
          </w:r>
          <w:r w:rsidR="00701A08" w:rsidRPr="00093B50">
            <w:rPr>
              <w:rFonts w:cs="Arial"/>
              <w:sz w:val="24"/>
              <w:szCs w:val="24"/>
              <w:lang w:val="en-US"/>
            </w:rPr>
            <w:t xml:space="preserve"> </w:t>
          </w:r>
          <w:r w:rsidRPr="00093B50">
            <w:rPr>
              <w:rFonts w:cs="Arial"/>
              <w:sz w:val="24"/>
              <w:szCs w:val="24"/>
              <w:lang w:val="en-US"/>
            </w:rPr>
            <w:t>The objective is to identify and quantify austenite morphologies in the Heat Affected Zone of duplex steel welds, using digital image processing in Python.</w:t>
          </w:r>
          <w:r w:rsidR="00701A08" w:rsidRPr="00093B50">
            <w:rPr>
              <w:rFonts w:cs="Arial"/>
              <w:sz w:val="24"/>
              <w:szCs w:val="24"/>
              <w:lang w:val="en-US"/>
            </w:rPr>
            <w:t xml:space="preserve"> </w:t>
          </w:r>
          <w:r w:rsidRPr="00093B50">
            <w:rPr>
              <w:rFonts w:cs="Arial"/>
              <w:sz w:val="24"/>
              <w:szCs w:val="24"/>
              <w:lang w:val="en-US"/>
            </w:rPr>
            <w:t>Algorithms were developed in Python to segment and quantify phases of the same hue. These were applied to the identification and quantification of austenites of different morphologies in the Heat Affected Zone of duplex steel welds, performed with different process input energies (1.5 kJ/mm and 2.5 kJ/mm). A comparison was made with the phase identification and quantification performed with ImageJ-Fiji.</w:t>
          </w:r>
          <w:r w:rsidR="00701A08" w:rsidRPr="00093B50">
            <w:rPr>
              <w:rFonts w:cs="Arial"/>
              <w:sz w:val="24"/>
              <w:szCs w:val="24"/>
              <w:lang w:val="en-US"/>
            </w:rPr>
            <w:t xml:space="preserve"> </w:t>
          </w:r>
          <w:r w:rsidRPr="00093B50">
            <w:rPr>
              <w:rFonts w:cs="Arial"/>
              <w:sz w:val="24"/>
              <w:szCs w:val="24"/>
              <w:lang w:val="en-US"/>
            </w:rPr>
            <w:t xml:space="preserve">The result was the implementation of algorithms in Python for the identification and quantification of </w:t>
          </w:r>
          <w:r w:rsidR="0054082E" w:rsidRPr="00093B50">
            <w:rPr>
              <w:rFonts w:cs="Arial"/>
              <w:sz w:val="24"/>
              <w:szCs w:val="24"/>
              <w:lang w:val="en-US"/>
            </w:rPr>
            <w:t xml:space="preserve">austenites of different morphologies </w:t>
          </w:r>
          <w:r w:rsidRPr="00093B50">
            <w:rPr>
              <w:rFonts w:cs="Arial"/>
              <w:sz w:val="24"/>
              <w:szCs w:val="24"/>
              <w:lang w:val="en-US"/>
            </w:rPr>
            <w:t>in the Heat-Affected Zone of duplex steels. This allowed for the identification of microstructural differences based on the input energy of the welding process, as well as for comparison with austenite quantification using ImageJ-Fiji.</w:t>
          </w:r>
          <w:r w:rsidR="00701A08" w:rsidRPr="00093B50">
            <w:rPr>
              <w:rFonts w:cs="Arial"/>
              <w:sz w:val="24"/>
              <w:szCs w:val="24"/>
              <w:lang w:val="en-US"/>
            </w:rPr>
            <w:t xml:space="preserve"> </w:t>
          </w:r>
          <w:r w:rsidRPr="00093B50">
            <w:rPr>
              <w:rFonts w:cs="Arial"/>
              <w:sz w:val="24"/>
              <w:szCs w:val="24"/>
              <w:lang w:val="en-US"/>
            </w:rPr>
            <w:t xml:space="preserve">The algorithms developed in Python enable microstructural analysis, offering a </w:t>
          </w:r>
          <w:r w:rsidRPr="00093B50">
            <w:rPr>
              <w:rFonts w:cs="Arial"/>
              <w:sz w:val="24"/>
              <w:szCs w:val="24"/>
              <w:lang w:val="en-US"/>
            </w:rPr>
            <w:lastRenderedPageBreak/>
            <w:t>reproducible alternative for identifying and quantifying austenite in the HAZ of duplex steel welds.</w:t>
          </w:r>
        </w:p>
      </w:sdtContent>
    </w:sdt>
    <w:sdt>
      <w:sdtPr>
        <w:rPr>
          <w:rFonts w:cs="Arial"/>
          <w:sz w:val="24"/>
          <w:szCs w:val="24"/>
        </w:rPr>
        <w:alias w:val="palabras clave"/>
        <w:tag w:val="palabras clave"/>
        <w:id w:val="28322252"/>
        <w:lock w:val="sdtLocked"/>
        <w:placeholder>
          <w:docPart w:val="FE62231491BA400CA7A769FFDC67880A"/>
        </w:placeholder>
      </w:sdtPr>
      <w:sdtContent>
        <w:p w14:paraId="78762DF3" w14:textId="7E798987" w:rsidR="00701A08" w:rsidRPr="00093B50" w:rsidRDefault="00E75E20" w:rsidP="00093B50">
          <w:pPr>
            <w:spacing w:before="240"/>
            <w:rPr>
              <w:rFonts w:cs="Arial"/>
              <w:sz w:val="24"/>
              <w:szCs w:val="24"/>
            </w:rPr>
          </w:pPr>
          <w:r w:rsidRPr="00093B50">
            <w:rPr>
              <w:rFonts w:cs="Arial"/>
              <w:sz w:val="24"/>
              <w:szCs w:val="24"/>
            </w:rPr>
            <w:t>Palabras Clave: aceros dúplex; soldadura; microestructura de la ZAT</w:t>
          </w:r>
          <w:r w:rsidR="00701A08" w:rsidRPr="00093B50">
            <w:rPr>
              <w:rFonts w:cs="Arial"/>
              <w:sz w:val="24"/>
              <w:szCs w:val="24"/>
            </w:rPr>
            <w:t xml:space="preserve">; procesamiento de imágenes; </w:t>
          </w:r>
          <w:r w:rsidR="00701A08" w:rsidRPr="00093B50">
            <w:rPr>
              <w:rFonts w:cs="Arial"/>
              <w:i/>
              <w:iCs/>
              <w:sz w:val="24"/>
              <w:szCs w:val="24"/>
            </w:rPr>
            <w:t>Python</w:t>
          </w:r>
        </w:p>
        <w:p w14:paraId="4FD9B5D4" w14:textId="1DC3E01D" w:rsidR="00B22E73" w:rsidRPr="00093B50" w:rsidRDefault="00701A08" w:rsidP="00093B50">
          <w:pPr>
            <w:spacing w:before="240"/>
            <w:rPr>
              <w:rFonts w:cs="Arial"/>
              <w:sz w:val="24"/>
              <w:szCs w:val="24"/>
              <w:lang w:val="en-US"/>
            </w:rPr>
          </w:pPr>
          <w:r w:rsidRPr="00093B50">
            <w:rPr>
              <w:rFonts w:cs="Arial"/>
              <w:sz w:val="24"/>
              <w:szCs w:val="24"/>
              <w:lang w:val="en-US"/>
            </w:rPr>
            <w:t>Keywords: duplex steels; welding; HAZ microstructure; image processing; Python</w:t>
          </w:r>
        </w:p>
        <w:p w14:paraId="37DD73A0" w14:textId="7188DA49" w:rsidR="005F26C3" w:rsidRPr="00093B50" w:rsidRDefault="005F26C3" w:rsidP="00093B50">
          <w:pPr>
            <w:spacing w:before="240"/>
            <w:rPr>
              <w:rFonts w:cs="Arial"/>
              <w:sz w:val="24"/>
              <w:szCs w:val="24"/>
              <w:lang w:val="en-US"/>
            </w:rPr>
          </w:pPr>
          <w:r w:rsidRPr="00093B50">
            <w:rPr>
              <w:rFonts w:cs="Arial"/>
              <w:sz w:val="24"/>
              <w:szCs w:val="24"/>
              <w:lang w:val="en-US"/>
            </w:rPr>
            <w:t>PACS: 81.05.Bx; 81.20.Vj; 81.40.Gh; 42.30.Tz; 07.05.Tp</w:t>
          </w:r>
        </w:p>
      </w:sdtContent>
    </w:sdt>
    <w:p w14:paraId="6E215450" w14:textId="77777777" w:rsidR="00DA2590" w:rsidRPr="00093B50" w:rsidRDefault="00DA2590" w:rsidP="00093B50">
      <w:pPr>
        <w:rPr>
          <w:rFonts w:cs="Arial"/>
          <w:sz w:val="24"/>
          <w:szCs w:val="24"/>
          <w:lang w:val="en-US"/>
        </w:rPr>
      </w:pPr>
    </w:p>
    <w:p w14:paraId="0FAC7A26" w14:textId="77777777" w:rsidR="00F705A3" w:rsidRPr="00093B50" w:rsidRDefault="00F705A3" w:rsidP="00093B50">
      <w:pPr>
        <w:rPr>
          <w:rFonts w:cs="Arial"/>
          <w:kern w:val="2"/>
          <w:sz w:val="24"/>
          <w:szCs w:val="24"/>
          <w:lang w:val="en-US"/>
        </w:rPr>
        <w:sectPr w:rsidR="00F705A3" w:rsidRPr="00093B50" w:rsidSect="00CD4C5F">
          <w:headerReference w:type="default" r:id="rId13"/>
          <w:footerReference w:type="even" r:id="rId14"/>
          <w:footerReference w:type="default" r:id="rId15"/>
          <w:type w:val="continuous"/>
          <w:pgSz w:w="12242" w:h="15842" w:code="1"/>
          <w:pgMar w:top="1134" w:right="1418" w:bottom="1134" w:left="1418" w:header="709" w:footer="907" w:gutter="0"/>
          <w:cols w:space="708"/>
          <w:docGrid w:linePitch="360"/>
        </w:sectPr>
      </w:pPr>
    </w:p>
    <w:sdt>
      <w:sdtPr>
        <w:rPr>
          <w:rFonts w:cs="Arial"/>
          <w:b/>
          <w:color w:val="003366"/>
          <w:kern w:val="2"/>
          <w:sz w:val="24"/>
          <w:szCs w:val="24"/>
        </w:rPr>
        <w:alias w:val="Cuerpo del manuscrito"/>
        <w:tag w:val="Cuerpo del manuscrito"/>
        <w:id w:val="30499643"/>
        <w:lock w:val="sdtLocked"/>
        <w:placeholder>
          <w:docPart w:val="FE62231491BA400CA7A769FFDC67880A"/>
        </w:placeholder>
      </w:sdtPr>
      <w:sdtContent>
        <w:p w14:paraId="66D6CBA9" w14:textId="77777777" w:rsidR="00EE2E7B" w:rsidRPr="000E4171" w:rsidRDefault="005466EB" w:rsidP="00346A6C">
          <w:pPr>
            <w:widowControl w:val="0"/>
            <w:mirrorIndents/>
            <w:rPr>
              <w:rFonts w:cs="Arial"/>
              <w:b/>
              <w:i/>
              <w:iCs/>
              <w:kern w:val="2"/>
              <w:sz w:val="24"/>
              <w:szCs w:val="24"/>
            </w:rPr>
          </w:pPr>
          <w:r w:rsidRPr="000E4171">
            <w:rPr>
              <w:rFonts w:cs="Arial"/>
              <w:b/>
              <w:i/>
              <w:iCs/>
              <w:kern w:val="2"/>
              <w:sz w:val="24"/>
              <w:szCs w:val="24"/>
            </w:rPr>
            <w:t>INTRODUCCIÓN</w:t>
          </w:r>
        </w:p>
        <w:p w14:paraId="1CBD5885" w14:textId="77777777" w:rsidR="00EC512E" w:rsidRPr="00093B50" w:rsidRDefault="00EC512E" w:rsidP="00346A6C">
          <w:pPr>
            <w:widowControl w:val="0"/>
            <w:mirrorIndents/>
            <w:rPr>
              <w:rFonts w:cs="Arial"/>
              <w:sz w:val="24"/>
              <w:szCs w:val="24"/>
            </w:rPr>
          </w:pPr>
          <w:r w:rsidRPr="00093B50">
            <w:rPr>
              <w:rFonts w:cs="Arial"/>
              <w:sz w:val="24"/>
              <w:szCs w:val="24"/>
            </w:rPr>
            <w:t>Los aceros inoxidables dúplex presentan una microestructura bifásica equilibrada compuesta por ferrita y austenita, cuya morfología influye directamente en sus propiedades mecánicas y resistencia a la corrosión (Nilsson, 1992; Paulraj and Garg, 2015). Este balance microestructural es fundamental para el desempeño en servicio de estos materiales, particularmente en aplicaciones que demandan alta resistencia y tenacidad (ASM, 2005; Askeland, 2019). Sin embargo, este equilibrio morfológico se ve severamente comprometido en la Zona Afectada Térmicamente (ZAT) de las uniones soldadas, donde los ciclos térmicos alteran drásticamente la microestructura original (Karlsson, 2012; Karlsson and Arcini, 2012).</w:t>
          </w:r>
        </w:p>
        <w:p w14:paraId="1D13412B" w14:textId="771C3493" w:rsidR="00AB7DDE" w:rsidRDefault="00772416" w:rsidP="00346A6C">
          <w:pPr>
            <w:widowControl w:val="0"/>
            <w:mirrorIndents/>
            <w:rPr>
              <w:rFonts w:cs="Arial"/>
              <w:sz w:val="24"/>
              <w:szCs w:val="24"/>
            </w:rPr>
          </w:pPr>
          <w:r>
            <w:rPr>
              <w:rFonts w:cs="Arial"/>
              <w:sz w:val="24"/>
              <w:szCs w:val="24"/>
            </w:rPr>
            <w:t xml:space="preserve">Como se muestra en la </w:t>
          </w:r>
          <w:r w:rsidRPr="00772416">
            <w:rPr>
              <w:rFonts w:cs="Arial"/>
              <w:i/>
              <w:iCs/>
              <w:sz w:val="24"/>
              <w:szCs w:val="24"/>
            </w:rPr>
            <w:t>figura 1</w:t>
          </w:r>
          <w:r>
            <w:rPr>
              <w:rFonts w:cs="Arial"/>
              <w:sz w:val="24"/>
              <w:szCs w:val="24"/>
            </w:rPr>
            <w:t xml:space="preserve"> </w:t>
          </w:r>
          <w:r w:rsidR="00EC512E" w:rsidRPr="00093B50">
            <w:rPr>
              <w:rFonts w:cs="Arial"/>
              <w:sz w:val="24"/>
              <w:szCs w:val="24"/>
            </w:rPr>
            <w:t xml:space="preserve">Durante el proceso de soldadura, la microestructura </w:t>
          </w:r>
          <w:r w:rsidR="00EC512E" w:rsidRPr="00093B50">
            <w:rPr>
              <w:rFonts w:cs="Arial"/>
              <w:sz w:val="24"/>
              <w:szCs w:val="24"/>
            </w:rPr>
            <w:t xml:space="preserve">en la ZAT sufre transformaciones complejas que conducen a la reformación de la austenita en tres morfologías principales con propiedades diferenciadas: Austenita de Contorno de Grano (GBA), Austenita de Widmanstätten (WA) y Austenita Intergranular (IGA) (Morales et al., 2019; Cruz-Crespo et al., 2023). </w:t>
          </w:r>
        </w:p>
        <w:p w14:paraId="7C3E8819" w14:textId="05F82E42" w:rsidR="00AB7DDE" w:rsidRDefault="00AB7DDE" w:rsidP="00346A6C">
          <w:pPr>
            <w:widowControl w:val="0"/>
            <w:mirrorIndents/>
            <w:jc w:val="center"/>
            <w:rPr>
              <w:rFonts w:cs="Arial"/>
              <w:sz w:val="24"/>
              <w:szCs w:val="24"/>
            </w:rPr>
          </w:pPr>
          <w:r>
            <w:rPr>
              <w:rFonts w:cs="Arial"/>
              <w:noProof/>
              <w:sz w:val="24"/>
              <w:szCs w:val="24"/>
            </w:rPr>
            <w:drawing>
              <wp:inline distT="0" distB="0" distL="0" distR="0" wp14:anchorId="30883729" wp14:editId="33267B78">
                <wp:extent cx="2713051" cy="2152650"/>
                <wp:effectExtent l="0" t="0" r="0" b="0"/>
                <wp:docPr id="25016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690" cy="2166646"/>
                        </a:xfrm>
                        <a:prstGeom prst="rect">
                          <a:avLst/>
                        </a:prstGeom>
                        <a:noFill/>
                        <a:ln>
                          <a:noFill/>
                        </a:ln>
                      </pic:spPr>
                    </pic:pic>
                  </a:graphicData>
                </a:graphic>
              </wp:inline>
            </w:drawing>
          </w:r>
        </w:p>
        <w:p w14:paraId="529B2AE2" w14:textId="18C535BD" w:rsidR="00AB7DDE" w:rsidRPr="00AB7DDE" w:rsidRDefault="00AB7DDE" w:rsidP="00346A6C">
          <w:pPr>
            <w:pStyle w:val="Caption"/>
            <w:spacing w:line="360" w:lineRule="auto"/>
            <w:rPr>
              <w:rFonts w:cs="Arial"/>
              <w:i w:val="0"/>
              <w:iCs w:val="0"/>
              <w:color w:val="auto"/>
              <w:sz w:val="32"/>
              <w:szCs w:val="32"/>
            </w:rPr>
          </w:pPr>
          <w:r w:rsidRPr="00AB7DDE">
            <w:rPr>
              <w:b/>
              <w:bCs/>
              <w:i w:val="0"/>
              <w:iCs w:val="0"/>
              <w:color w:val="auto"/>
              <w:sz w:val="22"/>
              <w:szCs w:val="22"/>
            </w:rPr>
            <w:t xml:space="preserve">Figura </w:t>
          </w:r>
          <w:r w:rsidRPr="00AB7DDE">
            <w:rPr>
              <w:b/>
              <w:bCs/>
              <w:i w:val="0"/>
              <w:iCs w:val="0"/>
              <w:color w:val="auto"/>
              <w:sz w:val="22"/>
              <w:szCs w:val="22"/>
            </w:rPr>
            <w:fldChar w:fldCharType="begin"/>
          </w:r>
          <w:r w:rsidRPr="00AB7DDE">
            <w:rPr>
              <w:b/>
              <w:bCs/>
              <w:i w:val="0"/>
              <w:iCs w:val="0"/>
              <w:color w:val="auto"/>
              <w:sz w:val="22"/>
              <w:szCs w:val="22"/>
            </w:rPr>
            <w:instrText xml:space="preserve"> SEQ Figura \* ARABIC </w:instrText>
          </w:r>
          <w:r w:rsidRPr="00AB7DDE">
            <w:rPr>
              <w:b/>
              <w:bCs/>
              <w:i w:val="0"/>
              <w:iCs w:val="0"/>
              <w:color w:val="auto"/>
              <w:sz w:val="22"/>
              <w:szCs w:val="22"/>
            </w:rPr>
            <w:fldChar w:fldCharType="separate"/>
          </w:r>
          <w:r w:rsidR="00391982">
            <w:rPr>
              <w:b/>
              <w:bCs/>
              <w:i w:val="0"/>
              <w:iCs w:val="0"/>
              <w:noProof/>
              <w:color w:val="auto"/>
              <w:sz w:val="22"/>
              <w:szCs w:val="22"/>
            </w:rPr>
            <w:t>1</w:t>
          </w:r>
          <w:r w:rsidRPr="00AB7DDE">
            <w:rPr>
              <w:b/>
              <w:bCs/>
              <w:i w:val="0"/>
              <w:iCs w:val="0"/>
              <w:color w:val="auto"/>
              <w:sz w:val="22"/>
              <w:szCs w:val="22"/>
            </w:rPr>
            <w:fldChar w:fldCharType="end"/>
          </w:r>
          <w:r w:rsidRPr="00AB7DDE">
            <w:rPr>
              <w:i w:val="0"/>
              <w:iCs w:val="0"/>
              <w:color w:val="auto"/>
              <w:sz w:val="22"/>
              <w:szCs w:val="22"/>
            </w:rPr>
            <w:t>: Micrografía de la Zona Afectada Térmicamente (ZAT) de un acero dúplex soldado.</w:t>
          </w:r>
        </w:p>
        <w:p w14:paraId="65861FDA" w14:textId="06B7C207" w:rsidR="001C2CFC" w:rsidRPr="00AB7DDE" w:rsidRDefault="00EC512E" w:rsidP="00346A6C">
          <w:pPr>
            <w:widowControl w:val="0"/>
            <w:mirrorIndents/>
            <w:rPr>
              <w:rFonts w:cs="Arial"/>
              <w:sz w:val="24"/>
              <w:szCs w:val="24"/>
            </w:rPr>
          </w:pPr>
          <w:r w:rsidRPr="00093B50">
            <w:rPr>
              <w:rFonts w:cs="Arial"/>
              <w:sz w:val="24"/>
              <w:szCs w:val="24"/>
            </w:rPr>
            <w:t xml:space="preserve">La importancia de la caracterización morfológica radica en que cada una de </w:t>
          </w:r>
          <w:r w:rsidRPr="00093B50">
            <w:rPr>
              <w:rFonts w:cs="Arial"/>
              <w:sz w:val="24"/>
              <w:szCs w:val="24"/>
            </w:rPr>
            <w:lastRenderedPageBreak/>
            <w:t xml:space="preserve">estas morfologías confiere propiedades específicas al material soldado, afectando directamente su resistencia a la corrosión y comportamiento mecánico (Liou et al., 2002; Ha et al., 2014). Estudios previos han demostrado que la precipitación de fases secundarias, como la fase sigma, puede ser particularmente </w:t>
          </w:r>
          <w:r w:rsidR="00D74298" w:rsidRPr="00093B50">
            <w:rPr>
              <w:rFonts w:cs="Arial"/>
              <w:sz w:val="24"/>
              <w:szCs w:val="24"/>
            </w:rPr>
            <w:t>perjudicial</w:t>
          </w:r>
          <w:r w:rsidRPr="00093B50">
            <w:rPr>
              <w:rFonts w:cs="Arial"/>
              <w:sz w:val="24"/>
              <w:szCs w:val="24"/>
            </w:rPr>
            <w:t xml:space="preserve"> para la resistencia a la corrosión (Sieurin and Sandström, 2007; Elmer et al., 2007), mientras que la distribución morfológica de la austenita influye en los mecanismos de fortalecimiento de la ZAT (Morales et al., 2022).</w:t>
          </w:r>
        </w:p>
        <w:p w14:paraId="539BAF3E" w14:textId="1E9A51EC" w:rsidR="00EC512E" w:rsidRPr="00093B50" w:rsidRDefault="00EC512E" w:rsidP="00346A6C">
          <w:pPr>
            <w:widowControl w:val="0"/>
            <w:mirrorIndents/>
            <w:rPr>
              <w:rFonts w:cs="Arial"/>
              <w:sz w:val="24"/>
              <w:szCs w:val="24"/>
            </w:rPr>
          </w:pPr>
          <w:r w:rsidRPr="00093B50">
            <w:rPr>
              <w:rFonts w:cs="Arial"/>
              <w:sz w:val="24"/>
              <w:szCs w:val="24"/>
            </w:rPr>
            <w:t>Los métodos tradicionales de cuantificación de fases, como el conteo puntual normado (ASTM E562, 2019), aunque confiables y ampliamente reconocidos, son altamente laboriosos y requieren análisis manual extensivo, lo que añade subjetividad y limita la reproducibilidad (Forsyth and Ponce, 2012; ASTM E1245, 2016). La necesidad de analizar múltiples campos microscópicos para</w:t>
          </w:r>
          <w:r w:rsidR="00E10435">
            <w:rPr>
              <w:rFonts w:cs="Arial"/>
              <w:sz w:val="24"/>
              <w:szCs w:val="24"/>
            </w:rPr>
            <w:t xml:space="preserve"> </w:t>
          </w:r>
          <w:r w:rsidRPr="00093B50">
            <w:rPr>
              <w:rFonts w:cs="Arial"/>
              <w:sz w:val="24"/>
              <w:szCs w:val="24"/>
            </w:rPr>
            <w:t>obtener</w:t>
          </w:r>
          <w:r w:rsidR="00E10435">
            <w:rPr>
              <w:rFonts w:cs="Arial"/>
              <w:sz w:val="24"/>
              <w:szCs w:val="24"/>
            </w:rPr>
            <w:t xml:space="preserve"> una muestra </w:t>
          </w:r>
          <w:r w:rsidRPr="00093B50">
            <w:rPr>
              <w:rFonts w:cs="Arial"/>
              <w:sz w:val="24"/>
              <w:szCs w:val="24"/>
            </w:rPr>
            <w:t>estadística</w:t>
          </w:r>
          <w:r w:rsidR="00E10435">
            <w:rPr>
              <w:rFonts w:cs="Arial"/>
              <w:sz w:val="24"/>
              <w:szCs w:val="24"/>
            </w:rPr>
            <w:t xml:space="preserve"> representativa que</w:t>
          </w:r>
          <w:r w:rsidRPr="00093B50">
            <w:rPr>
              <w:rFonts w:cs="Arial"/>
              <w:sz w:val="24"/>
              <w:szCs w:val="24"/>
            </w:rPr>
            <w:t xml:space="preserve"> consume considerable tiempo y recursos, mientras que la fatiga visual del operador puede introducir variaciones significativas en los resultados, especialmente cuando se analizan microestructuras complejas con fases de similar contraste (González and </w:t>
          </w:r>
          <w:r w:rsidRPr="00093B50">
            <w:rPr>
              <w:rFonts w:cs="Arial"/>
              <w:sz w:val="24"/>
              <w:szCs w:val="24"/>
            </w:rPr>
            <w:t>Woods, 2018).</w:t>
          </w:r>
        </w:p>
        <w:p w14:paraId="169EAE86" w14:textId="77777777" w:rsidR="00EC512E" w:rsidRPr="00093B50" w:rsidRDefault="00EC512E" w:rsidP="00346A6C">
          <w:pPr>
            <w:widowControl w:val="0"/>
            <w:mirrorIndents/>
            <w:rPr>
              <w:rFonts w:cs="Arial"/>
              <w:sz w:val="24"/>
              <w:szCs w:val="24"/>
            </w:rPr>
          </w:pPr>
          <w:r w:rsidRPr="00093B50">
            <w:rPr>
              <w:rFonts w:cs="Arial"/>
              <w:sz w:val="24"/>
              <w:szCs w:val="24"/>
            </w:rPr>
            <w:t xml:space="preserve">El procesamiento digital de imágenes (PDI) ha emergido como una alternativa más eficiente para la caracterización microestructural (González and Woods, 2018; Mejía Vilet, 2005). No obstante, las técnicas convencionales de PDI enfrentan el desafío fundamental de discriminar entre morfologías que comparten tonalidades similares en la micrografía de la austenita en la ZAT de soldaduras de aceros dúplex (Morales et al., 2019; Cruz-Crespo et al., 2023). La subjetividad en la interpretación visual, incluso con ayuda de </w:t>
          </w:r>
          <w:r w:rsidRPr="00666785">
            <w:rPr>
              <w:rFonts w:cs="Arial"/>
              <w:i/>
              <w:iCs/>
              <w:sz w:val="24"/>
              <w:szCs w:val="24"/>
            </w:rPr>
            <w:t xml:space="preserve">software </w:t>
          </w:r>
          <w:r w:rsidRPr="00093B50">
            <w:rPr>
              <w:rFonts w:cs="Arial"/>
              <w:sz w:val="24"/>
              <w:szCs w:val="24"/>
            </w:rPr>
            <w:t>especializado, sigue siendo un factor limitante, donde diferentes analistas pueden establecer distintos criterios para definir los límites entre morfologías, especialmente en regiones de transición o donde existen superposiciones microestructurales (Jain, 1989; Dougherty and Lotufo, 2003).</w:t>
          </w:r>
        </w:p>
        <w:p w14:paraId="609A0BB7" w14:textId="77777777" w:rsidR="00EC512E" w:rsidRPr="00093B50" w:rsidRDefault="00EC512E" w:rsidP="00346A6C">
          <w:pPr>
            <w:widowControl w:val="0"/>
            <w:mirrorIndents/>
            <w:rPr>
              <w:rFonts w:cs="Arial"/>
              <w:sz w:val="24"/>
              <w:szCs w:val="24"/>
            </w:rPr>
          </w:pPr>
          <w:r w:rsidRPr="00093B50">
            <w:rPr>
              <w:rFonts w:cs="Arial"/>
              <w:sz w:val="24"/>
              <w:szCs w:val="24"/>
            </w:rPr>
            <w:t xml:space="preserve">Esta variabilidad interoperatoria compromete la comparabilidad de resultados entre diferentes estudios o laboratorios, lo que destaca la necesidad crítica de métodos más objetivos y reproducibles para la cuantificación microestructural en aceros dúplex soldados. La evolución hacia técnicas de PDI avanzadas con algoritmos </w:t>
          </w:r>
          <w:r w:rsidRPr="00093B50">
            <w:rPr>
              <w:rFonts w:cs="Arial"/>
              <w:sz w:val="24"/>
              <w:szCs w:val="24"/>
            </w:rPr>
            <w:lastRenderedPageBreak/>
            <w:t>en </w:t>
          </w:r>
          <w:r w:rsidRPr="00093B50">
            <w:rPr>
              <w:rFonts w:cs="Arial"/>
              <w:i/>
              <w:iCs/>
              <w:sz w:val="24"/>
              <w:szCs w:val="24"/>
            </w:rPr>
            <w:t>Python</w:t>
          </w:r>
          <w:r w:rsidRPr="00093B50">
            <w:rPr>
              <w:rFonts w:cs="Arial"/>
              <w:sz w:val="24"/>
              <w:szCs w:val="24"/>
            </w:rPr>
            <w:t> representa por lo tanto no solo una mejora en eficiencia, sino un avance fundamental en la capacidad de caracterizar con precisión las complejas transformaciones microestructurales que ocurren en la ZAT, permitiendo correlaciones más confiables entre microestructura y propiedades del material soldado.</w:t>
          </w:r>
        </w:p>
        <w:p w14:paraId="6DCB2FFA" w14:textId="20803253" w:rsidR="003C7E14" w:rsidRPr="000E4171" w:rsidRDefault="003C7E14" w:rsidP="00346A6C">
          <w:pPr>
            <w:widowControl w:val="0"/>
            <w:mirrorIndents/>
            <w:rPr>
              <w:rFonts w:cs="Arial"/>
              <w:b/>
              <w:i/>
              <w:iCs/>
              <w:sz w:val="24"/>
              <w:szCs w:val="24"/>
            </w:rPr>
          </w:pPr>
          <w:r w:rsidRPr="000E4171">
            <w:rPr>
              <w:rFonts w:cs="Arial"/>
              <w:b/>
              <w:i/>
              <w:iCs/>
              <w:sz w:val="24"/>
              <w:szCs w:val="24"/>
            </w:rPr>
            <w:t>PROCESAMIENTO DIGITAL DE IMÁGENES AVANZADO</w:t>
          </w:r>
        </w:p>
        <w:p w14:paraId="51150122" w14:textId="28737452" w:rsidR="00723B25" w:rsidRPr="00093B50" w:rsidRDefault="00723B25" w:rsidP="00346A6C">
          <w:pPr>
            <w:widowControl w:val="0"/>
            <w:mirrorIndents/>
            <w:rPr>
              <w:rFonts w:cs="Arial"/>
              <w:bCs/>
              <w:sz w:val="24"/>
              <w:szCs w:val="24"/>
            </w:rPr>
          </w:pPr>
          <w:r w:rsidRPr="00093B50">
            <w:rPr>
              <w:rFonts w:cs="Arial"/>
              <w:bCs/>
              <w:sz w:val="24"/>
              <w:szCs w:val="24"/>
            </w:rPr>
            <w:t>Las técnicas convencionales de</w:t>
          </w:r>
          <w:r w:rsidR="00666785">
            <w:rPr>
              <w:rFonts w:cs="Arial"/>
              <w:bCs/>
              <w:sz w:val="24"/>
              <w:szCs w:val="24"/>
            </w:rPr>
            <w:t xml:space="preserve"> </w:t>
          </w:r>
          <w:r w:rsidRPr="00093B50">
            <w:rPr>
              <w:rFonts w:cs="Arial"/>
              <w:bCs/>
              <w:sz w:val="24"/>
              <w:szCs w:val="24"/>
            </w:rPr>
            <w:t xml:space="preserve">PDI presentan limitaciones fundamentales para discriminar entre morfologías de tonalidad similar en aceros dúplex. Estos métodos tradicionales se basan principalmente en la identificación de líneas y puntos con ángulos específicos (Jain, 1989), lo que resulta insuficiente para caracterizar las complejas morfologías de la austenita (GBA, WA e IGA) que se desarrollan en la Zona Afectada Térmicamente de las soldaduras (Morales et al., 2019). Además, el uso de filtros morfológicos convencionales altera significativamente la información microestructural original, modificando las áreas de interés y comprometiendo la precisión en la cuantificación (Dougherty and Lotufo, 2003). Esta problemática evidencia la necesidad de implementar técnicas de </w:t>
          </w:r>
          <w:r w:rsidRPr="00093B50">
            <w:rPr>
              <w:rFonts w:cs="Arial"/>
              <w:bCs/>
              <w:sz w:val="24"/>
              <w:szCs w:val="24"/>
            </w:rPr>
            <w:t>segmentación no destructivas que preserven la integridad de los rasgos microestructurales durante el procesamiento (González and Woods, 2018; Mejía Vilet, 2005).</w:t>
          </w:r>
        </w:p>
        <w:p w14:paraId="373CA20C" w14:textId="03460B7F" w:rsidR="00120FF1" w:rsidRDefault="00723B25" w:rsidP="00346A6C">
          <w:pPr>
            <w:widowControl w:val="0"/>
            <w:mirrorIndents/>
            <w:rPr>
              <w:rFonts w:cs="Arial"/>
              <w:bCs/>
              <w:sz w:val="24"/>
              <w:szCs w:val="24"/>
            </w:rPr>
          </w:pPr>
          <w:r w:rsidRPr="00093B50">
            <w:rPr>
              <w:rFonts w:cs="Arial"/>
              <w:bCs/>
              <w:sz w:val="24"/>
              <w:szCs w:val="24"/>
            </w:rPr>
            <w:t>Para superar estas barreras, </w:t>
          </w:r>
          <w:r w:rsidRPr="00093B50">
            <w:rPr>
              <w:rFonts w:cs="Arial"/>
              <w:b/>
              <w:bCs/>
              <w:sz w:val="24"/>
              <w:szCs w:val="24"/>
            </w:rPr>
            <w:t>se implementó y validó</w:t>
          </w:r>
          <w:r w:rsidRPr="00093B50">
            <w:rPr>
              <w:rFonts w:cs="Arial"/>
              <w:bCs/>
              <w:sz w:val="24"/>
              <w:szCs w:val="24"/>
            </w:rPr>
            <w:t> una metodología avanzada de PDI en </w:t>
          </w:r>
          <w:r w:rsidRPr="00093B50">
            <w:rPr>
              <w:rFonts w:cs="Arial"/>
              <w:bCs/>
              <w:i/>
              <w:iCs/>
              <w:sz w:val="24"/>
              <w:szCs w:val="24"/>
            </w:rPr>
            <w:t>Python</w:t>
          </w:r>
          <w:r w:rsidRPr="00093B50">
            <w:rPr>
              <w:rFonts w:cs="Arial"/>
              <w:bCs/>
              <w:sz w:val="24"/>
              <w:szCs w:val="24"/>
            </w:rPr>
            <w:t> que combina algoritmos automáticos con un control experto interactivo, </w:t>
          </w:r>
          <w:r w:rsidRPr="00093B50">
            <w:rPr>
              <w:rFonts w:cs="Arial"/>
              <w:b/>
              <w:bCs/>
              <w:sz w:val="24"/>
              <w:szCs w:val="24"/>
            </w:rPr>
            <w:t>permitiendo la discriminación y cuantificación individual efectiva de las morfologías de austenita en micrografías reales de la ZAT</w:t>
          </w:r>
          <w:r w:rsidRPr="00093B50">
            <w:rPr>
              <w:rFonts w:cs="Arial"/>
              <w:bCs/>
              <w:sz w:val="24"/>
              <w:szCs w:val="24"/>
            </w:rPr>
            <w:t>.</w:t>
          </w:r>
          <w:r w:rsidR="00486782">
            <w:rPr>
              <w:rFonts w:cs="Arial"/>
              <w:bCs/>
              <w:sz w:val="24"/>
              <w:szCs w:val="24"/>
            </w:rPr>
            <w:t xml:space="preserve"> </w:t>
          </w:r>
          <w:r w:rsidRPr="00093B50">
            <w:rPr>
              <w:rFonts w:cs="Arial"/>
              <w:bCs/>
              <w:sz w:val="24"/>
              <w:szCs w:val="24"/>
            </w:rPr>
            <w:t>El procedimiento, </w:t>
          </w:r>
          <w:r w:rsidRPr="00093B50">
            <w:rPr>
              <w:rFonts w:cs="Arial"/>
              <w:b/>
              <w:bCs/>
              <w:sz w:val="24"/>
              <w:szCs w:val="24"/>
            </w:rPr>
            <w:t>aplicado</w:t>
          </w:r>
          <w:r w:rsidR="00D86CF9">
            <w:rPr>
              <w:rFonts w:cs="Arial"/>
              <w:b/>
              <w:bCs/>
              <w:sz w:val="24"/>
              <w:szCs w:val="24"/>
            </w:rPr>
            <w:t xml:space="preserve"> </w:t>
          </w:r>
          <w:r w:rsidRPr="00093B50">
            <w:rPr>
              <w:rFonts w:cs="Arial"/>
              <w:b/>
              <w:bCs/>
              <w:sz w:val="24"/>
              <w:szCs w:val="24"/>
            </w:rPr>
            <w:t>exitosamente en este estudio</w:t>
          </w:r>
          <w:r w:rsidRPr="00093B50">
            <w:rPr>
              <w:rFonts w:cs="Arial"/>
              <w:bCs/>
              <w:sz w:val="24"/>
              <w:szCs w:val="24"/>
            </w:rPr>
            <w:t>,</w:t>
          </w:r>
          <w:r w:rsidR="00FD11AA">
            <w:rPr>
              <w:rFonts w:cs="Arial"/>
              <w:bCs/>
              <w:sz w:val="24"/>
              <w:szCs w:val="24"/>
            </w:rPr>
            <w:t xml:space="preserve"> como se refleja en la </w:t>
          </w:r>
          <w:r w:rsidR="00FD11AA" w:rsidRPr="00FD11AA">
            <w:rPr>
              <w:rFonts w:cs="Arial"/>
              <w:bCs/>
              <w:i/>
              <w:iCs/>
              <w:sz w:val="24"/>
              <w:szCs w:val="24"/>
            </w:rPr>
            <w:t>figura 2</w:t>
          </w:r>
          <w:r w:rsidRPr="00093B50">
            <w:rPr>
              <w:rFonts w:cs="Arial"/>
              <w:bCs/>
              <w:sz w:val="24"/>
              <w:szCs w:val="24"/>
            </w:rPr>
            <w:t xml:space="preserve"> se estructura en tres etapas principales</w:t>
          </w:r>
          <w:r w:rsidR="00FD11AA">
            <w:rPr>
              <w:rFonts w:cs="Arial"/>
              <w:bCs/>
              <w:sz w:val="24"/>
              <w:szCs w:val="24"/>
            </w:rPr>
            <w:t xml:space="preserve"> </w:t>
          </w:r>
          <w:r w:rsidRPr="00093B50">
            <w:rPr>
              <w:rFonts w:cs="Arial"/>
              <w:bCs/>
              <w:sz w:val="24"/>
              <w:szCs w:val="24"/>
            </w:rPr>
            <w:t>siguiendo principios establecidos en la preparación metalográfica estandarizada (ASTM E3, 2017; ASTM E407, 2023) y considerando las especificaciones para el análisis cuantitativo de microestructuras (ASTM E1245, 2016):</w:t>
          </w:r>
        </w:p>
        <w:p w14:paraId="611904C4" w14:textId="3AD3A639" w:rsidR="006B5477" w:rsidRDefault="006B5477" w:rsidP="00346A6C">
          <w:pPr>
            <w:widowControl w:val="0"/>
            <w:mirrorIndents/>
            <w:rPr>
              <w:rFonts w:cs="Arial"/>
              <w:bCs/>
              <w:sz w:val="24"/>
              <w:szCs w:val="24"/>
            </w:rPr>
          </w:pPr>
          <w:r>
            <w:rPr>
              <w:rFonts w:cs="Arial"/>
              <w:b/>
              <w:bCs/>
              <w:sz w:val="24"/>
              <w:szCs w:val="24"/>
            </w:rPr>
            <w:t xml:space="preserve">► </w:t>
          </w:r>
          <w:r w:rsidRPr="00093B50">
            <w:rPr>
              <w:rFonts w:cs="Arial"/>
              <w:b/>
              <w:bCs/>
              <w:sz w:val="24"/>
              <w:szCs w:val="24"/>
            </w:rPr>
            <w:t>Delimitación Interactiva y Reproducible de la Zona de Interés (ZAT):</w:t>
          </w:r>
          <w:r w:rsidRPr="00093B50">
            <w:rPr>
              <w:rFonts w:cs="Arial"/>
              <w:bCs/>
              <w:sz w:val="24"/>
              <w:szCs w:val="24"/>
            </w:rPr>
            <w:t xml:space="preserve"> Se desarrolló un algoritmo que permite al analista definir con precisión la ZAT sobre la micrografía original mediante un polígono interactivo. Esta aproximación garantiza que todas las cuantificaciones se realicen sobre exactamente la misma </w:t>
          </w:r>
          <w:r w:rsidRPr="00093B50">
            <w:rPr>
              <w:rFonts w:cs="Arial"/>
              <w:bCs/>
              <w:sz w:val="24"/>
              <w:szCs w:val="24"/>
            </w:rPr>
            <w:lastRenderedPageBreak/>
            <w:t>región microestructural, eliminando una fuente significativa de variabilidad entre operadores. La capacidad de almacenar y reutilizar las coordenadas del polígono asegura la reproducibilidad en estudios comparativos o reanálisis, superando limitaciones reportadas en métodos convencionales de delimitación (Betancourt, 2018; Oria et al., 2024).</w:t>
          </w:r>
        </w:p>
        <w:p w14:paraId="388671AD" w14:textId="77777777" w:rsidR="00FD11AA" w:rsidRDefault="00120FF1" w:rsidP="005348FF">
          <w:pPr>
            <w:keepNext/>
            <w:widowControl w:val="0"/>
            <w:mirrorIndents/>
            <w:jc w:val="center"/>
          </w:pPr>
          <w:r>
            <w:rPr>
              <w:rFonts w:cs="Arial"/>
              <w:bCs/>
              <w:noProof/>
              <w:sz w:val="24"/>
              <w:szCs w:val="24"/>
            </w:rPr>
            <w:drawing>
              <wp:inline distT="0" distB="0" distL="0" distR="0" wp14:anchorId="157E3B46" wp14:editId="65270419">
                <wp:extent cx="2683510" cy="4819650"/>
                <wp:effectExtent l="0" t="0" r="2540" b="0"/>
                <wp:docPr id="722016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7000" cy="5005520"/>
                        </a:xfrm>
                        <a:prstGeom prst="rect">
                          <a:avLst/>
                        </a:prstGeom>
                        <a:noFill/>
                        <a:ln>
                          <a:noFill/>
                        </a:ln>
                      </pic:spPr>
                    </pic:pic>
                  </a:graphicData>
                </a:graphic>
              </wp:inline>
            </w:drawing>
          </w:r>
        </w:p>
        <w:p w14:paraId="2DD9631F" w14:textId="0CFBB33B" w:rsidR="00723B25" w:rsidRPr="00FD11AA" w:rsidRDefault="00FD11AA" w:rsidP="00346A6C">
          <w:pPr>
            <w:pStyle w:val="Caption"/>
            <w:spacing w:line="360" w:lineRule="auto"/>
            <w:rPr>
              <w:rFonts w:cs="Arial"/>
              <w:bCs/>
              <w:i w:val="0"/>
              <w:iCs w:val="0"/>
              <w:color w:val="auto"/>
              <w:sz w:val="32"/>
              <w:szCs w:val="32"/>
            </w:rPr>
          </w:pPr>
          <w:r w:rsidRPr="00FD11AA">
            <w:rPr>
              <w:b/>
              <w:bCs/>
              <w:i w:val="0"/>
              <w:iCs w:val="0"/>
              <w:color w:val="auto"/>
              <w:sz w:val="22"/>
              <w:szCs w:val="22"/>
            </w:rPr>
            <w:t xml:space="preserve">Figura </w:t>
          </w:r>
          <w:r w:rsidRPr="00FD11AA">
            <w:rPr>
              <w:b/>
              <w:bCs/>
              <w:i w:val="0"/>
              <w:iCs w:val="0"/>
              <w:color w:val="auto"/>
              <w:sz w:val="22"/>
              <w:szCs w:val="22"/>
            </w:rPr>
            <w:fldChar w:fldCharType="begin"/>
          </w:r>
          <w:r w:rsidRPr="00FD11AA">
            <w:rPr>
              <w:b/>
              <w:bCs/>
              <w:i w:val="0"/>
              <w:iCs w:val="0"/>
              <w:color w:val="auto"/>
              <w:sz w:val="22"/>
              <w:szCs w:val="22"/>
            </w:rPr>
            <w:instrText xml:space="preserve"> SEQ Figura \* ARABIC </w:instrText>
          </w:r>
          <w:r w:rsidRPr="00FD11AA">
            <w:rPr>
              <w:b/>
              <w:bCs/>
              <w:i w:val="0"/>
              <w:iCs w:val="0"/>
              <w:color w:val="auto"/>
              <w:sz w:val="22"/>
              <w:szCs w:val="22"/>
            </w:rPr>
            <w:fldChar w:fldCharType="separate"/>
          </w:r>
          <w:r w:rsidR="00391982">
            <w:rPr>
              <w:b/>
              <w:bCs/>
              <w:i w:val="0"/>
              <w:iCs w:val="0"/>
              <w:noProof/>
              <w:color w:val="auto"/>
              <w:sz w:val="22"/>
              <w:szCs w:val="22"/>
            </w:rPr>
            <w:t>2</w:t>
          </w:r>
          <w:r w:rsidRPr="00FD11AA">
            <w:rPr>
              <w:b/>
              <w:bCs/>
              <w:i w:val="0"/>
              <w:iCs w:val="0"/>
              <w:color w:val="auto"/>
              <w:sz w:val="22"/>
              <w:szCs w:val="22"/>
            </w:rPr>
            <w:fldChar w:fldCharType="end"/>
          </w:r>
          <w:r w:rsidRPr="00FD11AA">
            <w:rPr>
              <w:b/>
              <w:bCs/>
              <w:i w:val="0"/>
              <w:iCs w:val="0"/>
              <w:color w:val="auto"/>
              <w:sz w:val="22"/>
              <w:szCs w:val="22"/>
            </w:rPr>
            <w:t>:</w:t>
          </w:r>
          <w:r w:rsidRPr="00FD11AA">
            <w:rPr>
              <w:i w:val="0"/>
              <w:iCs w:val="0"/>
              <w:color w:val="auto"/>
              <w:sz w:val="22"/>
              <w:szCs w:val="22"/>
            </w:rPr>
            <w:t xml:space="preserve"> Diagrama de flujo de la metodología de procesamiento digital de imágenes implementada en Python para la identificación y cuantificación de morfologías de austenita</w:t>
          </w:r>
        </w:p>
        <w:p w14:paraId="38C693D6" w14:textId="6993A222" w:rsidR="00666785" w:rsidRPr="00093B50" w:rsidRDefault="006B5477" w:rsidP="00346A6C">
          <w:pPr>
            <w:widowControl w:val="0"/>
            <w:mirrorIndents/>
            <w:rPr>
              <w:rFonts w:cs="Arial"/>
              <w:bCs/>
              <w:sz w:val="24"/>
              <w:szCs w:val="24"/>
            </w:rPr>
          </w:pPr>
          <w:r>
            <w:rPr>
              <w:rFonts w:cs="Arial"/>
              <w:b/>
              <w:bCs/>
              <w:sz w:val="24"/>
              <w:szCs w:val="24"/>
            </w:rPr>
            <w:t xml:space="preserve">► </w:t>
          </w:r>
          <w:r w:rsidR="00723B25" w:rsidRPr="00093B50">
            <w:rPr>
              <w:rFonts w:cs="Arial"/>
              <w:b/>
              <w:bCs/>
              <w:sz w:val="24"/>
              <w:szCs w:val="24"/>
            </w:rPr>
            <w:t>Segmentación Multietapa y Separación de Morfologías:</w:t>
          </w:r>
          <w:r w:rsidR="00723B25" w:rsidRPr="00093B50">
            <w:rPr>
              <w:rFonts w:cs="Arial"/>
              <w:bCs/>
              <w:sz w:val="24"/>
              <w:szCs w:val="24"/>
            </w:rPr>
            <w:t> Esta etapa constituye el núcleo de la innovación, abordando el desafío central de discriminar fases de tonalidad similar.</w:t>
          </w:r>
        </w:p>
        <w:p w14:paraId="7FF8657D" w14:textId="718BC247" w:rsidR="00723B25" w:rsidRPr="00093B50" w:rsidRDefault="00723B25" w:rsidP="00346A6C">
          <w:pPr>
            <w:widowControl w:val="0"/>
            <w:mirrorIndents/>
            <w:rPr>
              <w:rFonts w:cs="Arial"/>
              <w:bCs/>
              <w:sz w:val="24"/>
              <w:szCs w:val="24"/>
            </w:rPr>
          </w:pPr>
          <w:r w:rsidRPr="00093B50">
            <w:rPr>
              <w:rFonts w:cs="Arial"/>
              <w:b/>
              <w:bCs/>
              <w:sz w:val="24"/>
              <w:szCs w:val="24"/>
            </w:rPr>
            <w:t>- Binarización Dinámica y Análisis de Componentes Conectados:</w:t>
          </w:r>
          <w:r w:rsidRPr="00093B50">
            <w:rPr>
              <w:rFonts w:cs="Arial"/>
              <w:bCs/>
              <w:sz w:val="24"/>
              <w:szCs w:val="24"/>
            </w:rPr>
            <w:t xml:space="preserve"> Tras el preprocesamiento, que incluye técnicas de mejora de contraste y filtrado espacial (González and Woods, 2018; Plataniotis and Venetsanopoulos, 2010), se aplica una binarización adaptativa que utiliza el método de Otsu como base, pero incorpora un ajuste dinámico e interactivo del umbral por parte del analista. Esto permite adaptar la segmentación a las variaciones específicas de contraste </w:t>
          </w:r>
          <w:r w:rsidR="007B5593" w:rsidRPr="00093B50">
            <w:rPr>
              <w:rFonts w:cs="Arial"/>
              <w:bCs/>
              <w:sz w:val="24"/>
              <w:szCs w:val="24"/>
            </w:rPr>
            <w:t>e</w:t>
          </w:r>
          <w:r w:rsidRPr="00093B50">
            <w:rPr>
              <w:rFonts w:cs="Arial"/>
              <w:bCs/>
              <w:sz w:val="24"/>
              <w:szCs w:val="24"/>
            </w:rPr>
            <w:t xml:space="preserve"> iluminación de cada imagen, superando la rigidez de los umbrales globales que han demostrado limitaciones en microestructuras complejas (Forsyth and Ponce, 2012). Sobre esta imagen binarizada, un análisis de componentes conectados identifica y caracteriza los objetos presentes.</w:t>
          </w:r>
        </w:p>
        <w:p w14:paraId="775A74DA" w14:textId="77777777" w:rsidR="00723B25" w:rsidRPr="00093B50" w:rsidRDefault="00723B25" w:rsidP="00346A6C">
          <w:pPr>
            <w:widowControl w:val="0"/>
            <w:mirrorIndents/>
            <w:rPr>
              <w:rFonts w:cs="Arial"/>
              <w:bCs/>
              <w:sz w:val="24"/>
              <w:szCs w:val="24"/>
            </w:rPr>
          </w:pPr>
          <w:r w:rsidRPr="00093B50">
            <w:rPr>
              <w:rFonts w:cs="Arial"/>
              <w:b/>
              <w:bCs/>
              <w:sz w:val="24"/>
              <w:szCs w:val="24"/>
            </w:rPr>
            <w:t>- Identificación y Refinamiento de la Austenita de Contorno de Grano (GBA):</w:t>
          </w:r>
          <w:r w:rsidRPr="00093B50">
            <w:rPr>
              <w:rFonts w:cs="Arial"/>
              <w:bCs/>
              <w:sz w:val="24"/>
              <w:szCs w:val="24"/>
            </w:rPr>
            <w:t xml:space="preserve"> La GBA se discrimina mediante un filtrado morfológico por área y forma, considerando parámetros geométricos establecidos en la caracterización microestructural (ASTM E112, 2021). La </w:t>
          </w:r>
          <w:r w:rsidRPr="00093B50">
            <w:rPr>
              <w:rFonts w:cs="Arial"/>
              <w:bCs/>
              <w:sz w:val="24"/>
              <w:szCs w:val="24"/>
            </w:rPr>
            <w:lastRenderedPageBreak/>
            <w:t>herramienta incorpora una función de "anclaje" manual que permite preservar selectivamente los componentes que el analista identifica como GBA, evitando su pérdida durante el filtrado automático. La máscara resultante se perfecciona posteriormente con herramientas de edición interactiva ("goma" y restauración) que permiten corregir errores de segmentación con retroalimentación visual inmediata, manteniendo un equilibrio óptimo entre automatización y criterio experto (Cruz-Crespo et al., 2023).</w:t>
          </w:r>
        </w:p>
        <w:p w14:paraId="6441C68E" w14:textId="77777777" w:rsidR="00723B25" w:rsidRPr="00093B50" w:rsidRDefault="00723B25" w:rsidP="00346A6C">
          <w:pPr>
            <w:widowControl w:val="0"/>
            <w:mirrorIndents/>
            <w:rPr>
              <w:rFonts w:cs="Arial"/>
              <w:bCs/>
              <w:sz w:val="24"/>
              <w:szCs w:val="24"/>
            </w:rPr>
          </w:pPr>
          <w:r w:rsidRPr="00093B50">
            <w:rPr>
              <w:rFonts w:cs="Arial"/>
              <w:b/>
              <w:bCs/>
              <w:sz w:val="24"/>
              <w:szCs w:val="24"/>
            </w:rPr>
            <w:t>- Separación de WA e IGA mediante Operaciones Lógicas Avanzadas:</w:t>
          </w:r>
          <w:r w:rsidRPr="00093B50">
            <w:rPr>
              <w:rFonts w:cs="Arial"/>
              <w:bCs/>
              <w:sz w:val="24"/>
              <w:szCs w:val="24"/>
            </w:rPr>
            <w:t xml:space="preserve"> La separación de la Austenita Widmanstätten (WA) y la Austenita Intergranular (IGA) se logra mediante un protocolo de operaciones lógicas bit a bit. Partiendo de la imagen binarizada total y la máscara refinada de GBA, se aplican operaciones de sustracción lógica (bitwise_and, bitwise_not) para aislar una máscara combinada de WA e IGA. La separación final entre estas dos morfologías se realiza mediante un filtrado interactivo guiado visualmente por la máscara de GBA, permitiendo al analista distinguir y aislar la WA basándose en su contexto microestructural y morfología característica (Morales et al., 2019), para posteriormente </w:t>
          </w:r>
          <w:r w:rsidRPr="00093B50">
            <w:rPr>
              <w:rFonts w:cs="Arial"/>
              <w:bCs/>
              <w:sz w:val="24"/>
              <w:szCs w:val="24"/>
            </w:rPr>
            <w:t>obtener la IGA por sustracción lógica. Este proceso supera las limitaciones de los filtros morfológicos estáticos que suelen fusionar o erosionar estas morfologías delicadas (Dougherty and Lotufo, 2003).</w:t>
          </w:r>
        </w:p>
        <w:p w14:paraId="4A6B1D10" w14:textId="5EF1C3FA" w:rsidR="00723B25" w:rsidRPr="00093B50" w:rsidRDefault="006B5477" w:rsidP="00346A6C">
          <w:pPr>
            <w:widowControl w:val="0"/>
            <w:mirrorIndents/>
            <w:rPr>
              <w:rFonts w:cs="Arial"/>
              <w:bCs/>
              <w:sz w:val="24"/>
              <w:szCs w:val="24"/>
            </w:rPr>
          </w:pPr>
          <w:r>
            <w:rPr>
              <w:rFonts w:cs="Arial"/>
              <w:b/>
              <w:bCs/>
              <w:sz w:val="24"/>
              <w:szCs w:val="24"/>
            </w:rPr>
            <w:t xml:space="preserve">► </w:t>
          </w:r>
          <w:r w:rsidR="00723B25" w:rsidRPr="00093B50">
            <w:rPr>
              <w:rFonts w:cs="Arial"/>
              <w:b/>
              <w:bCs/>
              <w:sz w:val="24"/>
              <w:szCs w:val="24"/>
            </w:rPr>
            <w:t>Cuantificación Automatizada y Exportación Sistemática de Resultados:</w:t>
          </w:r>
          <w:r w:rsidR="00723B25" w:rsidRPr="00093B50">
            <w:rPr>
              <w:rFonts w:cs="Arial"/>
              <w:bCs/>
              <w:sz w:val="24"/>
              <w:szCs w:val="24"/>
            </w:rPr>
            <w:t> La cuantificación de las fracciones de área de cada morfología se realiza de forma automatizada a partir de las máscaras segmentadas finales. El algoritmo calcula el área en píxeles y el porcentaje correspondiente para la GBA, WA e IGA de forma individual, así como para la austenita total, siguiendo los principios metrológicos para la determinación del contenido de constituyentes de segunda fase (ASTM E1245, 2016; ASTM E1382, 2017). Los resultados se exportan de forma estandarizada, facilitando el análisis estadístico posterior y asegurando la confiabilidad metrológica del proceso.</w:t>
          </w:r>
        </w:p>
        <w:p w14:paraId="0A46C2BC" w14:textId="77777777" w:rsidR="00723B25" w:rsidRPr="00093B50" w:rsidRDefault="00723B25" w:rsidP="00346A6C">
          <w:pPr>
            <w:widowControl w:val="0"/>
            <w:mirrorIndents/>
            <w:rPr>
              <w:rFonts w:cs="Arial"/>
              <w:bCs/>
              <w:sz w:val="24"/>
              <w:szCs w:val="24"/>
            </w:rPr>
          </w:pPr>
          <w:r w:rsidRPr="00093B50">
            <w:rPr>
              <w:rFonts w:cs="Arial"/>
              <w:bCs/>
              <w:sz w:val="24"/>
              <w:szCs w:val="24"/>
            </w:rPr>
            <w:t>Este enfoque metodológico integral, respaldado por la flexibilidad de la programación en </w:t>
          </w:r>
          <w:r w:rsidRPr="00093B50">
            <w:rPr>
              <w:rFonts w:cs="Arial"/>
              <w:bCs/>
              <w:i/>
              <w:iCs/>
              <w:sz w:val="24"/>
              <w:szCs w:val="24"/>
            </w:rPr>
            <w:t>Python</w:t>
          </w:r>
          <w:r w:rsidRPr="00093B50">
            <w:rPr>
              <w:rFonts w:cs="Arial"/>
              <w:bCs/>
              <w:sz w:val="24"/>
              <w:szCs w:val="24"/>
            </w:rPr>
            <w:t xml:space="preserve"> y bibliotecas especializadas, no solo mejora la eficiencia, sino que representa un avance fundamental en la capacidad de caracterizar con precisión las complejas transformaciones microestructurales en la </w:t>
          </w:r>
          <w:r w:rsidRPr="00093B50">
            <w:rPr>
              <w:rFonts w:cs="Arial"/>
              <w:bCs/>
              <w:sz w:val="24"/>
              <w:szCs w:val="24"/>
            </w:rPr>
            <w:lastRenderedPageBreak/>
            <w:t>ZAT de soldaduras de aceros dúplex. La integración de técnicas clásicas de PDI con interfaces interactivas aprovecha el criterio experto del metalurgista, logrando un balance óptimo entre objetividad, reproducibilidad y precisión en la identificación y cuantificación de morfologías de austenita de tonalidad similar.</w:t>
          </w:r>
        </w:p>
        <w:p w14:paraId="21A44575" w14:textId="3AB2F7A6" w:rsidR="003C7E14" w:rsidRPr="000E4171" w:rsidRDefault="003C7E14" w:rsidP="00346A6C">
          <w:pPr>
            <w:widowControl w:val="0"/>
            <w:mirrorIndents/>
            <w:rPr>
              <w:rFonts w:cs="Arial"/>
              <w:b/>
              <w:bCs/>
              <w:i/>
              <w:iCs/>
              <w:sz w:val="24"/>
              <w:szCs w:val="24"/>
            </w:rPr>
          </w:pPr>
          <w:r w:rsidRPr="000E4171">
            <w:rPr>
              <w:rFonts w:cs="Arial"/>
              <w:b/>
              <w:bCs/>
              <w:i/>
              <w:iCs/>
              <w:sz w:val="24"/>
              <w:szCs w:val="24"/>
            </w:rPr>
            <w:t>DISCUSIÓN SOBRE SOFTWARE Y MÉTODOS AVANZADOS</w:t>
          </w:r>
        </w:p>
        <w:p w14:paraId="544BF33A" w14:textId="3A3D8A4F" w:rsidR="00CF7473" w:rsidRPr="00093B50" w:rsidRDefault="00CF7473" w:rsidP="00346A6C">
          <w:pPr>
            <w:widowControl w:val="0"/>
            <w:mirrorIndents/>
            <w:rPr>
              <w:rFonts w:cs="Arial"/>
              <w:sz w:val="24"/>
              <w:szCs w:val="24"/>
            </w:rPr>
          </w:pPr>
          <w:r w:rsidRPr="00093B50">
            <w:rPr>
              <w:rFonts w:cs="Arial"/>
              <w:sz w:val="24"/>
              <w:szCs w:val="24"/>
            </w:rPr>
            <w:t xml:space="preserve">El análisis de microestructuras complejas, como las presentes en la ZAT de aceros dúplex, ha estado tradicionalmente limitado por las capacidades del software de PDI. Herramientas ampliamente utilizadas como ImageJ-Fiji se basan en flujos de trabajo semiautomatizados que emplean filtros morfológicos estáticos y requieren una considerable interacción manual (Betancourt, 2018; Oria et al., 2024). Este enfoque presenta limitaciones significativas para el caso de estudio: los filtros morfológicos genéricos suelen erosionar morfologías finas como la austenita Widmanstätten (WA) o fusionar regiones cercanas, alterando la geometría real de las fases y comprometiendo la cuantificación (Jain, 1989). Además, la dependencia de umbrales globales de binarización frecuentemente subestima fases de </w:t>
          </w:r>
          <w:r w:rsidRPr="00093B50">
            <w:rPr>
              <w:rFonts w:cs="Arial"/>
              <w:sz w:val="24"/>
              <w:szCs w:val="24"/>
            </w:rPr>
            <w:t>tonalidad similar, mientras que la subjetividad en la interpretación visual introduce variabilidad interoperatoria (ASTM E1245, 2016; González and Woods, 2018).</w:t>
          </w:r>
        </w:p>
        <w:p w14:paraId="2D30082D" w14:textId="061ADE6E" w:rsidR="00517E83" w:rsidRDefault="00CF7473" w:rsidP="00346A6C">
          <w:pPr>
            <w:widowControl w:val="0"/>
            <w:mirrorIndents/>
            <w:rPr>
              <w:rFonts w:cs="Arial"/>
              <w:sz w:val="24"/>
              <w:szCs w:val="24"/>
            </w:rPr>
          </w:pPr>
          <w:r w:rsidRPr="00093B50">
            <w:rPr>
              <w:rFonts w:cs="Arial"/>
              <w:sz w:val="24"/>
              <w:szCs w:val="24"/>
            </w:rPr>
            <w:t>Frente a estas restricciones, </w:t>
          </w:r>
          <w:r w:rsidRPr="00093B50">
            <w:rPr>
              <w:rFonts w:cs="Arial"/>
              <w:b/>
              <w:bCs/>
              <w:sz w:val="24"/>
              <w:szCs w:val="24"/>
            </w:rPr>
            <w:t>l</w:t>
          </w:r>
          <w:r w:rsidR="00346A6C">
            <w:rPr>
              <w:rFonts w:cs="Arial"/>
              <w:b/>
              <w:bCs/>
              <w:sz w:val="24"/>
              <w:szCs w:val="24"/>
            </w:rPr>
            <w:t xml:space="preserve">os </w:t>
          </w:r>
          <w:r w:rsidRPr="00093B50">
            <w:rPr>
              <w:rFonts w:cs="Arial"/>
              <w:b/>
              <w:bCs/>
              <w:sz w:val="24"/>
              <w:szCs w:val="24"/>
            </w:rPr>
            <w:t>algoritmos personalizados</w:t>
          </w:r>
          <w:r w:rsidR="00404937">
            <w:rPr>
              <w:rFonts w:cs="Arial"/>
              <w:b/>
              <w:bCs/>
              <w:sz w:val="24"/>
              <w:szCs w:val="24"/>
            </w:rPr>
            <w:t xml:space="preserve"> </w:t>
          </w:r>
          <w:r w:rsidRPr="00093B50">
            <w:rPr>
              <w:rFonts w:cs="Arial"/>
              <w:b/>
              <w:bCs/>
              <w:sz w:val="24"/>
              <w:szCs w:val="24"/>
            </w:rPr>
            <w:t>en </w:t>
          </w:r>
          <w:r w:rsidRPr="00093B50">
            <w:rPr>
              <w:rFonts w:cs="Arial"/>
              <w:b/>
              <w:bCs/>
              <w:i/>
              <w:iCs/>
              <w:sz w:val="24"/>
              <w:szCs w:val="24"/>
            </w:rPr>
            <w:t>Python</w:t>
          </w:r>
          <w:r w:rsidR="00346A6C">
            <w:rPr>
              <w:rFonts w:cs="Arial"/>
              <w:b/>
              <w:bCs/>
              <w:sz w:val="24"/>
              <w:szCs w:val="24"/>
            </w:rPr>
            <w:t xml:space="preserve"> con </w:t>
          </w:r>
          <w:r w:rsidRPr="00093B50">
            <w:rPr>
              <w:rFonts w:cs="Arial"/>
              <w:b/>
              <w:bCs/>
              <w:i/>
              <w:iCs/>
              <w:sz w:val="24"/>
              <w:szCs w:val="24"/>
            </w:rPr>
            <w:t>OpenCV</w:t>
          </w:r>
          <w:r w:rsidR="00404937">
            <w:rPr>
              <w:rFonts w:cs="Arial"/>
              <w:b/>
              <w:bCs/>
              <w:i/>
              <w:iCs/>
              <w:sz w:val="24"/>
              <w:szCs w:val="24"/>
            </w:rPr>
            <w:t xml:space="preserve"> </w:t>
          </w:r>
          <w:r w:rsidRPr="00093B50">
            <w:rPr>
              <w:rFonts w:cs="Arial"/>
              <w:b/>
              <w:bCs/>
              <w:sz w:val="24"/>
              <w:szCs w:val="24"/>
            </w:rPr>
            <w:t>demostró ser un avance sustancial en precisión y control,</w:t>
          </w:r>
          <w:r w:rsidR="008A3C53">
            <w:rPr>
              <w:rFonts w:cs="Arial"/>
              <w:b/>
              <w:bCs/>
              <w:sz w:val="24"/>
              <w:szCs w:val="24"/>
            </w:rPr>
            <w:t xml:space="preserve"> </w:t>
          </w:r>
          <w:r w:rsidRPr="00093B50">
            <w:rPr>
              <w:rFonts w:cs="Arial"/>
              <w:b/>
              <w:bCs/>
              <w:sz w:val="24"/>
              <w:szCs w:val="24"/>
            </w:rPr>
            <w:t>como se pudo verificar en la comparación directa realizada con ImageJ-Fiji</w:t>
          </w:r>
          <w:r w:rsidRPr="00093B50">
            <w:rPr>
              <w:rFonts w:cs="Arial"/>
              <w:sz w:val="24"/>
              <w:szCs w:val="24"/>
            </w:rPr>
            <w:t>. La ventaja fundamental no reside únicamente en la automatización, sino en la implementación de un paradigma híbrido que combina algoritmos robustos con supervisión experta interactiva. </w:t>
          </w:r>
          <w:r w:rsidRPr="00093B50">
            <w:rPr>
              <w:rFonts w:cs="Arial"/>
              <w:b/>
              <w:bCs/>
              <w:sz w:val="24"/>
              <w:szCs w:val="24"/>
            </w:rPr>
            <w:t>Esta comparación permitió identificar que</w:t>
          </w:r>
          <w:r w:rsidRPr="00093B50">
            <w:rPr>
              <w:rFonts w:cs="Arial"/>
              <w:sz w:val="24"/>
              <w:szCs w:val="24"/>
            </w:rPr>
            <w:t xml:space="preserve">, a diferencia de los flujos predefinidos de software comercial, nuestra metodología permite ajustar </w:t>
          </w:r>
          <w:r w:rsidR="001039D3">
            <w:rPr>
              <w:rFonts w:cs="Arial"/>
              <w:sz w:val="24"/>
              <w:szCs w:val="24"/>
            </w:rPr>
            <w:t xml:space="preserve">la </w:t>
          </w:r>
          <w:r w:rsidRPr="00093B50">
            <w:rPr>
              <w:rFonts w:cs="Arial"/>
              <w:sz w:val="24"/>
              <w:szCs w:val="24"/>
            </w:rPr>
            <w:t>segmentación en tiempo real, adaptándose a las variaciones morfológicas específicas de cada muestra y siendo particularmente útil en zonas de transición microestructural (Dougherty and Lotufo, 2003; Mejía Vilet, 2005).</w:t>
          </w:r>
        </w:p>
        <w:p w14:paraId="1AD20604" w14:textId="02482F9E" w:rsidR="005348FF" w:rsidRPr="00346A6C" w:rsidRDefault="005348FF" w:rsidP="00346A6C">
          <w:pPr>
            <w:widowControl w:val="0"/>
            <w:mirrorIndents/>
            <w:rPr>
              <w:rFonts w:cs="Arial"/>
              <w:sz w:val="24"/>
              <w:szCs w:val="24"/>
            </w:rPr>
          </w:pPr>
          <w:r w:rsidRPr="002846F2">
            <w:rPr>
              <w:rFonts w:cs="Arial"/>
              <w:sz w:val="24"/>
              <w:szCs w:val="24"/>
            </w:rPr>
            <w:t>Como se aprecia de manera contundente en la</w:t>
          </w:r>
          <w:r>
            <w:rPr>
              <w:rFonts w:cs="Arial"/>
              <w:sz w:val="24"/>
              <w:szCs w:val="24"/>
            </w:rPr>
            <w:t>s micrografías representativas de la</w:t>
          </w:r>
          <w:r w:rsidRPr="003747E1">
            <w:rPr>
              <w:rFonts w:cs="Arial"/>
              <w:sz w:val="24"/>
              <w:szCs w:val="24"/>
            </w:rPr>
            <w:t> </w:t>
          </w:r>
          <w:r w:rsidRPr="002846F2">
            <w:rPr>
              <w:rFonts w:cs="Arial"/>
              <w:b/>
              <w:bCs/>
              <w:sz w:val="24"/>
              <w:szCs w:val="24"/>
            </w:rPr>
            <w:t xml:space="preserve">Figura </w:t>
          </w:r>
          <w:r>
            <w:rPr>
              <w:rFonts w:cs="Arial"/>
              <w:b/>
              <w:bCs/>
              <w:sz w:val="24"/>
              <w:szCs w:val="24"/>
            </w:rPr>
            <w:t>3</w:t>
          </w:r>
          <w:r w:rsidRPr="002846F2">
            <w:rPr>
              <w:rFonts w:cs="Arial"/>
              <w:sz w:val="24"/>
              <w:szCs w:val="24"/>
            </w:rPr>
            <w:t>, la segmentación obtenida con la metodología Python/OpenCV (</w:t>
          </w:r>
          <w:r>
            <w:rPr>
              <w:rFonts w:cs="Arial"/>
              <w:sz w:val="24"/>
              <w:szCs w:val="24"/>
            </w:rPr>
            <w:t>Figura 3 a</w:t>
          </w:r>
          <w:r w:rsidRPr="002846F2">
            <w:rPr>
              <w:rFonts w:cs="Arial"/>
              <w:sz w:val="24"/>
              <w:szCs w:val="24"/>
            </w:rPr>
            <w:t xml:space="preserve">) preserva la integridad morfológica de la austenita Widmanstätten (WA) y logra una </w:t>
          </w:r>
          <w:r w:rsidRPr="002846F2">
            <w:rPr>
              <w:rFonts w:cs="Arial"/>
              <w:sz w:val="24"/>
              <w:szCs w:val="24"/>
            </w:rPr>
            <w:lastRenderedPageBreak/>
            <w:t>separación nítida entre las fases, superando claramente los resultados del flujo de trabajo de ImageJ-Fiji (</w:t>
          </w:r>
          <w:r>
            <w:rPr>
              <w:rFonts w:cs="Arial"/>
              <w:sz w:val="24"/>
              <w:szCs w:val="24"/>
            </w:rPr>
            <w:t>Figura 3 b</w:t>
          </w:r>
          <w:r w:rsidRPr="002846F2">
            <w:rPr>
              <w:rFonts w:cs="Arial"/>
              <w:sz w:val="24"/>
              <w:szCs w:val="24"/>
            </w:rPr>
            <w:t>), donde se observa la erosión de morfologías delicadas y la fusión de regiones microestructurales cercanas. Esta evidencia visual corrobora las ventajas técnicas descritas anteriormente.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tblGrid>
          <w:tr w:rsidR="00D673B5" w14:paraId="0F660436" w14:textId="77777777" w:rsidTr="00D673B5">
            <w:tc>
              <w:tcPr>
                <w:tcW w:w="4579" w:type="dxa"/>
              </w:tcPr>
              <w:p w14:paraId="0AF90CA0" w14:textId="0EB2DB3A" w:rsidR="00D673B5" w:rsidRDefault="002846F2" w:rsidP="00346A6C">
                <w:pPr>
                  <w:widowControl w:val="0"/>
                  <w:mirrorIndents/>
                  <w:jc w:val="center"/>
                  <w:rPr>
                    <w:rFonts w:cs="Arial"/>
                    <w:sz w:val="24"/>
                    <w:szCs w:val="24"/>
                  </w:rPr>
                </w:pPr>
                <w:r>
                  <w:rPr>
                    <w:rFonts w:cs="Arial"/>
                    <w:noProof/>
                    <w:sz w:val="24"/>
                    <w:szCs w:val="24"/>
                  </w:rPr>
                  <w:drawing>
                    <wp:inline distT="0" distB="0" distL="0" distR="0" wp14:anchorId="7E90FC3C" wp14:editId="483D5AE6">
                      <wp:extent cx="2725767" cy="2076450"/>
                      <wp:effectExtent l="0" t="0" r="0" b="0"/>
                      <wp:docPr id="832257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6114" cy="2084332"/>
                              </a:xfrm>
                              <a:prstGeom prst="rect">
                                <a:avLst/>
                              </a:prstGeom>
                              <a:noFill/>
                              <a:ln>
                                <a:noFill/>
                              </a:ln>
                            </pic:spPr>
                          </pic:pic>
                        </a:graphicData>
                      </a:graphic>
                    </wp:inline>
                  </w:drawing>
                </w:r>
              </w:p>
            </w:tc>
          </w:tr>
          <w:tr w:rsidR="00D673B5" w14:paraId="6A2100A8" w14:textId="77777777" w:rsidTr="00D673B5">
            <w:tc>
              <w:tcPr>
                <w:tcW w:w="4579" w:type="dxa"/>
              </w:tcPr>
              <w:p w14:paraId="57BC33ED" w14:textId="004A64B2" w:rsidR="00D673B5" w:rsidRDefault="00D673B5" w:rsidP="00346A6C">
                <w:pPr>
                  <w:widowControl w:val="0"/>
                  <w:spacing w:line="360" w:lineRule="auto"/>
                  <w:mirrorIndents/>
                  <w:jc w:val="center"/>
                  <w:rPr>
                    <w:rFonts w:cs="Arial"/>
                    <w:sz w:val="24"/>
                    <w:szCs w:val="24"/>
                  </w:rPr>
                </w:pPr>
                <w:r w:rsidRPr="00346A6C">
                  <w:rPr>
                    <w:rFonts w:cs="Arial"/>
                  </w:rPr>
                  <w:t>a)</w:t>
                </w:r>
              </w:p>
            </w:tc>
          </w:tr>
          <w:tr w:rsidR="00D673B5" w14:paraId="538288DB" w14:textId="77777777" w:rsidTr="00D673B5">
            <w:tc>
              <w:tcPr>
                <w:tcW w:w="4579" w:type="dxa"/>
              </w:tcPr>
              <w:p w14:paraId="0F232D03" w14:textId="475C9B2C" w:rsidR="00D673B5" w:rsidRDefault="002846F2" w:rsidP="00346A6C">
                <w:pPr>
                  <w:widowControl w:val="0"/>
                  <w:mirrorIndents/>
                  <w:jc w:val="center"/>
                  <w:rPr>
                    <w:rFonts w:cs="Arial"/>
                    <w:sz w:val="24"/>
                    <w:szCs w:val="24"/>
                  </w:rPr>
                </w:pPr>
                <w:r>
                  <w:rPr>
                    <w:rFonts w:cs="Arial"/>
                    <w:noProof/>
                    <w:sz w:val="24"/>
                    <w:szCs w:val="24"/>
                  </w:rPr>
                  <w:drawing>
                    <wp:inline distT="0" distB="0" distL="0" distR="0" wp14:anchorId="46B9D43B" wp14:editId="464630C2">
                      <wp:extent cx="2714625" cy="2375297"/>
                      <wp:effectExtent l="0" t="0" r="0" b="6350"/>
                      <wp:docPr id="12909018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1820" cy="2381593"/>
                              </a:xfrm>
                              <a:prstGeom prst="rect">
                                <a:avLst/>
                              </a:prstGeom>
                              <a:noFill/>
                              <a:ln>
                                <a:noFill/>
                              </a:ln>
                            </pic:spPr>
                          </pic:pic>
                        </a:graphicData>
                      </a:graphic>
                    </wp:inline>
                  </w:drawing>
                </w:r>
              </w:p>
            </w:tc>
          </w:tr>
          <w:tr w:rsidR="00D673B5" w14:paraId="2BC30D2A" w14:textId="77777777" w:rsidTr="00D673B5">
            <w:tc>
              <w:tcPr>
                <w:tcW w:w="4579" w:type="dxa"/>
              </w:tcPr>
              <w:p w14:paraId="51C91F4F" w14:textId="41059E43" w:rsidR="00D673B5" w:rsidRDefault="00D673B5" w:rsidP="00346A6C">
                <w:pPr>
                  <w:keepNext/>
                  <w:widowControl w:val="0"/>
                  <w:spacing w:line="360" w:lineRule="auto"/>
                  <w:mirrorIndents/>
                  <w:jc w:val="center"/>
                  <w:rPr>
                    <w:rFonts w:cs="Arial"/>
                    <w:sz w:val="24"/>
                    <w:szCs w:val="24"/>
                  </w:rPr>
                </w:pPr>
                <w:r w:rsidRPr="00346A6C">
                  <w:rPr>
                    <w:rFonts w:cs="Arial"/>
                  </w:rPr>
                  <w:t>b)</w:t>
                </w:r>
              </w:p>
            </w:tc>
          </w:tr>
        </w:tbl>
        <w:p w14:paraId="45D35FD2" w14:textId="72374DD0" w:rsidR="00D604C3" w:rsidRPr="008377AB" w:rsidRDefault="00D673B5" w:rsidP="00346A6C">
          <w:pPr>
            <w:pStyle w:val="Caption"/>
            <w:spacing w:line="360" w:lineRule="auto"/>
            <w:rPr>
              <w:rFonts w:cs="Arial"/>
              <w:i w:val="0"/>
              <w:iCs w:val="0"/>
              <w:color w:val="auto"/>
              <w:sz w:val="32"/>
              <w:szCs w:val="32"/>
            </w:rPr>
          </w:pPr>
          <w:r w:rsidRPr="008377AB">
            <w:rPr>
              <w:b/>
              <w:bCs/>
              <w:i w:val="0"/>
              <w:iCs w:val="0"/>
              <w:color w:val="auto"/>
              <w:sz w:val="22"/>
              <w:szCs w:val="22"/>
            </w:rPr>
            <w:t xml:space="preserve">Figura </w:t>
          </w:r>
          <w:r w:rsidRPr="008377AB">
            <w:rPr>
              <w:b/>
              <w:bCs/>
              <w:i w:val="0"/>
              <w:iCs w:val="0"/>
              <w:color w:val="auto"/>
              <w:sz w:val="22"/>
              <w:szCs w:val="22"/>
            </w:rPr>
            <w:fldChar w:fldCharType="begin"/>
          </w:r>
          <w:r w:rsidRPr="008377AB">
            <w:rPr>
              <w:b/>
              <w:bCs/>
              <w:i w:val="0"/>
              <w:iCs w:val="0"/>
              <w:color w:val="auto"/>
              <w:sz w:val="22"/>
              <w:szCs w:val="22"/>
            </w:rPr>
            <w:instrText xml:space="preserve"> SEQ Figura \* ARABIC </w:instrText>
          </w:r>
          <w:r w:rsidRPr="008377AB">
            <w:rPr>
              <w:b/>
              <w:bCs/>
              <w:i w:val="0"/>
              <w:iCs w:val="0"/>
              <w:color w:val="auto"/>
              <w:sz w:val="22"/>
              <w:szCs w:val="22"/>
            </w:rPr>
            <w:fldChar w:fldCharType="separate"/>
          </w:r>
          <w:r w:rsidR="00391982">
            <w:rPr>
              <w:b/>
              <w:bCs/>
              <w:i w:val="0"/>
              <w:iCs w:val="0"/>
              <w:noProof/>
              <w:color w:val="auto"/>
              <w:sz w:val="22"/>
              <w:szCs w:val="22"/>
            </w:rPr>
            <w:t>3</w:t>
          </w:r>
          <w:r w:rsidRPr="008377AB">
            <w:rPr>
              <w:b/>
              <w:bCs/>
              <w:i w:val="0"/>
              <w:iCs w:val="0"/>
              <w:color w:val="auto"/>
              <w:sz w:val="22"/>
              <w:szCs w:val="22"/>
            </w:rPr>
            <w:fldChar w:fldCharType="end"/>
          </w:r>
          <w:r w:rsidRPr="008377AB">
            <w:rPr>
              <w:b/>
              <w:bCs/>
              <w:i w:val="0"/>
              <w:iCs w:val="0"/>
              <w:color w:val="auto"/>
              <w:sz w:val="22"/>
              <w:szCs w:val="22"/>
            </w:rPr>
            <w:t>:</w:t>
          </w:r>
          <w:r w:rsidR="008377AB" w:rsidRPr="008377AB">
            <w:rPr>
              <w:i w:val="0"/>
              <w:iCs w:val="0"/>
              <w:color w:val="auto"/>
              <w:sz w:val="22"/>
              <w:szCs w:val="22"/>
            </w:rPr>
            <w:t xml:space="preserve"> Resultados de la segmentación de morfologías de austenita obtenidos con, a) los algoritmos desarrollados en Python/OpenCV y b) el flujo de trabajo convencional de ImageJ-Fiji.</w:t>
          </w:r>
        </w:p>
        <w:p w14:paraId="35F1AD83" w14:textId="0D8B1E6B" w:rsidR="00CF7473" w:rsidRPr="00093B50" w:rsidRDefault="00CF7473" w:rsidP="00346A6C">
          <w:pPr>
            <w:widowControl w:val="0"/>
            <w:mirrorIndents/>
            <w:rPr>
              <w:rFonts w:cs="Arial"/>
              <w:sz w:val="24"/>
              <w:szCs w:val="24"/>
            </w:rPr>
          </w:pPr>
          <w:r w:rsidRPr="00093B50">
            <w:rPr>
              <w:rFonts w:cs="Arial"/>
              <w:sz w:val="24"/>
              <w:szCs w:val="24"/>
            </w:rPr>
            <w:t>Técnicamente, este salto cualitativo se sustenta en dos pilares principales. En primer lugar, la aplicación de </w:t>
          </w:r>
          <w:r w:rsidRPr="00093B50">
            <w:rPr>
              <w:rFonts w:cs="Arial"/>
              <w:b/>
              <w:bCs/>
              <w:sz w:val="24"/>
              <w:szCs w:val="24"/>
            </w:rPr>
            <w:t>operaciones lógicas bit a bit</w:t>
          </w:r>
          <w:r w:rsidRPr="00093B50">
            <w:rPr>
              <w:rFonts w:cs="Arial"/>
              <w:sz w:val="24"/>
              <w:szCs w:val="24"/>
            </w:rPr>
            <w:t> para la manipulación de máscaras representa una mejora crucial frente a las operaciones morfológicas convencionales. Mientras que estas últimas alteran la forma de los objetos, las operaciones bitwise preservan la integridad de los bordes y permiten manipulaciones booleanas precisas entre máscaras, minimizando la pérdida de información en morfologías delicadas (González and Woods, 2018; Plataniotis and Venetsanopoulos, 2010). En segundo lugar,</w:t>
          </w:r>
          <w:r w:rsidR="002422DE">
            <w:rPr>
              <w:rFonts w:cs="Arial"/>
              <w:sz w:val="24"/>
              <w:szCs w:val="24"/>
            </w:rPr>
            <w:t xml:space="preserve"> </w:t>
          </w:r>
          <w:r w:rsidRPr="00093B50">
            <w:rPr>
              <w:rFonts w:cs="Arial"/>
              <w:sz w:val="24"/>
              <w:szCs w:val="24"/>
            </w:rPr>
            <w:t>la</w:t>
          </w:r>
          <w:r w:rsidR="002422DE">
            <w:rPr>
              <w:rFonts w:cs="Arial"/>
              <w:sz w:val="24"/>
              <w:szCs w:val="24"/>
            </w:rPr>
            <w:t xml:space="preserve"> </w:t>
          </w:r>
          <w:r w:rsidRPr="00093B50">
            <w:rPr>
              <w:rFonts w:cs="Arial"/>
              <w:b/>
              <w:bCs/>
              <w:sz w:val="24"/>
              <w:szCs w:val="24"/>
            </w:rPr>
            <w:t>binarización dinámica e interactiva</w:t>
          </w:r>
          <w:r w:rsidRPr="00093B50">
            <w:rPr>
              <w:rFonts w:cs="Arial"/>
              <w:sz w:val="24"/>
              <w:szCs w:val="24"/>
            </w:rPr>
            <w:t>, que utiliza el método de Otsu como base, pero incorpora ajustes manuales, supera la rigidez de los umbrales globales. Esto, complementado con protocolos de preprocesamiento personalizado, permite tratar eficazmente imágenes con iluminación no uniforme o contraste variable, condiciones que suelen afectar la confiabilidad de los métodos semiautomáticos (Forsyth and Ponce, 2012; Jain, 1989).</w:t>
          </w:r>
        </w:p>
        <w:p w14:paraId="139A5050" w14:textId="77777777" w:rsidR="00CF7473" w:rsidRDefault="00CF7473" w:rsidP="00346A6C">
          <w:pPr>
            <w:widowControl w:val="0"/>
            <w:mirrorIndents/>
            <w:rPr>
              <w:rFonts w:cs="Arial"/>
              <w:sz w:val="24"/>
              <w:szCs w:val="24"/>
            </w:rPr>
          </w:pPr>
          <w:r w:rsidRPr="00093B50">
            <w:rPr>
              <w:rFonts w:cs="Arial"/>
              <w:sz w:val="24"/>
              <w:szCs w:val="24"/>
            </w:rPr>
            <w:t>Un aspecto clave de este enfoque es cómo </w:t>
          </w:r>
          <w:r w:rsidRPr="00093B50">
            <w:rPr>
              <w:rFonts w:cs="Arial"/>
              <w:b/>
              <w:bCs/>
              <w:sz w:val="24"/>
              <w:szCs w:val="24"/>
            </w:rPr>
            <w:t>reduce la subjetividad sin eliminar el criterio experto</w:t>
          </w:r>
          <w:r w:rsidRPr="00093B50">
            <w:rPr>
              <w:rFonts w:cs="Arial"/>
              <w:sz w:val="24"/>
              <w:szCs w:val="24"/>
            </w:rPr>
            <w:t xml:space="preserve">. La integración de herramientas de edición con </w:t>
          </w:r>
          <w:r w:rsidRPr="00093B50">
            <w:rPr>
              <w:rFonts w:cs="Arial"/>
              <w:sz w:val="24"/>
              <w:szCs w:val="24"/>
            </w:rPr>
            <w:lastRenderedPageBreak/>
            <w:t>retroalimentación visual inmediata (Cruz-Crespo et al., 2023; Morales et al., 2023) permite corregir errores de segmentación de manera interactiva, pero a diferencia de los métodos manuales puros, mantiene un registro digital de todas las modificaciones. Esto asegura la trazabilidad del proceso y facilita la reproducibilidad entre diferentes operadores, ya que las decisiones se toman sobre una base algorítmica común que puede ser revisada y replicada, cumpliendo con los requisitos de trazabilidad establecidos en normas de caracterización microestructural (ASTM E1245, 2016; ASTM E1382, 2017).</w:t>
          </w:r>
        </w:p>
        <w:p w14:paraId="304D784E" w14:textId="39449F4D" w:rsidR="00C729AE" w:rsidRPr="00093B50" w:rsidRDefault="00C729AE" w:rsidP="00346A6C">
          <w:pPr>
            <w:widowControl w:val="0"/>
            <w:mirrorIndents/>
            <w:rPr>
              <w:rFonts w:cs="Arial"/>
              <w:sz w:val="24"/>
              <w:szCs w:val="24"/>
            </w:rPr>
          </w:pPr>
          <w:r w:rsidRPr="00093B50">
            <w:rPr>
              <w:rFonts w:cs="Arial"/>
              <w:sz w:val="24"/>
              <w:szCs w:val="24"/>
            </w:rPr>
            <w:t>La validación de la metodología desarrollada se sustenta en trabajos previos del grupo de investigación que han caracterizado exhaustivamente el comportamiento microestructural de aceros dúplex en condiciones de soldadura (Cruz-Crespo et al., 2021, 2022; Morales et al., 2019, 2022). Estos estudios proporcionan el marco de referencia necesario para interpretar correctamente los resultados de la segmentación automática, particularmente en lo que respecta a la distinción entre las diferentes morfologías de austenita secundaria y su relación con los parámetros de soldadura (Karlsson, 2012; Pozo-Morejón et al., 2018).</w:t>
          </w:r>
        </w:p>
        <w:p w14:paraId="7AC2D524" w14:textId="13FA861B" w:rsidR="00C729AE" w:rsidRDefault="00807FA3" w:rsidP="00346A6C">
          <w:pPr>
            <w:widowControl w:val="0"/>
            <w:mirrorIndents/>
            <w:rPr>
              <w:rFonts w:cs="Arial"/>
              <w:sz w:val="24"/>
              <w:szCs w:val="24"/>
            </w:rPr>
          </w:pPr>
          <w:r w:rsidRPr="00807FA3">
            <w:rPr>
              <w:rFonts w:cs="Arial"/>
              <w:noProof/>
              <w:sz w:val="24"/>
              <w:szCs w:val="24"/>
            </w:rPr>
            <w:drawing>
              <wp:inline distT="0" distB="0" distL="0" distR="0" wp14:anchorId="4B978215" wp14:editId="1D70A887">
                <wp:extent cx="2847975" cy="2228850"/>
                <wp:effectExtent l="0" t="0" r="9525" b="0"/>
                <wp:docPr id="1708273433" name="Chart 1">
                  <a:extLst xmlns:a="http://schemas.openxmlformats.org/drawingml/2006/main">
                    <a:ext uri="{FF2B5EF4-FFF2-40B4-BE49-F238E27FC236}">
                      <a16:creationId xmlns:a16="http://schemas.microsoft.com/office/drawing/2014/main" id="{63D487CF-B8FF-D204-8753-188C01A3A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E3D66A" w14:textId="77777777" w:rsidR="00391982" w:rsidRDefault="00391982" w:rsidP="00346A6C">
          <w:pPr>
            <w:keepNext/>
            <w:widowControl w:val="0"/>
            <w:mirrorIndents/>
          </w:pPr>
          <w:r>
            <w:rPr>
              <w:noProof/>
            </w:rPr>
            <w:drawing>
              <wp:inline distT="0" distB="0" distL="0" distR="0" wp14:anchorId="44CDA094" wp14:editId="793AE5E8">
                <wp:extent cx="2876550" cy="2390775"/>
                <wp:effectExtent l="0" t="0" r="0" b="9525"/>
                <wp:docPr id="1774741710" name="Chart 1">
                  <a:extLst xmlns:a="http://schemas.openxmlformats.org/drawingml/2006/main">
                    <a:ext uri="{FF2B5EF4-FFF2-40B4-BE49-F238E27FC236}">
                      <a16:creationId xmlns:a16="http://schemas.microsoft.com/office/drawing/2014/main" id="{63D487CF-B8FF-D204-8753-188C01A3A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9314AA" w14:textId="5DF373AD" w:rsidR="003747E1" w:rsidRDefault="00391982" w:rsidP="00346A6C">
          <w:pPr>
            <w:pStyle w:val="Caption"/>
            <w:spacing w:line="360" w:lineRule="auto"/>
            <w:rPr>
              <w:b/>
              <w:bCs/>
              <w:i w:val="0"/>
              <w:iCs w:val="0"/>
              <w:color w:val="auto"/>
              <w:sz w:val="22"/>
              <w:szCs w:val="22"/>
            </w:rPr>
          </w:pPr>
          <w:r w:rsidRPr="00AB298D">
            <w:rPr>
              <w:b/>
              <w:bCs/>
              <w:i w:val="0"/>
              <w:iCs w:val="0"/>
              <w:color w:val="auto"/>
              <w:sz w:val="22"/>
              <w:szCs w:val="22"/>
            </w:rPr>
            <w:t xml:space="preserve">Figura </w:t>
          </w:r>
          <w:r w:rsidRPr="00AB298D">
            <w:rPr>
              <w:b/>
              <w:bCs/>
              <w:i w:val="0"/>
              <w:iCs w:val="0"/>
              <w:color w:val="auto"/>
              <w:sz w:val="22"/>
              <w:szCs w:val="22"/>
            </w:rPr>
            <w:fldChar w:fldCharType="begin"/>
          </w:r>
          <w:r w:rsidRPr="00AB298D">
            <w:rPr>
              <w:b/>
              <w:bCs/>
              <w:i w:val="0"/>
              <w:iCs w:val="0"/>
              <w:color w:val="auto"/>
              <w:sz w:val="22"/>
              <w:szCs w:val="22"/>
            </w:rPr>
            <w:instrText xml:space="preserve"> SEQ Figura \* ARABIC </w:instrText>
          </w:r>
          <w:r w:rsidRPr="00AB298D">
            <w:rPr>
              <w:b/>
              <w:bCs/>
              <w:i w:val="0"/>
              <w:iCs w:val="0"/>
              <w:color w:val="auto"/>
              <w:sz w:val="22"/>
              <w:szCs w:val="22"/>
            </w:rPr>
            <w:fldChar w:fldCharType="separate"/>
          </w:r>
          <w:r w:rsidRPr="00AB298D">
            <w:rPr>
              <w:b/>
              <w:bCs/>
              <w:i w:val="0"/>
              <w:iCs w:val="0"/>
              <w:noProof/>
              <w:color w:val="auto"/>
              <w:sz w:val="22"/>
              <w:szCs w:val="22"/>
            </w:rPr>
            <w:t>4</w:t>
          </w:r>
          <w:r w:rsidRPr="00AB298D">
            <w:rPr>
              <w:b/>
              <w:bCs/>
              <w:i w:val="0"/>
              <w:iCs w:val="0"/>
              <w:color w:val="auto"/>
              <w:sz w:val="22"/>
              <w:szCs w:val="22"/>
            </w:rPr>
            <w:fldChar w:fldCharType="end"/>
          </w:r>
          <w:r w:rsidRPr="00AB298D">
            <w:rPr>
              <w:b/>
              <w:bCs/>
              <w:i w:val="0"/>
              <w:iCs w:val="0"/>
              <w:color w:val="auto"/>
              <w:sz w:val="22"/>
              <w:szCs w:val="22"/>
            </w:rPr>
            <w:t>:</w:t>
          </w:r>
          <w:r w:rsidR="00AB298D">
            <w:rPr>
              <w:b/>
              <w:bCs/>
              <w:i w:val="0"/>
              <w:iCs w:val="0"/>
              <w:color w:val="auto"/>
              <w:sz w:val="22"/>
              <w:szCs w:val="22"/>
            </w:rPr>
            <w:t xml:space="preserve"> </w:t>
          </w:r>
          <w:r w:rsidR="00AB298D" w:rsidRPr="00AB298D">
            <w:rPr>
              <w:i w:val="0"/>
              <w:iCs w:val="0"/>
              <w:color w:val="auto"/>
              <w:sz w:val="22"/>
              <w:szCs w:val="22"/>
            </w:rPr>
            <w:t>Distribución de morfologías de austenita en función de la energía de soldadura (datos representativos).</w:t>
          </w:r>
          <w:r w:rsidRPr="00AB298D">
            <w:rPr>
              <w:b/>
              <w:bCs/>
              <w:i w:val="0"/>
              <w:iCs w:val="0"/>
              <w:color w:val="auto"/>
              <w:sz w:val="22"/>
              <w:szCs w:val="22"/>
            </w:rPr>
            <w:t xml:space="preserve"> </w:t>
          </w:r>
        </w:p>
        <w:p w14:paraId="0CE02768" w14:textId="0E548977" w:rsidR="005348FF" w:rsidRPr="005348FF" w:rsidRDefault="005348FF" w:rsidP="005348FF">
          <w:r w:rsidRPr="003747E1">
            <w:rPr>
              <w:rFonts w:cs="Arial"/>
              <w:sz w:val="24"/>
              <w:szCs w:val="24"/>
            </w:rPr>
            <w:t>Como ilustra</w:t>
          </w:r>
          <w:r>
            <w:rPr>
              <w:rFonts w:cs="Arial"/>
              <w:sz w:val="24"/>
              <w:szCs w:val="24"/>
            </w:rPr>
            <w:t xml:space="preserve"> en</w:t>
          </w:r>
          <w:r w:rsidRPr="003747E1">
            <w:rPr>
              <w:rFonts w:cs="Arial"/>
              <w:sz w:val="24"/>
              <w:szCs w:val="24"/>
            </w:rPr>
            <w:t xml:space="preserve"> la Figura 4, la aplicación de los algoritmos desarrollados demuestra la capacidad del método para establecer correlaciones entre la energía de entrada del proceso de soldadura y la distribución morfológica de la austenita en la ZAT. Los resultados mostrados, obtenidos de micrografías representativas procesadas hasta el momento, evidencian la </w:t>
          </w:r>
          <w:r w:rsidRPr="003747E1">
            <w:rPr>
              <w:rFonts w:cs="Arial"/>
              <w:sz w:val="24"/>
              <w:szCs w:val="24"/>
            </w:rPr>
            <w:lastRenderedPageBreak/>
            <w:t>sensibilidad del método para detectar variaciones microestructurales y validan el protocolo de cuantificación implementado.</w:t>
          </w:r>
        </w:p>
        <w:p w14:paraId="1EFF1978" w14:textId="77777777" w:rsidR="00CF7473" w:rsidRPr="00093B50" w:rsidRDefault="00CF7473" w:rsidP="00346A6C">
          <w:pPr>
            <w:widowControl w:val="0"/>
            <w:mirrorIndents/>
            <w:rPr>
              <w:rFonts w:cs="Arial"/>
              <w:sz w:val="24"/>
              <w:szCs w:val="24"/>
            </w:rPr>
          </w:pPr>
          <w:r w:rsidRPr="00093B50">
            <w:rPr>
              <w:rFonts w:cs="Arial"/>
              <w:sz w:val="24"/>
              <w:szCs w:val="24"/>
            </w:rPr>
            <w:t>Finalmente, la </w:t>
          </w:r>
          <w:r w:rsidRPr="00093B50">
            <w:rPr>
              <w:rFonts w:cs="Arial"/>
              <w:b/>
              <w:bCs/>
              <w:sz w:val="24"/>
              <w:szCs w:val="24"/>
            </w:rPr>
            <w:t>arquitectura modular</w:t>
          </w:r>
          <w:r w:rsidRPr="00093B50">
            <w:rPr>
              <w:rFonts w:cs="Arial"/>
              <w:sz w:val="24"/>
              <w:szCs w:val="24"/>
            </w:rPr>
            <w:t> de los algoritmos desarrollados en </w:t>
          </w:r>
          <w:r w:rsidRPr="00093B50">
            <w:rPr>
              <w:rFonts w:cs="Arial"/>
              <w:i/>
              <w:iCs/>
              <w:sz w:val="24"/>
              <w:szCs w:val="24"/>
            </w:rPr>
            <w:t>Python</w:t>
          </w:r>
          <w:r w:rsidRPr="00093B50">
            <w:rPr>
              <w:rFonts w:cs="Arial"/>
              <w:sz w:val="24"/>
              <w:szCs w:val="24"/>
            </w:rPr>
            <w:t> no solo resuelve los problemas actuales de cuantificación, sino que establece una plataforma para la evolución futura de estas técnicas. Este formato de trabajo facilita la integración progresiva de redes neuronales convolucionales para tareas específicas, como la clasificación automática de morfologías, superando así las limitaciones de los clasificadores basados únicamente en parámetros geométricos (Russell and Norvig, 2020). La experiencia acumulada en la caracterización de microestructuras de aceros dúplex (López Morales, 2022; Olaya, 2018) proporciona el conocimiento experto necesario para el entrenamiento y validación de estos sistemas de inteligencia artificial. De este modo, la metodología presentada no solo constituye una solución efectiva para la caracterización microestructural de aceros dúplex, sino que también sienta las bases para el desarrollo de herramientas de inteligencia artificial aplicada a la metalurgia.</w:t>
          </w:r>
        </w:p>
        <w:p w14:paraId="51D3A1B2" w14:textId="70CA11AB" w:rsidR="00B22E73" w:rsidRPr="00AC1391" w:rsidRDefault="00697AE8" w:rsidP="00346A6C">
          <w:pPr>
            <w:widowControl w:val="0"/>
            <w:mirrorIndents/>
            <w:rPr>
              <w:rFonts w:cs="Arial"/>
              <w:b/>
              <w:i/>
              <w:iCs/>
              <w:kern w:val="2"/>
              <w:sz w:val="24"/>
              <w:szCs w:val="24"/>
            </w:rPr>
          </w:pPr>
          <w:r w:rsidRPr="00AC1391">
            <w:rPr>
              <w:rFonts w:cs="Arial"/>
              <w:b/>
              <w:i/>
              <w:iCs/>
              <w:kern w:val="2"/>
              <w:sz w:val="24"/>
              <w:szCs w:val="24"/>
            </w:rPr>
            <w:t>CONCLUSIONES</w:t>
          </w:r>
        </w:p>
        <w:p w14:paraId="66887647" w14:textId="64D3F173" w:rsidR="00A91264" w:rsidRPr="005348FF" w:rsidRDefault="00A91264" w:rsidP="00346A6C">
          <w:pPr>
            <w:mirrorIndents/>
            <w:rPr>
              <w:rFonts w:cs="Arial"/>
              <w:sz w:val="24"/>
              <w:szCs w:val="24"/>
            </w:rPr>
          </w:pPr>
          <w:r w:rsidRPr="005348FF">
            <w:rPr>
              <w:rFonts w:cs="Arial"/>
              <w:sz w:val="24"/>
              <w:szCs w:val="24"/>
            </w:rPr>
            <w:t xml:space="preserve">El </w:t>
          </w:r>
          <w:r w:rsidR="005348FF">
            <w:rPr>
              <w:rFonts w:cs="Arial"/>
              <w:sz w:val="24"/>
              <w:szCs w:val="24"/>
            </w:rPr>
            <w:t xml:space="preserve">PDI </w:t>
          </w:r>
          <w:r w:rsidRPr="005348FF">
            <w:rPr>
              <w:rFonts w:cs="Arial"/>
              <w:sz w:val="24"/>
              <w:szCs w:val="24"/>
            </w:rPr>
            <w:t>mediante los algoritmos desarrollados en </w:t>
          </w:r>
          <w:r w:rsidRPr="005348FF">
            <w:rPr>
              <w:rFonts w:cs="Arial"/>
              <w:i/>
              <w:iCs/>
              <w:sz w:val="24"/>
              <w:szCs w:val="24"/>
            </w:rPr>
            <w:t>Python</w:t>
          </w:r>
          <w:r w:rsidRPr="005348FF">
            <w:rPr>
              <w:rFonts w:cs="Arial"/>
              <w:sz w:val="24"/>
              <w:szCs w:val="24"/>
            </w:rPr>
            <w:t xml:space="preserve"> representa una </w:t>
          </w:r>
          <w:r w:rsidRPr="005348FF">
            <w:rPr>
              <w:rFonts w:cs="Arial"/>
              <w:sz w:val="24"/>
              <w:szCs w:val="24"/>
            </w:rPr>
            <w:t>alternativa robusta para la cuantificación objetiva y reproducible de morfologías de austenita en la ZAT de aceros dúplex, superando las limitaciones de subjetividad y laboriosidad de ImageJ-Fiji.</w:t>
          </w:r>
        </w:p>
        <w:p w14:paraId="1C2E6094" w14:textId="26756A04" w:rsidR="00A91264" w:rsidRPr="005348FF" w:rsidRDefault="00A91264" w:rsidP="00346A6C">
          <w:pPr>
            <w:mirrorIndents/>
            <w:rPr>
              <w:rFonts w:cs="Arial"/>
              <w:sz w:val="24"/>
              <w:szCs w:val="24"/>
            </w:rPr>
          </w:pPr>
          <w:r w:rsidRPr="005348FF">
            <w:rPr>
              <w:rFonts w:cs="Arial"/>
              <w:sz w:val="24"/>
              <w:szCs w:val="24"/>
            </w:rPr>
            <w:t>La aplicación de la metodología a micrografías de soldaduras realizadas con diferentes energías de entrada permitió establecer diferencias microestructurales cuantitativas, demostrando la sensibilidad del método.</w:t>
          </w:r>
        </w:p>
        <w:p w14:paraId="3A3BDEFD" w14:textId="6B811007" w:rsidR="00A91264" w:rsidRPr="005348FF" w:rsidRDefault="00A91264" w:rsidP="00346A6C">
          <w:pPr>
            <w:mirrorIndents/>
            <w:rPr>
              <w:rFonts w:cs="Arial"/>
              <w:sz w:val="24"/>
              <w:szCs w:val="24"/>
            </w:rPr>
          </w:pPr>
          <w:r w:rsidRPr="005348FF">
            <w:rPr>
              <w:rFonts w:cs="Arial"/>
              <w:sz w:val="24"/>
              <w:szCs w:val="24"/>
            </w:rPr>
            <w:t>El enfoque híbrido, que integra operaciones lógicas bit a bit y ajuste interactivo, resultó ser una solución efectiva al desafío de segmentar fases de tonalidad similar, ofreciendo una alternativa reproducible para la identificación y cuantificación de austenita.</w:t>
          </w:r>
        </w:p>
        <w:p w14:paraId="372FD11E" w14:textId="77777777" w:rsidR="00C60A51" w:rsidRPr="00AC1391" w:rsidRDefault="003F1DA7" w:rsidP="00346A6C">
          <w:pPr>
            <w:mirrorIndents/>
            <w:rPr>
              <w:rFonts w:cs="Arial"/>
              <w:b/>
              <w:bCs/>
              <w:i/>
              <w:iCs/>
              <w:sz w:val="24"/>
              <w:szCs w:val="24"/>
            </w:rPr>
          </w:pPr>
          <w:r w:rsidRPr="00AC1391">
            <w:rPr>
              <w:rFonts w:cs="Arial"/>
              <w:b/>
              <w:bCs/>
              <w:i/>
              <w:iCs/>
              <w:sz w:val="24"/>
              <w:szCs w:val="24"/>
            </w:rPr>
            <w:t>RECOMENDACIONES</w:t>
          </w:r>
        </w:p>
        <w:p w14:paraId="4B867EED" w14:textId="666E7949" w:rsidR="00E23257" w:rsidRPr="00093B50" w:rsidRDefault="003F1DA7" w:rsidP="00346A6C">
          <w:pPr>
            <w:mirrorIndents/>
            <w:rPr>
              <w:rFonts w:cs="Arial"/>
              <w:b/>
              <w:bCs/>
              <w:sz w:val="24"/>
              <w:szCs w:val="24"/>
            </w:rPr>
          </w:pPr>
          <w:r w:rsidRPr="00093B50">
            <w:rPr>
              <w:rFonts w:cs="Arial"/>
              <w:sz w:val="24"/>
              <w:szCs w:val="24"/>
            </w:rPr>
            <w:t>Se recomienda continuar desarrollando y optimizando algoritmos para PDI mediante técnicas de procesamiento paralelo, integración con redes neuronales convolucionales para segmentación automática, y creación de bases de datos microestructurales etiquetadas que permitan la validación sistemática y el entrenamiento de modelos de inteligencia artificial con capacidad predictiva superior.</w:t>
          </w:r>
        </w:p>
      </w:sdtContent>
    </w:sdt>
    <w:p w14:paraId="4D628E10" w14:textId="77777777" w:rsidR="00BD0ECA" w:rsidRPr="00093B50" w:rsidRDefault="00BD0ECA" w:rsidP="00093B50">
      <w:pPr>
        <w:pStyle w:val="NormalWeb"/>
        <w:widowControl w:val="0"/>
        <w:spacing w:before="0" w:beforeAutospacing="0" w:after="0" w:afterAutospacing="0"/>
        <w:rPr>
          <w:rFonts w:ascii="Arial" w:hAnsi="Arial" w:cs="Arial"/>
        </w:rPr>
        <w:sectPr w:rsidR="00BD0ECA" w:rsidRPr="00093B50" w:rsidSect="00BD0ECA">
          <w:footnotePr>
            <w:numFmt w:val="lowerLetter"/>
          </w:footnotePr>
          <w:type w:val="continuous"/>
          <w:pgSz w:w="12242" w:h="15842" w:code="1"/>
          <w:pgMar w:top="1134" w:right="1418" w:bottom="1134" w:left="1418" w:header="709" w:footer="907" w:gutter="0"/>
          <w:cols w:num="2" w:space="227"/>
          <w:docGrid w:linePitch="360"/>
        </w:sectPr>
      </w:pPr>
    </w:p>
    <w:p w14:paraId="729EEB3F" w14:textId="77777777" w:rsidR="006A5A4B" w:rsidRPr="00DA227B" w:rsidRDefault="006A5A4B" w:rsidP="00093B50">
      <w:pPr>
        <w:widowControl w:val="0"/>
        <w:rPr>
          <w:rFonts w:cs="Arial"/>
          <w:b/>
          <w:bCs/>
          <w:kern w:val="2"/>
          <w:sz w:val="24"/>
          <w:szCs w:val="24"/>
        </w:rPr>
      </w:pPr>
      <w:r w:rsidRPr="00DA227B">
        <w:rPr>
          <w:rFonts w:cs="Arial"/>
          <w:b/>
          <w:bCs/>
          <w:kern w:val="2"/>
          <w:sz w:val="24"/>
          <w:szCs w:val="24"/>
        </w:rPr>
        <w:lastRenderedPageBreak/>
        <w:t>AGRADECIMIENTOS</w:t>
      </w:r>
    </w:p>
    <w:p w14:paraId="2485E686" w14:textId="62066C10" w:rsidR="006A5A4B" w:rsidRPr="00DA227B" w:rsidRDefault="006A5A4B" w:rsidP="00093B50">
      <w:pPr>
        <w:widowControl w:val="0"/>
        <w:rPr>
          <w:rFonts w:cs="Arial"/>
          <w:kern w:val="2"/>
          <w:sz w:val="24"/>
          <w:szCs w:val="24"/>
        </w:rPr>
      </w:pPr>
      <w:r w:rsidRPr="00DA227B">
        <w:rPr>
          <w:rFonts w:cs="Arial"/>
          <w:kern w:val="2"/>
          <w:sz w:val="24"/>
          <w:szCs w:val="24"/>
        </w:rPr>
        <w:t>Los autores no tienen agradecimientos que declarar.</w:t>
      </w:r>
    </w:p>
    <w:p w14:paraId="78F1F694" w14:textId="19C137C9" w:rsidR="006A5A4B" w:rsidRPr="00DA227B" w:rsidRDefault="006A5A4B" w:rsidP="00093B50">
      <w:pPr>
        <w:widowControl w:val="0"/>
        <w:rPr>
          <w:rFonts w:cs="Arial"/>
          <w:b/>
          <w:kern w:val="2"/>
          <w:sz w:val="24"/>
          <w:szCs w:val="24"/>
        </w:rPr>
      </w:pPr>
      <w:r w:rsidRPr="00DA227B">
        <w:rPr>
          <w:rFonts w:cs="Arial"/>
          <w:b/>
          <w:bCs/>
          <w:kern w:val="2"/>
          <w:sz w:val="24"/>
          <w:szCs w:val="24"/>
        </w:rPr>
        <w:t>CONFLICTO DE INTERESES</w:t>
      </w:r>
    </w:p>
    <w:p w14:paraId="5EBAF902" w14:textId="051BE231" w:rsidR="006A5A4B" w:rsidRPr="00DA227B" w:rsidRDefault="006A5A4B" w:rsidP="00093B50">
      <w:pPr>
        <w:widowControl w:val="0"/>
        <w:rPr>
          <w:rFonts w:cs="Arial"/>
          <w:bCs/>
          <w:kern w:val="2"/>
          <w:sz w:val="24"/>
          <w:szCs w:val="24"/>
        </w:rPr>
      </w:pPr>
      <w:r w:rsidRPr="00DA227B">
        <w:rPr>
          <w:rFonts w:cs="Arial"/>
          <w:bCs/>
          <w:kern w:val="2"/>
          <w:sz w:val="24"/>
          <w:szCs w:val="24"/>
        </w:rPr>
        <w:t>Los autores declaran no tener ningún conflicto de intereses.</w:t>
      </w:r>
    </w:p>
    <w:p w14:paraId="58F0DE1E" w14:textId="18E6864D" w:rsidR="000E385F" w:rsidRPr="00DA227B" w:rsidRDefault="00BD0ECA" w:rsidP="00093B50">
      <w:pPr>
        <w:widowControl w:val="0"/>
        <w:rPr>
          <w:rFonts w:cs="Arial"/>
          <w:b/>
          <w:kern w:val="2"/>
          <w:sz w:val="24"/>
          <w:szCs w:val="24"/>
          <w:lang w:val="en-US"/>
        </w:rPr>
      </w:pPr>
      <w:r w:rsidRPr="00DA227B">
        <w:rPr>
          <w:rFonts w:cs="Arial"/>
          <w:b/>
          <w:kern w:val="2"/>
          <w:sz w:val="24"/>
          <w:szCs w:val="24"/>
          <w:lang w:val="en-US"/>
        </w:rPr>
        <w:t>REFERENCIAS</w:t>
      </w:r>
    </w:p>
    <w:sdt>
      <w:sdtPr>
        <w:rPr>
          <w:rFonts w:ascii="Arial" w:eastAsia="Times New Roman" w:hAnsi="Arial" w:cs="Arial"/>
          <w:b/>
          <w:kern w:val="0"/>
          <w:sz w:val="24"/>
          <w:szCs w:val="24"/>
          <w:lang w:eastAsia="es-ES"/>
        </w:rPr>
        <w:alias w:val="referencias"/>
        <w:tag w:val="referencias"/>
        <w:id w:val="30499644"/>
        <w:lock w:val="sdtLocked"/>
        <w:placeholder>
          <w:docPart w:val="FE62231491BA400CA7A769FFDC67880A"/>
        </w:placeholder>
      </w:sdtPr>
      <w:sdtEndPr>
        <w:rPr>
          <w:b w:val="0"/>
          <w:lang w:val="en-US"/>
        </w:rPr>
      </w:sdtEndPr>
      <w:sdtContent>
        <w:p w14:paraId="49886B80" w14:textId="11B63EC8" w:rsidR="00CB1F0D" w:rsidRPr="00093B50" w:rsidRDefault="00CB1F0D" w:rsidP="00093B50">
          <w:pPr>
            <w:pStyle w:val="ListParagraph"/>
            <w:numPr>
              <w:ilvl w:val="0"/>
              <w:numId w:val="17"/>
            </w:numPr>
            <w:spacing w:line="360" w:lineRule="auto"/>
            <w:jc w:val="both"/>
            <w:rPr>
              <w:rFonts w:ascii="Arial" w:hAnsi="Arial" w:cs="Arial"/>
              <w:b/>
              <w:sz w:val="24"/>
              <w:szCs w:val="24"/>
              <w:lang w:val="en-US"/>
            </w:rPr>
          </w:pPr>
          <w:r w:rsidRPr="00093B50">
            <w:rPr>
              <w:rStyle w:val="Strong"/>
              <w:rFonts w:ascii="Arial" w:hAnsi="Arial" w:cs="Arial"/>
              <w:color w:val="0F1115"/>
              <w:sz w:val="24"/>
              <w:szCs w:val="24"/>
              <w:lang w:val="en-US"/>
            </w:rPr>
            <w:t>ASM</w:t>
          </w:r>
          <w:r w:rsidRPr="00093B50">
            <w:rPr>
              <w:rFonts w:ascii="Arial" w:hAnsi="Arial" w:cs="Arial"/>
              <w:sz w:val="24"/>
              <w:szCs w:val="24"/>
              <w:lang w:val="en-US"/>
            </w:rPr>
            <w:t> (2005) </w:t>
          </w:r>
          <w:r w:rsidRPr="00093B50">
            <w:rPr>
              <w:rStyle w:val="Emphasis"/>
              <w:rFonts w:ascii="Arial" w:hAnsi="Arial" w:cs="Arial"/>
              <w:color w:val="0F1115"/>
              <w:sz w:val="24"/>
              <w:szCs w:val="24"/>
              <w:lang w:val="en-US"/>
            </w:rPr>
            <w:t>Properties and Selection: Irons, Steels, and High-Performance Alloys</w:t>
          </w:r>
          <w:r w:rsidRPr="00093B50">
            <w:rPr>
              <w:rFonts w:ascii="Arial" w:hAnsi="Arial" w:cs="Arial"/>
              <w:sz w:val="24"/>
              <w:szCs w:val="24"/>
              <w:lang w:val="en-US"/>
            </w:rPr>
            <w:t xml:space="preserve">. </w:t>
          </w:r>
          <w:r w:rsidRPr="00093B50">
            <w:rPr>
              <w:rFonts w:ascii="Arial" w:hAnsi="Arial" w:cs="Arial"/>
              <w:sz w:val="24"/>
              <w:szCs w:val="24"/>
            </w:rPr>
            <w:t>Vol. 1. Materials Park, OH: ASM International.</w:t>
          </w:r>
        </w:p>
        <w:p w14:paraId="1190FB0C" w14:textId="77777777" w:rsidR="00CB1F0D" w:rsidRPr="007B5593" w:rsidRDefault="00CB1F0D" w:rsidP="00093B50">
          <w:pPr>
            <w:pStyle w:val="ListParagraph"/>
            <w:numPr>
              <w:ilvl w:val="0"/>
              <w:numId w:val="17"/>
            </w:numPr>
            <w:spacing w:line="360" w:lineRule="auto"/>
            <w:jc w:val="both"/>
            <w:rPr>
              <w:rFonts w:ascii="Arial" w:hAnsi="Arial" w:cs="Arial"/>
              <w:sz w:val="24"/>
              <w:szCs w:val="24"/>
              <w:lang w:val="en-US"/>
            </w:rPr>
          </w:pPr>
          <w:r w:rsidRPr="00093B50">
            <w:rPr>
              <w:rStyle w:val="Strong"/>
              <w:rFonts w:ascii="Arial" w:hAnsi="Arial" w:cs="Arial"/>
              <w:color w:val="0F1115"/>
              <w:sz w:val="24"/>
              <w:szCs w:val="24"/>
            </w:rPr>
            <w:t>Askeland, D.R.</w:t>
          </w:r>
          <w:r w:rsidRPr="00093B50">
            <w:rPr>
              <w:rFonts w:ascii="Arial" w:hAnsi="Arial" w:cs="Arial"/>
              <w:sz w:val="24"/>
              <w:szCs w:val="24"/>
            </w:rPr>
            <w:t> (2019) </w:t>
          </w:r>
          <w:r w:rsidRPr="00093B50">
            <w:rPr>
              <w:rStyle w:val="Emphasis"/>
              <w:rFonts w:ascii="Arial" w:hAnsi="Arial" w:cs="Arial"/>
              <w:color w:val="0F1115"/>
              <w:sz w:val="24"/>
              <w:szCs w:val="24"/>
            </w:rPr>
            <w:t>Ciencia e ingeniería de los materiales</w:t>
          </w:r>
          <w:r w:rsidRPr="00093B50">
            <w:rPr>
              <w:rFonts w:ascii="Arial" w:hAnsi="Arial" w:cs="Arial"/>
              <w:sz w:val="24"/>
              <w:szCs w:val="24"/>
            </w:rPr>
            <w:t xml:space="preserve">. </w:t>
          </w:r>
          <w:r w:rsidRPr="007B5593">
            <w:rPr>
              <w:rFonts w:ascii="Arial" w:hAnsi="Arial" w:cs="Arial"/>
              <w:sz w:val="24"/>
              <w:szCs w:val="24"/>
              <w:lang w:val="en-US"/>
            </w:rPr>
            <w:t>7ª ed. México D.F.: Cengage Learning.</w:t>
          </w:r>
        </w:p>
        <w:p w14:paraId="01FBC445"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ASTM E3-11</w:t>
          </w:r>
          <w:r w:rsidRPr="007B5593">
            <w:rPr>
              <w:rFonts w:ascii="Arial" w:hAnsi="Arial" w:cs="Arial"/>
              <w:sz w:val="24"/>
              <w:szCs w:val="24"/>
              <w:lang w:val="en-US"/>
            </w:rPr>
            <w:t> (2017) </w:t>
          </w:r>
          <w:r w:rsidRPr="007B5593">
            <w:rPr>
              <w:rStyle w:val="Emphasis"/>
              <w:rFonts w:ascii="Arial" w:hAnsi="Arial" w:cs="Arial"/>
              <w:color w:val="0F1115"/>
              <w:sz w:val="24"/>
              <w:szCs w:val="24"/>
              <w:lang w:val="en-US"/>
            </w:rPr>
            <w:t>Standard Guide for Preparation of Metallographic Specimens</w:t>
          </w:r>
          <w:r w:rsidRPr="007B5593">
            <w:rPr>
              <w:rFonts w:ascii="Arial" w:hAnsi="Arial" w:cs="Arial"/>
              <w:sz w:val="24"/>
              <w:szCs w:val="24"/>
              <w:lang w:val="en-US"/>
            </w:rPr>
            <w:t xml:space="preserve">. </w:t>
          </w:r>
          <w:r w:rsidRPr="00093B50">
            <w:rPr>
              <w:rFonts w:ascii="Arial" w:hAnsi="Arial" w:cs="Arial"/>
              <w:sz w:val="24"/>
              <w:szCs w:val="24"/>
            </w:rPr>
            <w:t>West Conshohocken, PA: ASTM International.</w:t>
          </w:r>
        </w:p>
        <w:p w14:paraId="32A5346E"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ASTM E407-07</w:t>
          </w:r>
          <w:r w:rsidRPr="007B5593">
            <w:rPr>
              <w:rFonts w:ascii="Arial" w:hAnsi="Arial" w:cs="Arial"/>
              <w:sz w:val="24"/>
              <w:szCs w:val="24"/>
              <w:lang w:val="en-US"/>
            </w:rPr>
            <w:t> (2023) </w:t>
          </w:r>
          <w:r w:rsidRPr="007B5593">
            <w:rPr>
              <w:rStyle w:val="Emphasis"/>
              <w:rFonts w:ascii="Arial" w:hAnsi="Arial" w:cs="Arial"/>
              <w:color w:val="0F1115"/>
              <w:sz w:val="24"/>
              <w:szCs w:val="24"/>
              <w:lang w:val="en-US"/>
            </w:rPr>
            <w:t>Standard Practice for Microetching Metals and Alloys</w:t>
          </w:r>
          <w:r w:rsidRPr="007B5593">
            <w:rPr>
              <w:rFonts w:ascii="Arial" w:hAnsi="Arial" w:cs="Arial"/>
              <w:sz w:val="24"/>
              <w:szCs w:val="24"/>
              <w:lang w:val="en-US"/>
            </w:rPr>
            <w:t xml:space="preserve">. </w:t>
          </w:r>
          <w:r w:rsidRPr="00093B50">
            <w:rPr>
              <w:rFonts w:ascii="Arial" w:hAnsi="Arial" w:cs="Arial"/>
              <w:sz w:val="24"/>
              <w:szCs w:val="24"/>
            </w:rPr>
            <w:t>West Conshohocken, PA: ASTM International.</w:t>
          </w:r>
        </w:p>
        <w:p w14:paraId="06D91DA2"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ASTM E562-19</w:t>
          </w:r>
          <w:r w:rsidRPr="007B5593">
            <w:rPr>
              <w:rFonts w:ascii="Arial" w:hAnsi="Arial" w:cs="Arial"/>
              <w:sz w:val="24"/>
              <w:szCs w:val="24"/>
              <w:lang w:val="en-US"/>
            </w:rPr>
            <w:t> (2019) </w:t>
          </w:r>
          <w:r w:rsidRPr="007B5593">
            <w:rPr>
              <w:rStyle w:val="Emphasis"/>
              <w:rFonts w:ascii="Arial" w:hAnsi="Arial" w:cs="Arial"/>
              <w:color w:val="0F1115"/>
              <w:sz w:val="24"/>
              <w:szCs w:val="24"/>
              <w:lang w:val="en-US"/>
            </w:rPr>
            <w:t>Standard Test Method for Determining Volume Fraction by Systematic Manual Point Count</w:t>
          </w:r>
          <w:r w:rsidRPr="007B5593">
            <w:rPr>
              <w:rFonts w:ascii="Arial" w:hAnsi="Arial" w:cs="Arial"/>
              <w:sz w:val="24"/>
              <w:szCs w:val="24"/>
              <w:lang w:val="en-US"/>
            </w:rPr>
            <w:t xml:space="preserve">. </w:t>
          </w:r>
          <w:r w:rsidRPr="00093B50">
            <w:rPr>
              <w:rFonts w:ascii="Arial" w:hAnsi="Arial" w:cs="Arial"/>
              <w:sz w:val="24"/>
              <w:szCs w:val="24"/>
            </w:rPr>
            <w:t>West Conshohocken, PA: ASTM International.</w:t>
          </w:r>
        </w:p>
        <w:p w14:paraId="525286C6"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ASTM E112-13</w:t>
          </w:r>
          <w:r w:rsidRPr="007B5593">
            <w:rPr>
              <w:rFonts w:ascii="Arial" w:hAnsi="Arial" w:cs="Arial"/>
              <w:sz w:val="24"/>
              <w:szCs w:val="24"/>
              <w:lang w:val="en-US"/>
            </w:rPr>
            <w:t> (2021) </w:t>
          </w:r>
          <w:r w:rsidRPr="007B5593">
            <w:rPr>
              <w:rStyle w:val="Emphasis"/>
              <w:rFonts w:ascii="Arial" w:hAnsi="Arial" w:cs="Arial"/>
              <w:color w:val="0F1115"/>
              <w:sz w:val="24"/>
              <w:szCs w:val="24"/>
              <w:lang w:val="en-US"/>
            </w:rPr>
            <w:t>Standard Test Methods for Determining Average Grain Size</w:t>
          </w:r>
          <w:r w:rsidRPr="007B5593">
            <w:rPr>
              <w:rFonts w:ascii="Arial" w:hAnsi="Arial" w:cs="Arial"/>
              <w:sz w:val="24"/>
              <w:szCs w:val="24"/>
              <w:lang w:val="en-US"/>
            </w:rPr>
            <w:t xml:space="preserve">. </w:t>
          </w:r>
          <w:r w:rsidRPr="00093B50">
            <w:rPr>
              <w:rFonts w:ascii="Arial" w:hAnsi="Arial" w:cs="Arial"/>
              <w:sz w:val="24"/>
              <w:szCs w:val="24"/>
            </w:rPr>
            <w:t>West Conshohocken, PA: ASTM International.</w:t>
          </w:r>
        </w:p>
        <w:p w14:paraId="4309393D"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ASTM E1245-16</w:t>
          </w:r>
          <w:r w:rsidRPr="007B5593">
            <w:rPr>
              <w:rFonts w:ascii="Arial" w:hAnsi="Arial" w:cs="Arial"/>
              <w:sz w:val="24"/>
              <w:szCs w:val="24"/>
              <w:lang w:val="en-US"/>
            </w:rPr>
            <w:t> (2016) </w:t>
          </w:r>
          <w:r w:rsidRPr="007B5593">
            <w:rPr>
              <w:rStyle w:val="Emphasis"/>
              <w:rFonts w:ascii="Arial" w:hAnsi="Arial" w:cs="Arial"/>
              <w:color w:val="0F1115"/>
              <w:sz w:val="24"/>
              <w:szCs w:val="24"/>
              <w:lang w:val="en-US"/>
            </w:rPr>
            <w:t>Standard Practice for Determining the Inclusion or Second-Phase Constituent Content of Metals by Automatic Image Analysis</w:t>
          </w:r>
          <w:r w:rsidRPr="007B5593">
            <w:rPr>
              <w:rFonts w:ascii="Arial" w:hAnsi="Arial" w:cs="Arial"/>
              <w:sz w:val="24"/>
              <w:szCs w:val="24"/>
              <w:lang w:val="en-US"/>
            </w:rPr>
            <w:t xml:space="preserve">. </w:t>
          </w:r>
          <w:r w:rsidRPr="00093B50">
            <w:rPr>
              <w:rFonts w:ascii="Arial" w:hAnsi="Arial" w:cs="Arial"/>
              <w:sz w:val="24"/>
              <w:szCs w:val="24"/>
            </w:rPr>
            <w:t>West Conshohocken, PA: ASTM International.</w:t>
          </w:r>
        </w:p>
        <w:p w14:paraId="53E5B4CC"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ASTM E1382-97</w:t>
          </w:r>
          <w:r w:rsidRPr="007B5593">
            <w:rPr>
              <w:rFonts w:ascii="Arial" w:hAnsi="Arial" w:cs="Arial"/>
              <w:sz w:val="24"/>
              <w:szCs w:val="24"/>
              <w:lang w:val="en-US"/>
            </w:rPr>
            <w:t> (2017) </w:t>
          </w:r>
          <w:r w:rsidRPr="007B5593">
            <w:rPr>
              <w:rStyle w:val="Emphasis"/>
              <w:rFonts w:ascii="Arial" w:hAnsi="Arial" w:cs="Arial"/>
              <w:color w:val="0F1115"/>
              <w:sz w:val="24"/>
              <w:szCs w:val="24"/>
              <w:lang w:val="en-US"/>
            </w:rPr>
            <w:t>Standard Test Methods for Determining Average Grain Size Using Semiautomatic and Automatic Image Analysis</w:t>
          </w:r>
          <w:r w:rsidRPr="007B5593">
            <w:rPr>
              <w:rFonts w:ascii="Arial" w:hAnsi="Arial" w:cs="Arial"/>
              <w:sz w:val="24"/>
              <w:szCs w:val="24"/>
              <w:lang w:val="en-US"/>
            </w:rPr>
            <w:t xml:space="preserve">. </w:t>
          </w:r>
          <w:r w:rsidRPr="00093B50">
            <w:rPr>
              <w:rFonts w:ascii="Arial" w:hAnsi="Arial" w:cs="Arial"/>
              <w:sz w:val="24"/>
              <w:szCs w:val="24"/>
            </w:rPr>
            <w:t>West Conshohocken, PA: ASTM International.</w:t>
          </w:r>
        </w:p>
        <w:p w14:paraId="2E55D592"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093B50">
            <w:rPr>
              <w:rStyle w:val="Strong"/>
              <w:rFonts w:ascii="Arial" w:hAnsi="Arial" w:cs="Arial"/>
              <w:color w:val="0F1115"/>
              <w:sz w:val="24"/>
              <w:szCs w:val="24"/>
            </w:rPr>
            <w:t>Betancourt, G.</w:t>
          </w:r>
          <w:r w:rsidRPr="00093B50">
            <w:rPr>
              <w:rFonts w:ascii="Arial" w:hAnsi="Arial" w:cs="Arial"/>
              <w:sz w:val="24"/>
              <w:szCs w:val="24"/>
            </w:rPr>
            <w:t> (2018) </w:t>
          </w:r>
          <w:r w:rsidRPr="00093B50">
            <w:rPr>
              <w:rStyle w:val="Emphasis"/>
              <w:rFonts w:ascii="Arial" w:hAnsi="Arial" w:cs="Arial"/>
              <w:color w:val="0F1115"/>
              <w:sz w:val="24"/>
              <w:szCs w:val="24"/>
            </w:rPr>
            <w:t>Transformaciones de fase en las uniones soldadas simuladas de los aceros inoxidables dúplex</w:t>
          </w:r>
          <w:r w:rsidRPr="00093B50">
            <w:rPr>
              <w:rFonts w:ascii="Arial" w:hAnsi="Arial" w:cs="Arial"/>
              <w:sz w:val="24"/>
              <w:szCs w:val="24"/>
            </w:rPr>
            <w:t>. Trabajo de diploma. Universidad Central "Marta Abreu" de Las Villas, Santa Clara, Cuba.</w:t>
          </w:r>
        </w:p>
        <w:p w14:paraId="2DEF0540" w14:textId="522429FA" w:rsidR="00CB1F0D" w:rsidRPr="00093B50" w:rsidRDefault="00CB1F0D" w:rsidP="00093B50">
          <w:pPr>
            <w:pStyle w:val="ListParagraph"/>
            <w:numPr>
              <w:ilvl w:val="0"/>
              <w:numId w:val="17"/>
            </w:numPr>
            <w:spacing w:line="360" w:lineRule="auto"/>
            <w:jc w:val="both"/>
            <w:rPr>
              <w:rFonts w:ascii="Arial" w:hAnsi="Arial" w:cs="Arial"/>
              <w:sz w:val="24"/>
              <w:szCs w:val="24"/>
            </w:rPr>
          </w:pPr>
          <w:r w:rsidRPr="00093B50">
            <w:rPr>
              <w:rStyle w:val="Strong"/>
              <w:rFonts w:ascii="Arial" w:hAnsi="Arial" w:cs="Arial"/>
              <w:color w:val="0F1115"/>
              <w:sz w:val="24"/>
              <w:szCs w:val="24"/>
            </w:rPr>
            <w:t>Cruz-Crespo, A., Pozo-Morejón, J., Valencia-Morales, E., De Souza-Bott, I. and Miguel-Oria, J.</w:t>
          </w:r>
          <w:r w:rsidRPr="00093B50">
            <w:rPr>
              <w:rFonts w:ascii="Arial" w:hAnsi="Arial" w:cs="Arial"/>
              <w:sz w:val="24"/>
              <w:szCs w:val="24"/>
            </w:rPr>
            <w:t> (2023) Caracterización microestructural de aceros dúplex para instalaciones soldadas con empleo del procesamiento digital de imágenes, </w:t>
          </w:r>
          <w:r w:rsidRPr="00093B50">
            <w:rPr>
              <w:rStyle w:val="Emphasis"/>
              <w:rFonts w:ascii="Arial" w:hAnsi="Arial" w:cs="Arial"/>
              <w:color w:val="0F1115"/>
              <w:sz w:val="24"/>
              <w:szCs w:val="24"/>
            </w:rPr>
            <w:t>Revista Centro Azúcar</w:t>
          </w:r>
          <w:r w:rsidRPr="00093B50">
            <w:rPr>
              <w:rFonts w:ascii="Arial" w:hAnsi="Arial" w:cs="Arial"/>
              <w:sz w:val="24"/>
              <w:szCs w:val="24"/>
            </w:rPr>
            <w:t>, 50(3), pp. 1-15.</w:t>
          </w:r>
        </w:p>
        <w:p w14:paraId="45A93F77" w14:textId="1A35F245" w:rsidR="00CB1F0D" w:rsidRPr="00093B50" w:rsidRDefault="00CB1F0D" w:rsidP="00093B50">
          <w:pPr>
            <w:pStyle w:val="ListParagraph"/>
            <w:numPr>
              <w:ilvl w:val="0"/>
              <w:numId w:val="17"/>
            </w:numPr>
            <w:spacing w:line="360" w:lineRule="auto"/>
            <w:jc w:val="both"/>
            <w:rPr>
              <w:rFonts w:ascii="Arial" w:hAnsi="Arial" w:cs="Arial"/>
              <w:sz w:val="24"/>
              <w:szCs w:val="24"/>
            </w:rPr>
          </w:pPr>
          <w:r w:rsidRPr="00093B50">
            <w:rPr>
              <w:rStyle w:val="Strong"/>
              <w:rFonts w:ascii="Arial" w:hAnsi="Arial" w:cs="Arial"/>
              <w:color w:val="0F1115"/>
              <w:sz w:val="24"/>
              <w:szCs w:val="24"/>
            </w:rPr>
            <w:lastRenderedPageBreak/>
            <w:t>Cruz-Crespo, A., Pozo-Morejón, J., Valencia-Morales, E., De Souza-Bott, I. and Miguel-Oria, J.V.</w:t>
          </w:r>
          <w:r w:rsidRPr="00093B50">
            <w:rPr>
              <w:rFonts w:ascii="Arial" w:hAnsi="Arial" w:cs="Arial"/>
              <w:sz w:val="24"/>
              <w:szCs w:val="24"/>
            </w:rPr>
            <w:t> (2022) Comportamiento de la microestructura en la soldadura GMAW de aceros dúplex 2205 para aplicaciones mar adentro, </w:t>
          </w:r>
          <w:r w:rsidRPr="00093B50">
            <w:rPr>
              <w:rStyle w:val="Emphasis"/>
              <w:rFonts w:ascii="Arial" w:hAnsi="Arial" w:cs="Arial"/>
              <w:color w:val="0F1115"/>
              <w:sz w:val="24"/>
              <w:szCs w:val="24"/>
            </w:rPr>
            <w:t>Minería y Geología</w:t>
          </w:r>
          <w:r w:rsidRPr="00093B50">
            <w:rPr>
              <w:rFonts w:ascii="Arial" w:hAnsi="Arial" w:cs="Arial"/>
              <w:sz w:val="24"/>
              <w:szCs w:val="24"/>
            </w:rPr>
            <w:t>, 38(2), pp. 1-14.</w:t>
          </w:r>
        </w:p>
        <w:p w14:paraId="08F4A28F" w14:textId="540CD52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093B50">
            <w:rPr>
              <w:rStyle w:val="Strong"/>
              <w:rFonts w:ascii="Arial" w:hAnsi="Arial" w:cs="Arial"/>
              <w:color w:val="0F1115"/>
              <w:sz w:val="24"/>
              <w:szCs w:val="24"/>
            </w:rPr>
            <w:t>Cruz-Crespo, A., Pozo-Morejón, J., Valencia-Morales, E., De Souza-Bott, I. and Kassab, E.</w:t>
          </w:r>
          <w:r w:rsidRPr="00093B50">
            <w:rPr>
              <w:rFonts w:ascii="Arial" w:hAnsi="Arial" w:cs="Arial"/>
              <w:sz w:val="24"/>
              <w:szCs w:val="24"/>
            </w:rPr>
            <w:t> (2021) Microestructura y corrosión por picadura en soldadura GMAW de acero lean dúplex 2304 bajo el efecto del calor de entrada, en </w:t>
          </w:r>
          <w:r w:rsidRPr="00093B50">
            <w:rPr>
              <w:rStyle w:val="Emphasis"/>
              <w:rFonts w:ascii="Arial" w:hAnsi="Arial" w:cs="Arial"/>
              <w:color w:val="0F1115"/>
              <w:sz w:val="24"/>
              <w:szCs w:val="24"/>
            </w:rPr>
            <w:t>III Convención Científica Internacional</w:t>
          </w:r>
          <w:r w:rsidRPr="00093B50">
            <w:rPr>
              <w:rFonts w:ascii="Arial" w:hAnsi="Arial" w:cs="Arial"/>
              <w:sz w:val="24"/>
              <w:szCs w:val="24"/>
            </w:rPr>
            <w:t>. Santa Clara: UCLV.</w:t>
          </w:r>
        </w:p>
        <w:p w14:paraId="2C0CF1C3"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Dougherty, E.R. and Lotufo, R.A.</w:t>
          </w:r>
          <w:r w:rsidRPr="007B5593">
            <w:rPr>
              <w:rFonts w:ascii="Arial" w:hAnsi="Arial" w:cs="Arial"/>
              <w:sz w:val="24"/>
              <w:szCs w:val="24"/>
              <w:lang w:val="en-US"/>
            </w:rPr>
            <w:t> (2003) </w:t>
          </w:r>
          <w:r w:rsidRPr="007B5593">
            <w:rPr>
              <w:rStyle w:val="Emphasis"/>
              <w:rFonts w:ascii="Arial" w:hAnsi="Arial" w:cs="Arial"/>
              <w:color w:val="0F1115"/>
              <w:sz w:val="24"/>
              <w:szCs w:val="24"/>
              <w:lang w:val="en-US"/>
            </w:rPr>
            <w:t>Hands-on Morphological Image Processing</w:t>
          </w:r>
          <w:r w:rsidRPr="007B5593">
            <w:rPr>
              <w:rFonts w:ascii="Arial" w:hAnsi="Arial" w:cs="Arial"/>
              <w:sz w:val="24"/>
              <w:szCs w:val="24"/>
              <w:lang w:val="en-US"/>
            </w:rPr>
            <w:t xml:space="preserve">. </w:t>
          </w:r>
          <w:r w:rsidRPr="00093B50">
            <w:rPr>
              <w:rFonts w:ascii="Arial" w:hAnsi="Arial" w:cs="Arial"/>
              <w:sz w:val="24"/>
              <w:szCs w:val="24"/>
            </w:rPr>
            <w:t>Bellingham, WA: SPIE Press. DOI: 10.1117/3.427495</w:t>
          </w:r>
        </w:p>
        <w:p w14:paraId="07A386F5" w14:textId="2F43FAF4"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Elmer, J.W., Palmer, T.A. and Specht, E.D.</w:t>
          </w:r>
          <w:r w:rsidRPr="007B5593">
            <w:rPr>
              <w:rFonts w:ascii="Arial" w:hAnsi="Arial" w:cs="Arial"/>
              <w:sz w:val="24"/>
              <w:szCs w:val="24"/>
              <w:lang w:val="en-US"/>
            </w:rPr>
            <w:t> (2007) Direct observations of sigma phase formation in duplex stainless steels using in-situ synchrotron X-ray diffraction, </w:t>
          </w:r>
          <w:r w:rsidRPr="007B5593">
            <w:rPr>
              <w:rStyle w:val="Emphasis"/>
              <w:rFonts w:ascii="Arial" w:hAnsi="Arial" w:cs="Arial"/>
              <w:color w:val="0F1115"/>
              <w:sz w:val="24"/>
              <w:szCs w:val="24"/>
              <w:lang w:val="en-US"/>
            </w:rPr>
            <w:t>Metallurgical and Materials Transactions A</w:t>
          </w:r>
          <w:r w:rsidRPr="007B5593">
            <w:rPr>
              <w:rFonts w:ascii="Arial" w:hAnsi="Arial" w:cs="Arial"/>
              <w:sz w:val="24"/>
              <w:szCs w:val="24"/>
              <w:lang w:val="en-US"/>
            </w:rPr>
            <w:t xml:space="preserve">, 38A(3), pp. 464-475. </w:t>
          </w:r>
          <w:r w:rsidRPr="00093B50">
            <w:rPr>
              <w:rFonts w:ascii="Arial" w:hAnsi="Arial" w:cs="Arial"/>
              <w:sz w:val="24"/>
              <w:szCs w:val="24"/>
            </w:rPr>
            <w:t>DOI: 10.1007/s11661-006-9076-3</w:t>
          </w:r>
        </w:p>
        <w:p w14:paraId="277D1290"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Forsyth, D.A. and Ponce, J.</w:t>
          </w:r>
          <w:r w:rsidRPr="007B5593">
            <w:rPr>
              <w:rFonts w:ascii="Arial" w:hAnsi="Arial" w:cs="Arial"/>
              <w:sz w:val="24"/>
              <w:szCs w:val="24"/>
              <w:lang w:val="en-US"/>
            </w:rPr>
            <w:t> (2012) </w:t>
          </w:r>
          <w:r w:rsidRPr="007B5593">
            <w:rPr>
              <w:rStyle w:val="Emphasis"/>
              <w:rFonts w:ascii="Arial" w:hAnsi="Arial" w:cs="Arial"/>
              <w:color w:val="0F1115"/>
              <w:sz w:val="24"/>
              <w:szCs w:val="24"/>
              <w:lang w:val="en-US"/>
            </w:rPr>
            <w:t>Computer Vision: A Modern Approach</w:t>
          </w:r>
          <w:r w:rsidRPr="007B5593">
            <w:rPr>
              <w:rFonts w:ascii="Arial" w:hAnsi="Arial" w:cs="Arial"/>
              <w:sz w:val="24"/>
              <w:szCs w:val="24"/>
              <w:lang w:val="en-US"/>
            </w:rPr>
            <w:t xml:space="preserve">. </w:t>
          </w:r>
          <w:r w:rsidRPr="00093B50">
            <w:rPr>
              <w:rFonts w:ascii="Arial" w:hAnsi="Arial" w:cs="Arial"/>
              <w:sz w:val="24"/>
              <w:szCs w:val="24"/>
            </w:rPr>
            <w:t>2nd ed. Upper Saddle River, NJ: Pearson.</w:t>
          </w:r>
        </w:p>
        <w:p w14:paraId="043DE293"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González, R.C. and Woods, R.E.</w:t>
          </w:r>
          <w:r w:rsidRPr="007B5593">
            <w:rPr>
              <w:rFonts w:ascii="Arial" w:hAnsi="Arial" w:cs="Arial"/>
              <w:sz w:val="24"/>
              <w:szCs w:val="24"/>
              <w:lang w:val="en-US"/>
            </w:rPr>
            <w:t> (2018) </w:t>
          </w:r>
          <w:r w:rsidRPr="007B5593">
            <w:rPr>
              <w:rStyle w:val="Emphasis"/>
              <w:rFonts w:ascii="Arial" w:hAnsi="Arial" w:cs="Arial"/>
              <w:color w:val="0F1115"/>
              <w:sz w:val="24"/>
              <w:szCs w:val="24"/>
              <w:lang w:val="en-US"/>
            </w:rPr>
            <w:t>Digital Image Processing</w:t>
          </w:r>
          <w:r w:rsidRPr="007B5593">
            <w:rPr>
              <w:rFonts w:ascii="Arial" w:hAnsi="Arial" w:cs="Arial"/>
              <w:sz w:val="24"/>
              <w:szCs w:val="24"/>
              <w:lang w:val="en-US"/>
            </w:rPr>
            <w:t xml:space="preserve">. </w:t>
          </w:r>
          <w:r w:rsidRPr="00093B50">
            <w:rPr>
              <w:rFonts w:ascii="Arial" w:hAnsi="Arial" w:cs="Arial"/>
              <w:sz w:val="24"/>
              <w:szCs w:val="24"/>
            </w:rPr>
            <w:t>4th ed. Harlow: Pearson.</w:t>
          </w:r>
        </w:p>
        <w:p w14:paraId="5529E716" w14:textId="6E5BC42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Ha, H.-Y., Jang, M.-H., Lee, T.-H. and Moon, J.</w:t>
          </w:r>
          <w:r w:rsidRPr="007B5593">
            <w:rPr>
              <w:rFonts w:ascii="Arial" w:hAnsi="Arial" w:cs="Arial"/>
              <w:sz w:val="24"/>
              <w:szCs w:val="24"/>
              <w:lang w:val="en-US"/>
            </w:rPr>
            <w:t> (2014) Interpretation of the relation between ferrite fraction and pitting corrosion resistance of commercial 2205 duplex stainless steel, </w:t>
          </w:r>
          <w:r w:rsidRPr="007B5593">
            <w:rPr>
              <w:rStyle w:val="Emphasis"/>
              <w:rFonts w:ascii="Arial" w:hAnsi="Arial" w:cs="Arial"/>
              <w:color w:val="0F1115"/>
              <w:sz w:val="24"/>
              <w:szCs w:val="24"/>
              <w:lang w:val="en-US"/>
            </w:rPr>
            <w:t>Corrosion Science</w:t>
          </w:r>
          <w:r w:rsidRPr="007B5593">
            <w:rPr>
              <w:rFonts w:ascii="Arial" w:hAnsi="Arial" w:cs="Arial"/>
              <w:sz w:val="24"/>
              <w:szCs w:val="24"/>
              <w:lang w:val="en-US"/>
            </w:rPr>
            <w:t xml:space="preserve">, 89, pp. 154-162. </w:t>
          </w:r>
          <w:r w:rsidRPr="00093B50">
            <w:rPr>
              <w:rFonts w:ascii="Arial" w:hAnsi="Arial" w:cs="Arial"/>
              <w:sz w:val="24"/>
              <w:szCs w:val="24"/>
            </w:rPr>
            <w:t>DOI: 10.1016/j.corsci.2014.08.020</w:t>
          </w:r>
        </w:p>
        <w:p w14:paraId="43930DFC" w14:textId="77777777" w:rsidR="00CB1F0D" w:rsidRPr="007B5593" w:rsidRDefault="00CB1F0D" w:rsidP="00093B50">
          <w:pPr>
            <w:pStyle w:val="ListParagraph"/>
            <w:numPr>
              <w:ilvl w:val="0"/>
              <w:numId w:val="17"/>
            </w:numPr>
            <w:spacing w:line="360" w:lineRule="auto"/>
            <w:jc w:val="both"/>
            <w:rPr>
              <w:rFonts w:ascii="Arial" w:hAnsi="Arial" w:cs="Arial"/>
              <w:sz w:val="24"/>
              <w:szCs w:val="24"/>
              <w:lang w:val="en-US"/>
            </w:rPr>
          </w:pPr>
          <w:r w:rsidRPr="007B5593">
            <w:rPr>
              <w:rStyle w:val="Strong"/>
              <w:rFonts w:ascii="Arial" w:hAnsi="Arial" w:cs="Arial"/>
              <w:color w:val="0F1115"/>
              <w:sz w:val="24"/>
              <w:szCs w:val="24"/>
              <w:lang w:val="en-US"/>
            </w:rPr>
            <w:t>Jain, A.K.</w:t>
          </w:r>
          <w:r w:rsidRPr="007B5593">
            <w:rPr>
              <w:rFonts w:ascii="Arial" w:hAnsi="Arial" w:cs="Arial"/>
              <w:sz w:val="24"/>
              <w:szCs w:val="24"/>
              <w:lang w:val="en-US"/>
            </w:rPr>
            <w:t> (1989) </w:t>
          </w:r>
          <w:r w:rsidRPr="007B5593">
            <w:rPr>
              <w:rStyle w:val="Emphasis"/>
              <w:rFonts w:ascii="Arial" w:hAnsi="Arial" w:cs="Arial"/>
              <w:color w:val="0F1115"/>
              <w:sz w:val="24"/>
              <w:szCs w:val="24"/>
              <w:lang w:val="en-US"/>
            </w:rPr>
            <w:t>Fundamentals of Digital Image Processing</w:t>
          </w:r>
          <w:r w:rsidRPr="007B5593">
            <w:rPr>
              <w:rFonts w:ascii="Arial" w:hAnsi="Arial" w:cs="Arial"/>
              <w:sz w:val="24"/>
              <w:szCs w:val="24"/>
              <w:lang w:val="en-US"/>
            </w:rPr>
            <w:t>. Upper Saddle River, NJ: Prentice-Hall.</w:t>
          </w:r>
        </w:p>
        <w:p w14:paraId="7B8C51F6" w14:textId="6AB8A593"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Karlsson, L.</w:t>
          </w:r>
          <w:r w:rsidRPr="007B5593">
            <w:rPr>
              <w:rFonts w:ascii="Arial" w:hAnsi="Arial" w:cs="Arial"/>
              <w:sz w:val="24"/>
              <w:szCs w:val="24"/>
              <w:lang w:val="en-US"/>
            </w:rPr>
            <w:t> (2012) Welding duplex stainless steels – A review of current recommendations, </w:t>
          </w:r>
          <w:r w:rsidRPr="007B5593">
            <w:rPr>
              <w:rStyle w:val="Emphasis"/>
              <w:rFonts w:ascii="Arial" w:hAnsi="Arial" w:cs="Arial"/>
              <w:color w:val="0F1115"/>
              <w:sz w:val="24"/>
              <w:szCs w:val="24"/>
              <w:lang w:val="en-US"/>
            </w:rPr>
            <w:t>Welding in the World</w:t>
          </w:r>
          <w:r w:rsidRPr="007B5593">
            <w:rPr>
              <w:rFonts w:ascii="Arial" w:hAnsi="Arial" w:cs="Arial"/>
              <w:sz w:val="24"/>
              <w:szCs w:val="24"/>
              <w:lang w:val="en-US"/>
            </w:rPr>
            <w:t xml:space="preserve">, 56(5-6), pp. 65-76. </w:t>
          </w:r>
          <w:r w:rsidRPr="00093B50">
            <w:rPr>
              <w:rFonts w:ascii="Arial" w:hAnsi="Arial" w:cs="Arial"/>
              <w:sz w:val="24"/>
              <w:szCs w:val="24"/>
            </w:rPr>
            <w:t>DOI: 10.1007/BF03321357</w:t>
          </w:r>
        </w:p>
        <w:p w14:paraId="51314D44" w14:textId="25C16C23"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Karlsson, L. and Arcini, H.</w:t>
          </w:r>
          <w:r w:rsidRPr="007B5593">
            <w:rPr>
              <w:rFonts w:ascii="Arial" w:hAnsi="Arial" w:cs="Arial"/>
              <w:sz w:val="24"/>
              <w:szCs w:val="24"/>
              <w:lang w:val="en-US"/>
            </w:rPr>
            <w:t> (2012) Low energy input welding of duplex stainless steels, </w:t>
          </w:r>
          <w:r w:rsidRPr="007B5593">
            <w:rPr>
              <w:rStyle w:val="Emphasis"/>
              <w:rFonts w:ascii="Arial" w:hAnsi="Arial" w:cs="Arial"/>
              <w:color w:val="0F1115"/>
              <w:sz w:val="24"/>
              <w:szCs w:val="24"/>
              <w:lang w:val="en-US"/>
            </w:rPr>
            <w:t>Welding in the World</w:t>
          </w:r>
          <w:r w:rsidRPr="007B5593">
            <w:rPr>
              <w:rFonts w:ascii="Arial" w:hAnsi="Arial" w:cs="Arial"/>
              <w:sz w:val="24"/>
              <w:szCs w:val="24"/>
              <w:lang w:val="en-US"/>
            </w:rPr>
            <w:t xml:space="preserve">, 56(9-10), pp. 41-47. </w:t>
          </w:r>
          <w:r w:rsidRPr="00093B50">
            <w:rPr>
              <w:rFonts w:ascii="Arial" w:hAnsi="Arial" w:cs="Arial"/>
              <w:sz w:val="24"/>
              <w:szCs w:val="24"/>
            </w:rPr>
            <w:t>DOI: 10.1007/BF03321383</w:t>
          </w:r>
        </w:p>
        <w:p w14:paraId="6B6E1021"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Liou, H.-Y., Hsieh, R.-I. and Tsai, W.-T.</w:t>
          </w:r>
          <w:r w:rsidRPr="007B5593">
            <w:rPr>
              <w:rFonts w:ascii="Arial" w:hAnsi="Arial" w:cs="Arial"/>
              <w:sz w:val="24"/>
              <w:szCs w:val="24"/>
              <w:lang w:val="en-US"/>
            </w:rPr>
            <w:t xml:space="preserve"> (2002) 'Microstructure and stress corrosion cracking in simulated heat-affected zones of duplex stainless </w:t>
          </w:r>
          <w:r w:rsidRPr="007B5593">
            <w:rPr>
              <w:rFonts w:ascii="Arial" w:hAnsi="Arial" w:cs="Arial"/>
              <w:sz w:val="24"/>
              <w:szCs w:val="24"/>
              <w:lang w:val="en-US"/>
            </w:rPr>
            <w:lastRenderedPageBreak/>
            <w:t>steels', </w:t>
          </w:r>
          <w:r w:rsidRPr="007B5593">
            <w:rPr>
              <w:rStyle w:val="Emphasis"/>
              <w:rFonts w:ascii="Arial" w:hAnsi="Arial" w:cs="Arial"/>
              <w:color w:val="0F1115"/>
              <w:sz w:val="24"/>
              <w:szCs w:val="24"/>
              <w:lang w:val="en-US"/>
            </w:rPr>
            <w:t>Corrosion Science</w:t>
          </w:r>
          <w:r w:rsidRPr="007B5593">
            <w:rPr>
              <w:rFonts w:ascii="Arial" w:hAnsi="Arial" w:cs="Arial"/>
              <w:sz w:val="24"/>
              <w:szCs w:val="24"/>
              <w:lang w:val="en-US"/>
            </w:rPr>
            <w:t xml:space="preserve">, 44(12), pp. 2841-2856. </w:t>
          </w:r>
          <w:r w:rsidRPr="00093B50">
            <w:rPr>
              <w:rFonts w:ascii="Arial" w:hAnsi="Arial" w:cs="Arial"/>
              <w:sz w:val="24"/>
              <w:szCs w:val="24"/>
            </w:rPr>
            <w:t>DOI: 10.1016/S0010-938X(02)00066-5</w:t>
          </w:r>
        </w:p>
        <w:p w14:paraId="786DA770"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093B50">
            <w:rPr>
              <w:rStyle w:val="Strong"/>
              <w:rFonts w:ascii="Arial" w:hAnsi="Arial" w:cs="Arial"/>
              <w:color w:val="0F1115"/>
              <w:sz w:val="24"/>
              <w:szCs w:val="24"/>
            </w:rPr>
            <w:t>López Morales, D.</w:t>
          </w:r>
          <w:r w:rsidRPr="00093B50">
            <w:rPr>
              <w:rFonts w:ascii="Arial" w:hAnsi="Arial" w:cs="Arial"/>
              <w:sz w:val="24"/>
              <w:szCs w:val="24"/>
            </w:rPr>
            <w:t> (2022) </w:t>
          </w:r>
          <w:r w:rsidRPr="00093B50">
            <w:rPr>
              <w:rStyle w:val="Emphasis"/>
              <w:rFonts w:ascii="Arial" w:hAnsi="Arial" w:cs="Arial"/>
              <w:color w:val="0F1115"/>
              <w:sz w:val="24"/>
              <w:szCs w:val="24"/>
            </w:rPr>
            <w:t>Caracterización de soldaduras de acero inoxidable dúplex con vistas a aplicaciones mar adentro</w:t>
          </w:r>
          <w:r w:rsidRPr="00093B50">
            <w:rPr>
              <w:rFonts w:ascii="Arial" w:hAnsi="Arial" w:cs="Arial"/>
              <w:sz w:val="24"/>
              <w:szCs w:val="24"/>
            </w:rPr>
            <w:t>. Trabajo de diploma. Santa Clara: Universidad Central "Marta Abreu" de Las Villas, Facultad de Ingeniería Mecánica e Industrial, Centro de Investigación de Soldadura.</w:t>
          </w:r>
        </w:p>
        <w:p w14:paraId="21BD71CB"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093B50">
            <w:rPr>
              <w:rStyle w:val="Strong"/>
              <w:rFonts w:ascii="Arial" w:hAnsi="Arial" w:cs="Arial"/>
              <w:color w:val="0F1115"/>
              <w:sz w:val="24"/>
              <w:szCs w:val="24"/>
            </w:rPr>
            <w:t>Mejía Vilet, J.R.</w:t>
          </w:r>
          <w:r w:rsidRPr="00093B50">
            <w:rPr>
              <w:rFonts w:ascii="Arial" w:hAnsi="Arial" w:cs="Arial"/>
              <w:sz w:val="24"/>
              <w:szCs w:val="24"/>
            </w:rPr>
            <w:t> (2005) </w:t>
          </w:r>
          <w:r w:rsidRPr="00093B50">
            <w:rPr>
              <w:rStyle w:val="Emphasis"/>
              <w:rFonts w:ascii="Arial" w:hAnsi="Arial" w:cs="Arial"/>
              <w:color w:val="0F1115"/>
              <w:sz w:val="24"/>
              <w:szCs w:val="24"/>
            </w:rPr>
            <w:t>Apuntes de Procesamiento Digital de Imágenes</w:t>
          </w:r>
          <w:r w:rsidRPr="00093B50">
            <w:rPr>
              <w:rFonts w:ascii="Arial" w:hAnsi="Arial" w:cs="Arial"/>
              <w:sz w:val="24"/>
              <w:szCs w:val="24"/>
            </w:rPr>
            <w:t>. San Luis Potosí: Universidad Autónoma de San Luis Potosí, Facultad de Ingeniería.</w:t>
          </w:r>
        </w:p>
        <w:p w14:paraId="7BC34731" w14:textId="6D556D9D"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Morales, E.V., Betancourt, G., Olaya, L. and Bott, I.S.</w:t>
          </w:r>
          <w:r w:rsidRPr="007B5593">
            <w:rPr>
              <w:rFonts w:ascii="Arial" w:hAnsi="Arial" w:cs="Arial"/>
              <w:sz w:val="24"/>
              <w:szCs w:val="24"/>
              <w:lang w:val="en-US"/>
            </w:rPr>
            <w:t> (2022) Some insight on the heat-affected zone strengthening mechanisms in duplex stainless steels, </w:t>
          </w:r>
          <w:r w:rsidRPr="007B5593">
            <w:rPr>
              <w:rStyle w:val="Emphasis"/>
              <w:rFonts w:ascii="Arial" w:hAnsi="Arial" w:cs="Arial"/>
              <w:color w:val="0F1115"/>
              <w:sz w:val="24"/>
              <w:szCs w:val="24"/>
              <w:lang w:val="en-US"/>
            </w:rPr>
            <w:t>Materials Research</w:t>
          </w:r>
          <w:r w:rsidRPr="007B5593">
            <w:rPr>
              <w:rFonts w:ascii="Arial" w:hAnsi="Arial" w:cs="Arial"/>
              <w:sz w:val="24"/>
              <w:szCs w:val="24"/>
              <w:lang w:val="en-US"/>
            </w:rPr>
            <w:t xml:space="preserve">, 25, e20210280. </w:t>
          </w:r>
          <w:r w:rsidRPr="00093B50">
            <w:rPr>
              <w:rFonts w:ascii="Arial" w:hAnsi="Arial" w:cs="Arial"/>
              <w:sz w:val="24"/>
              <w:szCs w:val="24"/>
            </w:rPr>
            <w:t>DOI: 10.1590/1980-5373-MR-2021-0280</w:t>
          </w:r>
        </w:p>
        <w:p w14:paraId="0D8F29D3" w14:textId="1FC577C6"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Morales, E.V., Cruz-Crespo, A., Pozo-Morejón, J.A., Oria, J.V.M., Araujo, L.S. and Bott, I.S.</w:t>
          </w:r>
          <w:r w:rsidRPr="007B5593">
            <w:rPr>
              <w:rFonts w:ascii="Arial" w:hAnsi="Arial" w:cs="Arial"/>
              <w:sz w:val="24"/>
              <w:szCs w:val="24"/>
              <w:lang w:val="en-US"/>
            </w:rPr>
            <w:t> (2023) Microstructural characteristics of different heat affected zones in welded joints of UNS S32304 duplex stainless steel using the GMAW process: analysis of the pitting corrosion resistance, </w:t>
          </w:r>
          <w:r w:rsidRPr="007B5593">
            <w:rPr>
              <w:rStyle w:val="Emphasis"/>
              <w:rFonts w:ascii="Arial" w:hAnsi="Arial" w:cs="Arial"/>
              <w:color w:val="0F1115"/>
              <w:sz w:val="24"/>
              <w:szCs w:val="24"/>
              <w:lang w:val="en-US"/>
            </w:rPr>
            <w:t>Corrosion Reviews</w:t>
          </w:r>
          <w:r w:rsidRPr="007B5593">
            <w:rPr>
              <w:rFonts w:ascii="Arial" w:hAnsi="Arial" w:cs="Arial"/>
              <w:sz w:val="24"/>
              <w:szCs w:val="24"/>
              <w:lang w:val="en-US"/>
            </w:rPr>
            <w:t xml:space="preserve">, 41(1), pp. 1-13. </w:t>
          </w:r>
          <w:r w:rsidRPr="00093B50">
            <w:rPr>
              <w:rFonts w:ascii="Arial" w:hAnsi="Arial" w:cs="Arial"/>
              <w:sz w:val="24"/>
              <w:szCs w:val="24"/>
            </w:rPr>
            <w:t>DOI: 10.1515/corrrev-2022-0048</w:t>
          </w:r>
        </w:p>
        <w:p w14:paraId="4844436B" w14:textId="6EFD1512"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Morales, E.V., Pozo, J.A., Olaya, L., Kassab, E., Ponciano, J.A.C., Ghavami, K. and Bott, I.S.</w:t>
          </w:r>
          <w:r w:rsidRPr="007B5593">
            <w:rPr>
              <w:rFonts w:ascii="Arial" w:hAnsi="Arial" w:cs="Arial"/>
              <w:sz w:val="24"/>
              <w:szCs w:val="24"/>
              <w:lang w:val="en-US"/>
            </w:rPr>
            <w:t> (2019) Remarks on the evolution and performance of the different austenite morphologies at the simulated HAZs of a 2205 duplex stainless steel, </w:t>
          </w:r>
          <w:r w:rsidRPr="007B5593">
            <w:rPr>
              <w:rStyle w:val="Emphasis"/>
              <w:rFonts w:ascii="Arial" w:hAnsi="Arial" w:cs="Arial"/>
              <w:color w:val="0F1115"/>
              <w:sz w:val="24"/>
              <w:szCs w:val="24"/>
              <w:lang w:val="en-US"/>
            </w:rPr>
            <w:t>Journal of Materials Research and Technology</w:t>
          </w:r>
          <w:r w:rsidRPr="007B5593">
            <w:rPr>
              <w:rFonts w:ascii="Arial" w:hAnsi="Arial" w:cs="Arial"/>
              <w:sz w:val="24"/>
              <w:szCs w:val="24"/>
              <w:lang w:val="en-US"/>
            </w:rPr>
            <w:t xml:space="preserve">, 8(5), pp. 4590-4605. </w:t>
          </w:r>
          <w:r w:rsidRPr="00093B50">
            <w:rPr>
              <w:rFonts w:ascii="Arial" w:hAnsi="Arial" w:cs="Arial"/>
              <w:sz w:val="24"/>
              <w:szCs w:val="24"/>
            </w:rPr>
            <w:t>DOI: 10.1016/j.jmrt.2019.08.004</w:t>
          </w:r>
        </w:p>
        <w:p w14:paraId="7DDB2972" w14:textId="6A2F4C69"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Nilsson, J.-O.</w:t>
          </w:r>
          <w:r w:rsidRPr="007B5593">
            <w:rPr>
              <w:rFonts w:ascii="Arial" w:hAnsi="Arial" w:cs="Arial"/>
              <w:sz w:val="24"/>
              <w:szCs w:val="24"/>
              <w:lang w:val="en-US"/>
            </w:rPr>
            <w:t> (1992) Overview super duplex stainless steels, </w:t>
          </w:r>
          <w:r w:rsidRPr="007B5593">
            <w:rPr>
              <w:rStyle w:val="Emphasis"/>
              <w:rFonts w:ascii="Arial" w:hAnsi="Arial" w:cs="Arial"/>
              <w:color w:val="0F1115"/>
              <w:sz w:val="24"/>
              <w:szCs w:val="24"/>
              <w:lang w:val="en-US"/>
            </w:rPr>
            <w:t>Materials Science and Technology</w:t>
          </w:r>
          <w:r w:rsidRPr="007B5593">
            <w:rPr>
              <w:rFonts w:ascii="Arial" w:hAnsi="Arial" w:cs="Arial"/>
              <w:sz w:val="24"/>
              <w:szCs w:val="24"/>
              <w:lang w:val="en-US"/>
            </w:rPr>
            <w:t xml:space="preserve">, 8(8), pp. 685-700. </w:t>
          </w:r>
          <w:r w:rsidRPr="00093B50">
            <w:rPr>
              <w:rFonts w:ascii="Arial" w:hAnsi="Arial" w:cs="Arial"/>
              <w:sz w:val="24"/>
              <w:szCs w:val="24"/>
            </w:rPr>
            <w:t>DOI: 10.1179/mst.1992.8.8.685</w:t>
          </w:r>
        </w:p>
        <w:p w14:paraId="5BD208DA"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093B50">
            <w:rPr>
              <w:rStyle w:val="Strong"/>
              <w:rFonts w:ascii="Arial" w:hAnsi="Arial" w:cs="Arial"/>
              <w:color w:val="0F1115"/>
              <w:sz w:val="24"/>
              <w:szCs w:val="24"/>
            </w:rPr>
            <w:t>Olaya, L.</w:t>
          </w:r>
          <w:r w:rsidRPr="00093B50">
            <w:rPr>
              <w:rFonts w:ascii="Arial" w:hAnsi="Arial" w:cs="Arial"/>
              <w:sz w:val="24"/>
              <w:szCs w:val="24"/>
            </w:rPr>
            <w:t> (2018) </w:t>
          </w:r>
          <w:r w:rsidRPr="00093B50">
            <w:rPr>
              <w:rStyle w:val="Emphasis"/>
              <w:rFonts w:ascii="Arial" w:hAnsi="Arial" w:cs="Arial"/>
              <w:color w:val="0F1115"/>
              <w:sz w:val="24"/>
              <w:szCs w:val="24"/>
            </w:rPr>
            <w:t>Simulação Física e Caracterização Microestrutural e Mecânica da Zona Termicamente Afetada (ZTA) em Aços Inoxidáveis Duplex</w:t>
          </w:r>
          <w:r w:rsidRPr="00093B50">
            <w:rPr>
              <w:rFonts w:ascii="Arial" w:hAnsi="Arial" w:cs="Arial"/>
              <w:sz w:val="24"/>
              <w:szCs w:val="24"/>
            </w:rPr>
            <w:t>. Tese de Doutorado. Pontifícia Universidade Católica do Rio de Janeiro.</w:t>
          </w:r>
        </w:p>
        <w:p w14:paraId="23AA7893"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093B50">
            <w:rPr>
              <w:rStyle w:val="Strong"/>
              <w:rFonts w:ascii="Arial" w:hAnsi="Arial" w:cs="Arial"/>
              <w:color w:val="0F1115"/>
              <w:sz w:val="24"/>
              <w:szCs w:val="24"/>
            </w:rPr>
            <w:t>Oria, J.V.M., Morales, E.V. and Cruz-Crespo, A.</w:t>
          </w:r>
          <w:r w:rsidRPr="00093B50">
            <w:rPr>
              <w:rFonts w:ascii="Arial" w:hAnsi="Arial" w:cs="Arial"/>
              <w:sz w:val="24"/>
              <w:szCs w:val="24"/>
            </w:rPr>
            <w:t> (2024) </w:t>
          </w:r>
          <w:r w:rsidRPr="00093B50">
            <w:rPr>
              <w:rStyle w:val="Emphasis"/>
              <w:rFonts w:ascii="Arial" w:hAnsi="Arial" w:cs="Arial"/>
              <w:color w:val="0F1115"/>
              <w:sz w:val="24"/>
              <w:szCs w:val="24"/>
            </w:rPr>
            <w:t>Procesamiento digital para la identificación y cuantificación del % de fase de la austenita en sus diferentes morfologías en soldaduras de aceros Duplex</w:t>
          </w:r>
          <w:r w:rsidRPr="00093B50">
            <w:rPr>
              <w:rFonts w:ascii="Arial" w:hAnsi="Arial" w:cs="Arial"/>
              <w:sz w:val="24"/>
              <w:szCs w:val="24"/>
            </w:rPr>
            <w:t>. Santa Clara: Centro de Investigación de Soldadura, FIMI, UCLV.</w:t>
          </w:r>
        </w:p>
        <w:p w14:paraId="5DE07006" w14:textId="32AC0E4E"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lastRenderedPageBreak/>
            <w:t>Paulraj, P. and Garg, R.</w:t>
          </w:r>
          <w:r w:rsidRPr="007B5593">
            <w:rPr>
              <w:rFonts w:ascii="Arial" w:hAnsi="Arial" w:cs="Arial"/>
              <w:sz w:val="24"/>
              <w:szCs w:val="24"/>
              <w:lang w:val="en-US"/>
            </w:rPr>
            <w:t> (2015) Effect of intermetallic phases on corrosion behavior and mechanical properties of duplex stainless steel and super-duplex stainless steel, </w:t>
          </w:r>
          <w:r w:rsidRPr="007B5593">
            <w:rPr>
              <w:rStyle w:val="Emphasis"/>
              <w:rFonts w:ascii="Arial" w:hAnsi="Arial" w:cs="Arial"/>
              <w:color w:val="0F1115"/>
              <w:sz w:val="24"/>
              <w:szCs w:val="24"/>
              <w:lang w:val="en-US"/>
            </w:rPr>
            <w:t>Advances in Science and Technology Research Journal</w:t>
          </w:r>
          <w:r w:rsidRPr="007B5593">
            <w:rPr>
              <w:rFonts w:ascii="Arial" w:hAnsi="Arial" w:cs="Arial"/>
              <w:sz w:val="24"/>
              <w:szCs w:val="24"/>
              <w:lang w:val="en-US"/>
            </w:rPr>
            <w:t xml:space="preserve">, 9(27), pp. 87-105. </w:t>
          </w:r>
          <w:r w:rsidRPr="00093B50">
            <w:rPr>
              <w:rFonts w:ascii="Arial" w:hAnsi="Arial" w:cs="Arial"/>
              <w:sz w:val="24"/>
              <w:szCs w:val="24"/>
            </w:rPr>
            <w:t>DOI: 10.12913/22998624/59078</w:t>
          </w:r>
        </w:p>
        <w:p w14:paraId="0636811B" w14:textId="735150CD"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Plataniotis, K.N. and Venetsanopoulos, A.N.</w:t>
          </w:r>
          <w:r w:rsidRPr="007B5593">
            <w:rPr>
              <w:rFonts w:ascii="Arial" w:hAnsi="Arial" w:cs="Arial"/>
              <w:sz w:val="24"/>
              <w:szCs w:val="24"/>
              <w:lang w:val="en-US"/>
            </w:rPr>
            <w:t> (2010) </w:t>
          </w:r>
          <w:r w:rsidRPr="007B5593">
            <w:rPr>
              <w:rStyle w:val="Emphasis"/>
              <w:rFonts w:ascii="Arial" w:hAnsi="Arial" w:cs="Arial"/>
              <w:color w:val="0F1115"/>
              <w:sz w:val="24"/>
              <w:szCs w:val="24"/>
              <w:lang w:val="en-US"/>
            </w:rPr>
            <w:t>Color Image Processing and Applications</w:t>
          </w:r>
          <w:r w:rsidRPr="007B5593">
            <w:rPr>
              <w:rFonts w:ascii="Arial" w:hAnsi="Arial" w:cs="Arial"/>
              <w:sz w:val="24"/>
              <w:szCs w:val="24"/>
              <w:lang w:val="en-US"/>
            </w:rPr>
            <w:t xml:space="preserve">. </w:t>
          </w:r>
          <w:r w:rsidR="002422DE" w:rsidRPr="00093B50">
            <w:rPr>
              <w:rFonts w:ascii="Arial" w:hAnsi="Arial" w:cs="Arial"/>
              <w:sz w:val="24"/>
              <w:szCs w:val="24"/>
            </w:rPr>
            <w:t>Berlín</w:t>
          </w:r>
          <w:r w:rsidRPr="00093B50">
            <w:rPr>
              <w:rFonts w:ascii="Arial" w:hAnsi="Arial" w:cs="Arial"/>
              <w:sz w:val="24"/>
              <w:szCs w:val="24"/>
            </w:rPr>
            <w:t>: Springer. DOI: 10.1007/978-3-662-04186-0</w:t>
          </w:r>
        </w:p>
        <w:p w14:paraId="7403A400" w14:textId="1D5CA61E"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Pozo-Morejón, J.A., Guimarães de Souza, L.F., Guerra, T., Morales, E.V., De Souza Bott, I., Cruz-Crespo, A. and Rodríguez Pérez, O.</w:t>
          </w:r>
          <w:r w:rsidRPr="007B5593">
            <w:rPr>
              <w:rFonts w:ascii="Arial" w:hAnsi="Arial" w:cs="Arial"/>
              <w:sz w:val="24"/>
              <w:szCs w:val="24"/>
              <w:lang w:val="en-US"/>
            </w:rPr>
            <w:t> (2018) Heat inputs adjustment corresponding to the HAZ cooling times in GMAW on 2205 duplex steel using finite element simulation, </w:t>
          </w:r>
          <w:r w:rsidRPr="007B5593">
            <w:rPr>
              <w:rStyle w:val="Emphasis"/>
              <w:rFonts w:ascii="Arial" w:hAnsi="Arial" w:cs="Arial"/>
              <w:color w:val="0F1115"/>
              <w:sz w:val="24"/>
              <w:szCs w:val="24"/>
              <w:lang w:val="en-US"/>
            </w:rPr>
            <w:t>Soldagem &amp; Inspeção</w:t>
          </w:r>
          <w:r w:rsidRPr="007B5593">
            <w:rPr>
              <w:rFonts w:ascii="Arial" w:hAnsi="Arial" w:cs="Arial"/>
              <w:sz w:val="24"/>
              <w:szCs w:val="24"/>
              <w:lang w:val="en-US"/>
            </w:rPr>
            <w:t xml:space="preserve">, 23(3), pp. 413-422. </w:t>
          </w:r>
          <w:r w:rsidRPr="00093B50">
            <w:rPr>
              <w:rFonts w:ascii="Arial" w:hAnsi="Arial" w:cs="Arial"/>
              <w:sz w:val="24"/>
              <w:szCs w:val="24"/>
            </w:rPr>
            <w:t>DOI: 10.1590/0104-9224/SI2303.11</w:t>
          </w:r>
        </w:p>
        <w:p w14:paraId="4AB780DF" w14:textId="44718674"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Ramírez, A.J., Lippold, J.C. and Brandi, S.D.</w:t>
          </w:r>
          <w:r w:rsidRPr="007B5593">
            <w:rPr>
              <w:rFonts w:ascii="Arial" w:hAnsi="Arial" w:cs="Arial"/>
              <w:sz w:val="24"/>
              <w:szCs w:val="24"/>
              <w:lang w:val="en-US"/>
            </w:rPr>
            <w:t> (2003) The relationship between chromium nitride and secondary austenite precipitation in duplex stainless steels, </w:t>
          </w:r>
          <w:r w:rsidRPr="007B5593">
            <w:rPr>
              <w:rStyle w:val="Emphasis"/>
              <w:rFonts w:ascii="Arial" w:hAnsi="Arial" w:cs="Arial"/>
              <w:color w:val="0F1115"/>
              <w:sz w:val="24"/>
              <w:szCs w:val="24"/>
              <w:lang w:val="en-US"/>
            </w:rPr>
            <w:t>Metallurgical and Materials Transactions A</w:t>
          </w:r>
          <w:r w:rsidRPr="007B5593">
            <w:rPr>
              <w:rFonts w:ascii="Arial" w:hAnsi="Arial" w:cs="Arial"/>
              <w:sz w:val="24"/>
              <w:szCs w:val="24"/>
              <w:lang w:val="en-US"/>
            </w:rPr>
            <w:t xml:space="preserve">, 34A(8), pp. 1575-1597. </w:t>
          </w:r>
          <w:r w:rsidRPr="00093B50">
            <w:rPr>
              <w:rFonts w:ascii="Arial" w:hAnsi="Arial" w:cs="Arial"/>
              <w:sz w:val="24"/>
              <w:szCs w:val="24"/>
            </w:rPr>
            <w:t>DOI: 10.1007/s11661-003-0304-9</w:t>
          </w:r>
        </w:p>
        <w:p w14:paraId="7CD7C200" w14:textId="77777777"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Russell, S.J. and Norvig, P.</w:t>
          </w:r>
          <w:r w:rsidRPr="007B5593">
            <w:rPr>
              <w:rFonts w:ascii="Arial" w:hAnsi="Arial" w:cs="Arial"/>
              <w:sz w:val="24"/>
              <w:szCs w:val="24"/>
              <w:lang w:val="en-US"/>
            </w:rPr>
            <w:t> (2020) </w:t>
          </w:r>
          <w:r w:rsidRPr="007B5593">
            <w:rPr>
              <w:rStyle w:val="Emphasis"/>
              <w:rFonts w:ascii="Arial" w:hAnsi="Arial" w:cs="Arial"/>
              <w:color w:val="0F1115"/>
              <w:sz w:val="24"/>
              <w:szCs w:val="24"/>
              <w:lang w:val="en-US"/>
            </w:rPr>
            <w:t>Artificial Intelligence: A Modern Approach</w:t>
          </w:r>
          <w:r w:rsidRPr="007B5593">
            <w:rPr>
              <w:rFonts w:ascii="Arial" w:hAnsi="Arial" w:cs="Arial"/>
              <w:sz w:val="24"/>
              <w:szCs w:val="24"/>
              <w:lang w:val="en-US"/>
            </w:rPr>
            <w:t xml:space="preserve">. </w:t>
          </w:r>
          <w:r w:rsidRPr="00093B50">
            <w:rPr>
              <w:rFonts w:ascii="Arial" w:hAnsi="Arial" w:cs="Arial"/>
              <w:sz w:val="24"/>
              <w:szCs w:val="24"/>
            </w:rPr>
            <w:t>4th ed. Harlow: Pearson.</w:t>
          </w:r>
        </w:p>
        <w:p w14:paraId="7C3A75C7" w14:textId="503D5444" w:rsidR="00CB1F0D" w:rsidRPr="00093B50" w:rsidRDefault="00CB1F0D" w:rsidP="00093B50">
          <w:pPr>
            <w:pStyle w:val="ListParagraph"/>
            <w:numPr>
              <w:ilvl w:val="0"/>
              <w:numId w:val="17"/>
            </w:numPr>
            <w:spacing w:line="360" w:lineRule="auto"/>
            <w:jc w:val="both"/>
            <w:rPr>
              <w:rFonts w:ascii="Arial" w:hAnsi="Arial" w:cs="Arial"/>
              <w:sz w:val="24"/>
              <w:szCs w:val="24"/>
            </w:rPr>
          </w:pPr>
          <w:r w:rsidRPr="007B5593">
            <w:rPr>
              <w:rStyle w:val="Strong"/>
              <w:rFonts w:ascii="Arial" w:hAnsi="Arial" w:cs="Arial"/>
              <w:color w:val="0F1115"/>
              <w:sz w:val="24"/>
              <w:szCs w:val="24"/>
              <w:lang w:val="en-US"/>
            </w:rPr>
            <w:t>Sieurin, H. and Sandström, R.</w:t>
          </w:r>
          <w:r w:rsidRPr="007B5593">
            <w:rPr>
              <w:rFonts w:ascii="Arial" w:hAnsi="Arial" w:cs="Arial"/>
              <w:sz w:val="24"/>
              <w:szCs w:val="24"/>
              <w:lang w:val="en-US"/>
            </w:rPr>
            <w:t> (2007) Sigma phase precipitation in duplex stainless steel 2205, </w:t>
          </w:r>
          <w:r w:rsidRPr="007B5593">
            <w:rPr>
              <w:rStyle w:val="Emphasis"/>
              <w:rFonts w:ascii="Arial" w:hAnsi="Arial" w:cs="Arial"/>
              <w:color w:val="0F1115"/>
              <w:sz w:val="24"/>
              <w:szCs w:val="24"/>
              <w:lang w:val="en-US"/>
            </w:rPr>
            <w:t>Materials Science and Engineering: A</w:t>
          </w:r>
          <w:r w:rsidRPr="007B5593">
            <w:rPr>
              <w:rFonts w:ascii="Arial" w:hAnsi="Arial" w:cs="Arial"/>
              <w:sz w:val="24"/>
              <w:szCs w:val="24"/>
              <w:lang w:val="en-US"/>
            </w:rPr>
            <w:t xml:space="preserve">, 444(1-2), pp. 271-276. </w:t>
          </w:r>
          <w:r w:rsidRPr="00093B50">
            <w:rPr>
              <w:rFonts w:ascii="Arial" w:hAnsi="Arial" w:cs="Arial"/>
              <w:sz w:val="24"/>
              <w:szCs w:val="24"/>
            </w:rPr>
            <w:t>DOI: 10.1016/j.msea.2006.08.107</w:t>
          </w:r>
        </w:p>
        <w:p w14:paraId="2C0B916B" w14:textId="70AACC38" w:rsidR="00BD0ECA" w:rsidRPr="00787F78" w:rsidRDefault="00000000" w:rsidP="00787F78">
          <w:pPr>
            <w:rPr>
              <w:rFonts w:cs="Arial"/>
              <w:bCs/>
              <w:sz w:val="24"/>
              <w:szCs w:val="24"/>
              <w:lang w:val="en-US"/>
            </w:rPr>
            <w:sectPr w:rsidR="00BD0ECA" w:rsidRPr="00787F78" w:rsidSect="00CD4C5F">
              <w:footnotePr>
                <w:numFmt w:val="lowerLetter"/>
              </w:footnotePr>
              <w:type w:val="continuous"/>
              <w:pgSz w:w="12242" w:h="15842" w:code="1"/>
              <w:pgMar w:top="1134" w:right="1418" w:bottom="1134" w:left="1418" w:header="709" w:footer="907" w:gutter="0"/>
              <w:cols w:space="227"/>
              <w:docGrid w:linePitch="360"/>
            </w:sectPr>
          </w:pPr>
        </w:p>
      </w:sdtContent>
    </w:sdt>
    <w:p w14:paraId="6F44439B" w14:textId="77777777" w:rsidR="00EB0DFA" w:rsidRPr="00632CD3" w:rsidRDefault="00EB0DFA" w:rsidP="005466EB">
      <w:pPr>
        <w:widowControl w:val="0"/>
        <w:spacing w:after="60" w:line="276" w:lineRule="auto"/>
        <w:rPr>
          <w:rFonts w:ascii="Times New Roman" w:hAnsi="Times New Roman"/>
          <w:kern w:val="2"/>
          <w:sz w:val="16"/>
          <w:szCs w:val="16"/>
        </w:rPr>
      </w:pPr>
    </w:p>
    <w:sectPr w:rsidR="00EB0DFA" w:rsidRPr="00632CD3" w:rsidSect="00EF73B2">
      <w:footnotePr>
        <w:numFmt w:val="lowerLetter"/>
      </w:footnotePr>
      <w:type w:val="continuous"/>
      <w:pgSz w:w="12242" w:h="15842" w:code="1"/>
      <w:pgMar w:top="1134" w:right="1418" w:bottom="1134" w:left="1418" w:header="709" w:footer="907"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715A6" w14:textId="77777777" w:rsidR="00C533D7" w:rsidRDefault="00C533D7">
      <w:r>
        <w:separator/>
      </w:r>
    </w:p>
  </w:endnote>
  <w:endnote w:type="continuationSeparator" w:id="0">
    <w:p w14:paraId="45E6372E" w14:textId="77777777" w:rsidR="00C533D7" w:rsidRDefault="00C53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39E00" w14:textId="77777777" w:rsidR="00395C08" w:rsidRDefault="00B7090D" w:rsidP="00814446">
    <w:pPr>
      <w:pStyle w:val="Footer"/>
      <w:framePr w:wrap="around" w:vAnchor="text" w:hAnchor="margin" w:xAlign="center" w:y="1"/>
      <w:rPr>
        <w:rStyle w:val="PageNumber"/>
      </w:rPr>
    </w:pPr>
    <w:r>
      <w:rPr>
        <w:rStyle w:val="PageNumber"/>
      </w:rPr>
      <w:fldChar w:fldCharType="begin"/>
    </w:r>
    <w:r w:rsidR="00395C08">
      <w:rPr>
        <w:rStyle w:val="PageNumber"/>
      </w:rPr>
      <w:instrText xml:space="preserve">PAGE  </w:instrText>
    </w:r>
    <w:r>
      <w:rPr>
        <w:rStyle w:val="PageNumber"/>
      </w:rPr>
      <w:fldChar w:fldCharType="separate"/>
    </w:r>
    <w:r w:rsidR="005466EB">
      <w:rPr>
        <w:rStyle w:val="PageNumber"/>
        <w:noProof/>
      </w:rPr>
      <w:t>3</w:t>
    </w:r>
    <w:r>
      <w:rPr>
        <w:rStyle w:val="PageNumber"/>
      </w:rPr>
      <w:fldChar w:fldCharType="end"/>
    </w:r>
  </w:p>
  <w:p w14:paraId="54F12936" w14:textId="77777777" w:rsidR="00395C08" w:rsidRDefault="00395C08" w:rsidP="00395C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1D590" w14:textId="77777777" w:rsidR="00395C08" w:rsidRPr="008406B0" w:rsidRDefault="00395C08" w:rsidP="00395C08">
    <w:pPr>
      <w:pStyle w:val="Foote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9020C" w14:textId="77777777" w:rsidR="00C533D7" w:rsidRDefault="00C533D7">
      <w:r>
        <w:separator/>
      </w:r>
    </w:p>
  </w:footnote>
  <w:footnote w:type="continuationSeparator" w:id="0">
    <w:p w14:paraId="570CD15F" w14:textId="77777777" w:rsidR="00C533D7" w:rsidRDefault="00C53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0DED5" w14:textId="1420970A" w:rsidR="009B4357" w:rsidRPr="001C58E2" w:rsidRDefault="009B4357" w:rsidP="008C5A35">
    <w:pPr>
      <w:pStyle w:val="Header"/>
      <w:jc w:val="left"/>
      <w:rPr>
        <w:b/>
        <w:color w:val="FF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12830"/>
    <w:multiLevelType w:val="hybridMultilevel"/>
    <w:tmpl w:val="FF68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74AC0"/>
    <w:multiLevelType w:val="hybridMultilevel"/>
    <w:tmpl w:val="B7220EEC"/>
    <w:lvl w:ilvl="0" w:tplc="37506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D419B"/>
    <w:multiLevelType w:val="hybridMultilevel"/>
    <w:tmpl w:val="33A003B2"/>
    <w:lvl w:ilvl="0" w:tplc="628E743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8C639B"/>
    <w:multiLevelType w:val="multilevel"/>
    <w:tmpl w:val="FB488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504966"/>
    <w:multiLevelType w:val="hybridMultilevel"/>
    <w:tmpl w:val="2AF2D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97518E"/>
    <w:multiLevelType w:val="hybridMultilevel"/>
    <w:tmpl w:val="E98E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11A55"/>
    <w:multiLevelType w:val="hybridMultilevel"/>
    <w:tmpl w:val="BD446D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3C05DCD"/>
    <w:multiLevelType w:val="hybridMultilevel"/>
    <w:tmpl w:val="A734FDE0"/>
    <w:lvl w:ilvl="0" w:tplc="628E743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41F780C"/>
    <w:multiLevelType w:val="hybridMultilevel"/>
    <w:tmpl w:val="E892C2B8"/>
    <w:lvl w:ilvl="0" w:tplc="37506CF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B43627D"/>
    <w:multiLevelType w:val="hybridMultilevel"/>
    <w:tmpl w:val="4AB68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CC27C0"/>
    <w:multiLevelType w:val="multilevel"/>
    <w:tmpl w:val="6D62E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CB3CCA"/>
    <w:multiLevelType w:val="hybridMultilevel"/>
    <w:tmpl w:val="88CC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856784"/>
    <w:multiLevelType w:val="hybridMultilevel"/>
    <w:tmpl w:val="83EA3714"/>
    <w:lvl w:ilvl="0" w:tplc="5918754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A931B3"/>
    <w:multiLevelType w:val="hybridMultilevel"/>
    <w:tmpl w:val="5268D7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CB3239"/>
    <w:multiLevelType w:val="multilevel"/>
    <w:tmpl w:val="BE5084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3E5799"/>
    <w:multiLevelType w:val="hybridMultilevel"/>
    <w:tmpl w:val="CB6A1E5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1272670"/>
    <w:multiLevelType w:val="hybridMultilevel"/>
    <w:tmpl w:val="B81A6C14"/>
    <w:lvl w:ilvl="0" w:tplc="628E743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27484675">
    <w:abstractNumId w:val="6"/>
  </w:num>
  <w:num w:numId="2" w16cid:durableId="101345435">
    <w:abstractNumId w:val="8"/>
  </w:num>
  <w:num w:numId="3" w16cid:durableId="1901403360">
    <w:abstractNumId w:val="3"/>
  </w:num>
  <w:num w:numId="4" w16cid:durableId="950745231">
    <w:abstractNumId w:val="0"/>
  </w:num>
  <w:num w:numId="5" w16cid:durableId="1049954492">
    <w:abstractNumId w:val="5"/>
  </w:num>
  <w:num w:numId="6" w16cid:durableId="90126955">
    <w:abstractNumId w:val="11"/>
  </w:num>
  <w:num w:numId="7" w16cid:durableId="1163162680">
    <w:abstractNumId w:val="7"/>
  </w:num>
  <w:num w:numId="8" w16cid:durableId="1714303989">
    <w:abstractNumId w:val="16"/>
  </w:num>
  <w:num w:numId="9" w16cid:durableId="533268804">
    <w:abstractNumId w:val="2"/>
  </w:num>
  <w:num w:numId="10" w16cid:durableId="795636768">
    <w:abstractNumId w:val="13"/>
  </w:num>
  <w:num w:numId="11" w16cid:durableId="534660771">
    <w:abstractNumId w:val="1"/>
  </w:num>
  <w:num w:numId="12" w16cid:durableId="1198473562">
    <w:abstractNumId w:val="14"/>
  </w:num>
  <w:num w:numId="13" w16cid:durableId="1150245155">
    <w:abstractNumId w:val="15"/>
  </w:num>
  <w:num w:numId="14" w16cid:durableId="2066101793">
    <w:abstractNumId w:val="10"/>
  </w:num>
  <w:num w:numId="15" w16cid:durableId="1917398566">
    <w:abstractNumId w:val="4"/>
  </w:num>
  <w:num w:numId="16" w16cid:durableId="2013340395">
    <w:abstractNumId w:val="9"/>
  </w:num>
  <w:num w:numId="17" w16cid:durableId="11327523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054"/>
    <w:rsid w:val="0000056F"/>
    <w:rsid w:val="00000D8B"/>
    <w:rsid w:val="00004BC4"/>
    <w:rsid w:val="00007BE0"/>
    <w:rsid w:val="00010A38"/>
    <w:rsid w:val="00015C3B"/>
    <w:rsid w:val="000173CC"/>
    <w:rsid w:val="00017B82"/>
    <w:rsid w:val="000202F8"/>
    <w:rsid w:val="0002241D"/>
    <w:rsid w:val="00025D48"/>
    <w:rsid w:val="00035C4A"/>
    <w:rsid w:val="000439F7"/>
    <w:rsid w:val="00062668"/>
    <w:rsid w:val="00062902"/>
    <w:rsid w:val="0006643D"/>
    <w:rsid w:val="0006742F"/>
    <w:rsid w:val="00076E39"/>
    <w:rsid w:val="00083D7A"/>
    <w:rsid w:val="00086BE2"/>
    <w:rsid w:val="00087CD7"/>
    <w:rsid w:val="00093B50"/>
    <w:rsid w:val="000A62BA"/>
    <w:rsid w:val="000B10FE"/>
    <w:rsid w:val="000B48A8"/>
    <w:rsid w:val="000B651D"/>
    <w:rsid w:val="000C3823"/>
    <w:rsid w:val="000C4C73"/>
    <w:rsid w:val="000D0460"/>
    <w:rsid w:val="000D140C"/>
    <w:rsid w:val="000D550D"/>
    <w:rsid w:val="000E0E68"/>
    <w:rsid w:val="000E1678"/>
    <w:rsid w:val="000E29B3"/>
    <w:rsid w:val="000E32C4"/>
    <w:rsid w:val="000E385F"/>
    <w:rsid w:val="000E4171"/>
    <w:rsid w:val="000E45C4"/>
    <w:rsid w:val="001032E0"/>
    <w:rsid w:val="001039D3"/>
    <w:rsid w:val="00111083"/>
    <w:rsid w:val="001175FD"/>
    <w:rsid w:val="00120FF1"/>
    <w:rsid w:val="00131FB4"/>
    <w:rsid w:val="00133FE5"/>
    <w:rsid w:val="00134F58"/>
    <w:rsid w:val="00142144"/>
    <w:rsid w:val="00151709"/>
    <w:rsid w:val="0015377C"/>
    <w:rsid w:val="00154688"/>
    <w:rsid w:val="00165D1D"/>
    <w:rsid w:val="00167479"/>
    <w:rsid w:val="00173372"/>
    <w:rsid w:val="00175342"/>
    <w:rsid w:val="00177CEF"/>
    <w:rsid w:val="00181834"/>
    <w:rsid w:val="00184AA5"/>
    <w:rsid w:val="00187CD3"/>
    <w:rsid w:val="00192AE5"/>
    <w:rsid w:val="00194B4C"/>
    <w:rsid w:val="00196781"/>
    <w:rsid w:val="00197A67"/>
    <w:rsid w:val="001A5E87"/>
    <w:rsid w:val="001B4A9A"/>
    <w:rsid w:val="001C2CFC"/>
    <w:rsid w:val="001C58E2"/>
    <w:rsid w:val="001C67BB"/>
    <w:rsid w:val="001C7D9E"/>
    <w:rsid w:val="001D2962"/>
    <w:rsid w:val="001D79B0"/>
    <w:rsid w:val="001E17A1"/>
    <w:rsid w:val="001E6A53"/>
    <w:rsid w:val="001E715E"/>
    <w:rsid w:val="0021234D"/>
    <w:rsid w:val="002258C1"/>
    <w:rsid w:val="0022624F"/>
    <w:rsid w:val="00230A02"/>
    <w:rsid w:val="002362D5"/>
    <w:rsid w:val="002422DE"/>
    <w:rsid w:val="00252C59"/>
    <w:rsid w:val="002538EE"/>
    <w:rsid w:val="00271170"/>
    <w:rsid w:val="00275FEB"/>
    <w:rsid w:val="002827B2"/>
    <w:rsid w:val="002846F2"/>
    <w:rsid w:val="002950AA"/>
    <w:rsid w:val="00297243"/>
    <w:rsid w:val="002A2472"/>
    <w:rsid w:val="002A5D16"/>
    <w:rsid w:val="002C4B36"/>
    <w:rsid w:val="002C5247"/>
    <w:rsid w:val="002D0804"/>
    <w:rsid w:val="002D12C8"/>
    <w:rsid w:val="002D33EF"/>
    <w:rsid w:val="002E0F61"/>
    <w:rsid w:val="002E697D"/>
    <w:rsid w:val="002F0E2F"/>
    <w:rsid w:val="002F26B5"/>
    <w:rsid w:val="00301BAF"/>
    <w:rsid w:val="0030609A"/>
    <w:rsid w:val="0030637C"/>
    <w:rsid w:val="0031473D"/>
    <w:rsid w:val="0031728D"/>
    <w:rsid w:val="00320A6C"/>
    <w:rsid w:val="00323AE1"/>
    <w:rsid w:val="00330E0D"/>
    <w:rsid w:val="003341D0"/>
    <w:rsid w:val="0034362C"/>
    <w:rsid w:val="00343B05"/>
    <w:rsid w:val="00346A6C"/>
    <w:rsid w:val="00347697"/>
    <w:rsid w:val="00352010"/>
    <w:rsid w:val="0035465C"/>
    <w:rsid w:val="00362722"/>
    <w:rsid w:val="00366554"/>
    <w:rsid w:val="003747E1"/>
    <w:rsid w:val="00381344"/>
    <w:rsid w:val="00382564"/>
    <w:rsid w:val="00391982"/>
    <w:rsid w:val="003952CF"/>
    <w:rsid w:val="00395C08"/>
    <w:rsid w:val="003B73C7"/>
    <w:rsid w:val="003C32C9"/>
    <w:rsid w:val="003C7740"/>
    <w:rsid w:val="003C7B7F"/>
    <w:rsid w:val="003C7E14"/>
    <w:rsid w:val="003D0D91"/>
    <w:rsid w:val="003D1D78"/>
    <w:rsid w:val="003D37EE"/>
    <w:rsid w:val="003D7FEF"/>
    <w:rsid w:val="003E17B9"/>
    <w:rsid w:val="003E1C0E"/>
    <w:rsid w:val="003E2FA9"/>
    <w:rsid w:val="003E4B8F"/>
    <w:rsid w:val="003E5928"/>
    <w:rsid w:val="003E6D62"/>
    <w:rsid w:val="003E6DB0"/>
    <w:rsid w:val="003E7568"/>
    <w:rsid w:val="003F00E7"/>
    <w:rsid w:val="003F1DA7"/>
    <w:rsid w:val="003F2E1A"/>
    <w:rsid w:val="003F4A7C"/>
    <w:rsid w:val="003F4D6D"/>
    <w:rsid w:val="003F74DE"/>
    <w:rsid w:val="003F7E9F"/>
    <w:rsid w:val="00400979"/>
    <w:rsid w:val="00400B81"/>
    <w:rsid w:val="0040322C"/>
    <w:rsid w:val="00404937"/>
    <w:rsid w:val="00407A70"/>
    <w:rsid w:val="004105EF"/>
    <w:rsid w:val="00425FD9"/>
    <w:rsid w:val="004331B2"/>
    <w:rsid w:val="0043540E"/>
    <w:rsid w:val="00441577"/>
    <w:rsid w:val="00444348"/>
    <w:rsid w:val="004478CD"/>
    <w:rsid w:val="00450089"/>
    <w:rsid w:val="00454876"/>
    <w:rsid w:val="0048043C"/>
    <w:rsid w:val="00486782"/>
    <w:rsid w:val="00486E26"/>
    <w:rsid w:val="00491206"/>
    <w:rsid w:val="0049305B"/>
    <w:rsid w:val="004958C4"/>
    <w:rsid w:val="004B50DB"/>
    <w:rsid w:val="004B68C0"/>
    <w:rsid w:val="004C106E"/>
    <w:rsid w:val="004C4BB3"/>
    <w:rsid w:val="004D5896"/>
    <w:rsid w:val="004D7FC0"/>
    <w:rsid w:val="004F0133"/>
    <w:rsid w:val="004F44FD"/>
    <w:rsid w:val="004F4F93"/>
    <w:rsid w:val="004F6ACD"/>
    <w:rsid w:val="00500D09"/>
    <w:rsid w:val="00514633"/>
    <w:rsid w:val="00515C5B"/>
    <w:rsid w:val="00517E83"/>
    <w:rsid w:val="00525F5A"/>
    <w:rsid w:val="00532F43"/>
    <w:rsid w:val="005348FF"/>
    <w:rsid w:val="0054082E"/>
    <w:rsid w:val="00542A51"/>
    <w:rsid w:val="005466EB"/>
    <w:rsid w:val="00554D84"/>
    <w:rsid w:val="00557585"/>
    <w:rsid w:val="005634EE"/>
    <w:rsid w:val="00563FD7"/>
    <w:rsid w:val="00565A3D"/>
    <w:rsid w:val="005675A7"/>
    <w:rsid w:val="00575321"/>
    <w:rsid w:val="00587C88"/>
    <w:rsid w:val="00594A78"/>
    <w:rsid w:val="00597762"/>
    <w:rsid w:val="005B1CA4"/>
    <w:rsid w:val="005B31EB"/>
    <w:rsid w:val="005C0FC2"/>
    <w:rsid w:val="005C21FA"/>
    <w:rsid w:val="005C45AA"/>
    <w:rsid w:val="005C4A92"/>
    <w:rsid w:val="005D0040"/>
    <w:rsid w:val="005D0DAE"/>
    <w:rsid w:val="005D2BEC"/>
    <w:rsid w:val="005D3A5C"/>
    <w:rsid w:val="005D4F02"/>
    <w:rsid w:val="005E4D91"/>
    <w:rsid w:val="005E5387"/>
    <w:rsid w:val="005E5924"/>
    <w:rsid w:val="005E7EC9"/>
    <w:rsid w:val="005F26C3"/>
    <w:rsid w:val="005F5476"/>
    <w:rsid w:val="00600A72"/>
    <w:rsid w:val="0060335A"/>
    <w:rsid w:val="006035A5"/>
    <w:rsid w:val="0060506E"/>
    <w:rsid w:val="006128DA"/>
    <w:rsid w:val="00614B18"/>
    <w:rsid w:val="00615699"/>
    <w:rsid w:val="0062475C"/>
    <w:rsid w:val="00627B16"/>
    <w:rsid w:val="00631F97"/>
    <w:rsid w:val="00632CD3"/>
    <w:rsid w:val="00634AD2"/>
    <w:rsid w:val="006366B8"/>
    <w:rsid w:val="0064000B"/>
    <w:rsid w:val="006416F6"/>
    <w:rsid w:val="006523B5"/>
    <w:rsid w:val="006605E8"/>
    <w:rsid w:val="00666785"/>
    <w:rsid w:val="00666B92"/>
    <w:rsid w:val="00681777"/>
    <w:rsid w:val="0068264F"/>
    <w:rsid w:val="0068567C"/>
    <w:rsid w:val="0068645B"/>
    <w:rsid w:val="00691DF4"/>
    <w:rsid w:val="00697AE8"/>
    <w:rsid w:val="006A5A4B"/>
    <w:rsid w:val="006A78DB"/>
    <w:rsid w:val="006B46D6"/>
    <w:rsid w:val="006B5477"/>
    <w:rsid w:val="006B6FC4"/>
    <w:rsid w:val="006C5D5F"/>
    <w:rsid w:val="006E6F64"/>
    <w:rsid w:val="006F067D"/>
    <w:rsid w:val="006F3675"/>
    <w:rsid w:val="00700E27"/>
    <w:rsid w:val="00701A08"/>
    <w:rsid w:val="007109B9"/>
    <w:rsid w:val="007123DD"/>
    <w:rsid w:val="00715C67"/>
    <w:rsid w:val="00721C2D"/>
    <w:rsid w:val="00723B25"/>
    <w:rsid w:val="0073389B"/>
    <w:rsid w:val="00736811"/>
    <w:rsid w:val="00746CA7"/>
    <w:rsid w:val="0075633C"/>
    <w:rsid w:val="007609E2"/>
    <w:rsid w:val="00761494"/>
    <w:rsid w:val="00766404"/>
    <w:rsid w:val="007714BE"/>
    <w:rsid w:val="00772416"/>
    <w:rsid w:val="0077366A"/>
    <w:rsid w:val="00784250"/>
    <w:rsid w:val="00787F78"/>
    <w:rsid w:val="007A118E"/>
    <w:rsid w:val="007A26A1"/>
    <w:rsid w:val="007A6FEA"/>
    <w:rsid w:val="007A7FBF"/>
    <w:rsid w:val="007B01F7"/>
    <w:rsid w:val="007B5593"/>
    <w:rsid w:val="007C7040"/>
    <w:rsid w:val="007D00BA"/>
    <w:rsid w:val="007D09F4"/>
    <w:rsid w:val="007D48BD"/>
    <w:rsid w:val="007E3481"/>
    <w:rsid w:val="007E4423"/>
    <w:rsid w:val="007F0279"/>
    <w:rsid w:val="007F41F1"/>
    <w:rsid w:val="00800FCE"/>
    <w:rsid w:val="0080433C"/>
    <w:rsid w:val="00807FA3"/>
    <w:rsid w:val="00810A94"/>
    <w:rsid w:val="00814446"/>
    <w:rsid w:val="008148C1"/>
    <w:rsid w:val="00817765"/>
    <w:rsid w:val="008232B2"/>
    <w:rsid w:val="008356FF"/>
    <w:rsid w:val="008377AB"/>
    <w:rsid w:val="008406B0"/>
    <w:rsid w:val="008471F2"/>
    <w:rsid w:val="00850E40"/>
    <w:rsid w:val="008518F9"/>
    <w:rsid w:val="00862338"/>
    <w:rsid w:val="008629CB"/>
    <w:rsid w:val="00866085"/>
    <w:rsid w:val="00883B3B"/>
    <w:rsid w:val="00885169"/>
    <w:rsid w:val="00890A27"/>
    <w:rsid w:val="00892735"/>
    <w:rsid w:val="00893074"/>
    <w:rsid w:val="00894337"/>
    <w:rsid w:val="00896041"/>
    <w:rsid w:val="008A3C53"/>
    <w:rsid w:val="008A6B9B"/>
    <w:rsid w:val="008B0C6B"/>
    <w:rsid w:val="008C563F"/>
    <w:rsid w:val="008C5A35"/>
    <w:rsid w:val="008E06DC"/>
    <w:rsid w:val="008E1789"/>
    <w:rsid w:val="008F0650"/>
    <w:rsid w:val="008F1EA5"/>
    <w:rsid w:val="009014A7"/>
    <w:rsid w:val="00903646"/>
    <w:rsid w:val="00903AB2"/>
    <w:rsid w:val="00910550"/>
    <w:rsid w:val="0091134F"/>
    <w:rsid w:val="009126FE"/>
    <w:rsid w:val="00912B66"/>
    <w:rsid w:val="00935C51"/>
    <w:rsid w:val="0093732F"/>
    <w:rsid w:val="0094169F"/>
    <w:rsid w:val="009427BC"/>
    <w:rsid w:val="009640F6"/>
    <w:rsid w:val="009642F6"/>
    <w:rsid w:val="009668C9"/>
    <w:rsid w:val="0096703B"/>
    <w:rsid w:val="009740C9"/>
    <w:rsid w:val="00975E80"/>
    <w:rsid w:val="0098379E"/>
    <w:rsid w:val="009920E2"/>
    <w:rsid w:val="009A4ED9"/>
    <w:rsid w:val="009A56E8"/>
    <w:rsid w:val="009A6DBA"/>
    <w:rsid w:val="009A70B6"/>
    <w:rsid w:val="009A7C95"/>
    <w:rsid w:val="009B4357"/>
    <w:rsid w:val="009B57BC"/>
    <w:rsid w:val="009B69F2"/>
    <w:rsid w:val="009C5BB4"/>
    <w:rsid w:val="009C6B7E"/>
    <w:rsid w:val="009C7938"/>
    <w:rsid w:val="009D3ED3"/>
    <w:rsid w:val="009D5F0A"/>
    <w:rsid w:val="009D7E01"/>
    <w:rsid w:val="009E2445"/>
    <w:rsid w:val="009E6041"/>
    <w:rsid w:val="009F5A26"/>
    <w:rsid w:val="009F6F78"/>
    <w:rsid w:val="00A0600F"/>
    <w:rsid w:val="00A065B0"/>
    <w:rsid w:val="00A101C3"/>
    <w:rsid w:val="00A138C2"/>
    <w:rsid w:val="00A148C8"/>
    <w:rsid w:val="00A1520E"/>
    <w:rsid w:val="00A20BF1"/>
    <w:rsid w:val="00A24B16"/>
    <w:rsid w:val="00A33B5E"/>
    <w:rsid w:val="00A61CEA"/>
    <w:rsid w:val="00A75380"/>
    <w:rsid w:val="00A814F9"/>
    <w:rsid w:val="00A820F3"/>
    <w:rsid w:val="00A85253"/>
    <w:rsid w:val="00A85923"/>
    <w:rsid w:val="00A91264"/>
    <w:rsid w:val="00A934F5"/>
    <w:rsid w:val="00A96DE8"/>
    <w:rsid w:val="00AA0A04"/>
    <w:rsid w:val="00AA20DD"/>
    <w:rsid w:val="00AB01B8"/>
    <w:rsid w:val="00AB298D"/>
    <w:rsid w:val="00AB7DDE"/>
    <w:rsid w:val="00AC1391"/>
    <w:rsid w:val="00AD38D8"/>
    <w:rsid w:val="00AE4EB3"/>
    <w:rsid w:val="00AE567B"/>
    <w:rsid w:val="00AF1C99"/>
    <w:rsid w:val="00AF1F12"/>
    <w:rsid w:val="00B01179"/>
    <w:rsid w:val="00B0486D"/>
    <w:rsid w:val="00B06E3C"/>
    <w:rsid w:val="00B07B75"/>
    <w:rsid w:val="00B13195"/>
    <w:rsid w:val="00B150C7"/>
    <w:rsid w:val="00B22E73"/>
    <w:rsid w:val="00B236D0"/>
    <w:rsid w:val="00B27AF9"/>
    <w:rsid w:val="00B35913"/>
    <w:rsid w:val="00B3643A"/>
    <w:rsid w:val="00B40E63"/>
    <w:rsid w:val="00B53CC7"/>
    <w:rsid w:val="00B57CC1"/>
    <w:rsid w:val="00B7090D"/>
    <w:rsid w:val="00B825D9"/>
    <w:rsid w:val="00B85A61"/>
    <w:rsid w:val="00B9392C"/>
    <w:rsid w:val="00B944BD"/>
    <w:rsid w:val="00B944DB"/>
    <w:rsid w:val="00B9489E"/>
    <w:rsid w:val="00B95FDF"/>
    <w:rsid w:val="00B96857"/>
    <w:rsid w:val="00BA0294"/>
    <w:rsid w:val="00BA1B0F"/>
    <w:rsid w:val="00BA2764"/>
    <w:rsid w:val="00BA559B"/>
    <w:rsid w:val="00BA634F"/>
    <w:rsid w:val="00BB6227"/>
    <w:rsid w:val="00BC2686"/>
    <w:rsid w:val="00BC7F42"/>
    <w:rsid w:val="00BD0ECA"/>
    <w:rsid w:val="00BD176B"/>
    <w:rsid w:val="00BD6B5D"/>
    <w:rsid w:val="00BE25B7"/>
    <w:rsid w:val="00BE28B1"/>
    <w:rsid w:val="00BE39D2"/>
    <w:rsid w:val="00BE640A"/>
    <w:rsid w:val="00BF6E86"/>
    <w:rsid w:val="00C00076"/>
    <w:rsid w:val="00C02057"/>
    <w:rsid w:val="00C05243"/>
    <w:rsid w:val="00C11BE6"/>
    <w:rsid w:val="00C1642D"/>
    <w:rsid w:val="00C16E2A"/>
    <w:rsid w:val="00C21D72"/>
    <w:rsid w:val="00C305A5"/>
    <w:rsid w:val="00C316D5"/>
    <w:rsid w:val="00C3219A"/>
    <w:rsid w:val="00C32EC2"/>
    <w:rsid w:val="00C370AA"/>
    <w:rsid w:val="00C40DF0"/>
    <w:rsid w:val="00C439A3"/>
    <w:rsid w:val="00C52FFF"/>
    <w:rsid w:val="00C533D7"/>
    <w:rsid w:val="00C56557"/>
    <w:rsid w:val="00C57460"/>
    <w:rsid w:val="00C60A51"/>
    <w:rsid w:val="00C700DB"/>
    <w:rsid w:val="00C729AE"/>
    <w:rsid w:val="00C74A67"/>
    <w:rsid w:val="00C76B26"/>
    <w:rsid w:val="00C8138B"/>
    <w:rsid w:val="00C815BD"/>
    <w:rsid w:val="00C943F5"/>
    <w:rsid w:val="00CA0523"/>
    <w:rsid w:val="00CA3885"/>
    <w:rsid w:val="00CB09C9"/>
    <w:rsid w:val="00CB1F0D"/>
    <w:rsid w:val="00CB20BA"/>
    <w:rsid w:val="00CB6103"/>
    <w:rsid w:val="00CC12B9"/>
    <w:rsid w:val="00CC2C48"/>
    <w:rsid w:val="00CC363C"/>
    <w:rsid w:val="00CC477E"/>
    <w:rsid w:val="00CC4CA0"/>
    <w:rsid w:val="00CC66D6"/>
    <w:rsid w:val="00CD0B03"/>
    <w:rsid w:val="00CD3F16"/>
    <w:rsid w:val="00CD4C5F"/>
    <w:rsid w:val="00CD571B"/>
    <w:rsid w:val="00CD57C8"/>
    <w:rsid w:val="00CD6524"/>
    <w:rsid w:val="00CD78A8"/>
    <w:rsid w:val="00CD7928"/>
    <w:rsid w:val="00CE1B9E"/>
    <w:rsid w:val="00CF0170"/>
    <w:rsid w:val="00CF2DE9"/>
    <w:rsid w:val="00CF7473"/>
    <w:rsid w:val="00D114CD"/>
    <w:rsid w:val="00D128D3"/>
    <w:rsid w:val="00D2101D"/>
    <w:rsid w:val="00D25EF6"/>
    <w:rsid w:val="00D314AF"/>
    <w:rsid w:val="00D31CF4"/>
    <w:rsid w:val="00D346A3"/>
    <w:rsid w:val="00D352CE"/>
    <w:rsid w:val="00D353D6"/>
    <w:rsid w:val="00D4120E"/>
    <w:rsid w:val="00D416BE"/>
    <w:rsid w:val="00D50281"/>
    <w:rsid w:val="00D50919"/>
    <w:rsid w:val="00D534C9"/>
    <w:rsid w:val="00D604C3"/>
    <w:rsid w:val="00D6182E"/>
    <w:rsid w:val="00D625A3"/>
    <w:rsid w:val="00D64A75"/>
    <w:rsid w:val="00D65477"/>
    <w:rsid w:val="00D673B5"/>
    <w:rsid w:val="00D71FCF"/>
    <w:rsid w:val="00D72296"/>
    <w:rsid w:val="00D74298"/>
    <w:rsid w:val="00D75054"/>
    <w:rsid w:val="00D772A6"/>
    <w:rsid w:val="00D8276B"/>
    <w:rsid w:val="00D84DAE"/>
    <w:rsid w:val="00D86CF9"/>
    <w:rsid w:val="00D92002"/>
    <w:rsid w:val="00D9225B"/>
    <w:rsid w:val="00D95C4B"/>
    <w:rsid w:val="00D9790E"/>
    <w:rsid w:val="00DA227B"/>
    <w:rsid w:val="00DA2590"/>
    <w:rsid w:val="00DB6587"/>
    <w:rsid w:val="00DC30B3"/>
    <w:rsid w:val="00DC525E"/>
    <w:rsid w:val="00DC6C20"/>
    <w:rsid w:val="00DD0072"/>
    <w:rsid w:val="00DD6BF2"/>
    <w:rsid w:val="00DD70AE"/>
    <w:rsid w:val="00DE4A15"/>
    <w:rsid w:val="00DE6747"/>
    <w:rsid w:val="00DF5484"/>
    <w:rsid w:val="00DF6184"/>
    <w:rsid w:val="00DF6E90"/>
    <w:rsid w:val="00E0165D"/>
    <w:rsid w:val="00E038C3"/>
    <w:rsid w:val="00E047FB"/>
    <w:rsid w:val="00E067A0"/>
    <w:rsid w:val="00E10435"/>
    <w:rsid w:val="00E14C05"/>
    <w:rsid w:val="00E23257"/>
    <w:rsid w:val="00E24730"/>
    <w:rsid w:val="00E2478F"/>
    <w:rsid w:val="00E324F3"/>
    <w:rsid w:val="00E336F6"/>
    <w:rsid w:val="00E343D3"/>
    <w:rsid w:val="00E41611"/>
    <w:rsid w:val="00E42452"/>
    <w:rsid w:val="00E42A8D"/>
    <w:rsid w:val="00E453B6"/>
    <w:rsid w:val="00E46894"/>
    <w:rsid w:val="00E75E20"/>
    <w:rsid w:val="00E879FB"/>
    <w:rsid w:val="00E87AEC"/>
    <w:rsid w:val="00E91A19"/>
    <w:rsid w:val="00EA64F9"/>
    <w:rsid w:val="00EA7E24"/>
    <w:rsid w:val="00EB0DFA"/>
    <w:rsid w:val="00EC0D5D"/>
    <w:rsid w:val="00EC3DEC"/>
    <w:rsid w:val="00EC512E"/>
    <w:rsid w:val="00EC6228"/>
    <w:rsid w:val="00ED765A"/>
    <w:rsid w:val="00EE2A6C"/>
    <w:rsid w:val="00EE2E7B"/>
    <w:rsid w:val="00EE7871"/>
    <w:rsid w:val="00EF73B2"/>
    <w:rsid w:val="00F00B6F"/>
    <w:rsid w:val="00F00C15"/>
    <w:rsid w:val="00F02437"/>
    <w:rsid w:val="00F05211"/>
    <w:rsid w:val="00F06456"/>
    <w:rsid w:val="00F14866"/>
    <w:rsid w:val="00F17593"/>
    <w:rsid w:val="00F23C06"/>
    <w:rsid w:val="00F36264"/>
    <w:rsid w:val="00F36736"/>
    <w:rsid w:val="00F533BF"/>
    <w:rsid w:val="00F562DD"/>
    <w:rsid w:val="00F5664C"/>
    <w:rsid w:val="00F65A3C"/>
    <w:rsid w:val="00F705A3"/>
    <w:rsid w:val="00F70F24"/>
    <w:rsid w:val="00F80C53"/>
    <w:rsid w:val="00F81A67"/>
    <w:rsid w:val="00F81DB7"/>
    <w:rsid w:val="00F83F55"/>
    <w:rsid w:val="00FA33C8"/>
    <w:rsid w:val="00FA33F4"/>
    <w:rsid w:val="00FB66CB"/>
    <w:rsid w:val="00FC2000"/>
    <w:rsid w:val="00FD0CAD"/>
    <w:rsid w:val="00FD10FA"/>
    <w:rsid w:val="00FD11AA"/>
    <w:rsid w:val="00FD3A5C"/>
    <w:rsid w:val="00FD5A4D"/>
    <w:rsid w:val="00FD5AB3"/>
    <w:rsid w:val="00FE19EC"/>
    <w:rsid w:val="00FE2132"/>
    <w:rsid w:val="00FE487F"/>
    <w:rsid w:val="00FE5BD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6FC445"/>
  <w15:docId w15:val="{0B4C10F8-4958-42C2-A497-935DDAD8C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35A"/>
    <w:rPr>
      <w:rFonts w:ascii="Arial" w:hAnsi="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22E73"/>
    <w:rPr>
      <w:color w:val="0000FF"/>
      <w:u w:val="single"/>
    </w:rPr>
  </w:style>
  <w:style w:type="paragraph" w:styleId="BodyText2">
    <w:name w:val="Body Text 2"/>
    <w:basedOn w:val="Normal"/>
    <w:link w:val="BodyText2Char"/>
    <w:rsid w:val="00B22E73"/>
    <w:pPr>
      <w:widowControl w:val="0"/>
      <w:spacing w:line="480" w:lineRule="auto"/>
    </w:pPr>
    <w:rPr>
      <w:rFonts w:cs="Arial"/>
      <w:sz w:val="20"/>
      <w:szCs w:val="20"/>
    </w:rPr>
  </w:style>
  <w:style w:type="paragraph" w:styleId="NormalWeb">
    <w:name w:val="Normal (Web)"/>
    <w:basedOn w:val="Normal"/>
    <w:uiPriority w:val="99"/>
    <w:rsid w:val="00B22E73"/>
    <w:pPr>
      <w:spacing w:before="100" w:beforeAutospacing="1" w:after="100" w:afterAutospacing="1"/>
    </w:pPr>
    <w:rPr>
      <w:rFonts w:ascii="Times New Roman" w:hAnsi="Times New Roman"/>
      <w:sz w:val="24"/>
      <w:szCs w:val="24"/>
    </w:rPr>
  </w:style>
  <w:style w:type="character" w:styleId="LineNumber">
    <w:name w:val="line number"/>
    <w:basedOn w:val="DefaultParagraphFont"/>
    <w:rsid w:val="00D314AF"/>
  </w:style>
  <w:style w:type="paragraph" w:styleId="Footer">
    <w:name w:val="footer"/>
    <w:basedOn w:val="Normal"/>
    <w:rsid w:val="00395C08"/>
    <w:pPr>
      <w:tabs>
        <w:tab w:val="center" w:pos="4252"/>
        <w:tab w:val="right" w:pos="8504"/>
      </w:tabs>
    </w:pPr>
  </w:style>
  <w:style w:type="character" w:styleId="PageNumber">
    <w:name w:val="page number"/>
    <w:basedOn w:val="DefaultParagraphFont"/>
    <w:rsid w:val="00395C08"/>
  </w:style>
  <w:style w:type="character" w:customStyle="1" w:styleId="BodyText2Char">
    <w:name w:val="Body Text 2 Char"/>
    <w:basedOn w:val="DefaultParagraphFont"/>
    <w:link w:val="BodyText2"/>
    <w:rsid w:val="00B9392C"/>
    <w:rPr>
      <w:rFonts w:ascii="Arial" w:hAnsi="Arial" w:cs="Arial"/>
    </w:rPr>
  </w:style>
  <w:style w:type="paragraph" w:styleId="BodyText">
    <w:name w:val="Body Text"/>
    <w:basedOn w:val="Normal"/>
    <w:link w:val="BodyTextChar"/>
    <w:rsid w:val="0015377C"/>
    <w:rPr>
      <w:rFonts w:ascii="Times New Roman" w:hAnsi="Times New Roman"/>
      <w:sz w:val="32"/>
      <w:szCs w:val="20"/>
      <w:lang w:val="es-ES_tradnl"/>
    </w:rPr>
  </w:style>
  <w:style w:type="character" w:customStyle="1" w:styleId="BodyTextChar">
    <w:name w:val="Body Text Char"/>
    <w:basedOn w:val="DefaultParagraphFont"/>
    <w:link w:val="BodyText"/>
    <w:rsid w:val="0015377C"/>
    <w:rPr>
      <w:sz w:val="32"/>
      <w:lang w:val="es-ES_tradnl"/>
    </w:rPr>
  </w:style>
  <w:style w:type="paragraph" w:styleId="Header">
    <w:name w:val="header"/>
    <w:basedOn w:val="Normal"/>
    <w:link w:val="HeaderChar"/>
    <w:rsid w:val="00903AB2"/>
    <w:pPr>
      <w:tabs>
        <w:tab w:val="center" w:pos="4252"/>
        <w:tab w:val="right" w:pos="8504"/>
      </w:tabs>
    </w:pPr>
  </w:style>
  <w:style w:type="character" w:customStyle="1" w:styleId="HeaderChar">
    <w:name w:val="Header Char"/>
    <w:basedOn w:val="DefaultParagraphFont"/>
    <w:link w:val="Header"/>
    <w:rsid w:val="00903AB2"/>
    <w:rPr>
      <w:rFonts w:ascii="Arial" w:hAnsi="Arial"/>
      <w:sz w:val="22"/>
      <w:szCs w:val="22"/>
    </w:rPr>
  </w:style>
  <w:style w:type="character" w:styleId="FollowedHyperlink">
    <w:name w:val="FollowedHyperlink"/>
    <w:basedOn w:val="DefaultParagraphFont"/>
    <w:rsid w:val="003F4D6D"/>
    <w:rPr>
      <w:color w:val="800080"/>
      <w:u w:val="single"/>
    </w:rPr>
  </w:style>
  <w:style w:type="paragraph" w:styleId="BalloonText">
    <w:name w:val="Balloon Text"/>
    <w:basedOn w:val="Normal"/>
    <w:link w:val="BalloonTextChar"/>
    <w:uiPriority w:val="99"/>
    <w:semiHidden/>
    <w:unhideWhenUsed/>
    <w:rsid w:val="00A20BF1"/>
    <w:rPr>
      <w:rFonts w:ascii="Tahoma" w:hAnsi="Tahoma" w:cs="Tahoma"/>
      <w:sz w:val="16"/>
      <w:szCs w:val="16"/>
    </w:rPr>
  </w:style>
  <w:style w:type="character" w:customStyle="1" w:styleId="BalloonTextChar">
    <w:name w:val="Balloon Text Char"/>
    <w:basedOn w:val="DefaultParagraphFont"/>
    <w:link w:val="BalloonText"/>
    <w:uiPriority w:val="99"/>
    <w:semiHidden/>
    <w:rsid w:val="00A20BF1"/>
    <w:rPr>
      <w:rFonts w:ascii="Tahoma" w:hAnsi="Tahoma" w:cs="Tahoma"/>
      <w:sz w:val="16"/>
      <w:szCs w:val="16"/>
    </w:rPr>
  </w:style>
  <w:style w:type="character" w:styleId="PlaceholderText">
    <w:name w:val="Placeholder Text"/>
    <w:basedOn w:val="DefaultParagraphFont"/>
    <w:uiPriority w:val="99"/>
    <w:semiHidden/>
    <w:rsid w:val="00062902"/>
    <w:rPr>
      <w:color w:val="808080"/>
    </w:rPr>
  </w:style>
  <w:style w:type="paragraph" w:customStyle="1" w:styleId="MTDisplayEquation">
    <w:name w:val="MTDisplayEquation"/>
    <w:basedOn w:val="Normal"/>
    <w:next w:val="Normal"/>
    <w:link w:val="MTDisplayEquationCar"/>
    <w:rsid w:val="00C439A3"/>
    <w:pPr>
      <w:widowControl w:val="0"/>
      <w:tabs>
        <w:tab w:val="center" w:pos="4700"/>
        <w:tab w:val="right" w:pos="9400"/>
      </w:tabs>
      <w:ind w:firstLine="227"/>
      <w:jc w:val="center"/>
    </w:pPr>
    <w:rPr>
      <w:rFonts w:ascii="Times New Roman" w:hAnsi="Times New Roman"/>
      <w:kern w:val="2"/>
      <w:sz w:val="20"/>
      <w:szCs w:val="20"/>
    </w:rPr>
  </w:style>
  <w:style w:type="character" w:customStyle="1" w:styleId="MTDisplayEquationCar">
    <w:name w:val="MTDisplayEquation Car"/>
    <w:basedOn w:val="DefaultParagraphFont"/>
    <w:link w:val="MTDisplayEquation"/>
    <w:rsid w:val="00C439A3"/>
    <w:rPr>
      <w:kern w:val="2"/>
    </w:rPr>
  </w:style>
  <w:style w:type="character" w:customStyle="1" w:styleId="MTEquationSection">
    <w:name w:val="MTEquationSection"/>
    <w:basedOn w:val="DefaultParagraphFont"/>
    <w:rsid w:val="00C439A3"/>
    <w:rPr>
      <w:rFonts w:ascii="Times New Roman" w:hAnsi="Times New Roman"/>
      <w:b/>
      <w:vanish/>
      <w:color w:val="FF0000"/>
      <w:kern w:val="2"/>
    </w:rPr>
  </w:style>
  <w:style w:type="character" w:customStyle="1" w:styleId="Estilo1">
    <w:name w:val="Estilo1"/>
    <w:basedOn w:val="DefaultParagraphFont"/>
    <w:uiPriority w:val="1"/>
    <w:rsid w:val="008C5A35"/>
    <w:rPr>
      <w:rFonts w:ascii="Arial" w:hAnsi="Arial"/>
      <w:caps/>
      <w:sz w:val="40"/>
    </w:rPr>
  </w:style>
  <w:style w:type="character" w:customStyle="1" w:styleId="Estilo2">
    <w:name w:val="Estilo2"/>
    <w:basedOn w:val="Estilo1"/>
    <w:uiPriority w:val="1"/>
    <w:rsid w:val="00615699"/>
    <w:rPr>
      <w:rFonts w:ascii="Arial" w:hAnsi="Arial"/>
      <w:caps/>
      <w:sz w:val="40"/>
    </w:rPr>
  </w:style>
  <w:style w:type="character" w:styleId="UnresolvedMention">
    <w:name w:val="Unresolved Mention"/>
    <w:basedOn w:val="DefaultParagraphFont"/>
    <w:uiPriority w:val="99"/>
    <w:semiHidden/>
    <w:unhideWhenUsed/>
    <w:rsid w:val="00AB01B8"/>
    <w:rPr>
      <w:color w:val="605E5C"/>
      <w:shd w:val="clear" w:color="auto" w:fill="E1DFDD"/>
    </w:rPr>
  </w:style>
  <w:style w:type="paragraph" w:styleId="ListParagraph">
    <w:name w:val="List Paragraph"/>
    <w:basedOn w:val="Normal"/>
    <w:uiPriority w:val="34"/>
    <w:qFormat/>
    <w:rsid w:val="009014A7"/>
    <w:pPr>
      <w:spacing w:before="0" w:after="160" w:line="259" w:lineRule="auto"/>
      <w:ind w:left="720"/>
      <w:contextualSpacing/>
      <w:jc w:val="left"/>
    </w:pPr>
    <w:rPr>
      <w:rFonts w:asciiTheme="minorHAnsi" w:eastAsiaTheme="minorHAnsi" w:hAnsiTheme="minorHAnsi" w:cstheme="minorBidi"/>
      <w:kern w:val="2"/>
      <w:lang w:eastAsia="en-US"/>
    </w:rPr>
  </w:style>
  <w:style w:type="paragraph" w:styleId="HTMLPreformatted">
    <w:name w:val="HTML Preformatted"/>
    <w:basedOn w:val="Normal"/>
    <w:link w:val="HTMLPreformattedChar"/>
    <w:uiPriority w:val="99"/>
    <w:semiHidden/>
    <w:unhideWhenUsed/>
    <w:rsid w:val="00B825D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25D9"/>
    <w:rPr>
      <w:rFonts w:ascii="Consolas" w:hAnsi="Consolas"/>
    </w:rPr>
  </w:style>
  <w:style w:type="paragraph" w:customStyle="1" w:styleId="ds-markdown-paragraph">
    <w:name w:val="ds-markdown-paragraph"/>
    <w:basedOn w:val="Normal"/>
    <w:rsid w:val="00CB1F0D"/>
    <w:pPr>
      <w:spacing w:before="100" w:beforeAutospacing="1" w:after="100" w:afterAutospacing="1" w:line="240" w:lineRule="auto"/>
      <w:jc w:val="left"/>
    </w:pPr>
    <w:rPr>
      <w:rFonts w:ascii="Times New Roman" w:hAnsi="Times New Roman"/>
      <w:sz w:val="24"/>
      <w:szCs w:val="24"/>
      <w:lang w:val="en-US" w:eastAsia="en-US"/>
    </w:rPr>
  </w:style>
  <w:style w:type="character" w:styleId="Strong">
    <w:name w:val="Strong"/>
    <w:basedOn w:val="DefaultParagraphFont"/>
    <w:uiPriority w:val="22"/>
    <w:qFormat/>
    <w:rsid w:val="00CB1F0D"/>
    <w:rPr>
      <w:b/>
      <w:bCs/>
    </w:rPr>
  </w:style>
  <w:style w:type="character" w:styleId="Emphasis">
    <w:name w:val="Emphasis"/>
    <w:basedOn w:val="DefaultParagraphFont"/>
    <w:uiPriority w:val="20"/>
    <w:qFormat/>
    <w:rsid w:val="00CB1F0D"/>
    <w:rPr>
      <w:i/>
      <w:iCs/>
    </w:rPr>
  </w:style>
  <w:style w:type="paragraph" w:styleId="Caption">
    <w:name w:val="caption"/>
    <w:basedOn w:val="Normal"/>
    <w:next w:val="Normal"/>
    <w:uiPriority w:val="35"/>
    <w:unhideWhenUsed/>
    <w:qFormat/>
    <w:rsid w:val="001C2CFC"/>
    <w:pPr>
      <w:spacing w:before="0" w:after="200" w:line="240" w:lineRule="auto"/>
    </w:pPr>
    <w:rPr>
      <w:i/>
      <w:iCs/>
      <w:color w:val="1F497D" w:themeColor="text2"/>
      <w:sz w:val="18"/>
      <w:szCs w:val="18"/>
    </w:rPr>
  </w:style>
  <w:style w:type="table" w:styleId="TableGrid">
    <w:name w:val="Table Grid"/>
    <w:basedOn w:val="TableNormal"/>
    <w:uiPriority w:val="59"/>
    <w:rsid w:val="00D673B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52966">
      <w:bodyDiv w:val="1"/>
      <w:marLeft w:val="0"/>
      <w:marRight w:val="0"/>
      <w:marTop w:val="0"/>
      <w:marBottom w:val="0"/>
      <w:divBdr>
        <w:top w:val="none" w:sz="0" w:space="0" w:color="auto"/>
        <w:left w:val="none" w:sz="0" w:space="0" w:color="auto"/>
        <w:bottom w:val="none" w:sz="0" w:space="0" w:color="auto"/>
        <w:right w:val="none" w:sz="0" w:space="0" w:color="auto"/>
      </w:divBdr>
    </w:div>
    <w:div w:id="176773940">
      <w:bodyDiv w:val="1"/>
      <w:marLeft w:val="0"/>
      <w:marRight w:val="0"/>
      <w:marTop w:val="0"/>
      <w:marBottom w:val="0"/>
      <w:divBdr>
        <w:top w:val="none" w:sz="0" w:space="0" w:color="auto"/>
        <w:left w:val="none" w:sz="0" w:space="0" w:color="auto"/>
        <w:bottom w:val="none" w:sz="0" w:space="0" w:color="auto"/>
        <w:right w:val="none" w:sz="0" w:space="0" w:color="auto"/>
      </w:divBdr>
    </w:div>
    <w:div w:id="256792152">
      <w:bodyDiv w:val="1"/>
      <w:marLeft w:val="0"/>
      <w:marRight w:val="0"/>
      <w:marTop w:val="0"/>
      <w:marBottom w:val="0"/>
      <w:divBdr>
        <w:top w:val="none" w:sz="0" w:space="0" w:color="auto"/>
        <w:left w:val="none" w:sz="0" w:space="0" w:color="auto"/>
        <w:bottom w:val="none" w:sz="0" w:space="0" w:color="auto"/>
        <w:right w:val="none" w:sz="0" w:space="0" w:color="auto"/>
      </w:divBdr>
    </w:div>
    <w:div w:id="256865227">
      <w:bodyDiv w:val="1"/>
      <w:marLeft w:val="0"/>
      <w:marRight w:val="0"/>
      <w:marTop w:val="0"/>
      <w:marBottom w:val="0"/>
      <w:divBdr>
        <w:top w:val="none" w:sz="0" w:space="0" w:color="auto"/>
        <w:left w:val="none" w:sz="0" w:space="0" w:color="auto"/>
        <w:bottom w:val="none" w:sz="0" w:space="0" w:color="auto"/>
        <w:right w:val="none" w:sz="0" w:space="0" w:color="auto"/>
      </w:divBdr>
    </w:div>
    <w:div w:id="401490675">
      <w:bodyDiv w:val="1"/>
      <w:marLeft w:val="0"/>
      <w:marRight w:val="0"/>
      <w:marTop w:val="0"/>
      <w:marBottom w:val="0"/>
      <w:divBdr>
        <w:top w:val="none" w:sz="0" w:space="0" w:color="auto"/>
        <w:left w:val="none" w:sz="0" w:space="0" w:color="auto"/>
        <w:bottom w:val="none" w:sz="0" w:space="0" w:color="auto"/>
        <w:right w:val="none" w:sz="0" w:space="0" w:color="auto"/>
      </w:divBdr>
    </w:div>
    <w:div w:id="422454709">
      <w:bodyDiv w:val="1"/>
      <w:marLeft w:val="0"/>
      <w:marRight w:val="0"/>
      <w:marTop w:val="0"/>
      <w:marBottom w:val="0"/>
      <w:divBdr>
        <w:top w:val="none" w:sz="0" w:space="0" w:color="auto"/>
        <w:left w:val="none" w:sz="0" w:space="0" w:color="auto"/>
        <w:bottom w:val="none" w:sz="0" w:space="0" w:color="auto"/>
        <w:right w:val="none" w:sz="0" w:space="0" w:color="auto"/>
      </w:divBdr>
    </w:div>
    <w:div w:id="577791361">
      <w:bodyDiv w:val="1"/>
      <w:marLeft w:val="0"/>
      <w:marRight w:val="0"/>
      <w:marTop w:val="0"/>
      <w:marBottom w:val="0"/>
      <w:divBdr>
        <w:top w:val="none" w:sz="0" w:space="0" w:color="auto"/>
        <w:left w:val="none" w:sz="0" w:space="0" w:color="auto"/>
        <w:bottom w:val="none" w:sz="0" w:space="0" w:color="auto"/>
        <w:right w:val="none" w:sz="0" w:space="0" w:color="auto"/>
      </w:divBdr>
    </w:div>
    <w:div w:id="633751879">
      <w:bodyDiv w:val="1"/>
      <w:marLeft w:val="0"/>
      <w:marRight w:val="0"/>
      <w:marTop w:val="0"/>
      <w:marBottom w:val="0"/>
      <w:divBdr>
        <w:top w:val="none" w:sz="0" w:space="0" w:color="auto"/>
        <w:left w:val="none" w:sz="0" w:space="0" w:color="auto"/>
        <w:bottom w:val="none" w:sz="0" w:space="0" w:color="auto"/>
        <w:right w:val="none" w:sz="0" w:space="0" w:color="auto"/>
      </w:divBdr>
    </w:div>
    <w:div w:id="696202558">
      <w:bodyDiv w:val="1"/>
      <w:marLeft w:val="0"/>
      <w:marRight w:val="0"/>
      <w:marTop w:val="0"/>
      <w:marBottom w:val="0"/>
      <w:divBdr>
        <w:top w:val="none" w:sz="0" w:space="0" w:color="auto"/>
        <w:left w:val="none" w:sz="0" w:space="0" w:color="auto"/>
        <w:bottom w:val="none" w:sz="0" w:space="0" w:color="auto"/>
        <w:right w:val="none" w:sz="0" w:space="0" w:color="auto"/>
      </w:divBdr>
    </w:div>
    <w:div w:id="710300019">
      <w:bodyDiv w:val="1"/>
      <w:marLeft w:val="0"/>
      <w:marRight w:val="0"/>
      <w:marTop w:val="0"/>
      <w:marBottom w:val="0"/>
      <w:divBdr>
        <w:top w:val="none" w:sz="0" w:space="0" w:color="auto"/>
        <w:left w:val="none" w:sz="0" w:space="0" w:color="auto"/>
        <w:bottom w:val="none" w:sz="0" w:space="0" w:color="auto"/>
        <w:right w:val="none" w:sz="0" w:space="0" w:color="auto"/>
      </w:divBdr>
    </w:div>
    <w:div w:id="759453600">
      <w:bodyDiv w:val="1"/>
      <w:marLeft w:val="0"/>
      <w:marRight w:val="0"/>
      <w:marTop w:val="0"/>
      <w:marBottom w:val="0"/>
      <w:divBdr>
        <w:top w:val="none" w:sz="0" w:space="0" w:color="auto"/>
        <w:left w:val="none" w:sz="0" w:space="0" w:color="auto"/>
        <w:bottom w:val="none" w:sz="0" w:space="0" w:color="auto"/>
        <w:right w:val="none" w:sz="0" w:space="0" w:color="auto"/>
      </w:divBdr>
    </w:div>
    <w:div w:id="856770872">
      <w:bodyDiv w:val="1"/>
      <w:marLeft w:val="0"/>
      <w:marRight w:val="0"/>
      <w:marTop w:val="0"/>
      <w:marBottom w:val="0"/>
      <w:divBdr>
        <w:top w:val="none" w:sz="0" w:space="0" w:color="auto"/>
        <w:left w:val="none" w:sz="0" w:space="0" w:color="auto"/>
        <w:bottom w:val="none" w:sz="0" w:space="0" w:color="auto"/>
        <w:right w:val="none" w:sz="0" w:space="0" w:color="auto"/>
      </w:divBdr>
    </w:div>
    <w:div w:id="915555448">
      <w:bodyDiv w:val="1"/>
      <w:marLeft w:val="0"/>
      <w:marRight w:val="0"/>
      <w:marTop w:val="0"/>
      <w:marBottom w:val="0"/>
      <w:divBdr>
        <w:top w:val="none" w:sz="0" w:space="0" w:color="auto"/>
        <w:left w:val="none" w:sz="0" w:space="0" w:color="auto"/>
        <w:bottom w:val="none" w:sz="0" w:space="0" w:color="auto"/>
        <w:right w:val="none" w:sz="0" w:space="0" w:color="auto"/>
      </w:divBdr>
    </w:div>
    <w:div w:id="1004750376">
      <w:bodyDiv w:val="1"/>
      <w:marLeft w:val="0"/>
      <w:marRight w:val="0"/>
      <w:marTop w:val="0"/>
      <w:marBottom w:val="0"/>
      <w:divBdr>
        <w:top w:val="none" w:sz="0" w:space="0" w:color="auto"/>
        <w:left w:val="none" w:sz="0" w:space="0" w:color="auto"/>
        <w:bottom w:val="none" w:sz="0" w:space="0" w:color="auto"/>
        <w:right w:val="none" w:sz="0" w:space="0" w:color="auto"/>
      </w:divBdr>
    </w:div>
    <w:div w:id="1126048937">
      <w:bodyDiv w:val="1"/>
      <w:marLeft w:val="0"/>
      <w:marRight w:val="0"/>
      <w:marTop w:val="0"/>
      <w:marBottom w:val="0"/>
      <w:divBdr>
        <w:top w:val="none" w:sz="0" w:space="0" w:color="auto"/>
        <w:left w:val="none" w:sz="0" w:space="0" w:color="auto"/>
        <w:bottom w:val="none" w:sz="0" w:space="0" w:color="auto"/>
        <w:right w:val="none" w:sz="0" w:space="0" w:color="auto"/>
      </w:divBdr>
    </w:div>
    <w:div w:id="1239099212">
      <w:bodyDiv w:val="1"/>
      <w:marLeft w:val="0"/>
      <w:marRight w:val="0"/>
      <w:marTop w:val="0"/>
      <w:marBottom w:val="0"/>
      <w:divBdr>
        <w:top w:val="none" w:sz="0" w:space="0" w:color="auto"/>
        <w:left w:val="none" w:sz="0" w:space="0" w:color="auto"/>
        <w:bottom w:val="none" w:sz="0" w:space="0" w:color="auto"/>
        <w:right w:val="none" w:sz="0" w:space="0" w:color="auto"/>
      </w:divBdr>
    </w:div>
    <w:div w:id="1284775985">
      <w:bodyDiv w:val="1"/>
      <w:marLeft w:val="0"/>
      <w:marRight w:val="0"/>
      <w:marTop w:val="0"/>
      <w:marBottom w:val="0"/>
      <w:divBdr>
        <w:top w:val="none" w:sz="0" w:space="0" w:color="auto"/>
        <w:left w:val="none" w:sz="0" w:space="0" w:color="auto"/>
        <w:bottom w:val="none" w:sz="0" w:space="0" w:color="auto"/>
        <w:right w:val="none" w:sz="0" w:space="0" w:color="auto"/>
      </w:divBdr>
    </w:div>
    <w:div w:id="1335304659">
      <w:bodyDiv w:val="1"/>
      <w:marLeft w:val="0"/>
      <w:marRight w:val="0"/>
      <w:marTop w:val="0"/>
      <w:marBottom w:val="0"/>
      <w:divBdr>
        <w:top w:val="none" w:sz="0" w:space="0" w:color="auto"/>
        <w:left w:val="none" w:sz="0" w:space="0" w:color="auto"/>
        <w:bottom w:val="none" w:sz="0" w:space="0" w:color="auto"/>
        <w:right w:val="none" w:sz="0" w:space="0" w:color="auto"/>
      </w:divBdr>
    </w:div>
    <w:div w:id="1431850698">
      <w:bodyDiv w:val="1"/>
      <w:marLeft w:val="0"/>
      <w:marRight w:val="0"/>
      <w:marTop w:val="0"/>
      <w:marBottom w:val="0"/>
      <w:divBdr>
        <w:top w:val="none" w:sz="0" w:space="0" w:color="auto"/>
        <w:left w:val="none" w:sz="0" w:space="0" w:color="auto"/>
        <w:bottom w:val="none" w:sz="0" w:space="0" w:color="auto"/>
        <w:right w:val="none" w:sz="0" w:space="0" w:color="auto"/>
      </w:divBdr>
    </w:div>
    <w:div w:id="1461609455">
      <w:bodyDiv w:val="1"/>
      <w:marLeft w:val="0"/>
      <w:marRight w:val="0"/>
      <w:marTop w:val="0"/>
      <w:marBottom w:val="0"/>
      <w:divBdr>
        <w:top w:val="none" w:sz="0" w:space="0" w:color="auto"/>
        <w:left w:val="none" w:sz="0" w:space="0" w:color="auto"/>
        <w:bottom w:val="none" w:sz="0" w:space="0" w:color="auto"/>
        <w:right w:val="none" w:sz="0" w:space="0" w:color="auto"/>
      </w:divBdr>
    </w:div>
    <w:div w:id="1463226689">
      <w:bodyDiv w:val="1"/>
      <w:marLeft w:val="0"/>
      <w:marRight w:val="0"/>
      <w:marTop w:val="0"/>
      <w:marBottom w:val="0"/>
      <w:divBdr>
        <w:top w:val="none" w:sz="0" w:space="0" w:color="auto"/>
        <w:left w:val="none" w:sz="0" w:space="0" w:color="auto"/>
        <w:bottom w:val="none" w:sz="0" w:space="0" w:color="auto"/>
        <w:right w:val="none" w:sz="0" w:space="0" w:color="auto"/>
      </w:divBdr>
    </w:div>
    <w:div w:id="1470047493">
      <w:bodyDiv w:val="1"/>
      <w:marLeft w:val="0"/>
      <w:marRight w:val="0"/>
      <w:marTop w:val="0"/>
      <w:marBottom w:val="0"/>
      <w:divBdr>
        <w:top w:val="none" w:sz="0" w:space="0" w:color="auto"/>
        <w:left w:val="none" w:sz="0" w:space="0" w:color="auto"/>
        <w:bottom w:val="none" w:sz="0" w:space="0" w:color="auto"/>
        <w:right w:val="none" w:sz="0" w:space="0" w:color="auto"/>
      </w:divBdr>
    </w:div>
    <w:div w:id="1588077910">
      <w:bodyDiv w:val="1"/>
      <w:marLeft w:val="0"/>
      <w:marRight w:val="0"/>
      <w:marTop w:val="0"/>
      <w:marBottom w:val="0"/>
      <w:divBdr>
        <w:top w:val="none" w:sz="0" w:space="0" w:color="auto"/>
        <w:left w:val="none" w:sz="0" w:space="0" w:color="auto"/>
        <w:bottom w:val="none" w:sz="0" w:space="0" w:color="auto"/>
        <w:right w:val="none" w:sz="0" w:space="0" w:color="auto"/>
      </w:divBdr>
    </w:div>
    <w:div w:id="1660034196">
      <w:bodyDiv w:val="1"/>
      <w:marLeft w:val="0"/>
      <w:marRight w:val="0"/>
      <w:marTop w:val="0"/>
      <w:marBottom w:val="0"/>
      <w:divBdr>
        <w:top w:val="none" w:sz="0" w:space="0" w:color="auto"/>
        <w:left w:val="none" w:sz="0" w:space="0" w:color="auto"/>
        <w:bottom w:val="none" w:sz="0" w:space="0" w:color="auto"/>
        <w:right w:val="none" w:sz="0" w:space="0" w:color="auto"/>
      </w:divBdr>
    </w:div>
    <w:div w:id="1739863432">
      <w:bodyDiv w:val="1"/>
      <w:marLeft w:val="0"/>
      <w:marRight w:val="0"/>
      <w:marTop w:val="0"/>
      <w:marBottom w:val="0"/>
      <w:divBdr>
        <w:top w:val="none" w:sz="0" w:space="0" w:color="auto"/>
        <w:left w:val="none" w:sz="0" w:space="0" w:color="auto"/>
        <w:bottom w:val="none" w:sz="0" w:space="0" w:color="auto"/>
        <w:right w:val="none" w:sz="0" w:space="0" w:color="auto"/>
      </w:divBdr>
    </w:div>
    <w:div w:id="1759136110">
      <w:bodyDiv w:val="1"/>
      <w:marLeft w:val="0"/>
      <w:marRight w:val="0"/>
      <w:marTop w:val="0"/>
      <w:marBottom w:val="0"/>
      <w:divBdr>
        <w:top w:val="none" w:sz="0" w:space="0" w:color="auto"/>
        <w:left w:val="none" w:sz="0" w:space="0" w:color="auto"/>
        <w:bottom w:val="none" w:sz="0" w:space="0" w:color="auto"/>
        <w:right w:val="none" w:sz="0" w:space="0" w:color="auto"/>
      </w:divBdr>
    </w:div>
    <w:div w:id="1766464091">
      <w:bodyDiv w:val="1"/>
      <w:marLeft w:val="0"/>
      <w:marRight w:val="0"/>
      <w:marTop w:val="0"/>
      <w:marBottom w:val="0"/>
      <w:divBdr>
        <w:top w:val="none" w:sz="0" w:space="0" w:color="auto"/>
        <w:left w:val="none" w:sz="0" w:space="0" w:color="auto"/>
        <w:bottom w:val="none" w:sz="0" w:space="0" w:color="auto"/>
        <w:right w:val="none" w:sz="0" w:space="0" w:color="auto"/>
      </w:divBdr>
    </w:div>
    <w:div w:id="1777360188">
      <w:bodyDiv w:val="1"/>
      <w:marLeft w:val="0"/>
      <w:marRight w:val="0"/>
      <w:marTop w:val="0"/>
      <w:marBottom w:val="0"/>
      <w:divBdr>
        <w:top w:val="none" w:sz="0" w:space="0" w:color="auto"/>
        <w:left w:val="none" w:sz="0" w:space="0" w:color="auto"/>
        <w:bottom w:val="none" w:sz="0" w:space="0" w:color="auto"/>
        <w:right w:val="none" w:sz="0" w:space="0" w:color="auto"/>
      </w:divBdr>
    </w:div>
    <w:div w:id="1906646232">
      <w:bodyDiv w:val="1"/>
      <w:marLeft w:val="0"/>
      <w:marRight w:val="0"/>
      <w:marTop w:val="0"/>
      <w:marBottom w:val="0"/>
      <w:divBdr>
        <w:top w:val="none" w:sz="0" w:space="0" w:color="auto"/>
        <w:left w:val="none" w:sz="0" w:space="0" w:color="auto"/>
        <w:bottom w:val="none" w:sz="0" w:space="0" w:color="auto"/>
        <w:right w:val="none" w:sz="0" w:space="0" w:color="auto"/>
      </w:divBdr>
    </w:div>
    <w:div w:id="1989288666">
      <w:bodyDiv w:val="1"/>
      <w:marLeft w:val="0"/>
      <w:marRight w:val="0"/>
      <w:marTop w:val="0"/>
      <w:marBottom w:val="0"/>
      <w:divBdr>
        <w:top w:val="none" w:sz="0" w:space="0" w:color="auto"/>
        <w:left w:val="none" w:sz="0" w:space="0" w:color="auto"/>
        <w:bottom w:val="none" w:sz="0" w:space="0" w:color="auto"/>
        <w:right w:val="none" w:sz="0" w:space="0" w:color="auto"/>
      </w:divBdr>
    </w:div>
    <w:div w:id="2075081330">
      <w:bodyDiv w:val="1"/>
      <w:marLeft w:val="0"/>
      <w:marRight w:val="0"/>
      <w:marTop w:val="0"/>
      <w:marBottom w:val="0"/>
      <w:divBdr>
        <w:top w:val="none" w:sz="0" w:space="0" w:color="auto"/>
        <w:left w:val="none" w:sz="0" w:space="0" w:color="auto"/>
        <w:bottom w:val="none" w:sz="0" w:space="0" w:color="auto"/>
        <w:right w:val="none" w:sz="0" w:space="0" w:color="auto"/>
      </w:divBdr>
    </w:div>
    <w:div w:id="211428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lencia@uclv.edu.cu" TargetMode="Externa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mailto:rosenda.arencibia@ufu.br"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miguel@uclv.c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hyperlink" Target="mailto:acruz@uclv.edu.c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evperez@uclv.cu" TargetMode="Externa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Tesis\Combencion\Evento%20trabajo.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Tesis\Combencion\New%20Microsoft%20Excel%20Workshee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Tesis\Combencion\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ZAT</a:t>
            </a:r>
            <a:r>
              <a:rPr lang="en-US" sz="1200" baseline="0">
                <a:latin typeface="Arial" panose="020B0604020202020204" pitchFamily="34" charset="0"/>
                <a:cs typeface="Arial" panose="020B0604020202020204" pitchFamily="34" charset="0"/>
              </a:rPr>
              <a:t> con E=1.5 kJ/mm</a:t>
            </a:r>
            <a:endParaRPr lang="en-US" sz="1200">
              <a:latin typeface="Arial" panose="020B0604020202020204" pitchFamily="34" charset="0"/>
              <a:cs typeface="Arial" panose="020B0604020202020204" pitchFamily="34" charset="0"/>
            </a:endParaRPr>
          </a:p>
        </c:rich>
      </c:tx>
      <c:layout>
        <c:manualLayout>
          <c:xMode val="edge"/>
          <c:yMode val="edge"/>
          <c:x val="0.22437358764453855"/>
          <c:y val="3.3472803347280332E-2"/>
        </c:manualLayout>
      </c:layout>
      <c:overlay val="0"/>
      <c:spPr>
        <a:noFill/>
        <a:ln>
          <a:noFill/>
        </a:ln>
        <a:effectLst/>
      </c:spPr>
    </c:title>
    <c:autoTitleDeleted val="0"/>
    <c:plotArea>
      <c:layout>
        <c:manualLayout>
          <c:layoutTarget val="inner"/>
          <c:xMode val="edge"/>
          <c:yMode val="edge"/>
          <c:x val="0.15894152912733808"/>
          <c:y val="0.18712134060165558"/>
          <c:w val="0.80134728201467753"/>
          <c:h val="0.63640500706642444"/>
        </c:manualLayout>
      </c:layout>
      <c:barChart>
        <c:barDir val="col"/>
        <c:grouping val="clustered"/>
        <c:varyColors val="0"/>
        <c:ser>
          <c:idx val="0"/>
          <c:order val="0"/>
          <c:tx>
            <c:v>ImageJ-Fiji</c:v>
          </c:tx>
          <c:spPr>
            <a:solidFill>
              <a:schemeClr val="accent1"/>
            </a:solidFill>
            <a:ln>
              <a:noFill/>
            </a:ln>
            <a:effectLst/>
          </c:spPr>
          <c:invertIfNegative val="0"/>
          <c:dLbls>
            <c:spPr>
              <a:noFill/>
              <a:ln>
                <a:noFill/>
              </a:ln>
              <a:effectLst/>
            </c:spPr>
            <c:txPr>
              <a:bodyPr rot="0" spcFirstLastPara="1" vertOverflow="ellipsis" wrap="square" lIns="0" tIns="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Sheet1!$B$11:$B$13</c:f>
              <c:strCache>
                <c:ptCount val="3"/>
                <c:pt idx="0">
                  <c:v>GBA</c:v>
                </c:pt>
                <c:pt idx="1">
                  <c:v>IGA</c:v>
                </c:pt>
                <c:pt idx="2">
                  <c:v>WA</c:v>
                </c:pt>
              </c:strCache>
            </c:strRef>
          </c:cat>
          <c:val>
            <c:numRef>
              <c:f>Sheet1!$D$11:$D$13</c:f>
              <c:numCache>
                <c:formatCode>General</c:formatCode>
                <c:ptCount val="3"/>
                <c:pt idx="0">
                  <c:v>9.77</c:v>
                </c:pt>
                <c:pt idx="1">
                  <c:v>4.6900000000000004</c:v>
                </c:pt>
                <c:pt idx="2">
                  <c:v>3.04</c:v>
                </c:pt>
              </c:numCache>
            </c:numRef>
          </c:val>
          <c:extLst>
            <c:ext xmlns:c16="http://schemas.microsoft.com/office/drawing/2014/chart" uri="{C3380CC4-5D6E-409C-BE32-E72D297353CC}">
              <c16:uniqueId val="{00000000-111F-46DD-98BA-9FC2D59C1C90}"/>
            </c:ext>
          </c:extLst>
        </c:ser>
        <c:ser>
          <c:idx val="1"/>
          <c:order val="1"/>
          <c:tx>
            <c:v>Python/OpenVC</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Sheet1!$B$11:$B$13</c:f>
              <c:strCache>
                <c:ptCount val="3"/>
                <c:pt idx="0">
                  <c:v>GBA</c:v>
                </c:pt>
                <c:pt idx="1">
                  <c:v>IGA</c:v>
                </c:pt>
                <c:pt idx="2">
                  <c:v>WA</c:v>
                </c:pt>
              </c:strCache>
            </c:strRef>
          </c:cat>
          <c:val>
            <c:numRef>
              <c:f>Sheet1!$F$11:$F$13</c:f>
              <c:numCache>
                <c:formatCode>General</c:formatCode>
                <c:ptCount val="3"/>
                <c:pt idx="0">
                  <c:v>13.29</c:v>
                </c:pt>
                <c:pt idx="1">
                  <c:v>5.32</c:v>
                </c:pt>
                <c:pt idx="2">
                  <c:v>4.5599999999999996</c:v>
                </c:pt>
              </c:numCache>
            </c:numRef>
          </c:val>
          <c:extLst>
            <c:ext xmlns:c16="http://schemas.microsoft.com/office/drawing/2014/chart" uri="{C3380CC4-5D6E-409C-BE32-E72D297353CC}">
              <c16:uniqueId val="{00000001-111F-46DD-98BA-9FC2D59C1C90}"/>
            </c:ext>
          </c:extLst>
        </c:ser>
        <c:dLbls>
          <c:dLblPos val="outEnd"/>
          <c:showLegendKey val="0"/>
          <c:showVal val="1"/>
          <c:showCatName val="0"/>
          <c:showSerName val="0"/>
          <c:showPercent val="0"/>
          <c:showBubbleSize val="0"/>
        </c:dLbls>
        <c:gapWidth val="15"/>
        <c:overlap val="-15"/>
        <c:axId val="505769064"/>
        <c:axId val="505770144"/>
      </c:barChart>
      <c:catAx>
        <c:axId val="505769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Morfologias de austenita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0144"/>
        <c:crosses val="autoZero"/>
        <c:auto val="1"/>
        <c:lblAlgn val="ctr"/>
        <c:lblOffset val="100"/>
        <c:noMultiLvlLbl val="0"/>
      </c:catAx>
      <c:valAx>
        <c:axId val="505770144"/>
        <c:scaling>
          <c:orientation val="minMax"/>
        </c:scaling>
        <c:delete val="0"/>
        <c:axPos val="l"/>
        <c:majorGridlines>
          <c:spPr>
            <a:ln w="9525" cap="flat" cmpd="dbl"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Fraccion de area en %</a:t>
                </a:r>
              </a:p>
            </c:rich>
          </c:tx>
          <c:layout>
            <c:manualLayout>
              <c:xMode val="edge"/>
              <c:yMode val="edge"/>
              <c:x val="2.1791239921551537E-2"/>
              <c:y val="0.2747585631293996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9064"/>
        <c:crosses val="autoZero"/>
        <c:crossBetween val="between"/>
      </c:valAx>
      <c:spPr>
        <a:noFill/>
        <a:ln>
          <a:noFill/>
        </a:ln>
        <a:effectLst/>
      </c:spPr>
    </c:plotArea>
    <c:legend>
      <c:legendPos val="r"/>
      <c:layout>
        <c:manualLayout>
          <c:xMode val="edge"/>
          <c:yMode val="edge"/>
          <c:x val="0.55639452782501109"/>
          <c:y val="0.19889077326872603"/>
          <c:w val="0.33067468767319319"/>
          <c:h val="0.239933230103559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ZAT</a:t>
            </a:r>
            <a:r>
              <a:rPr lang="en-US" sz="1200" baseline="0">
                <a:latin typeface="Arial" panose="020B0604020202020204" pitchFamily="34" charset="0"/>
                <a:cs typeface="Arial" panose="020B0604020202020204" pitchFamily="34" charset="0"/>
              </a:rPr>
              <a:t> con E=2.5 kJ/mm</a:t>
            </a:r>
            <a:endParaRPr lang="en-US" sz="1200">
              <a:latin typeface="Arial" panose="020B0604020202020204" pitchFamily="34" charset="0"/>
              <a:cs typeface="Arial" panose="020B0604020202020204" pitchFamily="34" charset="0"/>
            </a:endParaRPr>
          </a:p>
        </c:rich>
      </c:tx>
      <c:layout>
        <c:manualLayout>
          <c:xMode val="edge"/>
          <c:yMode val="edge"/>
          <c:x val="0.22437358764453855"/>
          <c:y val="3.34728033472803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94152912733808"/>
          <c:y val="0.18712134060165558"/>
          <c:w val="0.80134728201467753"/>
          <c:h val="0.63640500706642444"/>
        </c:manualLayout>
      </c:layout>
      <c:barChart>
        <c:barDir val="col"/>
        <c:grouping val="clustered"/>
        <c:varyColors val="0"/>
        <c:ser>
          <c:idx val="0"/>
          <c:order val="0"/>
          <c:tx>
            <c:v>ImageJ-Fiji</c:v>
          </c:tx>
          <c:spPr>
            <a:solidFill>
              <a:schemeClr val="accent1"/>
            </a:solidFill>
            <a:ln>
              <a:noFill/>
            </a:ln>
            <a:effectLst/>
          </c:spPr>
          <c:invertIfNegative val="0"/>
          <c:dLbls>
            <c:spPr>
              <a:noFill/>
              <a:ln>
                <a:noFill/>
              </a:ln>
              <a:effectLst/>
            </c:spPr>
            <c:txPr>
              <a:bodyPr rot="0" spcFirstLastPara="1" vertOverflow="ellipsis" horzOverflow="clip" vert="horz" wrap="square" lIns="0" tIns="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'[New Microsoft Excel Worksheet.xlsx]Sheet1'!$B$11:$B$13</c:f>
              <c:strCache>
                <c:ptCount val="3"/>
                <c:pt idx="0">
                  <c:v>GBA</c:v>
                </c:pt>
                <c:pt idx="1">
                  <c:v>IGA</c:v>
                </c:pt>
                <c:pt idx="2">
                  <c:v>WA</c:v>
                </c:pt>
              </c:strCache>
            </c:strRef>
          </c:cat>
          <c:val>
            <c:numRef>
              <c:f>'[New Microsoft Excel Worksheet.xlsx]Sheet1'!$L$11:$L$13</c:f>
              <c:numCache>
                <c:formatCode>General</c:formatCode>
                <c:ptCount val="3"/>
                <c:pt idx="0">
                  <c:v>7.78</c:v>
                </c:pt>
                <c:pt idx="1">
                  <c:v>7.84</c:v>
                </c:pt>
                <c:pt idx="2">
                  <c:v>4.1100000000000003</c:v>
                </c:pt>
              </c:numCache>
            </c:numRef>
          </c:val>
          <c:extLst>
            <c:ext xmlns:c16="http://schemas.microsoft.com/office/drawing/2014/chart" uri="{C3380CC4-5D6E-409C-BE32-E72D297353CC}">
              <c16:uniqueId val="{00000000-8255-4C96-A03A-1FB63941FB88}"/>
            </c:ext>
          </c:extLst>
        </c:ser>
        <c:ser>
          <c:idx val="1"/>
          <c:order val="1"/>
          <c:tx>
            <c:v>Python/OpenVC</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Microsoft Excel Worksheet.xlsx]Sheet1'!$B$11:$B$13</c:f>
              <c:strCache>
                <c:ptCount val="3"/>
                <c:pt idx="0">
                  <c:v>GBA</c:v>
                </c:pt>
                <c:pt idx="1">
                  <c:v>IGA</c:v>
                </c:pt>
                <c:pt idx="2">
                  <c:v>WA</c:v>
                </c:pt>
              </c:strCache>
            </c:strRef>
          </c:cat>
          <c:val>
            <c:numRef>
              <c:f>'[New Microsoft Excel Worksheet.xlsx]Sheet1'!$J$11:$J$13</c:f>
              <c:numCache>
                <c:formatCode>General</c:formatCode>
                <c:ptCount val="3"/>
                <c:pt idx="0">
                  <c:v>10.57</c:v>
                </c:pt>
                <c:pt idx="1">
                  <c:v>8.7899999999999991</c:v>
                </c:pt>
                <c:pt idx="2">
                  <c:v>5.73</c:v>
                </c:pt>
              </c:numCache>
            </c:numRef>
          </c:val>
          <c:extLst>
            <c:ext xmlns:c16="http://schemas.microsoft.com/office/drawing/2014/chart" uri="{C3380CC4-5D6E-409C-BE32-E72D297353CC}">
              <c16:uniqueId val="{00000001-8255-4C96-A03A-1FB63941FB88}"/>
            </c:ext>
          </c:extLst>
        </c:ser>
        <c:dLbls>
          <c:dLblPos val="outEnd"/>
          <c:showLegendKey val="0"/>
          <c:showVal val="1"/>
          <c:showCatName val="0"/>
          <c:showSerName val="0"/>
          <c:showPercent val="0"/>
          <c:showBubbleSize val="0"/>
        </c:dLbls>
        <c:gapWidth val="15"/>
        <c:overlap val="-15"/>
        <c:axId val="505769064"/>
        <c:axId val="505770144"/>
      </c:barChart>
      <c:catAx>
        <c:axId val="505769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Morfologias de austenita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0144"/>
        <c:crosses val="autoZero"/>
        <c:auto val="1"/>
        <c:lblAlgn val="ctr"/>
        <c:lblOffset val="100"/>
        <c:noMultiLvlLbl val="0"/>
      </c:catAx>
      <c:valAx>
        <c:axId val="505770144"/>
        <c:scaling>
          <c:orientation val="minMax"/>
        </c:scaling>
        <c:delete val="0"/>
        <c:axPos val="l"/>
        <c:majorGridlines>
          <c:spPr>
            <a:ln w="9525" cap="flat" cmpd="dbl"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Fraccion de area en %</a:t>
                </a:r>
              </a:p>
            </c:rich>
          </c:tx>
          <c:layout>
            <c:manualLayout>
              <c:xMode val="edge"/>
              <c:yMode val="edge"/>
              <c:x val="2.1791239921551537E-2"/>
              <c:y val="0.274758563129399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9064"/>
        <c:crosses val="autoZero"/>
        <c:crossBetween val="between"/>
      </c:valAx>
      <c:spPr>
        <a:noFill/>
        <a:ln>
          <a:noFill/>
        </a:ln>
        <a:effectLst/>
      </c:spPr>
    </c:plotArea>
    <c:legend>
      <c:legendPos val="r"/>
      <c:layout>
        <c:manualLayout>
          <c:xMode val="edge"/>
          <c:yMode val="edge"/>
          <c:x val="0.66099247944845863"/>
          <c:y val="0.11683949121744397"/>
          <c:w val="0.33503293565750353"/>
          <c:h val="0.183523117302644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62231491BA400CA7A769FFDC67880A"/>
        <w:category>
          <w:name w:val="General"/>
          <w:gallery w:val="placeholder"/>
        </w:category>
        <w:types>
          <w:type w:val="bbPlcHdr"/>
        </w:types>
        <w:behaviors>
          <w:behavior w:val="content"/>
        </w:behaviors>
        <w:guid w:val="{2BEAA891-FB5A-4D71-9633-1C562E7C7159}"/>
      </w:docPartPr>
      <w:docPartBody>
        <w:p w:rsidR="00A54D7F" w:rsidRDefault="00000000">
          <w:pPr>
            <w:pStyle w:val="FE62231491BA400CA7A769FFDC67880A"/>
          </w:pPr>
          <w:r w:rsidRPr="005140FC">
            <w:rPr>
              <w:rStyle w:val="PlaceholderText"/>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AA"/>
    <w:rsid w:val="0006742F"/>
    <w:rsid w:val="00115F88"/>
    <w:rsid w:val="001172AA"/>
    <w:rsid w:val="00173372"/>
    <w:rsid w:val="001F4298"/>
    <w:rsid w:val="002258C1"/>
    <w:rsid w:val="0029688A"/>
    <w:rsid w:val="002E34CD"/>
    <w:rsid w:val="003F74DE"/>
    <w:rsid w:val="00410871"/>
    <w:rsid w:val="00454876"/>
    <w:rsid w:val="004E4EEA"/>
    <w:rsid w:val="004F4F93"/>
    <w:rsid w:val="005F5476"/>
    <w:rsid w:val="00604236"/>
    <w:rsid w:val="0062475C"/>
    <w:rsid w:val="0070275E"/>
    <w:rsid w:val="00711D3A"/>
    <w:rsid w:val="007C7040"/>
    <w:rsid w:val="007E181E"/>
    <w:rsid w:val="008518F9"/>
    <w:rsid w:val="00862338"/>
    <w:rsid w:val="00906167"/>
    <w:rsid w:val="009E1887"/>
    <w:rsid w:val="00A54D7F"/>
    <w:rsid w:val="00C019A2"/>
    <w:rsid w:val="00D84DAE"/>
    <w:rsid w:val="00E46894"/>
    <w:rsid w:val="00E633DF"/>
    <w:rsid w:val="00E91A19"/>
    <w:rsid w:val="00EA7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E62231491BA400CA7A769FFDC67880A">
    <w:name w:val="FE62231491BA400CA7A769FFDC6788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94812-BF2B-4A05-8BA3-98B4272ED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Evento trabajo.dotx</Template>
  <TotalTime>590</TotalTime>
  <Pages>15</Pages>
  <Words>4395</Words>
  <Characters>25058</Characters>
  <Application>Microsoft Office Word</Application>
  <DocSecurity>0</DocSecurity>
  <Lines>208</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Rev</vt:lpstr>
      <vt:lpstr>Rev</vt:lpstr>
    </vt:vector>
  </TitlesOfParts>
  <Company>UH</Company>
  <LinksUpToDate>false</LinksUpToDate>
  <CharactersWithSpaces>29395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subject/>
  <dc:creator>Administrator</dc:creator>
  <cp:keywords/>
  <dc:description/>
  <cp:lastModifiedBy>Administrator</cp:lastModifiedBy>
  <cp:revision>166</cp:revision>
  <cp:lastPrinted>2007-03-01T00:54:00Z</cp:lastPrinted>
  <dcterms:created xsi:type="dcterms:W3CDTF">2025-09-30T13:46:00Z</dcterms:created>
  <dcterms:modified xsi:type="dcterms:W3CDTF">2025-10-09T14:23:00Z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