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F78" w:rsidRDefault="007F4F78">
      <w:pPr>
        <w:rPr>
          <w:lang w:val="es-ES"/>
        </w:rPr>
      </w:pPr>
      <w:r>
        <w:rPr>
          <w:lang w:val="es-ES"/>
        </w:rPr>
        <w:t xml:space="preserve">Estudio preliminar </w:t>
      </w:r>
      <w:r>
        <w:rPr>
          <w:lang w:val="es-ES"/>
        </w:rPr>
        <w:t xml:space="preserve">de las potencialidades </w:t>
      </w:r>
      <w:r>
        <w:rPr>
          <w:lang w:val="es-ES"/>
        </w:rPr>
        <w:t>de</w:t>
      </w:r>
      <w:r w:rsidRPr="007F4F78">
        <w:rPr>
          <w:lang w:val="es-ES"/>
        </w:rPr>
        <w:t xml:space="preserve"> la </w:t>
      </w:r>
      <w:r>
        <w:rPr>
          <w:lang w:val="es-ES"/>
        </w:rPr>
        <w:t>hibridación  la energía solar–biomas  para elevar la generación de potencia en la Bioeléctrica Cubanas.</w:t>
      </w:r>
    </w:p>
    <w:p w:rsidR="004B7CCA" w:rsidRPr="004B7CCA" w:rsidRDefault="004B7CCA" w:rsidP="004B7CCA">
      <w:pPr>
        <w:spacing w:line="360" w:lineRule="atLeast"/>
        <w:rPr>
          <w:rFonts w:ascii="Segoe UI" w:eastAsia="Times New Roman" w:hAnsi="Segoe UI" w:cs="Segoe UI"/>
          <w:color w:val="212529"/>
          <w:sz w:val="24"/>
          <w:szCs w:val="24"/>
          <w:lang w:val="es-ES"/>
        </w:rPr>
      </w:pPr>
      <w:r w:rsidRPr="004B7CCA">
        <w:rPr>
          <w:rFonts w:ascii="Segoe UI" w:hAnsi="Segoe UI" w:cs="Segoe UI"/>
          <w:color w:val="212529"/>
          <w:lang w:val="es-ES"/>
        </w:rPr>
        <w:t>Idalberto</w:t>
      </w:r>
      <w:r w:rsidRPr="004B7CCA">
        <w:rPr>
          <w:rStyle w:val="apple-converted-space"/>
          <w:rFonts w:ascii="Segoe UI" w:hAnsi="Segoe UI" w:cs="Segoe UI"/>
          <w:color w:val="212529"/>
          <w:lang w:val="es-ES"/>
        </w:rPr>
        <w:t> </w:t>
      </w:r>
      <w:r w:rsidRPr="004B7CCA">
        <w:rPr>
          <w:rFonts w:ascii="Segoe UI" w:hAnsi="Segoe UI" w:cs="Segoe UI"/>
          <w:color w:val="212529"/>
          <w:lang w:val="es-ES"/>
        </w:rPr>
        <w:t>Herrera</w:t>
      </w:r>
      <w:r w:rsidRPr="004B7CCA">
        <w:rPr>
          <w:rFonts w:ascii="Segoe UI" w:hAnsi="Segoe UI" w:cs="Segoe UI"/>
          <w:color w:val="212529"/>
          <w:vertAlign w:val="superscript"/>
          <w:lang w:val="es-ES"/>
        </w:rPr>
        <w:t>1</w:t>
      </w:r>
      <w:r w:rsidRPr="004B7CCA">
        <w:rPr>
          <w:rFonts w:ascii="Segoe UI" w:hAnsi="Segoe UI" w:cs="Segoe UI"/>
          <w:color w:val="212529"/>
          <w:lang w:val="es-ES"/>
        </w:rPr>
        <w:t>, Ariam</w:t>
      </w:r>
      <w:r w:rsidRPr="004B7CCA">
        <w:rPr>
          <w:rStyle w:val="apple-converted-space"/>
          <w:rFonts w:ascii="Segoe UI" w:hAnsi="Segoe UI" w:cs="Segoe UI"/>
          <w:color w:val="212529"/>
          <w:lang w:val="es-ES"/>
        </w:rPr>
        <w:t> </w:t>
      </w:r>
      <w:r w:rsidRPr="004B7CCA">
        <w:rPr>
          <w:rFonts w:ascii="Segoe UI" w:hAnsi="Segoe UI" w:cs="Segoe UI"/>
          <w:color w:val="212529"/>
          <w:lang w:val="es-ES"/>
        </w:rPr>
        <w:t>Rojas</w:t>
      </w:r>
      <w:r w:rsidRPr="004B7CCA">
        <w:rPr>
          <w:rFonts w:ascii="Segoe UI" w:hAnsi="Segoe UI" w:cs="Segoe UI"/>
          <w:color w:val="212529"/>
          <w:vertAlign w:val="superscript"/>
          <w:lang w:val="es-ES"/>
        </w:rPr>
        <w:t>1</w:t>
      </w:r>
      <w:r w:rsidRPr="004B7CCA">
        <w:rPr>
          <w:rFonts w:ascii="Segoe UI" w:hAnsi="Segoe UI" w:cs="Segoe UI"/>
          <w:color w:val="212529"/>
          <w:lang w:val="es-ES"/>
        </w:rPr>
        <w:t>, Frank L.Villardefrancos</w:t>
      </w:r>
      <w:r w:rsidRPr="004B7CCA">
        <w:rPr>
          <w:rFonts w:ascii="Segoe UI" w:hAnsi="Segoe UI" w:cs="Segoe UI"/>
          <w:color w:val="212529"/>
          <w:vertAlign w:val="superscript"/>
          <w:lang w:val="es-ES"/>
        </w:rPr>
        <w:t>1</w:t>
      </w:r>
      <w:r w:rsidRPr="004B7CCA">
        <w:rPr>
          <w:rFonts w:ascii="Segoe UI" w:hAnsi="Segoe UI" w:cs="Segoe UI"/>
          <w:color w:val="212529"/>
          <w:lang w:val="es-ES"/>
        </w:rPr>
        <w:t xml:space="preserve">, </w:t>
      </w:r>
      <w:r w:rsidRPr="004B7CCA">
        <w:rPr>
          <w:rFonts w:ascii="Segoe UI" w:eastAsia="Times New Roman" w:hAnsi="Segoe UI" w:cs="Segoe UI"/>
          <w:color w:val="212529"/>
          <w:sz w:val="24"/>
          <w:szCs w:val="24"/>
          <w:lang w:val="es-ES"/>
        </w:rPr>
        <w:t>Anders Malmquist</w:t>
      </w:r>
      <w:r w:rsidRPr="004B7CCA">
        <w:rPr>
          <w:rFonts w:ascii="Segoe UI" w:eastAsia="Times New Roman" w:hAnsi="Segoe UI" w:cs="Segoe UI"/>
          <w:color w:val="212529"/>
          <w:sz w:val="24"/>
          <w:szCs w:val="24"/>
          <w:vertAlign w:val="superscript"/>
          <w:lang w:val="es-ES"/>
        </w:rPr>
        <w:t>2</w:t>
      </w:r>
      <w:r w:rsidRPr="004B7CCA">
        <w:rPr>
          <w:rFonts w:ascii="Segoe UI" w:eastAsia="Times New Roman" w:hAnsi="Segoe UI" w:cs="Segoe UI"/>
          <w:color w:val="212529"/>
          <w:sz w:val="24"/>
          <w:szCs w:val="24"/>
          <w:lang w:val="es-ES"/>
        </w:rPr>
        <w:t xml:space="preserve">, </w:t>
      </w:r>
      <w:proofErr w:type="spellStart"/>
      <w:r w:rsidRPr="004B7CCA">
        <w:rPr>
          <w:rFonts w:ascii="Segoe UI" w:hAnsi="Segoe UI" w:cs="Segoe UI"/>
          <w:color w:val="212529"/>
          <w:lang w:val="es-ES"/>
        </w:rPr>
        <w:t>Moritz</w:t>
      </w:r>
      <w:proofErr w:type="spellEnd"/>
      <w:r w:rsidRPr="004B7CCA">
        <w:rPr>
          <w:rStyle w:val="apple-converted-space"/>
          <w:rFonts w:ascii="Segoe UI" w:hAnsi="Segoe UI" w:cs="Segoe UI"/>
          <w:color w:val="212529"/>
          <w:lang w:val="es-ES"/>
        </w:rPr>
        <w:t> </w:t>
      </w:r>
      <w:r w:rsidRPr="004B7CCA">
        <w:rPr>
          <w:rFonts w:ascii="Segoe UI" w:hAnsi="Segoe UI" w:cs="Segoe UI"/>
          <w:color w:val="212529"/>
          <w:lang w:val="es-ES"/>
        </w:rPr>
        <w:t>Wegener</w:t>
      </w:r>
      <w:r w:rsidRPr="004B7CCA">
        <w:rPr>
          <w:rFonts w:ascii="Segoe UI" w:hAnsi="Segoe UI" w:cs="Segoe UI"/>
          <w:color w:val="212529"/>
          <w:vertAlign w:val="superscript"/>
          <w:lang w:val="es-ES"/>
        </w:rPr>
        <w:t>2</w:t>
      </w:r>
    </w:p>
    <w:p w:rsidR="004B7CCA" w:rsidRPr="004B7CCA" w:rsidRDefault="004B7CCA" w:rsidP="004B7CCA">
      <w:pPr>
        <w:rPr>
          <w:lang w:val="es-ES"/>
        </w:rPr>
      </w:pPr>
      <w:r w:rsidRPr="004B7CCA">
        <w:rPr>
          <w:rFonts w:ascii="Segoe UI" w:hAnsi="Segoe UI" w:cs="Segoe UI"/>
          <w:color w:val="212529"/>
          <w:vertAlign w:val="superscript"/>
          <w:lang w:val="es-ES"/>
        </w:rPr>
        <w:t>1</w:t>
      </w:r>
      <w:r w:rsidRPr="004B7CCA">
        <w:rPr>
          <w:rFonts w:ascii="Segoe UI" w:hAnsi="Segoe UI" w:cs="Segoe UI"/>
          <w:color w:val="212529"/>
          <w:lang w:val="es-ES"/>
        </w:rPr>
        <w:t>Universidad Central "Marta Abreu" de Las Villas</w:t>
      </w:r>
      <w:r w:rsidRPr="004B7CCA">
        <w:rPr>
          <w:rStyle w:val="apple-converted-space"/>
          <w:rFonts w:ascii="Segoe UI" w:hAnsi="Segoe UI" w:cs="Segoe UI"/>
          <w:color w:val="212529"/>
          <w:lang w:val="es-ES"/>
        </w:rPr>
        <w:t> </w:t>
      </w:r>
      <w:r w:rsidRPr="004B7CCA">
        <w:rPr>
          <w:rFonts w:ascii="Segoe UI" w:hAnsi="Segoe UI" w:cs="Segoe UI"/>
          <w:color w:val="212529"/>
          <w:lang w:val="es-ES"/>
        </w:rPr>
        <w:br/>
      </w:r>
      <w:proofErr w:type="spellStart"/>
      <w:r w:rsidRPr="004B7CCA">
        <w:rPr>
          <w:rFonts w:ascii="Segoe UI" w:hAnsi="Segoe UI" w:cs="Segoe UI"/>
          <w:color w:val="212529"/>
          <w:lang w:val="es-ES"/>
        </w:rPr>
        <w:t>Mechanical</w:t>
      </w:r>
      <w:proofErr w:type="spellEnd"/>
      <w:r w:rsidRPr="004B7CCA">
        <w:rPr>
          <w:rFonts w:ascii="Segoe UI" w:hAnsi="Segoe UI" w:cs="Segoe UI"/>
          <w:color w:val="212529"/>
          <w:lang w:val="es-ES"/>
        </w:rPr>
        <w:t xml:space="preserve"> and Industrial </w:t>
      </w:r>
      <w:proofErr w:type="spellStart"/>
      <w:r w:rsidRPr="004B7CCA">
        <w:rPr>
          <w:rFonts w:ascii="Segoe UI" w:hAnsi="Segoe UI" w:cs="Segoe UI"/>
          <w:color w:val="212529"/>
          <w:lang w:val="es-ES"/>
        </w:rPr>
        <w:t>Engineering</w:t>
      </w:r>
      <w:proofErr w:type="spellEnd"/>
      <w:r w:rsidRPr="004B7CCA">
        <w:rPr>
          <w:rFonts w:ascii="Segoe UI" w:hAnsi="Segoe UI" w:cs="Segoe UI"/>
          <w:color w:val="212529"/>
          <w:lang w:val="es-ES"/>
        </w:rPr>
        <w:t>/CEETA</w:t>
      </w:r>
    </w:p>
    <w:p w:rsidR="004B7CCA" w:rsidRDefault="004B7CCA" w:rsidP="004B7CCA">
      <w:r w:rsidRPr="00C6728B">
        <w:rPr>
          <w:rFonts w:ascii="Segoe UI" w:hAnsi="Segoe UI" w:cs="Segoe UI"/>
          <w:color w:val="212529"/>
          <w:vertAlign w:val="superscript"/>
        </w:rPr>
        <w:t>2</w:t>
      </w:r>
      <w:r>
        <w:rPr>
          <w:rFonts w:ascii="Segoe UI" w:hAnsi="Segoe UI" w:cs="Segoe UI"/>
          <w:color w:val="212529"/>
        </w:rPr>
        <w:t>Royal Institute of Technology in Stockholm</w:t>
      </w:r>
      <w:r>
        <w:rPr>
          <w:rStyle w:val="apple-converted-space"/>
          <w:rFonts w:ascii="Segoe UI" w:hAnsi="Segoe UI" w:cs="Segoe UI"/>
          <w:color w:val="212529"/>
        </w:rPr>
        <w:t> </w:t>
      </w:r>
      <w:r>
        <w:rPr>
          <w:rFonts w:ascii="Segoe UI" w:hAnsi="Segoe UI" w:cs="Segoe UI"/>
          <w:color w:val="212529"/>
        </w:rPr>
        <w:br/>
        <w:t>Department for Energy Technology</w:t>
      </w:r>
    </w:p>
    <w:p w:rsidR="004B7CCA" w:rsidRPr="004B7CCA" w:rsidRDefault="004B7CCA">
      <w:pPr>
        <w:rPr>
          <w:b/>
        </w:rPr>
      </w:pPr>
      <w:r w:rsidRPr="00497AC4">
        <w:rPr>
          <w:b/>
          <w:lang w:val="es-ES_tradnl"/>
        </w:rPr>
        <w:t>Resumen</w:t>
      </w:r>
    </w:p>
    <w:p w:rsidR="007F4F78" w:rsidRDefault="007F4F78">
      <w:pPr>
        <w:rPr>
          <w:lang w:val="es-ES"/>
        </w:rPr>
      </w:pPr>
      <w:r w:rsidRPr="007F4F78">
        <w:rPr>
          <w:lang w:val="es-ES"/>
        </w:rPr>
        <w:t xml:space="preserve">Cuba es una isla </w:t>
      </w:r>
      <w:r w:rsidR="00764D11">
        <w:rPr>
          <w:lang w:val="es-ES"/>
        </w:rPr>
        <w:t xml:space="preserve">del mar </w:t>
      </w:r>
      <w:r w:rsidRPr="007F4F78">
        <w:rPr>
          <w:lang w:val="es-ES"/>
        </w:rPr>
        <w:t xml:space="preserve">Caribe, con una extensión de 109 886. 19 km² y una población de aproximadamente </w:t>
      </w:r>
      <w:r>
        <w:rPr>
          <w:lang w:val="es-ES"/>
        </w:rPr>
        <w:t xml:space="preserve"> once millones de habitantes</w:t>
      </w:r>
      <w:r w:rsidRPr="007F4F78">
        <w:rPr>
          <w:lang w:val="es-ES"/>
        </w:rPr>
        <w:t>, c</w:t>
      </w:r>
      <w:r>
        <w:rPr>
          <w:lang w:val="es-ES"/>
        </w:rPr>
        <w:t xml:space="preserve">uenta con </w:t>
      </w:r>
      <w:r w:rsidRPr="007F4F78">
        <w:rPr>
          <w:lang w:val="es-ES"/>
        </w:rPr>
        <w:t xml:space="preserve">servicios de </w:t>
      </w:r>
      <w:r>
        <w:rPr>
          <w:lang w:val="es-ES"/>
        </w:rPr>
        <w:t>electricidad más del</w:t>
      </w:r>
      <w:r w:rsidRPr="007F4F78">
        <w:rPr>
          <w:lang w:val="es-ES"/>
        </w:rPr>
        <w:t xml:space="preserve"> 98.2% del país. La red eléctrica nacional ti</w:t>
      </w:r>
      <w:bookmarkStart w:id="0" w:name="_GoBack"/>
      <w:bookmarkEnd w:id="0"/>
      <w:r w:rsidRPr="007F4F78">
        <w:rPr>
          <w:lang w:val="es-ES"/>
        </w:rPr>
        <w:t xml:space="preserve">ene una potencia total instalada de </w:t>
      </w:r>
      <w:r>
        <w:rPr>
          <w:lang w:val="es-ES"/>
        </w:rPr>
        <w:t>aproximadamente 7 G</w:t>
      </w:r>
      <w:r w:rsidRPr="007F4F78">
        <w:rPr>
          <w:lang w:val="es-ES"/>
        </w:rPr>
        <w:t xml:space="preserve">W, pero solo el 4.3% de la energía generada proviene de </w:t>
      </w:r>
      <w:r>
        <w:rPr>
          <w:lang w:val="es-ES"/>
        </w:rPr>
        <w:t>Fuentes de Energía Renovable (F</w:t>
      </w:r>
      <w:r w:rsidRPr="007F4F78">
        <w:rPr>
          <w:lang w:val="es-ES"/>
        </w:rPr>
        <w:t>E</w:t>
      </w:r>
      <w:r>
        <w:rPr>
          <w:lang w:val="es-ES"/>
        </w:rPr>
        <w:t>R</w:t>
      </w:r>
      <w:r w:rsidRPr="007F4F78">
        <w:rPr>
          <w:lang w:val="es-ES"/>
        </w:rPr>
        <w:t xml:space="preserve">). En este contexto, el gobierno ha lanzado una nueva política para el desarrollo de </w:t>
      </w:r>
      <w:r>
        <w:rPr>
          <w:lang w:val="es-ES"/>
        </w:rPr>
        <w:t>F</w:t>
      </w:r>
      <w:r w:rsidRPr="007F4F78">
        <w:rPr>
          <w:lang w:val="es-ES"/>
        </w:rPr>
        <w:t xml:space="preserve">ER con el fin de aumentar la participación de la </w:t>
      </w:r>
      <w:r>
        <w:rPr>
          <w:lang w:val="es-ES"/>
        </w:rPr>
        <w:t>F</w:t>
      </w:r>
      <w:r w:rsidRPr="007F4F78">
        <w:rPr>
          <w:lang w:val="es-ES"/>
        </w:rPr>
        <w:t xml:space="preserve">ER en la matriz energética cubana y reducir el costo de la energía. Se espera una contribución especial de la central de cogeneración de bagazo de caña de azúcar. Actualmente, la capacidad instalada en este sector que utiliza el esquema de cogeneración es de 470 MW, y se espera que aumente hasta 872 MW de 2018 a 2030, generando electricidad a un costo inferior a 15 USD por </w:t>
      </w:r>
      <w:proofErr w:type="spellStart"/>
      <w:r w:rsidRPr="007F4F78">
        <w:rPr>
          <w:lang w:val="es-ES"/>
        </w:rPr>
        <w:t>kWh</w:t>
      </w:r>
      <w:proofErr w:type="spellEnd"/>
      <w:r w:rsidRPr="007F4F78">
        <w:rPr>
          <w:lang w:val="es-ES"/>
        </w:rPr>
        <w:t>. Con este propósito se mejorarán 25 instalaciones</w:t>
      </w:r>
      <w:r w:rsidR="00764D11">
        <w:rPr>
          <w:lang w:val="es-ES"/>
        </w:rPr>
        <w:t xml:space="preserve"> transformándolas en</w:t>
      </w:r>
      <w:r w:rsidRPr="007F4F78">
        <w:rPr>
          <w:lang w:val="es-ES"/>
        </w:rPr>
        <w:t xml:space="preserve"> </w:t>
      </w:r>
      <w:proofErr w:type="spellStart"/>
      <w:r w:rsidRPr="007F4F78">
        <w:rPr>
          <w:lang w:val="es-ES"/>
        </w:rPr>
        <w:t>bioelectr</w:t>
      </w:r>
      <w:r w:rsidR="00764D11">
        <w:rPr>
          <w:lang w:val="es-ES"/>
        </w:rPr>
        <w:t>icas</w:t>
      </w:r>
      <w:proofErr w:type="spellEnd"/>
      <w:r w:rsidR="00764D11">
        <w:rPr>
          <w:lang w:val="es-ES"/>
        </w:rPr>
        <w:t>,</w:t>
      </w:r>
      <w:r w:rsidRPr="007F4F78">
        <w:rPr>
          <w:lang w:val="es-ES"/>
        </w:rPr>
        <w:t xml:space="preserve"> se espera </w:t>
      </w:r>
      <w:r w:rsidR="00764D11">
        <w:rPr>
          <w:lang w:val="es-ES"/>
        </w:rPr>
        <w:t xml:space="preserve">de estas plantas </w:t>
      </w:r>
      <w:r w:rsidRPr="007F4F78">
        <w:rPr>
          <w:lang w:val="es-ES"/>
        </w:rPr>
        <w:t xml:space="preserve">una generación anual de 4 300 </w:t>
      </w:r>
      <w:proofErr w:type="spellStart"/>
      <w:r w:rsidRPr="007F4F78">
        <w:rPr>
          <w:lang w:val="es-ES"/>
        </w:rPr>
        <w:t>GWh</w:t>
      </w:r>
      <w:proofErr w:type="spellEnd"/>
      <w:r w:rsidRPr="007F4F78">
        <w:rPr>
          <w:lang w:val="es-ES"/>
        </w:rPr>
        <w:t xml:space="preserve">, evitando 3,65 </w:t>
      </w:r>
      <w:proofErr w:type="spellStart"/>
      <w:r w:rsidRPr="007F4F78">
        <w:rPr>
          <w:lang w:val="es-ES"/>
        </w:rPr>
        <w:t>MMton</w:t>
      </w:r>
      <w:proofErr w:type="spellEnd"/>
      <w:r w:rsidRPr="007F4F78">
        <w:rPr>
          <w:lang w:val="es-ES"/>
        </w:rPr>
        <w:t xml:space="preserve"> CO₂ / año. Para modernizar el esquema de energía de las empresas de caña de azúcar existen muchas posibilidades técnicas, aumentar la presión de trabajo, la temperatura, usar la máxima cantidad de residuos como combustible, pero </w:t>
      </w:r>
      <w:r w:rsidR="00764D11">
        <w:rPr>
          <w:lang w:val="es-ES"/>
        </w:rPr>
        <w:t>los</w:t>
      </w:r>
      <w:r w:rsidRPr="007F4F78">
        <w:rPr>
          <w:lang w:val="es-ES"/>
        </w:rPr>
        <w:t xml:space="preserve"> aspectos económicos deben estar siempre sobre la mesa para lograr </w:t>
      </w:r>
      <w:r w:rsidR="00764D11">
        <w:rPr>
          <w:lang w:val="es-ES"/>
        </w:rPr>
        <w:t>un bajo costo</w:t>
      </w:r>
      <w:r w:rsidRPr="007F4F78">
        <w:rPr>
          <w:lang w:val="es-ES"/>
        </w:rPr>
        <w:t xml:space="preserve"> energético de forma sostenible. Uno de los problemas relacionados con la generación de energía en la industria azucarera es la estacionalidad, ya que las instalaciones deben detenerse una vez que finaliza el período de cosecha, o en algunos casos unas semanas más tarde debido a la falta de combustible (bagazo). Sin embargo, si se puede </w:t>
      </w:r>
      <w:r w:rsidR="00764D11">
        <w:rPr>
          <w:lang w:val="es-ES"/>
        </w:rPr>
        <w:t>usar</w:t>
      </w:r>
      <w:r w:rsidRPr="007F4F78">
        <w:rPr>
          <w:lang w:val="es-ES"/>
        </w:rPr>
        <w:t xml:space="preserve"> energía adicional al p</w:t>
      </w:r>
      <w:r w:rsidR="00764D11">
        <w:rPr>
          <w:lang w:val="es-ES"/>
        </w:rPr>
        <w:t>roceso en las fábricas, se pudiera</w:t>
      </w:r>
      <w:r w:rsidRPr="007F4F78">
        <w:rPr>
          <w:lang w:val="es-ES"/>
        </w:rPr>
        <w:t xml:space="preserve"> almacenar algo de bagazo, este bagazo acumulado se podría usar para hacer funcionar la planta de energía fuera del período de cosecha, mejorando los indicadores económicos del proy</w:t>
      </w:r>
      <w:r w:rsidR="00764D11">
        <w:rPr>
          <w:lang w:val="es-ES"/>
        </w:rPr>
        <w:t>ecto. En este trabajo se estudia</w:t>
      </w:r>
      <w:r w:rsidRPr="007F4F78">
        <w:rPr>
          <w:lang w:val="es-ES"/>
        </w:rPr>
        <w:t xml:space="preserve"> </w:t>
      </w:r>
      <w:r w:rsidR="00764D11">
        <w:rPr>
          <w:lang w:val="es-ES"/>
        </w:rPr>
        <w:t xml:space="preserve">preliminarmente </w:t>
      </w:r>
      <w:r w:rsidRPr="007F4F78">
        <w:rPr>
          <w:lang w:val="es-ES"/>
        </w:rPr>
        <w:t xml:space="preserve">la integración de la energía solar en una pequeña planta de cogeneración con bagazo de caña de azúcar. La capacidad </w:t>
      </w:r>
      <w:r w:rsidR="00764D11">
        <w:rPr>
          <w:lang w:val="es-ES"/>
        </w:rPr>
        <w:t>molida</w:t>
      </w:r>
      <w:r w:rsidRPr="007F4F78">
        <w:rPr>
          <w:lang w:val="es-ES"/>
        </w:rPr>
        <w:t xml:space="preserve"> es de 2300 TCD (tonelada de caña por día) y la temporada de </w:t>
      </w:r>
      <w:r w:rsidR="00764D11">
        <w:rPr>
          <w:lang w:val="es-ES"/>
        </w:rPr>
        <w:t xml:space="preserve">cosecha </w:t>
      </w:r>
      <w:r w:rsidRPr="007F4F78">
        <w:rPr>
          <w:lang w:val="es-ES"/>
        </w:rPr>
        <w:t xml:space="preserve">es desde mediados de diciembre hasta abril. Cada temporada 60 400 toneladas de bagazo están disponibles. La presión de vapor del proceso es de 2,05 </w:t>
      </w:r>
      <w:proofErr w:type="gramStart"/>
      <w:r w:rsidRPr="007F4F78">
        <w:rPr>
          <w:lang w:val="es-ES"/>
        </w:rPr>
        <w:t>bar</w:t>
      </w:r>
      <w:proofErr w:type="gramEnd"/>
      <w:r w:rsidRPr="007F4F78">
        <w:rPr>
          <w:lang w:val="es-ES"/>
        </w:rPr>
        <w:t xml:space="preserve"> (</w:t>
      </w:r>
      <w:proofErr w:type="spellStart"/>
      <w:r w:rsidRPr="007F4F78">
        <w:rPr>
          <w:lang w:val="es-ES"/>
        </w:rPr>
        <w:t>abs</w:t>
      </w:r>
      <w:proofErr w:type="spellEnd"/>
      <w:r w:rsidRPr="007F4F78">
        <w:rPr>
          <w:lang w:val="es-ES"/>
        </w:rPr>
        <w:t>.). Se estudió un campo solar parabólico para calentar el agua</w:t>
      </w:r>
      <w:r w:rsidR="00764D11" w:rsidRPr="00764D11">
        <w:rPr>
          <w:lang w:val="es-ES"/>
        </w:rPr>
        <w:t xml:space="preserve"> </w:t>
      </w:r>
      <w:r w:rsidR="00764D11" w:rsidRPr="007F4F78">
        <w:rPr>
          <w:lang w:val="es-ES"/>
        </w:rPr>
        <w:t>alimenta</w:t>
      </w:r>
      <w:r w:rsidR="00764D11">
        <w:rPr>
          <w:lang w:val="es-ES"/>
        </w:rPr>
        <w:t>ción de la caldera. Con un campo de 34 500 m</w:t>
      </w:r>
      <w:r w:rsidRPr="00764D11">
        <w:rPr>
          <w:vertAlign w:val="superscript"/>
          <w:lang w:val="es-ES"/>
        </w:rPr>
        <w:t>2</w:t>
      </w:r>
      <w:r w:rsidRPr="007F4F78">
        <w:rPr>
          <w:lang w:val="es-ES"/>
        </w:rPr>
        <w:t>, la instalación podría funcionar durante dos meses fuera del período de cosecha, con una tasa de retorno interna del 14% y un período de recuperación de 13 años y un valor presente neto de 40 255 921 USD para el proyecto de inversión . Se deben realizar estudios adicionales para mejorar los indicadores económicos.</w:t>
      </w:r>
    </w:p>
    <w:p w:rsidR="004B7CCA" w:rsidRPr="004B7CCA" w:rsidRDefault="004B7CCA">
      <w:pPr>
        <w:rPr>
          <w:b/>
          <w:lang w:val="es-ES"/>
        </w:rPr>
      </w:pPr>
      <w:r w:rsidRPr="004B7CCA">
        <w:rPr>
          <w:b/>
          <w:lang w:val="es-ES"/>
        </w:rPr>
        <w:t xml:space="preserve">Palabras </w:t>
      </w:r>
      <w:r>
        <w:rPr>
          <w:b/>
          <w:lang w:val="es-ES"/>
        </w:rPr>
        <w:t>c</w:t>
      </w:r>
      <w:r w:rsidRPr="004B7CCA">
        <w:rPr>
          <w:b/>
          <w:lang w:val="es-ES"/>
        </w:rPr>
        <w:t xml:space="preserve">lave: </w:t>
      </w:r>
      <w:r w:rsidRPr="004B7CCA">
        <w:rPr>
          <w:lang w:val="es-ES"/>
        </w:rPr>
        <w:t>Hibridación, Biomasa, Energía solar, Cogeneración</w:t>
      </w:r>
    </w:p>
    <w:sectPr w:rsidR="004B7CCA" w:rsidRPr="004B7C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F78"/>
    <w:rsid w:val="0042763E"/>
    <w:rsid w:val="00497AC4"/>
    <w:rsid w:val="004B7CCA"/>
    <w:rsid w:val="006804B2"/>
    <w:rsid w:val="00764D11"/>
    <w:rsid w:val="007F4F78"/>
    <w:rsid w:val="00985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DBC77-1F3E-48DD-A460-D993153E5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7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Idalberto Herrera Moya</dc:creator>
  <cp:keywords/>
  <dc:description/>
  <cp:lastModifiedBy>Idalberto Herrera Moya</cp:lastModifiedBy>
  <cp:revision>3</cp:revision>
  <dcterms:created xsi:type="dcterms:W3CDTF">2019-02-21T22:28:00Z</dcterms:created>
  <dcterms:modified xsi:type="dcterms:W3CDTF">2019-02-21T22:29:00Z</dcterms:modified>
</cp:coreProperties>
</file>