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83" w:rsidRDefault="00441283">
      <w:pPr>
        <w:spacing w:before="5" w:after="0" w:line="120" w:lineRule="exact"/>
        <w:rPr>
          <w:sz w:val="12"/>
          <w:szCs w:val="12"/>
        </w:rPr>
      </w:pPr>
    </w:p>
    <w:p w:rsidR="00441283" w:rsidRPr="004A1C35" w:rsidRDefault="00772047" w:rsidP="00772047">
      <w:pPr>
        <w:tabs>
          <w:tab w:val="left" w:pos="8647"/>
        </w:tabs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VII SIMPOSIO INTERNACIONAL DE QUÍMICA</w:t>
      </w:r>
    </w:p>
    <w:p w:rsidR="00441283" w:rsidRPr="004A1C35" w:rsidRDefault="00441283">
      <w:pPr>
        <w:spacing w:before="44" w:after="0" w:line="275" w:lineRule="auto"/>
        <w:ind w:left="84" w:right="1201" w:hanging="5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441283" w:rsidRPr="004A1C35" w:rsidRDefault="00441283">
      <w:pPr>
        <w:spacing w:before="5" w:after="0" w:line="120" w:lineRule="exact"/>
        <w:rPr>
          <w:sz w:val="12"/>
          <w:szCs w:val="12"/>
          <w:lang w:val="es-ES"/>
        </w:rPr>
      </w:pPr>
    </w:p>
    <w:p w:rsidR="00441283" w:rsidRPr="004A1C35" w:rsidRDefault="00EF0C1F" w:rsidP="004A1C35">
      <w:pPr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EF0C1F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Evaluación del rendimiento de metano a partir de las aguas residuales generadas en la industria del café instantáneo en régimen </w:t>
      </w:r>
      <w:proofErr w:type="gramStart"/>
      <w:r w:rsidRPr="00EF0C1F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continuo</w:t>
      </w:r>
      <w:proofErr w:type="gramEnd"/>
      <w:r w:rsidRPr="00EF0C1F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F0C1F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mesofílico</w:t>
      </w:r>
      <w:proofErr w:type="spellEnd"/>
      <w:r w:rsidRPr="00EF0C1F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con y sin incidencia de taninos</w:t>
      </w:r>
    </w:p>
    <w:p w:rsidR="00441283" w:rsidRPr="004A1C35" w:rsidRDefault="00441283">
      <w:pPr>
        <w:spacing w:before="6" w:after="0" w:line="160" w:lineRule="exact"/>
        <w:rPr>
          <w:sz w:val="16"/>
          <w:szCs w:val="16"/>
          <w:lang w:val="es-ES"/>
        </w:rPr>
      </w:pPr>
    </w:p>
    <w:p w:rsidR="00441283" w:rsidRPr="004A1C35" w:rsidRDefault="00441283">
      <w:pPr>
        <w:spacing w:after="0" w:line="200" w:lineRule="exact"/>
        <w:rPr>
          <w:sz w:val="20"/>
          <w:szCs w:val="20"/>
          <w:lang w:val="es-ES"/>
        </w:rPr>
      </w:pPr>
    </w:p>
    <w:p w:rsidR="00CA1207" w:rsidRPr="00CA1207" w:rsidRDefault="00CA1207" w:rsidP="00CA1207">
      <w:pPr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A120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Evaluation of methane yield from wastewater generated in the instant coffee industry in a </w:t>
      </w:r>
      <w:proofErr w:type="spellStart"/>
      <w:r w:rsidRPr="00CA120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mesophilic</w:t>
      </w:r>
      <w:proofErr w:type="spellEnd"/>
      <w:r w:rsidRPr="00CA120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continuous regime with and without incidence of tannins</w:t>
      </w:r>
    </w:p>
    <w:p w:rsidR="00441283" w:rsidRPr="00CA1207" w:rsidRDefault="00441283" w:rsidP="00CA1207">
      <w:pPr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441283" w:rsidRPr="00CA1207" w:rsidRDefault="00441283">
      <w:pPr>
        <w:spacing w:before="17" w:after="0" w:line="200" w:lineRule="exact"/>
        <w:rPr>
          <w:sz w:val="20"/>
          <w:szCs w:val="20"/>
        </w:rPr>
      </w:pPr>
    </w:p>
    <w:p w:rsidR="00511D50" w:rsidRDefault="00EF0C1F" w:rsidP="00772047">
      <w:pPr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Bryan Fernando </w:t>
      </w:r>
      <w:proofErr w:type="spellStart"/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Rivadeneira</w:t>
      </w:r>
      <w:proofErr w:type="spellEnd"/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Mendoza</w:t>
      </w: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1</w:t>
      </w: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, Raúl Fernando </w:t>
      </w:r>
      <w:proofErr w:type="spellStart"/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Quiñónez</w:t>
      </w:r>
      <w:proofErr w:type="spellEnd"/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Carvajal</w:t>
      </w: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1</w:t>
      </w: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, </w:t>
      </w:r>
    </w:p>
    <w:p w:rsidR="00511D50" w:rsidRDefault="00EF0C1F" w:rsidP="00772047">
      <w:pPr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Rosa Alexandra Córdova Mosquera</w:t>
      </w: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1</w:t>
      </w: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, Ileana Pereda Reyes</w:t>
      </w: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2</w:t>
      </w: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, </w:t>
      </w:r>
    </w:p>
    <w:p w:rsidR="00772047" w:rsidRPr="00772047" w:rsidRDefault="00EF0C1F" w:rsidP="00772047">
      <w:pPr>
        <w:spacing w:after="0" w:line="240" w:lineRule="auto"/>
        <w:ind w:right="12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Joan Manuel Rodríguez Díaz</w:t>
      </w: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3</w:t>
      </w:r>
      <w:r w:rsidR="00511D5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 xml:space="preserve"> </w:t>
      </w:r>
      <w:r w:rsidR="00511D5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</w:t>
      </w: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Gretel</w:t>
      </w:r>
      <w:proofErr w:type="spellEnd"/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Villanueva Ramos</w:t>
      </w:r>
      <w:r w:rsidRPr="00EF0C1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4</w:t>
      </w:r>
    </w:p>
    <w:p w:rsidR="00441283" w:rsidRPr="004A1C35" w:rsidRDefault="00441283">
      <w:pPr>
        <w:spacing w:before="5" w:after="0" w:line="140" w:lineRule="exact"/>
        <w:rPr>
          <w:sz w:val="14"/>
          <w:szCs w:val="14"/>
          <w:lang w:val="es-ES"/>
        </w:rPr>
      </w:pPr>
    </w:p>
    <w:p w:rsidR="00441283" w:rsidRPr="004A1C35" w:rsidRDefault="00441283">
      <w:pPr>
        <w:spacing w:after="0" w:line="200" w:lineRule="exact"/>
        <w:rPr>
          <w:sz w:val="20"/>
          <w:szCs w:val="20"/>
          <w:lang w:val="es-ES"/>
        </w:rPr>
      </w:pPr>
    </w:p>
    <w:p w:rsidR="00441283" w:rsidRPr="00970D46" w:rsidRDefault="00BB3374" w:rsidP="00D734E2">
      <w:pPr>
        <w:spacing w:after="0" w:line="240" w:lineRule="auto"/>
        <w:ind w:left="284" w:right="1213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A1C35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4A1C35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="00F336DC" w:rsidRPr="00F336DC">
        <w:rPr>
          <w:rFonts w:ascii="Arial" w:hAnsi="Arial" w:cs="Arial"/>
          <w:lang w:val="es-ES"/>
        </w:rPr>
        <w:t xml:space="preserve"> </w:t>
      </w:r>
      <w:r w:rsidR="00EF0C1F" w:rsidRPr="00EF0C1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Departamento de Procesos </w:t>
      </w:r>
      <w:r w:rsidR="00511D50" w:rsidRPr="00EF0C1F">
        <w:rPr>
          <w:rFonts w:ascii="Times New Roman" w:eastAsia="Times New Roman" w:hAnsi="Times New Roman" w:cs="Times New Roman"/>
          <w:sz w:val="24"/>
          <w:szCs w:val="24"/>
          <w:lang w:val="es-ES"/>
        </w:rPr>
        <w:t>Químicos</w:t>
      </w:r>
      <w:r w:rsidR="00EF0C1F" w:rsidRPr="00EF0C1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Universidad </w:t>
      </w:r>
      <w:r w:rsidR="00511D50" w:rsidRPr="00EF0C1F">
        <w:rPr>
          <w:rFonts w:ascii="Times New Roman" w:eastAsia="Times New Roman" w:hAnsi="Times New Roman" w:cs="Times New Roman"/>
          <w:sz w:val="24"/>
          <w:szCs w:val="24"/>
          <w:lang w:val="es-ES"/>
        </w:rPr>
        <w:t>Técnica</w:t>
      </w:r>
      <w:r w:rsidR="00EF0C1F" w:rsidRPr="00EF0C1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r w:rsidR="00511D50" w:rsidRPr="00EF0C1F">
        <w:rPr>
          <w:rFonts w:ascii="Times New Roman" w:eastAsia="Times New Roman" w:hAnsi="Times New Roman" w:cs="Times New Roman"/>
          <w:sz w:val="24"/>
          <w:szCs w:val="24"/>
          <w:lang w:val="es-ES"/>
        </w:rPr>
        <w:t>Manabí</w:t>
      </w:r>
      <w:r w:rsidR="00511D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Ecuador. </w:t>
      </w:r>
      <w:hyperlink r:id="rId6" w:history="1">
        <w:r w:rsidR="00460CFE" w:rsidRPr="00460CFE">
          <w:rPr>
            <w:rStyle w:val="Hyperlink"/>
            <w:rFonts w:ascii="Times New Roman" w:hAnsi="Times New Roman"/>
            <w:lang w:val="es-ES"/>
          </w:rPr>
          <w:t>rcordova@utm.edu.ec</w:t>
        </w:r>
      </w:hyperlink>
    </w:p>
    <w:p w:rsidR="00441283" w:rsidRDefault="00BB3374" w:rsidP="00D734E2">
      <w:pPr>
        <w:spacing w:after="0" w:line="240" w:lineRule="auto"/>
        <w:ind w:left="284" w:right="1213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A1C35">
        <w:rPr>
          <w:rFonts w:ascii="Times New Roman" w:eastAsia="Times New Roman" w:hAnsi="Times New Roman" w:cs="Times New Roman"/>
          <w:sz w:val="24"/>
          <w:szCs w:val="24"/>
          <w:lang w:val="es-ES"/>
        </w:rPr>
        <w:t>2-</w:t>
      </w:r>
      <w:r w:rsidRPr="004A1C35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460CFE" w:rsidRPr="00460CFE">
        <w:rPr>
          <w:rFonts w:ascii="Times New Roman" w:eastAsia="Times New Roman" w:hAnsi="Times New Roman" w:cs="Times New Roman"/>
          <w:sz w:val="24"/>
          <w:szCs w:val="24"/>
          <w:lang w:val="es-ES_tradnl"/>
        </w:rPr>
        <w:t>Universidad Tecnológica de La Habana José Antonio Echeverría, CUJAE. La Habana, Cuba.</w:t>
      </w:r>
      <w:r w:rsid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C46217" w:rsidRDefault="00C46217" w:rsidP="00D734E2">
      <w:pPr>
        <w:spacing w:after="0" w:line="240" w:lineRule="auto"/>
        <w:ind w:left="284" w:right="1213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3- </w:t>
      </w:r>
      <w:r w:rsidRPr="00C4621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Laboratorio de Procesos Químicos y </w:t>
      </w:r>
      <w:r w:rsidR="00970D46">
        <w:rPr>
          <w:rFonts w:ascii="Times New Roman" w:eastAsia="Times New Roman" w:hAnsi="Times New Roman" w:cs="Times New Roman"/>
          <w:sz w:val="24"/>
          <w:szCs w:val="24"/>
          <w:lang w:val="es-ES"/>
        </w:rPr>
        <w:t>B</w:t>
      </w:r>
      <w:r w:rsidR="00970D46" w:rsidRPr="00C46217">
        <w:rPr>
          <w:rFonts w:ascii="Times New Roman" w:eastAsia="Times New Roman" w:hAnsi="Times New Roman" w:cs="Times New Roman"/>
          <w:sz w:val="24"/>
          <w:szCs w:val="24"/>
          <w:lang w:val="es-ES"/>
        </w:rPr>
        <w:t>iotecnológicos</w:t>
      </w:r>
      <w:r w:rsidR="00970D46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C4621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EF0C1F">
        <w:rPr>
          <w:rFonts w:ascii="Times New Roman" w:eastAsia="Times New Roman" w:hAnsi="Times New Roman" w:cs="Times New Roman"/>
          <w:sz w:val="24"/>
          <w:szCs w:val="24"/>
          <w:lang w:val="es-ES"/>
        </w:rPr>
        <w:t>Universidad Técnica de Manabí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Ecuador. </w:t>
      </w:r>
      <w:hyperlink r:id="rId7" w:history="1">
        <w:r w:rsidRPr="008C576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/>
          </w:rPr>
          <w:t>joanrd9@yahoo.com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C46217" w:rsidRPr="004A1C35" w:rsidRDefault="00C46217" w:rsidP="00D734E2">
      <w:pPr>
        <w:spacing w:after="0" w:line="240" w:lineRule="auto"/>
        <w:ind w:left="284" w:right="1213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4- </w:t>
      </w:r>
      <w:r w:rsidRPr="00F336D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Departamento de Ingeniería Química, Universidad Central “Marta Abreu” de Las Villas, Cuba. </w:t>
      </w:r>
      <w:hyperlink r:id="rId8" w:history="1">
        <w:r w:rsidRPr="008C576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/>
          </w:rPr>
          <w:t>gretel@uclv.edu.cu</w:t>
        </w:r>
      </w:hyperlink>
    </w:p>
    <w:p w:rsidR="00441283" w:rsidRPr="004A1C35" w:rsidRDefault="00441283">
      <w:pPr>
        <w:spacing w:before="3" w:after="0" w:line="150" w:lineRule="exact"/>
        <w:rPr>
          <w:sz w:val="15"/>
          <w:szCs w:val="15"/>
          <w:lang w:val="es-ES"/>
        </w:rPr>
      </w:pPr>
    </w:p>
    <w:p w:rsidR="00441283" w:rsidRPr="004A1C35" w:rsidRDefault="00441283">
      <w:pPr>
        <w:spacing w:after="0" w:line="200" w:lineRule="exact"/>
        <w:rPr>
          <w:sz w:val="20"/>
          <w:szCs w:val="20"/>
          <w:lang w:val="es-ES"/>
        </w:rPr>
      </w:pPr>
    </w:p>
    <w:p w:rsidR="00441283" w:rsidRPr="004A1C35" w:rsidRDefault="00441283">
      <w:pPr>
        <w:spacing w:after="0" w:line="200" w:lineRule="exact"/>
        <w:rPr>
          <w:sz w:val="20"/>
          <w:szCs w:val="20"/>
          <w:lang w:val="es-ES"/>
        </w:rPr>
      </w:pPr>
    </w:p>
    <w:p w:rsidR="00441283" w:rsidRDefault="00BB3374">
      <w:pPr>
        <w:spacing w:after="0" w:line="359" w:lineRule="auto"/>
        <w:ind w:left="102" w:right="1183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A1C3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4A1C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4A1C3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4A1C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4A1C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4A1C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4A1C3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Pr="004A1C3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  <w:t xml:space="preserve"> </w:t>
      </w:r>
    </w:p>
    <w:p w:rsidR="00612366" w:rsidRDefault="00460CFE" w:rsidP="00612366">
      <w:pPr>
        <w:spacing w:after="0" w:line="359" w:lineRule="auto"/>
        <w:ind w:left="102" w:right="118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En el presente trabajo se determinaron los principales parámetros de operación para la digestión anaerobia de las aguas residuales sintéticas de café soluble, tales como: temperatura, pH, concentración del afluente (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mgDQO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/L), carga orgánica volumétrica (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COv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), relación ácidos grasos volátiles-alcalinidad (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AGVs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/ALC) y tiempo de retención hidráulico TRH a escala laboratorio. Se utilizó un 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inóculo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procedente de la planta de digestión anaerobia de residuos de pescado “EUROFISH” caracterizado de acuerdo a las técnicas y requerimientos establecidos en el manual de digestión anaerobia “VDI-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Gesellschaft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Energietechnik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”. Se determinó el rendimiento de metano en función del incremento de la carga orgánica volumétrica evaluando la eficiencia en términos de remoción de la DQO. Se utilizaron 3 cargas orgánicas distintas: 0,18, 0,72 y 1,02 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gDQO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L.d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tiempos de retención hidráulicos de 41, 67 días, 10,42 días y 7,35 días respectivamente. Durante un período de 5 días se operaron ambos reactores con la primera carga orgánica correspondiente al arranque de los mismos. La relación 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AGVs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/ALC en este tiempo decreció por lo que se aumentó la carga orgánica hasta 0,72 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gDQO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L.d.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esta nueva carga los reactores operan establemente por 28 días, tiempo en el cual se tiene un rendimiento de metano promedio correspondiente a 253,99 ml N CH4/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gDQO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el reactor 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mesófilico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 (M1) y 257,48 ml N CH4/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gDQO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el reactor 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mesófilico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 (M2). Por otro lado, se tiene una remoción en la DQO de 66,71% para el reactor 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mesófilico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 (M1) y 68,31% para el reactor 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mesofílico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 (M2). Dada la estabilidad en ambos reactores se procedió a realizar un aumento en la carga orgánica volumétrica a 1,02 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gDQO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L.d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durante 33 días de operación  tiempo en el cual se tuvo un rendimiento promedio de 205,90 ml N CH4/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gDQO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M1 con un porcentaje de eficiencia en la remoción de la DQO de 67,60% y 223,39 ml N CH4/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gDQO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con un porcentaje de remoción en la DQO de 69,22%. A través de este estudio se logró demostrar la producción de metano a partir de la digestión anaerobia de las aguas residuales de café soluble en régimen continuo/</w:t>
      </w:r>
      <w:proofErr w:type="spellStart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mesofílico</w:t>
      </w:r>
      <w:proofErr w:type="spellEnd"/>
      <w:r w:rsidRPr="00460CFE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6105A5" w:rsidRPr="00612366" w:rsidRDefault="006105A5" w:rsidP="00612366">
      <w:pPr>
        <w:spacing w:after="0" w:line="359" w:lineRule="auto"/>
        <w:ind w:left="102" w:right="118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441283" w:rsidRPr="004A1C35" w:rsidRDefault="00441283">
      <w:pPr>
        <w:spacing w:before="6" w:after="0" w:line="130" w:lineRule="exact"/>
        <w:rPr>
          <w:sz w:val="13"/>
          <w:szCs w:val="13"/>
          <w:lang w:val="es-ES"/>
        </w:rPr>
      </w:pPr>
    </w:p>
    <w:p w:rsidR="00CA1207" w:rsidRPr="00CA1207" w:rsidRDefault="00BB3374" w:rsidP="00CA1207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207">
        <w:rPr>
          <w:rFonts w:ascii="Times New Roman" w:hAnsi="Times New Roman" w:cs="Times New Roman"/>
          <w:b/>
          <w:bCs/>
          <w:i/>
          <w:sz w:val="24"/>
          <w:szCs w:val="24"/>
        </w:rPr>
        <w:t>Abst</w:t>
      </w:r>
      <w:r w:rsidRPr="00CA1207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CA1207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Pr="00CA1207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CA12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t:  </w:t>
      </w:r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In present work, the main operating parameters for the anaerobic digestion of synthetic waste waters of soluble coffee were determined, such as: temperature, pH, concentration of the tributary (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mgDQO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/ L), volumetric organic load (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COv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), fatty acid ratio volatile-alkalinity (AGVs / ALC) and hydraulic retention time TRH at laboratory scale. An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inoculum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from the "EUROFISH" fish waste anaerobic digestion plant was used, characterized according to the techniques and requirements established in the "VDI-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Gesellschaft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Energietechnik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" anaerobic digestion manual. The methane yield was determined according to the increase of the volumetric organic load evaluating the efficiency in terms of COD removal. 3 different organic loads were used: 0.18, 0.72 and 1.02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gDQO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/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L.d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with hydraulic retention times of 41, 67 days, 10.42 days and 7.35 days respectively. During a period of 5 days, both reactors were operated with the first organic load corresponding to the start of the same. The AGVs / ALC ratio decreased during this time, so the organic load was increased to 0.72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gDQO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/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L.d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. With this new load, the reactors operate stably for 28 days, at which time the average methane yield corresponds to 253.99 ml N CH4 /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gDQO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for the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mesophilic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reactor 1 (M1) and 257.48 ml N CH4 /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gDQO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for the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mesophilic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reactor 2 (M2). On the other hand, there is a COD removal of 66.71% for the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mesophilic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reactor 1 (M1) and 68.31% for the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mesophilic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reactor 2 (M2). Given the stability in both reactors, an increase in volumetric organic load was made to 1.02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gDQO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/ Ld during 33 days of operation, at which time an average yield of 205.90 ml N CH4 /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gDQO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for M1 was obtained. a percentage of efficiency in the removal of the COD of 67.60% and 223.39 ml N CH4 /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lastRenderedPageBreak/>
        <w:t>gDQO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with a percentage removal in the COD of 69.22%. Through this study it was possible to demonstrate the production of methane from the anaerobic digestion of the residual waters of soluble coffee in continuous / </w:t>
      </w:r>
      <w:proofErr w:type="spellStart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>mesophilic</w:t>
      </w:r>
      <w:proofErr w:type="spellEnd"/>
      <w:r w:rsidR="00CA1207" w:rsidRPr="00CA1207">
        <w:rPr>
          <w:rFonts w:ascii="Times New Roman" w:hAnsi="Times New Roman" w:cs="Times New Roman"/>
          <w:i/>
          <w:sz w:val="24"/>
          <w:szCs w:val="24"/>
          <w:lang/>
        </w:rPr>
        <w:t xml:space="preserve"> regime.</w:t>
      </w:r>
    </w:p>
    <w:p w:rsidR="00CA1207" w:rsidRPr="00CA1207" w:rsidRDefault="00CA1207" w:rsidP="00CA1207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1283" w:rsidRPr="00CA1207" w:rsidRDefault="00441283">
      <w:pPr>
        <w:spacing w:after="0" w:line="361" w:lineRule="auto"/>
        <w:ind w:left="102" w:right="1187"/>
        <w:rPr>
          <w:rFonts w:ascii="Times New Roman" w:eastAsia="Times New Roman" w:hAnsi="Times New Roman" w:cs="Times New Roman"/>
          <w:sz w:val="24"/>
          <w:szCs w:val="24"/>
        </w:rPr>
      </w:pPr>
    </w:p>
    <w:p w:rsidR="00441283" w:rsidRPr="00CA1207" w:rsidRDefault="00441283">
      <w:pPr>
        <w:spacing w:after="0"/>
      </w:pPr>
    </w:p>
    <w:p w:rsidR="00415A56" w:rsidRPr="001B4F81" w:rsidRDefault="00415A56" w:rsidP="00415A56">
      <w:pPr>
        <w:spacing w:after="0" w:line="360" w:lineRule="auto"/>
        <w:ind w:left="102" w:right="1180"/>
        <w:jc w:val="both"/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</w:pPr>
      <w:r w:rsidRPr="009C40A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9C40A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ala</w:t>
      </w:r>
      <w:r w:rsidRPr="009C40A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9C40A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9C40A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as</w:t>
      </w:r>
      <w:r w:rsidRPr="009C40A8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Pr="009C40A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Clav</w:t>
      </w:r>
      <w:r w:rsidRPr="009C40A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9C40A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9C40A8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="00CA1207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Digestión anaerobia, metano, café.</w:t>
      </w:r>
    </w:p>
    <w:p w:rsidR="00415A56" w:rsidRPr="009C40A8" w:rsidRDefault="00415A56" w:rsidP="00415A56">
      <w:pPr>
        <w:spacing w:after="0" w:line="200" w:lineRule="exact"/>
        <w:rPr>
          <w:sz w:val="20"/>
          <w:szCs w:val="20"/>
          <w:lang w:val="es-ES"/>
        </w:rPr>
      </w:pPr>
    </w:p>
    <w:p w:rsidR="00CA1207" w:rsidRDefault="00CA1207" w:rsidP="00CA1207">
      <w:pPr>
        <w:pStyle w:val="HTMLPreformatted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415A56" w:rsidRPr="001304A3">
        <w:rPr>
          <w:rFonts w:ascii="Times New Roman" w:hAnsi="Times New Roman" w:cs="Times New Roman"/>
          <w:b/>
          <w:bCs/>
          <w:i/>
          <w:sz w:val="24"/>
          <w:szCs w:val="24"/>
        </w:rPr>
        <w:t>K</w:t>
      </w:r>
      <w:r w:rsidR="00415A56" w:rsidRPr="001304A3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ey</w:t>
      </w:r>
      <w:r w:rsidR="00415A56" w:rsidRPr="001304A3">
        <w:rPr>
          <w:rFonts w:ascii="Times New Roman" w:hAnsi="Times New Roman" w:cs="Times New Roman"/>
          <w:b/>
          <w:bCs/>
          <w:i/>
          <w:sz w:val="24"/>
          <w:szCs w:val="24"/>
        </w:rPr>
        <w:t>words:</w:t>
      </w:r>
      <w:r w:rsidR="00415A56" w:rsidRPr="001304A3">
        <w:rPr>
          <w:rFonts w:ascii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Pr="00CA1207">
        <w:rPr>
          <w:rFonts w:ascii="Times New Roman" w:hAnsi="Times New Roman" w:cs="Times New Roman"/>
          <w:i/>
          <w:sz w:val="24"/>
          <w:szCs w:val="24"/>
          <w:lang/>
        </w:rPr>
        <w:t>Anaerobic digestion, methane, coffee</w:t>
      </w:r>
      <w:r>
        <w:rPr>
          <w:lang/>
        </w:rPr>
        <w:t>.</w:t>
      </w:r>
    </w:p>
    <w:p w:rsidR="00415A56" w:rsidRPr="001304A3" w:rsidRDefault="00415A56" w:rsidP="00415A56">
      <w:pPr>
        <w:spacing w:after="0" w:line="359" w:lineRule="auto"/>
        <w:ind w:left="102" w:right="118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41283" w:rsidRPr="001304A3" w:rsidRDefault="00441283">
      <w:pPr>
        <w:spacing w:before="6" w:after="0" w:line="240" w:lineRule="auto"/>
        <w:ind w:left="102" w:right="3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41283" w:rsidRPr="001304A3" w:rsidSect="00441283">
      <w:headerReference w:type="default" r:id="rId9"/>
      <w:footerReference w:type="default" r:id="rId10"/>
      <w:pgSz w:w="11920" w:h="16840"/>
      <w:pgMar w:top="2900" w:right="460" w:bottom="1640" w:left="1600" w:header="300" w:footer="1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830" w:rsidRDefault="00B13830" w:rsidP="00441283">
      <w:pPr>
        <w:spacing w:after="0" w:line="240" w:lineRule="auto"/>
      </w:pPr>
      <w:r>
        <w:separator/>
      </w:r>
    </w:p>
  </w:endnote>
  <w:endnote w:type="continuationSeparator" w:id="0">
    <w:p w:rsidR="00B13830" w:rsidRDefault="00B13830" w:rsidP="0044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283" w:rsidRDefault="00C53243">
    <w:pPr>
      <w:spacing w:after="0" w:line="200" w:lineRule="exact"/>
      <w:rPr>
        <w:sz w:val="20"/>
        <w:szCs w:val="20"/>
      </w:rPr>
    </w:pPr>
    <w:r w:rsidRPr="00C532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15pt;margin-top:758.7pt;width:144.45pt;height:48.3pt;z-index:-251657216;mso-position-horizontal-relative:page;mso-position-vertical-relative:page" filled="f" stroked="f">
          <v:textbox inset="0,0,0,0">
            <w:txbxContent>
              <w:p w:rsidR="00441283" w:rsidRPr="004A1C35" w:rsidRDefault="00BB3374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n</w:t>
                </w:r>
                <w:r w:rsidRPr="004A1C35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f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r</w:t>
                </w:r>
                <w:r w:rsidRPr="004A1C35"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  <w:lang w:val="es-ES"/>
                  </w:rPr>
                  <w:t>m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ac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ió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n</w:t>
                </w:r>
                <w:r w:rsidRPr="004A1C35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d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 xml:space="preserve">e </w:t>
                </w:r>
                <w:r w:rsidRPr="004A1C35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4A1C35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es-ES"/>
                  </w:rPr>
                  <w:t>n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4A1C35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a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4A1C35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o</w:t>
                </w:r>
              </w:p>
              <w:p w:rsidR="00441283" w:rsidRPr="004A1C35" w:rsidRDefault="00C53243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hyperlink r:id="rId1"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o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i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on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lv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@uc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s-ES"/>
                    </w:rPr>
                    <w:t xml:space="preserve"> </w:t>
                  </w:r>
                </w:hyperlink>
                <w:hyperlink r:id="rId2"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www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.uc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d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BB3374" w:rsidRPr="004A1C35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830" w:rsidRDefault="00B13830" w:rsidP="00441283">
      <w:pPr>
        <w:spacing w:after="0" w:line="240" w:lineRule="auto"/>
      </w:pPr>
      <w:r>
        <w:separator/>
      </w:r>
    </w:p>
  </w:footnote>
  <w:footnote w:type="continuationSeparator" w:id="0">
    <w:p w:rsidR="00B13830" w:rsidRDefault="00B13830" w:rsidP="0044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283" w:rsidRDefault="00C53243">
    <w:pPr>
      <w:spacing w:after="0" w:line="200" w:lineRule="exact"/>
      <w:rPr>
        <w:sz w:val="20"/>
        <w:szCs w:val="20"/>
      </w:rPr>
    </w:pPr>
    <w:r w:rsidRPr="00C53243">
      <w:pict>
        <v:group id="_x0000_s1028" style="position:absolute;margin-left:509.25pt;margin-top:15pt;width:57.7pt;height:130.1pt;z-index:-251660288;mso-position-horizontal-relative:page;mso-position-vertical-relative:page" coordorigin="10185,300" coordsize="1154,2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0185;top:300;width:1125;height:1317">
            <v:imagedata r:id="rId1" o:title=""/>
          </v:shape>
          <v:shape id="_x0000_s1029" type="#_x0000_t75" style="position:absolute;left:10190;top:1617;width:1149;height:1285">
            <v:imagedata r:id="rId2" o:title=""/>
          </v:shape>
          <w10:wrap anchorx="page" anchory="page"/>
        </v:group>
      </w:pict>
    </w:r>
    <w:r w:rsidRPr="00C532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3.85pt;margin-top:28.7pt;width:367.55pt;height:41.6pt;z-index:-251659264;mso-position-horizontal-relative:page;mso-position-vertical-relative:page" filled="f" stroked="f">
          <v:textbox inset="0,0,0,0">
            <w:txbxContent>
              <w:p w:rsidR="00441283" w:rsidRPr="004A1C35" w:rsidRDefault="00BB3374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N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TI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L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 O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L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 LA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5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P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S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ENTA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D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 TRABAJOS</w:t>
                </w:r>
              </w:p>
              <w:p w:rsidR="00441283" w:rsidRPr="004A1C35" w:rsidRDefault="00BB3374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II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ONVEN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NT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Í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ICA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INT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R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N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ONAL</w:t>
                </w:r>
              </w:p>
              <w:p w:rsidR="00441283" w:rsidRPr="004A1C35" w:rsidRDefault="00BB3374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“II 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 U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LV 2019”</w:t>
                </w:r>
              </w:p>
            </w:txbxContent>
          </v:textbox>
          <w10:wrap anchorx="page" anchory="page"/>
        </v:shape>
      </w:pict>
    </w:r>
    <w:r w:rsidRPr="00C53243">
      <w:pict>
        <v:shape id="_x0000_s1026" type="#_x0000_t202" style="position:absolute;margin-left:200.65pt;margin-top:83.9pt;width:194.15pt;height:27.8pt;z-index:-251658240;mso-position-horizontal-relative:page;mso-position-vertical-relative:page" filled="f" stroked="f">
          <v:textbox inset="0,0,0,0">
            <w:txbxContent>
              <w:p w:rsidR="00441283" w:rsidRPr="004A1C35" w:rsidRDefault="00BB3374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23 AL 30 DE JUNIO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2019.</w:t>
                </w:r>
              </w:p>
              <w:p w:rsidR="00441283" w:rsidRPr="004A1C35" w:rsidRDefault="00BB3374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YOS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DE VILLA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A.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U</w:t>
                </w:r>
                <w:r w:rsidRPr="004A1C3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41283"/>
    <w:rsid w:val="000B363F"/>
    <w:rsid w:val="001304A3"/>
    <w:rsid w:val="001B4F81"/>
    <w:rsid w:val="002F30BB"/>
    <w:rsid w:val="00401601"/>
    <w:rsid w:val="00415A56"/>
    <w:rsid w:val="00441283"/>
    <w:rsid w:val="00460CFE"/>
    <w:rsid w:val="00471951"/>
    <w:rsid w:val="004A1C35"/>
    <w:rsid w:val="00511D50"/>
    <w:rsid w:val="006105A5"/>
    <w:rsid w:val="00612366"/>
    <w:rsid w:val="00692D3E"/>
    <w:rsid w:val="00772047"/>
    <w:rsid w:val="00970D46"/>
    <w:rsid w:val="00AA672E"/>
    <w:rsid w:val="00B13830"/>
    <w:rsid w:val="00BB3374"/>
    <w:rsid w:val="00C46217"/>
    <w:rsid w:val="00C53243"/>
    <w:rsid w:val="00CA1207"/>
    <w:rsid w:val="00D734E2"/>
    <w:rsid w:val="00EF0C1F"/>
    <w:rsid w:val="00F3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6D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6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7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2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12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12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tel@uclv.edu.c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anrd9@yaho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ordova@utm.edu.e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gretel</cp:lastModifiedBy>
  <cp:revision>2</cp:revision>
  <dcterms:created xsi:type="dcterms:W3CDTF">2019-03-05T16:27:00Z</dcterms:created>
  <dcterms:modified xsi:type="dcterms:W3CDTF">2019-03-05T16:27:00Z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