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7E4" w:rsidRDefault="000827E4">
      <w:pPr>
        <w:spacing w:before="5" w:after="0" w:line="120" w:lineRule="exact"/>
        <w:rPr>
          <w:sz w:val="12"/>
          <w:szCs w:val="12"/>
        </w:rPr>
      </w:pPr>
    </w:p>
    <w:p w:rsidR="000827E4" w:rsidRPr="006F7910" w:rsidRDefault="006F7910" w:rsidP="00D574A1">
      <w:pPr>
        <w:tabs>
          <w:tab w:val="left" w:pos="8505"/>
        </w:tabs>
        <w:spacing w:after="0" w:line="240" w:lineRule="auto"/>
        <w:ind w:right="-41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D1514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VII SIMPOSIO INTERNACIONAL DE QUÍMICA</w:t>
      </w:r>
    </w:p>
    <w:p w:rsidR="000827E4" w:rsidRPr="006F7910" w:rsidRDefault="000827E4">
      <w:pPr>
        <w:spacing w:before="5" w:after="0" w:line="120" w:lineRule="exact"/>
        <w:rPr>
          <w:sz w:val="12"/>
          <w:szCs w:val="12"/>
          <w:lang w:val="es-ES"/>
        </w:rPr>
      </w:pPr>
    </w:p>
    <w:p w:rsidR="000827E4" w:rsidRPr="006F7910" w:rsidRDefault="000827E4">
      <w:pPr>
        <w:spacing w:after="0" w:line="200" w:lineRule="exact"/>
        <w:rPr>
          <w:sz w:val="20"/>
          <w:szCs w:val="20"/>
          <w:lang w:val="es-ES"/>
        </w:rPr>
      </w:pPr>
    </w:p>
    <w:p w:rsidR="000827E4" w:rsidRPr="006F7910" w:rsidRDefault="00392145" w:rsidP="00631795">
      <w:pPr>
        <w:spacing w:after="0" w:line="240" w:lineRule="auto"/>
        <w:ind w:right="-41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92145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Determinación de la eficacia de los desinfectantes empleados en las áreas asépticas en un centro de producción de biofarmacéuticos</w:t>
      </w:r>
    </w:p>
    <w:p w:rsidR="000827E4" w:rsidRPr="006F7910" w:rsidRDefault="000827E4">
      <w:pPr>
        <w:spacing w:before="6" w:after="0" w:line="160" w:lineRule="exact"/>
        <w:rPr>
          <w:sz w:val="16"/>
          <w:szCs w:val="16"/>
          <w:lang w:val="es-ES"/>
        </w:rPr>
      </w:pPr>
    </w:p>
    <w:p w:rsidR="000827E4" w:rsidRPr="006F7910" w:rsidRDefault="000827E4">
      <w:pPr>
        <w:spacing w:after="0" w:line="200" w:lineRule="exact"/>
        <w:rPr>
          <w:sz w:val="20"/>
          <w:szCs w:val="20"/>
          <w:lang w:val="es-ES"/>
        </w:rPr>
      </w:pPr>
    </w:p>
    <w:p w:rsidR="000827E4" w:rsidRPr="00827CDC" w:rsidRDefault="00827CDC" w:rsidP="00631795">
      <w:pPr>
        <w:spacing w:after="0" w:line="240" w:lineRule="auto"/>
        <w:ind w:right="-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7CDC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Determination of the efficacy of the disinfectants employed in the aseptic areas at a biopharmaceuticals production center</w:t>
      </w:r>
    </w:p>
    <w:p w:rsidR="000827E4" w:rsidRPr="00D15144" w:rsidRDefault="000827E4">
      <w:pPr>
        <w:spacing w:after="0" w:line="200" w:lineRule="exact"/>
        <w:rPr>
          <w:sz w:val="20"/>
          <w:szCs w:val="20"/>
        </w:rPr>
      </w:pPr>
    </w:p>
    <w:p w:rsidR="000827E4" w:rsidRPr="00D15144" w:rsidRDefault="000827E4">
      <w:pPr>
        <w:spacing w:before="17" w:after="0" w:line="200" w:lineRule="exact"/>
        <w:rPr>
          <w:sz w:val="20"/>
          <w:szCs w:val="20"/>
        </w:rPr>
      </w:pPr>
    </w:p>
    <w:p w:rsidR="000827E4" w:rsidRPr="00D15144" w:rsidRDefault="000827E4">
      <w:pPr>
        <w:spacing w:after="0" w:line="200" w:lineRule="exact"/>
        <w:rPr>
          <w:sz w:val="20"/>
          <w:szCs w:val="20"/>
        </w:rPr>
      </w:pPr>
    </w:p>
    <w:p w:rsidR="003A102A" w:rsidRDefault="00631795" w:rsidP="00631795">
      <w:pPr>
        <w:spacing w:after="0" w:line="240" w:lineRule="auto"/>
        <w:ind w:right="-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63179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Eidelys Díaz-Enriquez</w:t>
      </w:r>
      <w:r w:rsidR="00F62A34" w:rsidRPr="006F7910">
        <w:rPr>
          <w:rFonts w:ascii="Times New Roman" w:eastAsia="Times New Roman" w:hAnsi="Times New Roman" w:cs="Times New Roman"/>
          <w:b/>
          <w:bCs/>
          <w:spacing w:val="1"/>
          <w:position w:val="11"/>
          <w:sz w:val="16"/>
          <w:szCs w:val="16"/>
          <w:lang w:val="es-ES"/>
        </w:rPr>
        <w:t>1</w:t>
      </w:r>
      <w:r w:rsidR="00F62A34" w:rsidRPr="006F7910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, </w:t>
      </w:r>
      <w:r w:rsidRPr="0063179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Orestes Mayo-Abad</w:t>
      </w:r>
      <w:r w:rsidR="00F62A34" w:rsidRPr="006F7910">
        <w:rPr>
          <w:rFonts w:ascii="Times New Roman" w:eastAsia="Times New Roman" w:hAnsi="Times New Roman" w:cs="Times New Roman"/>
          <w:b/>
          <w:bCs/>
          <w:spacing w:val="1"/>
          <w:position w:val="11"/>
          <w:sz w:val="16"/>
          <w:szCs w:val="16"/>
          <w:lang w:val="es-ES"/>
        </w:rPr>
        <w:t>2</w:t>
      </w:r>
      <w:r w:rsidR="00F62A34" w:rsidRPr="006F7910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, </w:t>
      </w:r>
      <w:r w:rsidRPr="0063179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Ichell Miró-Frutos</w:t>
      </w:r>
      <w:r w:rsidR="003A102A" w:rsidRPr="003A102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, </w:t>
      </w:r>
    </w:p>
    <w:p w:rsidR="000827E4" w:rsidRPr="006F7910" w:rsidRDefault="00631795" w:rsidP="00631795">
      <w:pPr>
        <w:spacing w:after="0" w:line="240" w:lineRule="auto"/>
        <w:ind w:right="-41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3179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Yanel Pérez-Gutiérrez</w:t>
      </w:r>
      <w:r w:rsidR="003A102A" w:rsidRPr="003A102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y </w:t>
      </w:r>
      <w:r w:rsidRPr="0063179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Anna Tsoraeva</w:t>
      </w:r>
      <w:r w:rsidR="003A102A" w:rsidRPr="003A102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1</w:t>
      </w:r>
    </w:p>
    <w:p w:rsidR="000827E4" w:rsidRPr="006F7910" w:rsidRDefault="000827E4">
      <w:pPr>
        <w:spacing w:before="5" w:after="0" w:line="140" w:lineRule="exact"/>
        <w:rPr>
          <w:sz w:val="14"/>
          <w:szCs w:val="14"/>
          <w:lang w:val="es-ES"/>
        </w:rPr>
      </w:pPr>
    </w:p>
    <w:p w:rsidR="000827E4" w:rsidRPr="006F7910" w:rsidRDefault="000827E4">
      <w:pPr>
        <w:spacing w:after="0" w:line="200" w:lineRule="exact"/>
        <w:rPr>
          <w:sz w:val="20"/>
          <w:szCs w:val="20"/>
          <w:lang w:val="es-ES"/>
        </w:rPr>
      </w:pPr>
    </w:p>
    <w:p w:rsidR="000827E4" w:rsidRPr="006F7910" w:rsidRDefault="000827E4">
      <w:pPr>
        <w:spacing w:after="0" w:line="200" w:lineRule="exact"/>
        <w:rPr>
          <w:sz w:val="20"/>
          <w:szCs w:val="20"/>
          <w:lang w:val="es-ES"/>
        </w:rPr>
      </w:pPr>
    </w:p>
    <w:p w:rsidR="00827CDC" w:rsidRPr="004A4837" w:rsidRDefault="00827CDC" w:rsidP="004A4837">
      <w:pPr>
        <w:pStyle w:val="Prrafodelista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A483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Centro Nacional de Biopreparados, Cuba, </w:t>
      </w:r>
      <w:hyperlink r:id="rId7" w:history="1">
        <w:r w:rsidR="00631795" w:rsidRPr="004A4837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/>
          </w:rPr>
          <w:t>eidelys.diaz@biocen.cu</w:t>
        </w:r>
      </w:hyperlink>
      <w:r w:rsidR="00FB075B" w:rsidRPr="004A483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hyperlink r:id="rId8" w:history="1">
        <w:r w:rsidR="00FB075B" w:rsidRPr="004A4837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/>
          </w:rPr>
          <w:t>ichell@biocen.cu</w:t>
        </w:r>
      </w:hyperlink>
      <w:r w:rsidR="00FB075B" w:rsidRPr="004A483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hyperlink r:id="rId9" w:history="1">
        <w:r w:rsidR="00FB075B" w:rsidRPr="004A4837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/>
          </w:rPr>
          <w:t>yanel@biocen.cu</w:t>
        </w:r>
      </w:hyperlink>
      <w:r w:rsidR="00FB075B" w:rsidRPr="004A483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hyperlink r:id="rId10" w:history="1">
        <w:r w:rsidR="00FB075B" w:rsidRPr="004A4837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/>
          </w:rPr>
          <w:t>anna@biocen.cu</w:t>
        </w:r>
      </w:hyperlink>
      <w:r w:rsidR="00FB075B" w:rsidRPr="004A483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827CDC" w:rsidRPr="00827CDC" w:rsidRDefault="00827CDC" w:rsidP="004A4837">
      <w:pPr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7CD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Centro de Ingeniería de Procesos, Facultad de Ing. Química, Universidad Tecnológica de La Habana, </w:t>
      </w:r>
      <w:r w:rsidR="003A102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CUJAE, </w:t>
      </w:r>
      <w:r w:rsidRPr="00827CD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Cuba, </w:t>
      </w:r>
      <w:hyperlink r:id="rId11" w:history="1">
        <w:r w:rsidRPr="00827CDC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/>
          </w:rPr>
          <w:t>omayo@quimica.cujae.edu.cu</w:t>
        </w:r>
      </w:hyperlink>
      <w:r w:rsidRPr="00827CD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hyperlink r:id="rId12" w:history="1">
        <w:r w:rsidRPr="00827CDC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/>
          </w:rPr>
          <w:t>omayo@infomed.sld.cu</w:t>
        </w:r>
      </w:hyperlink>
      <w:r w:rsidRPr="00827CD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0827E4" w:rsidRPr="006F7910" w:rsidRDefault="000827E4">
      <w:pPr>
        <w:spacing w:after="0" w:line="200" w:lineRule="exact"/>
        <w:rPr>
          <w:sz w:val="20"/>
          <w:szCs w:val="20"/>
          <w:lang w:val="es-ES"/>
        </w:rPr>
      </w:pPr>
    </w:p>
    <w:p w:rsidR="002869CB" w:rsidRDefault="00F62A34" w:rsidP="002869CB">
      <w:pPr>
        <w:spacing w:after="0" w:line="359" w:lineRule="auto"/>
        <w:ind w:right="-41"/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es-ES"/>
        </w:rPr>
      </w:pPr>
      <w:r w:rsidRPr="006F7910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</w:t>
      </w:r>
      <w:r w:rsidRPr="006F791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6F7910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</w:t>
      </w:r>
      <w:r w:rsidRPr="006F79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u</w:t>
      </w:r>
      <w:r w:rsidRPr="006F791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me</w:t>
      </w:r>
      <w:r w:rsidRPr="006F79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n</w:t>
      </w:r>
      <w:r w:rsidRPr="006F7910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: </w:t>
      </w:r>
      <w:r w:rsidRPr="006F7910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es-ES"/>
        </w:rPr>
        <w:t xml:space="preserve"> </w:t>
      </w:r>
    </w:p>
    <w:p w:rsidR="002869CB" w:rsidRDefault="002869CB" w:rsidP="00D1514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9"/>
          <w:sz w:val="24"/>
          <w:szCs w:val="24"/>
          <w:lang w:val="es-ES"/>
        </w:rPr>
      </w:pPr>
      <w:r w:rsidRPr="002869CB">
        <w:rPr>
          <w:rFonts w:ascii="Times New Roman" w:eastAsia="Times New Roman" w:hAnsi="Times New Roman" w:cs="Times New Roman"/>
          <w:bCs/>
          <w:spacing w:val="9"/>
          <w:sz w:val="24"/>
          <w:szCs w:val="24"/>
          <w:lang w:val="es-ES"/>
        </w:rPr>
        <w:t>En la industria biofarmacéutica, la desinfección se ha hecho parte fundamental de las actividades para controlar el nivel de microorganismos contaminantes que puedan llegar a comprometer la calidad del producto final. El objetivo de este trabajo fue evaluar la eficacia de los desinfectantes AniosSpecial DJP SF, Aniosurf Premium, Bacteranios SF, Aniospray 29, Aseptanios AD y Surfanios utilizados en la limpieza y desinfección del área aséptica de la Planta de Productos Parenterales 2 del Centro Nacional de Biopreparados (Mayabeque, Cuba). Se comprobó la eficacia con pruebas de desafío en superficies y en condiciones prácticas de uso. Se comparó estadísticamente el número de microorganismos aislados y la microbiota presente en el área antes y después del uso de los desinfectantes. Todos los desinfectantes cumplieron con los requisitos establecidos. Por lo tanto, se demostró su eficacia para realizar la limpieza de las áreas asépticas.</w:t>
      </w:r>
    </w:p>
    <w:p w:rsidR="002869CB" w:rsidRPr="0078049D" w:rsidRDefault="00F62A34" w:rsidP="00AA18D0">
      <w:pPr>
        <w:spacing w:after="0" w:line="361" w:lineRule="auto"/>
        <w:ind w:right="1187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78049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Abst</w:t>
      </w:r>
      <w:r w:rsidRPr="0078049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</w:t>
      </w:r>
      <w:r w:rsidRPr="0078049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 w:rsidRPr="0078049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Pr="0078049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t:  </w:t>
      </w:r>
    </w:p>
    <w:p w:rsidR="002869CB" w:rsidRDefault="002869CB" w:rsidP="002869CB">
      <w:pPr>
        <w:spacing w:after="0" w:line="361" w:lineRule="auto"/>
        <w:ind w:right="-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1206B">
        <w:rPr>
          <w:rFonts w:ascii="Times New Roman" w:eastAsia="Times New Roman" w:hAnsi="Times New Roman" w:cs="Times New Roman"/>
          <w:i/>
          <w:sz w:val="24"/>
          <w:szCs w:val="24"/>
        </w:rPr>
        <w:t>In the biopharmaceutical industry, disinfection has become a fundamental part of the activities to control the level of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1206B">
        <w:rPr>
          <w:rFonts w:ascii="Times New Roman" w:eastAsia="Times New Roman" w:hAnsi="Times New Roman" w:cs="Times New Roman"/>
          <w:i/>
          <w:sz w:val="24"/>
          <w:szCs w:val="24"/>
        </w:rPr>
        <w:t>contaminants microorganisms that could c</w:t>
      </w:r>
      <w:r w:rsidR="0078049D">
        <w:rPr>
          <w:rFonts w:ascii="Times New Roman" w:eastAsia="Times New Roman" w:hAnsi="Times New Roman" w:cs="Times New Roman"/>
          <w:i/>
          <w:sz w:val="24"/>
          <w:szCs w:val="24"/>
        </w:rPr>
        <w:t>ompromise the quality of the fi</w:t>
      </w:r>
      <w:r w:rsidRPr="0081206B">
        <w:rPr>
          <w:rFonts w:ascii="Times New Roman" w:eastAsia="Times New Roman" w:hAnsi="Times New Roman" w:cs="Times New Roman"/>
          <w:i/>
          <w:sz w:val="24"/>
          <w:szCs w:val="24"/>
        </w:rPr>
        <w:t>nal product. The objective of this work was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evaluate the effi</w:t>
      </w:r>
      <w:r w:rsidRPr="0081206B">
        <w:rPr>
          <w:rFonts w:ascii="Times New Roman" w:eastAsia="Times New Roman" w:hAnsi="Times New Roman" w:cs="Times New Roman"/>
          <w:i/>
          <w:sz w:val="24"/>
          <w:szCs w:val="24"/>
        </w:rPr>
        <w:t>cacy of the disinfectants Anios Special DJP SF, Aniosurf Premium, Bacteranios SF, Aniospray 29,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1206B">
        <w:rPr>
          <w:rFonts w:ascii="Times New Roman" w:eastAsia="Times New Roman" w:hAnsi="Times New Roman" w:cs="Times New Roman"/>
          <w:i/>
          <w:sz w:val="24"/>
          <w:szCs w:val="24"/>
        </w:rPr>
        <w:t>Aseptanios AD and Surfanios for the cleaning and disinfection of the aseptic area at the Parenteral Products Plant 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1206B">
        <w:rPr>
          <w:rFonts w:ascii="Times New Roman" w:eastAsia="Times New Roman" w:hAnsi="Times New Roman" w:cs="Times New Roman"/>
          <w:i/>
          <w:sz w:val="24"/>
          <w:szCs w:val="24"/>
        </w:rPr>
        <w:t>(PPP2) at the National Center for Bioproducts (Mayabeque, Cuba).</w:t>
      </w:r>
      <w:r w:rsidR="004A483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1206B">
        <w:rPr>
          <w:rFonts w:ascii="Times New Roman" w:eastAsia="Times New Roman" w:hAnsi="Times New Roman" w:cs="Times New Roman"/>
          <w:i/>
          <w:sz w:val="24"/>
          <w:szCs w:val="24"/>
        </w:rPr>
        <w:t>The efficacy was checked with challenge tests 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1206B">
        <w:rPr>
          <w:rFonts w:ascii="Times New Roman" w:eastAsia="Times New Roman" w:hAnsi="Times New Roman" w:cs="Times New Roman"/>
          <w:i/>
          <w:sz w:val="24"/>
          <w:szCs w:val="24"/>
        </w:rPr>
        <w:t>surfaces, in practical usage conditions. The number of isolated microorganisms and the microbiota present before and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1206B">
        <w:rPr>
          <w:rFonts w:ascii="Times New Roman" w:eastAsia="Times New Roman" w:hAnsi="Times New Roman" w:cs="Times New Roman"/>
          <w:i/>
          <w:sz w:val="24"/>
          <w:szCs w:val="24"/>
        </w:rPr>
        <w:t>after use was compared statistically. All the disinfectants complied with the established requirements. Therefore, the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1206B">
        <w:rPr>
          <w:rFonts w:ascii="Times New Roman" w:eastAsia="Times New Roman" w:hAnsi="Times New Roman" w:cs="Times New Roman"/>
          <w:i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81206B">
        <w:rPr>
          <w:rFonts w:ascii="Times New Roman" w:eastAsia="Times New Roman" w:hAnsi="Times New Roman" w:cs="Times New Roman"/>
          <w:i/>
          <w:sz w:val="24"/>
          <w:szCs w:val="24"/>
        </w:rPr>
        <w:t>cacy of the disinfectants was demonstrated to perform the cleaning and disinfection of the aseptic areas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2869CB" w:rsidRDefault="002869CB" w:rsidP="002869CB">
      <w:pPr>
        <w:spacing w:after="0" w:line="360" w:lineRule="auto"/>
        <w:ind w:right="1180"/>
        <w:jc w:val="both"/>
        <w:rPr>
          <w:sz w:val="12"/>
          <w:szCs w:val="12"/>
        </w:rPr>
      </w:pPr>
    </w:p>
    <w:p w:rsidR="002869CB" w:rsidRDefault="00F62A34" w:rsidP="0078049D">
      <w:pPr>
        <w:spacing w:after="0" w:line="360" w:lineRule="auto"/>
        <w:ind w:right="-41"/>
        <w:jc w:val="both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s-ES"/>
        </w:rPr>
      </w:pPr>
      <w:r w:rsidRPr="006F791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>P</w:t>
      </w:r>
      <w:r w:rsidRPr="006F7910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ala</w:t>
      </w:r>
      <w:r w:rsidRPr="006F79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b</w:t>
      </w:r>
      <w:r w:rsidRPr="006F791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r</w:t>
      </w:r>
      <w:r w:rsidRPr="006F7910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as</w:t>
      </w:r>
      <w:r w:rsidRPr="006F791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s-ES"/>
        </w:rPr>
        <w:t xml:space="preserve"> </w:t>
      </w:r>
      <w:r w:rsidRPr="006F7910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Clav</w:t>
      </w:r>
      <w:r w:rsidRPr="006F791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6F7910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:</w:t>
      </w:r>
      <w:r w:rsidRPr="006F791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s-ES"/>
        </w:rPr>
        <w:t xml:space="preserve"> </w:t>
      </w:r>
      <w:r w:rsidR="0078049D" w:rsidRPr="0081206B">
        <w:rPr>
          <w:rFonts w:ascii="Times New Roman" w:eastAsia="Times New Roman" w:hAnsi="Times New Roman" w:cs="Times New Roman"/>
          <w:sz w:val="24"/>
          <w:szCs w:val="24"/>
          <w:lang w:val="es-ES"/>
        </w:rPr>
        <w:t>Desinfectantes, Contaminación, Áreas Asépticas, Industria Biofarmacéutica</w:t>
      </w:r>
      <w:r w:rsidR="0078049D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2869CB" w:rsidRDefault="002869CB" w:rsidP="002869CB">
      <w:pPr>
        <w:spacing w:after="0" w:line="359" w:lineRule="auto"/>
        <w:ind w:right="1181"/>
        <w:jc w:val="both"/>
        <w:rPr>
          <w:sz w:val="20"/>
          <w:szCs w:val="20"/>
          <w:lang w:val="es-ES"/>
        </w:rPr>
      </w:pPr>
    </w:p>
    <w:p w:rsidR="000827E4" w:rsidRPr="00AA18D0" w:rsidRDefault="00F62A34" w:rsidP="0078049D">
      <w:pPr>
        <w:tabs>
          <w:tab w:val="left" w:pos="8606"/>
        </w:tabs>
        <w:spacing w:after="0" w:line="359" w:lineRule="auto"/>
        <w:ind w:right="-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8D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</w:t>
      </w:r>
      <w:r w:rsidRPr="00AA18D0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ey</w:t>
      </w:r>
      <w:r w:rsidRPr="00AA18D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words:</w:t>
      </w:r>
      <w:r w:rsidRPr="00AA18D0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 w:rsidR="00AA18D0" w:rsidRPr="00AA18D0">
        <w:rPr>
          <w:rFonts w:ascii="Times New Roman" w:eastAsia="Times New Roman" w:hAnsi="Times New Roman" w:cs="Times New Roman"/>
          <w:bCs/>
          <w:i/>
          <w:spacing w:val="5"/>
          <w:sz w:val="24"/>
          <w:szCs w:val="24"/>
        </w:rPr>
        <w:t>Disinfectants, Contamination, Clean Rooms, Biopharmaceutical Industry.</w:t>
      </w:r>
    </w:p>
    <w:sectPr w:rsidR="000827E4" w:rsidRPr="00AA18D0" w:rsidSect="0078049D">
      <w:headerReference w:type="default" r:id="rId13"/>
      <w:footerReference w:type="default" r:id="rId14"/>
      <w:pgSz w:w="11920" w:h="16840"/>
      <w:pgMar w:top="2900" w:right="1714" w:bottom="1640" w:left="1600" w:header="300" w:footer="14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97C" w:rsidRDefault="00DA497C" w:rsidP="000827E4">
      <w:pPr>
        <w:spacing w:after="0" w:line="240" w:lineRule="auto"/>
      </w:pPr>
      <w:r>
        <w:separator/>
      </w:r>
    </w:p>
  </w:endnote>
  <w:endnote w:type="continuationSeparator" w:id="0">
    <w:p w:rsidR="00DA497C" w:rsidRDefault="00DA497C" w:rsidP="00082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7E4" w:rsidRDefault="00E5146D">
    <w:pPr>
      <w:spacing w:after="0" w:line="200" w:lineRule="exact"/>
      <w:rPr>
        <w:sz w:val="20"/>
        <w:szCs w:val="20"/>
      </w:rPr>
    </w:pPr>
    <w:r w:rsidRPr="00E514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7.15pt;margin-top:758.7pt;width:144.45pt;height:48.3pt;z-index:-251657216;mso-position-horizontal-relative:page;mso-position-vertical-relative:page" filled="f" stroked="f">
          <v:textbox style="mso-next-textbox:#_x0000_s1025" inset="0,0,0,0">
            <w:txbxContent>
              <w:p w:rsidR="000827E4" w:rsidRPr="006F7910" w:rsidRDefault="00F62A34">
                <w:pPr>
                  <w:spacing w:after="0" w:line="307" w:lineRule="exact"/>
                  <w:ind w:left="42" w:right="-20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</w:pPr>
                <w:r w:rsidRPr="006F7910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I</w:t>
                </w:r>
                <w:r w:rsidRPr="006F7910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n</w:t>
                </w:r>
                <w:r w:rsidRPr="006F7910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>f</w:t>
                </w:r>
                <w:r w:rsidRPr="006F7910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o</w:t>
                </w:r>
                <w:r w:rsidRPr="006F7910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r</w:t>
                </w:r>
                <w:r w:rsidRPr="006F7910">
                  <w:rPr>
                    <w:rFonts w:ascii="Times New Roman" w:eastAsia="Times New Roman" w:hAnsi="Times New Roman" w:cs="Times New Roman"/>
                    <w:spacing w:val="-5"/>
                    <w:sz w:val="28"/>
                    <w:szCs w:val="28"/>
                    <w:lang w:val="es-ES"/>
                  </w:rPr>
                  <w:t>m</w:t>
                </w:r>
                <w:r w:rsidRPr="006F7910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ac</w:t>
                </w:r>
                <w:r w:rsidRPr="006F7910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ió</w:t>
                </w:r>
                <w:r w:rsidRPr="006F7910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n</w:t>
                </w:r>
                <w:r w:rsidRPr="006F7910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 xml:space="preserve"> </w:t>
                </w:r>
                <w:r w:rsidRPr="006F7910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d</w:t>
                </w:r>
                <w:r w:rsidRPr="006F7910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 xml:space="preserve">e </w:t>
                </w:r>
                <w:r w:rsidRPr="006F7910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es-ES"/>
                  </w:rPr>
                  <w:t>c</w:t>
                </w:r>
                <w:r w:rsidRPr="006F7910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o</w:t>
                </w:r>
                <w:r w:rsidRPr="006F7910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es-ES"/>
                  </w:rPr>
                  <w:t>n</w:t>
                </w:r>
                <w:r w:rsidRPr="006F7910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t</w:t>
                </w:r>
                <w:r w:rsidRPr="006F7910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>a</w:t>
                </w:r>
                <w:r w:rsidRPr="006F7910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c</w:t>
                </w:r>
                <w:r w:rsidRPr="006F7910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t</w:t>
                </w:r>
                <w:r w:rsidRPr="006F7910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o</w:t>
                </w:r>
              </w:p>
              <w:p w:rsidR="000827E4" w:rsidRPr="006F7910" w:rsidRDefault="00E5146D">
                <w:pPr>
                  <w:spacing w:before="6" w:after="0" w:line="322" w:lineRule="exact"/>
                  <w:ind w:left="426" w:right="-48" w:hanging="406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</w:pPr>
                <w:hyperlink r:id="rId1">
                  <w:r w:rsidR="00F62A34" w:rsidRPr="006F7910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c</w:t>
                  </w:r>
                  <w:r w:rsidR="00F62A34" w:rsidRPr="006F7910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o</w:t>
                  </w:r>
                  <w:r w:rsidR="00F62A34" w:rsidRPr="006F7910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n</w:t>
                  </w:r>
                  <w:r w:rsidR="00F62A34" w:rsidRPr="006F7910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v</w:t>
                  </w:r>
                  <w:r w:rsidR="00F62A34" w:rsidRPr="006F7910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  <w:lang w:val="es-ES"/>
                    </w:rPr>
                    <w:t>e</w:t>
                  </w:r>
                  <w:r w:rsidR="00F62A34" w:rsidRPr="006F7910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n</w:t>
                  </w:r>
                  <w:r w:rsidR="00F62A34" w:rsidRPr="006F7910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  <w:lang w:val="es-ES"/>
                    </w:rPr>
                    <w:t>c</w:t>
                  </w:r>
                  <w:r w:rsidR="00F62A34" w:rsidRPr="006F7910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i</w:t>
                  </w:r>
                  <w:r w:rsidR="00F62A34" w:rsidRPr="006F7910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on</w:t>
                  </w:r>
                  <w:r w:rsidR="00F62A34" w:rsidRPr="006F7910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u</w:t>
                  </w:r>
                  <w:r w:rsidR="00F62A34" w:rsidRPr="006F7910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c</w:t>
                  </w:r>
                  <w:r w:rsidR="00F62A34" w:rsidRPr="006F7910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lv</w:t>
                  </w:r>
                  <w:r w:rsidR="00F62A34" w:rsidRPr="006F7910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@uc</w:t>
                  </w:r>
                  <w:r w:rsidR="00F62A34" w:rsidRPr="006F7910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  <w:lang w:val="es-ES"/>
                    </w:rPr>
                    <w:t>l</w:t>
                  </w:r>
                  <w:r w:rsidR="00F62A34" w:rsidRPr="006F7910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v</w:t>
                  </w:r>
                  <w:r w:rsidR="00F62A34" w:rsidRPr="006F7910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.cu</w:t>
                  </w:r>
                  <w:r w:rsidR="00F62A34" w:rsidRPr="006F7910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s-ES"/>
                    </w:rPr>
                    <w:t xml:space="preserve"> </w:t>
                  </w:r>
                </w:hyperlink>
                <w:hyperlink r:id="rId2">
                  <w:r w:rsidR="00F62A34" w:rsidRPr="006F7910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www</w:t>
                  </w:r>
                  <w:r w:rsidR="00F62A34" w:rsidRPr="006F7910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.uc</w:t>
                  </w:r>
                  <w:r w:rsidR="00F62A34" w:rsidRPr="006F7910">
                    <w:rPr>
                      <w:rFonts w:ascii="Times New Roman" w:eastAsia="Times New Roman" w:hAnsi="Times New Roman" w:cs="Times New Roman"/>
                      <w:color w:val="0000FF"/>
                      <w:spacing w:val="2"/>
                      <w:sz w:val="28"/>
                      <w:szCs w:val="28"/>
                      <w:u w:val="single" w:color="0000FF"/>
                      <w:lang w:val="es-ES"/>
                    </w:rPr>
                    <w:t>l</w:t>
                  </w:r>
                  <w:r w:rsidR="00F62A34" w:rsidRPr="006F7910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v</w:t>
                  </w:r>
                  <w:r w:rsidR="00F62A34" w:rsidRPr="006F7910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</w:t>
                  </w:r>
                  <w:r w:rsidR="00F62A34" w:rsidRPr="006F7910">
                    <w:rPr>
                      <w:rFonts w:ascii="Times New Roman" w:eastAsia="Times New Roman" w:hAnsi="Times New Roman" w:cs="Times New Roman"/>
                      <w:color w:val="0000FF"/>
                      <w:spacing w:val="-3"/>
                      <w:sz w:val="28"/>
                      <w:szCs w:val="28"/>
                      <w:u w:val="single" w:color="0000FF"/>
                      <w:lang w:val="es-ES"/>
                    </w:rPr>
                    <w:t>e</w:t>
                  </w:r>
                  <w:r w:rsidR="00F62A34" w:rsidRPr="006F7910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d</w:t>
                  </w:r>
                  <w:r w:rsidR="00F62A34" w:rsidRPr="006F7910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u</w:t>
                  </w:r>
                  <w:r w:rsidR="00F62A34" w:rsidRPr="006F7910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.cu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97C" w:rsidRDefault="00DA497C" w:rsidP="000827E4">
      <w:pPr>
        <w:spacing w:after="0" w:line="240" w:lineRule="auto"/>
      </w:pPr>
      <w:r>
        <w:separator/>
      </w:r>
    </w:p>
  </w:footnote>
  <w:footnote w:type="continuationSeparator" w:id="0">
    <w:p w:rsidR="00DA497C" w:rsidRDefault="00DA497C" w:rsidP="00082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7E4" w:rsidRDefault="00E5146D">
    <w:pPr>
      <w:spacing w:after="0" w:line="200" w:lineRule="exact"/>
      <w:rPr>
        <w:sz w:val="20"/>
        <w:szCs w:val="20"/>
      </w:rPr>
    </w:pPr>
    <w:r w:rsidRPr="00E5146D">
      <w:pict>
        <v:group id="_x0000_s1028" style="position:absolute;margin-left:509.25pt;margin-top:15pt;width:57.7pt;height:130.1pt;z-index:-251660288;mso-position-horizontal-relative:page;mso-position-vertical-relative:page" coordorigin="10185,300" coordsize="1154,26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10185;top:300;width:1125;height:1317">
            <v:imagedata r:id="rId1" o:title=""/>
          </v:shape>
          <v:shape id="_x0000_s1029" type="#_x0000_t75" style="position:absolute;left:10190;top:1617;width:1149;height:1285">
            <v:imagedata r:id="rId2" o:title=""/>
          </v:shape>
          <w10:wrap anchorx="page" anchory="page"/>
        </v:group>
      </w:pict>
    </w:r>
    <w:r w:rsidRPr="00E514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13.85pt;margin-top:28.7pt;width:367.55pt;height:41.6pt;z-index:-251659264;mso-position-horizontal-relative:page;mso-position-vertical-relative:page" filled="f" stroked="f">
          <v:textbox style="mso-next-textbox:#_x0000_s1027" inset="0,0,0,0">
            <w:txbxContent>
              <w:p w:rsidR="000827E4" w:rsidRPr="006F7910" w:rsidRDefault="00F62A34">
                <w:pPr>
                  <w:spacing w:after="0" w:line="265" w:lineRule="exact"/>
                  <w:ind w:left="-18" w:right="-38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P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N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TI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L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 O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F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4"/>
                    <w:szCs w:val="24"/>
                    <w:lang w:val="es-ES"/>
                  </w:rPr>
                  <w:t>I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CI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A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L 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P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 LA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5"/>
                    <w:sz w:val="24"/>
                    <w:szCs w:val="24"/>
                    <w:lang w:val="es-ES"/>
                  </w:rPr>
                  <w:t xml:space="preserve"> 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P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S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ENTA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Ó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N 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D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 TRABAJOS</w:t>
                </w:r>
              </w:p>
              <w:p w:rsidR="000827E4" w:rsidRPr="006F7910" w:rsidRDefault="00F62A34">
                <w:pPr>
                  <w:spacing w:after="0" w:line="240" w:lineRule="auto"/>
                  <w:ind w:left="865" w:right="84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II 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C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ONVEN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Ó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N 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E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NT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Í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F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ICA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 xml:space="preserve"> 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INT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E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R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N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4"/>
                    <w:szCs w:val="24"/>
                    <w:lang w:val="es-ES"/>
                  </w:rPr>
                  <w:t>I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ONAL</w:t>
                </w:r>
              </w:p>
              <w:p w:rsidR="000827E4" w:rsidRPr="006F7910" w:rsidRDefault="00F62A34">
                <w:pPr>
                  <w:spacing w:after="0" w:line="240" w:lineRule="auto"/>
                  <w:ind w:left="2536" w:right="251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“II C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 U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LV 2019”</w:t>
                </w:r>
              </w:p>
            </w:txbxContent>
          </v:textbox>
          <w10:wrap anchorx="page" anchory="page"/>
        </v:shape>
      </w:pict>
    </w:r>
    <w:r w:rsidRPr="00E5146D">
      <w:pict>
        <v:shape id="_x0000_s1026" type="#_x0000_t202" style="position:absolute;margin-left:200.65pt;margin-top:83.9pt;width:194.15pt;height:27.8pt;z-index:-251658240;mso-position-horizontal-relative:page;mso-position-vertical-relative:page" filled="f" stroked="f">
          <v:textbox style="mso-next-textbox:#_x0000_s1026" inset="0,0,0,0">
            <w:txbxContent>
              <w:p w:rsidR="000827E4" w:rsidRPr="006F7910" w:rsidRDefault="00F62A34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DEL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23 AL 30 DE JUNIO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DEL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2019.</w:t>
                </w:r>
              </w:p>
              <w:p w:rsidR="000827E4" w:rsidRPr="006F7910" w:rsidRDefault="00F62A34">
                <w:pPr>
                  <w:spacing w:after="0" w:line="240" w:lineRule="auto"/>
                  <w:ind w:left="27" w:right="-46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A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YOS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DE VILLA 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A.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U</w:t>
                </w:r>
                <w:r w:rsidRPr="006F79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BA.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5C3C"/>
    <w:multiLevelType w:val="hybridMultilevel"/>
    <w:tmpl w:val="4DAC5262"/>
    <w:lvl w:ilvl="0" w:tplc="F4A6459A">
      <w:start w:val="1"/>
      <w:numFmt w:val="decimal"/>
      <w:lvlText w:val="%1-"/>
      <w:lvlJc w:val="left"/>
      <w:pPr>
        <w:ind w:left="822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542" w:hanging="360"/>
      </w:pPr>
    </w:lvl>
    <w:lvl w:ilvl="2" w:tplc="0C0A001B" w:tentative="1">
      <w:start w:val="1"/>
      <w:numFmt w:val="lowerRoman"/>
      <w:lvlText w:val="%3."/>
      <w:lvlJc w:val="right"/>
      <w:pPr>
        <w:ind w:left="2262" w:hanging="180"/>
      </w:pPr>
    </w:lvl>
    <w:lvl w:ilvl="3" w:tplc="0C0A000F" w:tentative="1">
      <w:start w:val="1"/>
      <w:numFmt w:val="decimal"/>
      <w:lvlText w:val="%4."/>
      <w:lvlJc w:val="left"/>
      <w:pPr>
        <w:ind w:left="2982" w:hanging="360"/>
      </w:pPr>
    </w:lvl>
    <w:lvl w:ilvl="4" w:tplc="0C0A0019" w:tentative="1">
      <w:start w:val="1"/>
      <w:numFmt w:val="lowerLetter"/>
      <w:lvlText w:val="%5."/>
      <w:lvlJc w:val="left"/>
      <w:pPr>
        <w:ind w:left="3702" w:hanging="360"/>
      </w:pPr>
    </w:lvl>
    <w:lvl w:ilvl="5" w:tplc="0C0A001B" w:tentative="1">
      <w:start w:val="1"/>
      <w:numFmt w:val="lowerRoman"/>
      <w:lvlText w:val="%6."/>
      <w:lvlJc w:val="right"/>
      <w:pPr>
        <w:ind w:left="4422" w:hanging="180"/>
      </w:pPr>
    </w:lvl>
    <w:lvl w:ilvl="6" w:tplc="0C0A000F" w:tentative="1">
      <w:start w:val="1"/>
      <w:numFmt w:val="decimal"/>
      <w:lvlText w:val="%7."/>
      <w:lvlJc w:val="left"/>
      <w:pPr>
        <w:ind w:left="5142" w:hanging="360"/>
      </w:pPr>
    </w:lvl>
    <w:lvl w:ilvl="7" w:tplc="0C0A0019" w:tentative="1">
      <w:start w:val="1"/>
      <w:numFmt w:val="lowerLetter"/>
      <w:lvlText w:val="%8."/>
      <w:lvlJc w:val="left"/>
      <w:pPr>
        <w:ind w:left="5862" w:hanging="360"/>
      </w:pPr>
    </w:lvl>
    <w:lvl w:ilvl="8" w:tplc="0C0A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827E4"/>
    <w:rsid w:val="000827E4"/>
    <w:rsid w:val="002869CB"/>
    <w:rsid w:val="00392145"/>
    <w:rsid w:val="003A102A"/>
    <w:rsid w:val="004A4837"/>
    <w:rsid w:val="004F2BFE"/>
    <w:rsid w:val="00631795"/>
    <w:rsid w:val="006F7910"/>
    <w:rsid w:val="0078049D"/>
    <w:rsid w:val="00827CDC"/>
    <w:rsid w:val="00AA18D0"/>
    <w:rsid w:val="00D15144"/>
    <w:rsid w:val="00D574A1"/>
    <w:rsid w:val="00DA497C"/>
    <w:rsid w:val="00E5146D"/>
    <w:rsid w:val="00F62A34"/>
    <w:rsid w:val="00FB0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27CD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48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hell@biocen.c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idelys.diaz@biocen.cu" TargetMode="External"/><Relationship Id="rId12" Type="http://schemas.openxmlformats.org/officeDocument/2006/relationships/hyperlink" Target="mailto:omayo@infomed.sld.c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mayo@quimica.cujae.edu.c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nna@biocen.c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nel@biocen.c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/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Editor</cp:lastModifiedBy>
  <cp:revision>4</cp:revision>
  <dcterms:created xsi:type="dcterms:W3CDTF">2019-03-09T18:44:00Z</dcterms:created>
  <dcterms:modified xsi:type="dcterms:W3CDTF">2019-03-09T18:52:00Z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LastSaved">
    <vt:filetime>2019-03-05T00:00:00Z</vt:filetime>
  </property>
</Properties>
</file>