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8" w:rsidRPr="00CE5B49" w:rsidRDefault="00CE5B49" w:rsidP="00CE5B49">
      <w:pPr>
        <w:rPr>
          <w:lang w:val="es-ES"/>
        </w:rPr>
      </w:pPr>
      <w:r w:rsidRPr="00CE5B49">
        <w:rPr>
          <w:lang w:val="es-ES"/>
        </w:rPr>
        <w:t xml:space="preserve">Las oportunidades de conservación de la energía en una fábrica de productos lácteos están en la refrigeración, la electricidad, la compresión de aire, suministro y distribución de agua, generación de vapor  y planta de tratamiento de residuales. La fábrica  de productos lácteos de Santa Clara presenta un conjunto de factores que incrementan los consumos energéticos y de agua, introduciendo riesgos técnicos, económicos y ambientales en la industria. El objetivo del trabajo es evaluar el sistema </w:t>
      </w:r>
      <w:proofErr w:type="spellStart"/>
      <w:r w:rsidRPr="00CE5B49">
        <w:rPr>
          <w:lang w:val="es-ES"/>
        </w:rPr>
        <w:t>termoenergético</w:t>
      </w:r>
      <w:proofErr w:type="spellEnd"/>
      <w:r w:rsidRPr="00CE5B49">
        <w:rPr>
          <w:lang w:val="es-ES"/>
        </w:rPr>
        <w:t xml:space="preserve"> y de circulación de agua, mediante la aplicación de sistemas de gestión de la energía y del agua. La gestión  energética realizada en las actuales condiciones de operación muestra altas pérdidas de calor, baja eficiencia térmica por concepto de vertimiento de condensados, fugas de vapor  y deficiente aislamiento térmico, lo que muestra un deficiente sistema de recuperación del calor y que determinan un beneficio potencial para proponer modificaciones tecnológicas factibles técnica y económicamente, las cuales se estiman que se recuperen  de 1 a 2 años.</w:t>
      </w:r>
    </w:p>
    <w:sectPr w:rsidR="00665428" w:rsidRPr="00CE5B49" w:rsidSect="0066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7D8B"/>
    <w:rsid w:val="00397D8B"/>
    <w:rsid w:val="00665428"/>
    <w:rsid w:val="00CE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>QF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juanpedro</dc:creator>
  <cp:keywords/>
  <dc:description/>
  <cp:lastModifiedBy>juanpedro</cp:lastModifiedBy>
  <cp:revision>2</cp:revision>
  <dcterms:created xsi:type="dcterms:W3CDTF">2019-03-14T13:50:00Z</dcterms:created>
  <dcterms:modified xsi:type="dcterms:W3CDTF">2019-03-14T13:50:00Z</dcterms:modified>
</cp:coreProperties>
</file>