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29" w:rsidRDefault="00266929">
      <w:pPr>
        <w:spacing w:before="5" w:after="0" w:line="120" w:lineRule="exact"/>
        <w:rPr>
          <w:sz w:val="12"/>
          <w:szCs w:val="12"/>
        </w:rPr>
      </w:pPr>
    </w:p>
    <w:p w:rsidR="00266929" w:rsidRPr="00561978" w:rsidRDefault="00BE272B" w:rsidP="00561978">
      <w:pPr>
        <w:spacing w:before="44" w:after="0" w:line="275" w:lineRule="auto"/>
        <w:ind w:left="84" w:right="1201" w:hanging="5"/>
        <w:jc w:val="center"/>
        <w:rPr>
          <w:rStyle w:val="Strong"/>
          <w:rFonts w:ascii="Times New Roman" w:hAnsi="Times New Roman" w:cs="Times New Roman"/>
          <w:color w:val="000000"/>
          <w:sz w:val="28"/>
          <w:szCs w:val="28"/>
          <w:lang w:val="es-ES"/>
        </w:rPr>
      </w:pPr>
      <w:r w:rsidRPr="00BE272B">
        <w:rPr>
          <w:rStyle w:val="Strong"/>
          <w:rFonts w:ascii="Times New Roman" w:hAnsi="Times New Roman" w:cs="Times New Roman"/>
          <w:color w:val="000000"/>
          <w:sz w:val="28"/>
          <w:szCs w:val="28"/>
          <w:lang w:val="es-ES"/>
        </w:rPr>
        <w:t>VII SIMPOSIO INTERNACIONAL DE QUÍMICA</w:t>
      </w:r>
      <w:r w:rsidR="0065281F">
        <w:rPr>
          <w:rStyle w:val="Strong"/>
          <w:rFonts w:ascii="Times New Roman" w:hAnsi="Times New Roman" w:cs="Times New Roman"/>
          <w:color w:val="000000"/>
          <w:sz w:val="28"/>
          <w:szCs w:val="28"/>
          <w:lang w:val="es-ES"/>
        </w:rPr>
        <w:t>.</w:t>
      </w:r>
      <w:r w:rsidR="0065281F" w:rsidRPr="0065281F">
        <w:rPr>
          <w:rStyle w:val="Strong"/>
          <w:rFonts w:ascii="Times New Roman" w:hAnsi="Times New Roman" w:cs="Times New Roman"/>
          <w:color w:val="000000"/>
          <w:sz w:val="28"/>
          <w:szCs w:val="28"/>
          <w:lang w:val="es-ES"/>
        </w:rPr>
        <w:t xml:space="preserve"> </w:t>
      </w:r>
      <w:r w:rsidR="00561978" w:rsidRPr="00561978">
        <w:rPr>
          <w:rStyle w:val="Strong"/>
          <w:rFonts w:ascii="Times New Roman" w:hAnsi="Times New Roman" w:cs="Times New Roman"/>
          <w:color w:val="000000"/>
          <w:sz w:val="28"/>
          <w:szCs w:val="28"/>
          <w:lang w:val="es-ES"/>
        </w:rPr>
        <w:t>VII SIMPOSIO “DISEÑO, OBTENCIÓN Y DESARROLLO DE FÁRMACOS”</w:t>
      </w:r>
    </w:p>
    <w:p w:rsidR="00266929" w:rsidRPr="00BE272B" w:rsidRDefault="00266929">
      <w:pPr>
        <w:spacing w:after="0" w:line="200" w:lineRule="exact"/>
        <w:rPr>
          <w:sz w:val="20"/>
          <w:szCs w:val="20"/>
          <w:lang w:val="es-ES"/>
        </w:rPr>
      </w:pPr>
    </w:p>
    <w:p w:rsidR="00C74600" w:rsidRPr="00C74600" w:rsidRDefault="00C74600" w:rsidP="00C74600">
      <w:pPr>
        <w:spacing w:before="72"/>
        <w:jc w:val="center"/>
        <w:outlineLvl w:val="2"/>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E</w:t>
      </w:r>
      <w:r w:rsidRPr="00C74600">
        <w:rPr>
          <w:rFonts w:ascii="Times New Roman" w:eastAsia="Times New Roman" w:hAnsi="Times New Roman" w:cs="Times New Roman"/>
          <w:b/>
          <w:bCs/>
          <w:sz w:val="28"/>
          <w:szCs w:val="28"/>
          <w:lang w:val="es-ES"/>
        </w:rPr>
        <w:t xml:space="preserve">studios de comparabilidad después de cambios proceso de producción de  </w:t>
      </w:r>
      <w:r>
        <w:rPr>
          <w:rFonts w:ascii="Times New Roman" w:eastAsia="Times New Roman" w:hAnsi="Times New Roman" w:cs="Times New Roman"/>
          <w:b/>
          <w:bCs/>
          <w:sz w:val="28"/>
          <w:szCs w:val="28"/>
          <w:lang w:val="es-ES"/>
        </w:rPr>
        <w:t>I</w:t>
      </w:r>
      <w:r w:rsidRPr="00C74600">
        <w:rPr>
          <w:rFonts w:ascii="Times New Roman" w:eastAsia="Times New Roman" w:hAnsi="Times New Roman" w:cs="Times New Roman"/>
          <w:b/>
          <w:bCs/>
          <w:sz w:val="28"/>
          <w:szCs w:val="28"/>
          <w:lang w:val="es-ES"/>
        </w:rPr>
        <w:t xml:space="preserve">ngredientes </w:t>
      </w:r>
      <w:r>
        <w:rPr>
          <w:rFonts w:ascii="Times New Roman" w:eastAsia="Times New Roman" w:hAnsi="Times New Roman" w:cs="Times New Roman"/>
          <w:b/>
          <w:bCs/>
          <w:sz w:val="28"/>
          <w:szCs w:val="28"/>
          <w:lang w:val="es-ES"/>
        </w:rPr>
        <w:t>F</w:t>
      </w:r>
      <w:r w:rsidRPr="00C74600">
        <w:rPr>
          <w:rFonts w:ascii="Times New Roman" w:eastAsia="Times New Roman" w:hAnsi="Times New Roman" w:cs="Times New Roman"/>
          <w:b/>
          <w:bCs/>
          <w:sz w:val="28"/>
          <w:szCs w:val="28"/>
          <w:lang w:val="es-ES"/>
        </w:rPr>
        <w:t xml:space="preserve">armacéuticos </w:t>
      </w:r>
      <w:r>
        <w:rPr>
          <w:rFonts w:ascii="Times New Roman" w:eastAsia="Times New Roman" w:hAnsi="Times New Roman" w:cs="Times New Roman"/>
          <w:b/>
          <w:bCs/>
          <w:sz w:val="28"/>
          <w:szCs w:val="28"/>
          <w:lang w:val="es-ES"/>
        </w:rPr>
        <w:t>A</w:t>
      </w:r>
      <w:r w:rsidRPr="00C74600">
        <w:rPr>
          <w:rFonts w:ascii="Times New Roman" w:eastAsia="Times New Roman" w:hAnsi="Times New Roman" w:cs="Times New Roman"/>
          <w:b/>
          <w:bCs/>
          <w:sz w:val="28"/>
          <w:szCs w:val="28"/>
          <w:lang w:val="es-ES"/>
        </w:rPr>
        <w:t>ctivos</w:t>
      </w:r>
    </w:p>
    <w:p w:rsidR="00BE272B" w:rsidRPr="00C06DDC" w:rsidRDefault="00BE272B" w:rsidP="00EC263D">
      <w:pPr>
        <w:spacing w:before="44" w:after="0" w:line="240" w:lineRule="auto"/>
        <w:ind w:right="1259"/>
        <w:rPr>
          <w:sz w:val="16"/>
          <w:szCs w:val="16"/>
          <w:lang w:val="es-ES"/>
        </w:rPr>
      </w:pPr>
    </w:p>
    <w:p w:rsidR="00BE272B" w:rsidRDefault="00BE272B">
      <w:pPr>
        <w:spacing w:after="0" w:line="240" w:lineRule="auto"/>
        <w:ind w:left="4048" w:right="5166"/>
        <w:jc w:val="center"/>
        <w:rPr>
          <w:rFonts w:ascii="Times New Roman" w:eastAsia="Times New Roman" w:hAnsi="Times New Roman" w:cs="Times New Roman"/>
          <w:b/>
          <w:bCs/>
          <w:i/>
          <w:spacing w:val="-1"/>
          <w:sz w:val="28"/>
          <w:szCs w:val="28"/>
          <w:lang w:val="es-ES"/>
        </w:rPr>
      </w:pPr>
    </w:p>
    <w:p w:rsidR="00BE272B" w:rsidRPr="00FA71FE" w:rsidRDefault="00C74600" w:rsidP="00BE272B">
      <w:pPr>
        <w:spacing w:after="0" w:line="200" w:lineRule="exact"/>
        <w:jc w:val="center"/>
        <w:rPr>
          <w:rFonts w:ascii="Times New Roman" w:eastAsia="Times New Roman" w:hAnsi="Times New Roman" w:cs="Times New Roman"/>
          <w:b/>
          <w:bCs/>
          <w:i/>
          <w:sz w:val="28"/>
          <w:szCs w:val="28"/>
        </w:rPr>
      </w:pPr>
      <w:r w:rsidRPr="00C74600">
        <w:rPr>
          <w:rFonts w:ascii="Times New Roman" w:eastAsia="Times New Roman" w:hAnsi="Times New Roman" w:cs="Times New Roman"/>
          <w:b/>
          <w:bCs/>
          <w:i/>
          <w:sz w:val="28"/>
          <w:szCs w:val="28"/>
        </w:rPr>
        <w:t>Comparability studies after changes in the production process of Active Pharmaceutical Ingredients</w:t>
      </w:r>
    </w:p>
    <w:p w:rsidR="00266929" w:rsidRPr="0065281F" w:rsidRDefault="00BE272B" w:rsidP="00BE272B">
      <w:pPr>
        <w:spacing w:before="41" w:after="0" w:line="275" w:lineRule="auto"/>
        <w:ind w:left="290" w:right="1410"/>
        <w:jc w:val="center"/>
        <w:rPr>
          <w:rFonts w:ascii="Times New Roman" w:eastAsia="Times New Roman" w:hAnsi="Times New Roman" w:cs="Times New Roman"/>
          <w:sz w:val="24"/>
          <w:szCs w:val="24"/>
        </w:rPr>
      </w:pPr>
      <w:r w:rsidRPr="00BE272B">
        <w:rPr>
          <w:rFonts w:ascii="Times New Roman" w:eastAsia="Times New Roman" w:hAnsi="Times New Roman" w:cs="Times New Roman"/>
          <w:spacing w:val="-1"/>
          <w:sz w:val="24"/>
          <w:szCs w:val="24"/>
        </w:rPr>
        <w:t xml:space="preserve"> </w:t>
      </w:r>
    </w:p>
    <w:p w:rsidR="00266929" w:rsidRPr="0065281F" w:rsidRDefault="00266929">
      <w:pPr>
        <w:spacing w:before="7" w:after="0" w:line="180" w:lineRule="exact"/>
        <w:rPr>
          <w:sz w:val="18"/>
          <w:szCs w:val="18"/>
        </w:rPr>
      </w:pPr>
    </w:p>
    <w:p w:rsidR="00266929" w:rsidRPr="0065281F" w:rsidRDefault="00266929">
      <w:pPr>
        <w:spacing w:after="0" w:line="200" w:lineRule="exact"/>
        <w:rPr>
          <w:sz w:val="20"/>
          <w:szCs w:val="20"/>
        </w:rPr>
      </w:pPr>
    </w:p>
    <w:p w:rsidR="00BE272B" w:rsidRPr="00FA71FE" w:rsidRDefault="00BE272B" w:rsidP="00BE272B">
      <w:pPr>
        <w:spacing w:after="0" w:line="240" w:lineRule="auto"/>
        <w:ind w:left="1952" w:right="3067"/>
        <w:jc w:val="both"/>
        <w:rPr>
          <w:rFonts w:ascii="Times New Roman" w:eastAsia="Times New Roman" w:hAnsi="Times New Roman" w:cs="Times New Roman"/>
          <w:b/>
          <w:bCs/>
          <w:sz w:val="24"/>
          <w:szCs w:val="24"/>
          <w:lang w:val="es-ES"/>
        </w:rPr>
      </w:pPr>
      <w:proofErr w:type="spellStart"/>
      <w:r w:rsidRPr="00FA71FE">
        <w:rPr>
          <w:rFonts w:ascii="Times New Roman" w:eastAsia="Times New Roman" w:hAnsi="Times New Roman" w:cs="Times New Roman"/>
          <w:b/>
          <w:bCs/>
          <w:sz w:val="24"/>
          <w:szCs w:val="24"/>
          <w:lang w:val="es-ES"/>
        </w:rPr>
        <w:t>Mayté</w:t>
      </w:r>
      <w:proofErr w:type="spellEnd"/>
      <w:r w:rsidRPr="00FA71FE">
        <w:rPr>
          <w:rFonts w:ascii="Times New Roman" w:eastAsia="Times New Roman" w:hAnsi="Times New Roman" w:cs="Times New Roman"/>
          <w:b/>
          <w:bCs/>
          <w:sz w:val="24"/>
          <w:szCs w:val="24"/>
          <w:lang w:val="es-ES"/>
        </w:rPr>
        <w:t xml:space="preserve"> </w:t>
      </w:r>
      <w:r w:rsidRPr="00BA4D70">
        <w:rPr>
          <w:rFonts w:ascii="Times New Roman" w:eastAsia="Times New Roman" w:hAnsi="Times New Roman" w:cs="Times New Roman"/>
          <w:b/>
          <w:bCs/>
          <w:sz w:val="24"/>
          <w:szCs w:val="24"/>
          <w:lang w:val="es-ES"/>
        </w:rPr>
        <w:t>Pérez C</w:t>
      </w:r>
      <w:r w:rsidRPr="00FA71FE">
        <w:rPr>
          <w:rFonts w:ascii="Times New Roman" w:eastAsia="Times New Roman" w:hAnsi="Times New Roman" w:cs="Times New Roman"/>
          <w:b/>
          <w:bCs/>
          <w:sz w:val="24"/>
          <w:szCs w:val="24"/>
          <w:lang w:val="es-ES"/>
        </w:rPr>
        <w:t>aballero</w:t>
      </w:r>
      <w:r w:rsidRPr="00BA4D70">
        <w:rPr>
          <w:rFonts w:ascii="Times New Roman" w:eastAsia="Times New Roman" w:hAnsi="Times New Roman" w:cs="Times New Roman"/>
          <w:b/>
          <w:bCs/>
          <w:sz w:val="24"/>
          <w:szCs w:val="24"/>
          <w:vertAlign w:val="superscript"/>
          <w:lang w:val="es-ES"/>
        </w:rPr>
        <w:t>1</w:t>
      </w:r>
      <w:r w:rsidRPr="00FA71FE">
        <w:rPr>
          <w:rFonts w:ascii="Times New Roman" w:eastAsia="Times New Roman" w:hAnsi="Times New Roman" w:cs="Times New Roman"/>
          <w:b/>
          <w:bCs/>
          <w:sz w:val="24"/>
          <w:szCs w:val="24"/>
          <w:lang w:val="es-ES"/>
        </w:rPr>
        <w:t xml:space="preserve">, </w:t>
      </w:r>
      <w:r w:rsidR="00BA4D70">
        <w:rPr>
          <w:rFonts w:ascii="Times New Roman" w:eastAsia="Times New Roman" w:hAnsi="Times New Roman" w:cs="Times New Roman"/>
          <w:b/>
          <w:bCs/>
          <w:sz w:val="24"/>
          <w:szCs w:val="24"/>
          <w:lang w:val="es-ES"/>
        </w:rPr>
        <w:t>Denis Álvarez Betancourt</w:t>
      </w:r>
      <w:r w:rsidR="00BA4D70" w:rsidRPr="00BA4D70">
        <w:rPr>
          <w:rFonts w:ascii="Times New Roman" w:eastAsia="Times New Roman" w:hAnsi="Times New Roman" w:cs="Times New Roman"/>
          <w:b/>
          <w:bCs/>
          <w:sz w:val="24"/>
          <w:szCs w:val="24"/>
          <w:vertAlign w:val="superscript"/>
          <w:lang w:val="es-ES"/>
        </w:rPr>
        <w:t>2</w:t>
      </w:r>
      <w:r w:rsidR="00BA4D70" w:rsidRPr="00BA4D70">
        <w:rPr>
          <w:rFonts w:ascii="Times New Roman" w:eastAsia="Times New Roman" w:hAnsi="Times New Roman" w:cs="Times New Roman"/>
          <w:b/>
          <w:bCs/>
          <w:sz w:val="24"/>
          <w:szCs w:val="24"/>
          <w:lang w:val="es-ES"/>
        </w:rPr>
        <w:t>,  Ivonne Rodríguez Lima</w:t>
      </w:r>
      <w:r w:rsidR="00BA4D70" w:rsidRPr="00BA4D70">
        <w:rPr>
          <w:rFonts w:ascii="Times New Roman" w:eastAsia="Times New Roman" w:hAnsi="Times New Roman" w:cs="Times New Roman"/>
          <w:b/>
          <w:bCs/>
          <w:sz w:val="24"/>
          <w:szCs w:val="24"/>
          <w:vertAlign w:val="superscript"/>
          <w:lang w:val="es-ES"/>
        </w:rPr>
        <w:t>3</w:t>
      </w:r>
      <w:r w:rsidR="00BA4D70" w:rsidRPr="00BA4D70">
        <w:rPr>
          <w:rFonts w:ascii="Times New Roman" w:eastAsia="Times New Roman" w:hAnsi="Times New Roman" w:cs="Times New Roman"/>
          <w:b/>
          <w:bCs/>
          <w:sz w:val="24"/>
          <w:szCs w:val="24"/>
          <w:lang w:val="es-ES"/>
        </w:rPr>
        <w:t>,  Danelis Velázquez Cabrera</w:t>
      </w:r>
      <w:r w:rsidR="00BA4D70" w:rsidRPr="00BA4D70">
        <w:rPr>
          <w:rFonts w:ascii="Times New Roman" w:eastAsia="Times New Roman" w:hAnsi="Times New Roman" w:cs="Times New Roman"/>
          <w:b/>
          <w:bCs/>
          <w:sz w:val="24"/>
          <w:szCs w:val="24"/>
          <w:vertAlign w:val="superscript"/>
          <w:lang w:val="es-ES"/>
        </w:rPr>
        <w:t>4</w:t>
      </w:r>
      <w:r w:rsidR="00BA4D70" w:rsidRPr="00BA4D70">
        <w:rPr>
          <w:rFonts w:ascii="Times New Roman" w:eastAsia="Times New Roman" w:hAnsi="Times New Roman" w:cs="Times New Roman"/>
          <w:b/>
          <w:bCs/>
          <w:sz w:val="24"/>
          <w:szCs w:val="24"/>
          <w:lang w:val="es-ES"/>
        </w:rPr>
        <w:t>, Yurisleydis Aldama Casas</w:t>
      </w:r>
      <w:r w:rsidR="00BA4D70">
        <w:rPr>
          <w:rFonts w:ascii="Times New Roman" w:eastAsia="Times New Roman" w:hAnsi="Times New Roman" w:cs="Times New Roman"/>
          <w:b/>
          <w:bCs/>
          <w:sz w:val="24"/>
          <w:szCs w:val="24"/>
          <w:lang w:val="es-ES"/>
        </w:rPr>
        <w:t>5</w:t>
      </w:r>
      <w:r w:rsidR="00BA4D70" w:rsidRPr="00BA4D70">
        <w:rPr>
          <w:rFonts w:ascii="Times New Roman" w:eastAsia="Times New Roman" w:hAnsi="Times New Roman" w:cs="Times New Roman"/>
          <w:b/>
          <w:bCs/>
          <w:sz w:val="24"/>
          <w:szCs w:val="24"/>
          <w:lang w:val="es-ES"/>
        </w:rPr>
        <w:t>, Lourdes Costa Anguiano</w:t>
      </w:r>
      <w:r w:rsidR="00BA4D70" w:rsidRPr="00BA4D70">
        <w:rPr>
          <w:rFonts w:ascii="Times New Roman" w:eastAsia="Times New Roman" w:hAnsi="Times New Roman" w:cs="Times New Roman"/>
          <w:b/>
          <w:bCs/>
          <w:sz w:val="24"/>
          <w:szCs w:val="24"/>
          <w:vertAlign w:val="superscript"/>
          <w:lang w:val="es-ES"/>
        </w:rPr>
        <w:t>6</w:t>
      </w:r>
      <w:r w:rsidR="00BA4D70" w:rsidRPr="00BA4D70">
        <w:rPr>
          <w:rFonts w:ascii="Times New Roman" w:eastAsia="Times New Roman" w:hAnsi="Times New Roman" w:cs="Times New Roman"/>
          <w:b/>
          <w:bCs/>
          <w:sz w:val="24"/>
          <w:szCs w:val="24"/>
          <w:lang w:val="es-ES"/>
        </w:rPr>
        <w:t>, Yair Quiñones Maya</w:t>
      </w:r>
      <w:r w:rsidR="00BA4D70" w:rsidRPr="00BA4D70">
        <w:rPr>
          <w:rFonts w:ascii="Times New Roman" w:eastAsia="Times New Roman" w:hAnsi="Times New Roman" w:cs="Times New Roman"/>
          <w:b/>
          <w:bCs/>
          <w:sz w:val="24"/>
          <w:szCs w:val="24"/>
          <w:vertAlign w:val="superscript"/>
          <w:lang w:val="es-ES"/>
        </w:rPr>
        <w:t>7</w:t>
      </w:r>
      <w:r w:rsidR="00BA4D70" w:rsidRPr="00BA4D70">
        <w:rPr>
          <w:rFonts w:ascii="Times New Roman" w:eastAsia="Times New Roman" w:hAnsi="Times New Roman" w:cs="Times New Roman"/>
          <w:b/>
          <w:bCs/>
          <w:sz w:val="24"/>
          <w:szCs w:val="24"/>
          <w:lang w:val="es-ES"/>
        </w:rPr>
        <w:t>, Jorge Luis Vega  Elias</w:t>
      </w:r>
      <w:r w:rsidR="00BA4D70" w:rsidRPr="00BA4D70">
        <w:rPr>
          <w:rFonts w:ascii="Times New Roman" w:eastAsia="Times New Roman" w:hAnsi="Times New Roman" w:cs="Times New Roman"/>
          <w:b/>
          <w:bCs/>
          <w:sz w:val="24"/>
          <w:szCs w:val="24"/>
          <w:vertAlign w:val="superscript"/>
          <w:lang w:val="es-ES"/>
        </w:rPr>
        <w:t>8</w:t>
      </w:r>
    </w:p>
    <w:p w:rsidR="00BE272B" w:rsidRPr="00BA4D70" w:rsidRDefault="00BE272B" w:rsidP="00BE272B">
      <w:pPr>
        <w:spacing w:after="0" w:line="200" w:lineRule="exact"/>
        <w:jc w:val="both"/>
        <w:rPr>
          <w:rFonts w:ascii="Times New Roman" w:eastAsia="Times New Roman" w:hAnsi="Times New Roman" w:cs="Times New Roman"/>
          <w:b/>
          <w:bCs/>
          <w:sz w:val="24"/>
          <w:szCs w:val="24"/>
          <w:lang w:val="es-ES"/>
        </w:rPr>
      </w:pPr>
    </w:p>
    <w:p w:rsidR="00BE272B" w:rsidRPr="00C06DDC" w:rsidRDefault="00BE272B" w:rsidP="00BE272B">
      <w:pPr>
        <w:spacing w:after="0" w:line="200" w:lineRule="exact"/>
        <w:jc w:val="both"/>
        <w:rPr>
          <w:sz w:val="20"/>
          <w:szCs w:val="20"/>
          <w:lang w:val="es-ES"/>
        </w:rPr>
      </w:pPr>
    </w:p>
    <w:p w:rsidR="00BE272B" w:rsidRPr="00C06DDC" w:rsidRDefault="00BE272B" w:rsidP="00BE272B">
      <w:pPr>
        <w:spacing w:after="0" w:line="240" w:lineRule="auto"/>
        <w:ind w:left="102" w:right="-20"/>
        <w:jc w:val="both"/>
        <w:rPr>
          <w:rFonts w:ascii="Times New Roman" w:eastAsia="Times New Roman" w:hAnsi="Times New Roman" w:cs="Times New Roman"/>
          <w:sz w:val="24"/>
          <w:szCs w:val="24"/>
          <w:lang w:val="es-ES"/>
        </w:rPr>
      </w:pPr>
      <w:r w:rsidRPr="00C06DDC">
        <w:rPr>
          <w:rFonts w:ascii="Times New Roman" w:eastAsia="Times New Roman" w:hAnsi="Times New Roman" w:cs="Times New Roman"/>
          <w:sz w:val="24"/>
          <w:szCs w:val="24"/>
          <w:lang w:val="es-ES"/>
        </w:rPr>
        <w:t>1</w:t>
      </w:r>
      <w:r w:rsidRPr="00C06DDC">
        <w:rPr>
          <w:rFonts w:ascii="Times New Roman" w:eastAsia="Times New Roman" w:hAnsi="Times New Roman" w:cs="Times New Roman"/>
          <w:spacing w:val="-1"/>
          <w:sz w:val="24"/>
          <w:szCs w:val="24"/>
          <w:lang w:val="es-ES"/>
        </w:rPr>
        <w:t>-</w:t>
      </w:r>
      <w:r w:rsidRPr="00FA71FE">
        <w:rPr>
          <w:rFonts w:ascii="Times New Roman" w:eastAsia="Times New Roman" w:hAnsi="Times New Roman" w:cs="Times New Roman"/>
          <w:b/>
          <w:bCs/>
          <w:sz w:val="24"/>
          <w:szCs w:val="24"/>
          <w:lang w:val="es-ES"/>
        </w:rPr>
        <w:t xml:space="preserve"> </w:t>
      </w:r>
      <w:proofErr w:type="spellStart"/>
      <w:r w:rsidRPr="00FA71FE">
        <w:rPr>
          <w:rFonts w:ascii="Times New Roman" w:eastAsia="Times New Roman" w:hAnsi="Times New Roman" w:cs="Times New Roman"/>
          <w:bCs/>
          <w:sz w:val="24"/>
          <w:szCs w:val="24"/>
          <w:lang w:val="es-ES"/>
        </w:rPr>
        <w:t>Mayté</w:t>
      </w:r>
      <w:proofErr w:type="spellEnd"/>
      <w:r w:rsidRPr="00FA71FE">
        <w:rPr>
          <w:rFonts w:ascii="Times New Roman" w:eastAsia="Times New Roman" w:hAnsi="Times New Roman" w:cs="Times New Roman"/>
          <w:bCs/>
          <w:sz w:val="24"/>
          <w:szCs w:val="24"/>
          <w:lang w:val="es-ES"/>
        </w:rPr>
        <w:t xml:space="preserve"> Pérez Caballero</w:t>
      </w:r>
      <w:r w:rsidRPr="00C06DDC">
        <w:rPr>
          <w:rFonts w:ascii="Times New Roman" w:eastAsia="Times New Roman" w:hAnsi="Times New Roman" w:cs="Times New Roman"/>
          <w:sz w:val="24"/>
          <w:szCs w:val="24"/>
          <w:lang w:val="es-ES"/>
        </w:rPr>
        <w:t>.</w:t>
      </w:r>
      <w:r w:rsidRPr="00C06DDC">
        <w:rPr>
          <w:rFonts w:ascii="Times New Roman" w:eastAsia="Times New Roman" w:hAnsi="Times New Roman" w:cs="Times New Roman"/>
          <w:spacing w:val="3"/>
          <w:sz w:val="24"/>
          <w:szCs w:val="24"/>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rFonts w:ascii="Times New Roman" w:eastAsia="Times New Roman" w:hAnsi="Times New Roman" w:cs="Times New Roman"/>
          <w:sz w:val="24"/>
          <w:szCs w:val="24"/>
          <w:lang w:val="es-ES"/>
        </w:rPr>
        <w:t>:</w:t>
      </w:r>
      <w:r w:rsidRPr="00E0201D">
        <w:rPr>
          <w:rFonts w:ascii="Times New Roman" w:hAnsi="Times New Roman" w:cs="Times New Roman"/>
          <w:sz w:val="24"/>
          <w:szCs w:val="24"/>
          <w:lang w:val="es-ES"/>
        </w:rPr>
        <w:t xml:space="preserve"> </w:t>
      </w:r>
      <w:hyperlink r:id="rId7" w:history="1">
        <w:r w:rsidRPr="00E0201D">
          <w:rPr>
            <w:rStyle w:val="Hyperlink"/>
            <w:rFonts w:ascii="Times New Roman" w:hAnsi="Times New Roman" w:cs="Times New Roman"/>
            <w:bCs/>
            <w:sz w:val="24"/>
            <w:szCs w:val="24"/>
            <w:lang w:val="es-ES"/>
          </w:rPr>
          <w:t>mayte.perez@cigb.edu.cu</w:t>
        </w:r>
      </w:hyperlink>
    </w:p>
    <w:p w:rsidR="00BE272B" w:rsidRPr="00C06DDC" w:rsidRDefault="00BE272B" w:rsidP="00BE272B">
      <w:pPr>
        <w:spacing w:before="9" w:after="0" w:line="130" w:lineRule="exact"/>
        <w:jc w:val="both"/>
        <w:rPr>
          <w:sz w:val="13"/>
          <w:szCs w:val="13"/>
          <w:lang w:val="es-ES"/>
        </w:rPr>
      </w:pPr>
    </w:p>
    <w:p w:rsidR="00BE272B" w:rsidRPr="00E0201D" w:rsidRDefault="00BE272B" w:rsidP="00BE272B">
      <w:pPr>
        <w:spacing w:after="0" w:line="240" w:lineRule="auto"/>
        <w:ind w:left="102" w:right="-20"/>
        <w:jc w:val="both"/>
        <w:rPr>
          <w:rStyle w:val="Hyperlink"/>
          <w:rFonts w:ascii="Times New Roman" w:hAnsi="Times New Roman" w:cs="Times New Roman"/>
          <w:bCs/>
          <w:sz w:val="24"/>
          <w:szCs w:val="24"/>
          <w:lang w:val="es-ES"/>
        </w:rPr>
      </w:pPr>
      <w:r w:rsidRPr="00E0201D">
        <w:rPr>
          <w:rFonts w:ascii="Times New Roman" w:eastAsia="Times New Roman" w:hAnsi="Times New Roman" w:cs="Times New Roman"/>
          <w:bCs/>
          <w:sz w:val="24"/>
          <w:szCs w:val="24"/>
          <w:lang w:val="es-ES"/>
        </w:rPr>
        <w:t xml:space="preserve">2- </w:t>
      </w:r>
      <w:r w:rsidR="00BA4D70" w:rsidRPr="00BA4D70">
        <w:rPr>
          <w:rFonts w:ascii="Times New Roman" w:eastAsia="Times New Roman" w:hAnsi="Times New Roman" w:cs="Times New Roman"/>
          <w:bCs/>
          <w:sz w:val="24"/>
          <w:szCs w:val="24"/>
          <w:lang w:val="es-ES"/>
        </w:rPr>
        <w:t>Denis Álvarez Betancourt</w:t>
      </w:r>
      <w:r w:rsidRPr="00BA4D70">
        <w:rPr>
          <w:rFonts w:ascii="Times New Roman" w:eastAsia="Times New Roman" w:hAnsi="Times New Roman" w:cs="Times New Roman"/>
          <w:bCs/>
          <w:sz w:val="24"/>
          <w:szCs w:val="24"/>
          <w:lang w:val="es-ES"/>
        </w:rPr>
        <w:t>. Centro</w:t>
      </w:r>
      <w:r w:rsidRPr="00173793">
        <w:rPr>
          <w:rFonts w:ascii="Arial" w:hAnsi="Arial" w:cs="Arial"/>
          <w:bCs/>
          <w:sz w:val="20"/>
          <w:szCs w:val="20"/>
          <w:lang w:val="es-ES"/>
        </w:rPr>
        <w:t xml:space="preserve">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r w:rsidR="00BA4D70" w:rsidRPr="00BA4D70">
        <w:rPr>
          <w:rStyle w:val="Hyperlink"/>
          <w:rFonts w:ascii="Times New Roman" w:hAnsi="Times New Roman" w:cs="Times New Roman"/>
          <w:bCs/>
          <w:sz w:val="24"/>
          <w:szCs w:val="24"/>
          <w:lang w:val="es-ES"/>
        </w:rPr>
        <w:t>denis.alvarez</w:t>
      </w:r>
      <w:hyperlink r:id="rId8" w:history="1">
        <w:r w:rsidRPr="00E0201D">
          <w:rPr>
            <w:rStyle w:val="Hyperlink"/>
            <w:rFonts w:ascii="Times New Roman" w:hAnsi="Times New Roman" w:cs="Times New Roman"/>
            <w:bCs/>
            <w:sz w:val="24"/>
            <w:szCs w:val="24"/>
            <w:lang w:val="es-ES"/>
          </w:rPr>
          <w:t>@cigb.edu.cu</w:t>
        </w:r>
      </w:hyperlink>
    </w:p>
    <w:p w:rsidR="00BE272B" w:rsidRPr="00E0201D" w:rsidRDefault="00BE272B" w:rsidP="00BE272B">
      <w:pPr>
        <w:spacing w:after="0" w:line="240" w:lineRule="auto"/>
        <w:ind w:left="102" w:right="-20"/>
        <w:jc w:val="both"/>
        <w:rPr>
          <w:rFonts w:ascii="Times New Roman" w:eastAsia="Times New Roman" w:hAnsi="Times New Roman" w:cs="Times New Roman"/>
          <w:sz w:val="24"/>
          <w:szCs w:val="24"/>
          <w:lang w:val="es-ES"/>
        </w:rPr>
      </w:pPr>
    </w:p>
    <w:p w:rsidR="00BE272B" w:rsidRPr="00E0201D"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3-</w:t>
      </w:r>
      <w:r w:rsidRPr="00E0201D">
        <w:rPr>
          <w:rFonts w:ascii="Times New Roman" w:eastAsia="Times New Roman" w:hAnsi="Times New Roman" w:cs="Times New Roman"/>
          <w:bCs/>
          <w:sz w:val="24"/>
          <w:szCs w:val="24"/>
          <w:lang w:val="es-ES"/>
        </w:rPr>
        <w:t xml:space="preserve"> </w:t>
      </w:r>
      <w:r w:rsidR="00BA4D70" w:rsidRPr="00BA4D70">
        <w:rPr>
          <w:rFonts w:ascii="Arial" w:hAnsi="Arial" w:cs="Arial"/>
          <w:bCs/>
          <w:sz w:val="20"/>
          <w:szCs w:val="20"/>
          <w:lang w:val="es-ES"/>
        </w:rPr>
        <w:t>Ivonne Rodríguez Lima</w:t>
      </w:r>
      <w:r w:rsidRPr="00BA4D70">
        <w:rPr>
          <w:rFonts w:ascii="Arial" w:hAnsi="Arial" w:cs="Arial"/>
          <w:bCs/>
          <w:sz w:val="20"/>
          <w:szCs w:val="20"/>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BA4D70">
        <w:rPr>
          <w:rFonts w:ascii="Arial" w:hAnsi="Arial" w:cs="Arial"/>
          <w:bCs/>
          <w:sz w:val="20"/>
          <w:szCs w:val="20"/>
          <w:lang w:val="es-ES"/>
        </w:rPr>
        <w:t xml:space="preserve">, Cuba. E-mail: </w:t>
      </w:r>
      <w:r w:rsidR="00BA4D70" w:rsidRPr="00707129">
        <w:rPr>
          <w:rStyle w:val="Hyperlink"/>
          <w:rFonts w:ascii="Times New Roman" w:hAnsi="Times New Roman" w:cs="Times New Roman"/>
          <w:bCs/>
          <w:sz w:val="24"/>
          <w:szCs w:val="24"/>
          <w:lang w:val="es-ES"/>
        </w:rPr>
        <w:t>ivonne</w:t>
      </w:r>
      <w:r w:rsidR="00BA4D70" w:rsidRPr="00BA4D70">
        <w:rPr>
          <w:rStyle w:val="Hyperlink"/>
          <w:rFonts w:ascii="Times New Roman" w:hAnsi="Times New Roman" w:cs="Times New Roman"/>
          <w:bCs/>
          <w:sz w:val="24"/>
          <w:szCs w:val="24"/>
          <w:lang w:val="es-ES"/>
        </w:rPr>
        <w:t>.rodriguez</w:t>
      </w:r>
      <w:hyperlink r:id="rId9" w:history="1">
        <w:r w:rsidR="00BA4D70" w:rsidRPr="003F0677">
          <w:rPr>
            <w:rStyle w:val="Hyperlink"/>
            <w:rFonts w:ascii="Times New Roman" w:hAnsi="Times New Roman" w:cs="Times New Roman"/>
            <w:bCs/>
            <w:sz w:val="24"/>
            <w:szCs w:val="24"/>
            <w:lang w:val="es-ES"/>
          </w:rPr>
          <w:t>@cigb.edu.cu</w:t>
        </w:r>
      </w:hyperlink>
    </w:p>
    <w:p w:rsidR="00BE272B" w:rsidRPr="00E0201D" w:rsidRDefault="00BE272B" w:rsidP="00BE272B">
      <w:pPr>
        <w:spacing w:after="0" w:line="240" w:lineRule="auto"/>
        <w:ind w:left="102" w:right="-20"/>
        <w:jc w:val="both"/>
        <w:rPr>
          <w:lang w:val="es-ES"/>
        </w:rPr>
      </w:pPr>
    </w:p>
    <w:p w:rsid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4-</w:t>
      </w:r>
      <w:r w:rsidRPr="00E0201D">
        <w:rPr>
          <w:rFonts w:ascii="Times New Roman" w:eastAsia="Times New Roman" w:hAnsi="Times New Roman" w:cs="Times New Roman"/>
          <w:b/>
          <w:bCs/>
          <w:sz w:val="24"/>
          <w:szCs w:val="24"/>
          <w:lang w:val="es-ES"/>
        </w:rPr>
        <w:t xml:space="preserve"> </w:t>
      </w:r>
      <w:r w:rsidR="00BA4D70" w:rsidRPr="00BA4D70">
        <w:rPr>
          <w:rFonts w:ascii="Times New Roman" w:eastAsia="Times New Roman" w:hAnsi="Times New Roman" w:cs="Times New Roman"/>
          <w:bCs/>
          <w:sz w:val="24"/>
          <w:szCs w:val="24"/>
          <w:lang w:val="es-ES"/>
        </w:rPr>
        <w:t>Danelis Velázquez Cabrera</w:t>
      </w:r>
      <w:r w:rsidRPr="00E0201D">
        <w:rPr>
          <w:rFonts w:ascii="Times New Roman" w:eastAsia="Times New Roman" w:hAnsi="Times New Roman" w:cs="Times New Roman"/>
          <w:bCs/>
          <w:sz w:val="24"/>
          <w:szCs w:val="24"/>
          <w:lang w:val="es-ES"/>
        </w:rPr>
        <w:t>. Centro</w:t>
      </w:r>
      <w:r w:rsidRPr="00173793">
        <w:rPr>
          <w:rFonts w:ascii="Arial" w:hAnsi="Arial" w:cs="Arial"/>
          <w:bCs/>
          <w:sz w:val="20"/>
          <w:szCs w:val="20"/>
          <w:lang w:val="es-ES"/>
        </w:rPr>
        <w:t xml:space="preserve">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hyperlink r:id="rId10" w:history="1">
        <w:r w:rsidR="00BA4D70" w:rsidRPr="003F0677">
          <w:rPr>
            <w:rStyle w:val="Hyperlink"/>
            <w:rFonts w:ascii="Times New Roman" w:hAnsi="Times New Roman" w:cs="Times New Roman"/>
            <w:bCs/>
            <w:sz w:val="24"/>
            <w:szCs w:val="24"/>
            <w:lang w:val="es-ES"/>
          </w:rPr>
          <w:t>danelis.velazquez@cigb.edu.cu</w:t>
        </w:r>
      </w:hyperlink>
    </w:p>
    <w:p w:rsidR="00BE272B" w:rsidRDefault="00BE272B" w:rsidP="00BE272B">
      <w:pPr>
        <w:spacing w:after="0" w:line="240" w:lineRule="auto"/>
        <w:ind w:left="102" w:right="-20"/>
        <w:jc w:val="both"/>
        <w:rPr>
          <w:lang w:val="es-ES"/>
        </w:rPr>
      </w:pPr>
    </w:p>
    <w:p w:rsidR="00BE272B" w:rsidRP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5-</w:t>
      </w:r>
      <w:r w:rsidRPr="00E0201D">
        <w:rPr>
          <w:rFonts w:ascii="Times New Roman" w:eastAsia="Times New Roman" w:hAnsi="Times New Roman" w:cs="Times New Roman"/>
          <w:bCs/>
          <w:sz w:val="24"/>
          <w:szCs w:val="24"/>
          <w:lang w:val="es-ES"/>
        </w:rPr>
        <w:t xml:space="preserve"> </w:t>
      </w:r>
      <w:r w:rsidR="00BA4D70" w:rsidRPr="00BA4D70">
        <w:rPr>
          <w:rFonts w:ascii="Times New Roman" w:eastAsia="Times New Roman" w:hAnsi="Times New Roman" w:cs="Times New Roman"/>
          <w:bCs/>
          <w:sz w:val="24"/>
          <w:szCs w:val="24"/>
          <w:lang w:val="es-ES"/>
        </w:rPr>
        <w:t>Yurisleydis Aldama Casas</w:t>
      </w:r>
      <w:r w:rsidRPr="00E0201D">
        <w:rPr>
          <w:rFonts w:ascii="Times New Roman" w:eastAsia="Times New Roman" w:hAnsi="Times New Roman" w:cs="Times New Roman"/>
          <w:bCs/>
          <w:sz w:val="24"/>
          <w:szCs w:val="24"/>
          <w:lang w:val="es-ES"/>
        </w:rPr>
        <w:t xml:space="preserve">. Centro de Ingeniería Genética y Biotecnología. Ave 31 entre 158 y 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r>
        <w:rPr>
          <w:rFonts w:ascii="Arial" w:hAnsi="Arial" w:cs="Arial"/>
          <w:bCs/>
          <w:sz w:val="20"/>
          <w:szCs w:val="20"/>
          <w:lang w:val="es-ES"/>
        </w:rPr>
        <w:t xml:space="preserve"> </w:t>
      </w:r>
      <w:hyperlink r:id="rId11" w:history="1">
        <w:proofErr w:type="spellStart"/>
        <w:r w:rsidR="00BA4D70">
          <w:rPr>
            <w:rStyle w:val="Hyperlink"/>
            <w:rFonts w:ascii="Times New Roman" w:hAnsi="Times New Roman" w:cs="Times New Roman"/>
            <w:bCs/>
            <w:sz w:val="24"/>
            <w:szCs w:val="24"/>
            <w:lang w:val="es-ES"/>
          </w:rPr>
          <w:t>yurisleydis,aldama</w:t>
        </w:r>
        <w:r w:rsidRPr="004F0877">
          <w:rPr>
            <w:rStyle w:val="Hyperlink"/>
            <w:rFonts w:ascii="Times New Roman" w:hAnsi="Times New Roman" w:cs="Times New Roman"/>
            <w:bCs/>
            <w:sz w:val="24"/>
            <w:szCs w:val="24"/>
            <w:lang w:val="es-ES"/>
          </w:rPr>
          <w:t>@cigb.edu.cu</w:t>
        </w:r>
        <w:proofErr w:type="spellEnd"/>
      </w:hyperlink>
    </w:p>
    <w:p w:rsidR="00BE272B" w:rsidRPr="00BE272B" w:rsidRDefault="00BE272B" w:rsidP="00BE272B">
      <w:pPr>
        <w:spacing w:after="0" w:line="240" w:lineRule="auto"/>
        <w:ind w:left="102" w:right="-20"/>
        <w:jc w:val="both"/>
        <w:rPr>
          <w:lang w:val="es-ES"/>
        </w:rPr>
      </w:pPr>
    </w:p>
    <w:p w:rsidR="00BE272B" w:rsidRDefault="00BE272B" w:rsidP="00BE272B">
      <w:pPr>
        <w:spacing w:after="0" w:line="240" w:lineRule="auto"/>
        <w:ind w:left="102" w:right="-20"/>
        <w:jc w:val="both"/>
        <w:rPr>
          <w:rStyle w:val="Hyperlink"/>
          <w:rFonts w:ascii="Times New Roman" w:hAnsi="Times New Roman" w:cs="Times New Roman"/>
          <w:sz w:val="24"/>
          <w:szCs w:val="24"/>
          <w:lang w:val="es-ES"/>
        </w:rPr>
      </w:pPr>
      <w:r>
        <w:rPr>
          <w:rFonts w:ascii="Times New Roman" w:eastAsia="Times New Roman" w:hAnsi="Times New Roman" w:cs="Times New Roman"/>
          <w:bCs/>
          <w:sz w:val="24"/>
          <w:szCs w:val="24"/>
          <w:lang w:val="es-ES"/>
        </w:rPr>
        <w:t>6-</w:t>
      </w:r>
      <w:r w:rsidRPr="00E0201D">
        <w:rPr>
          <w:rFonts w:ascii="Times New Roman" w:eastAsia="Times New Roman" w:hAnsi="Times New Roman" w:cs="Times New Roman"/>
          <w:bCs/>
          <w:sz w:val="24"/>
          <w:szCs w:val="24"/>
          <w:lang w:val="es-ES"/>
        </w:rPr>
        <w:t xml:space="preserve"> </w:t>
      </w:r>
      <w:r w:rsidR="00BA4D70" w:rsidRPr="00BA4D70">
        <w:rPr>
          <w:rFonts w:ascii="Times New Roman" w:eastAsia="Times New Roman" w:hAnsi="Times New Roman" w:cs="Times New Roman"/>
          <w:bCs/>
          <w:sz w:val="24"/>
          <w:szCs w:val="24"/>
          <w:lang w:val="es-ES"/>
        </w:rPr>
        <w:t>Lourdes Costa Anguiano</w:t>
      </w:r>
      <w:r w:rsidRPr="00E0201D">
        <w:rPr>
          <w:rFonts w:ascii="Times New Roman" w:eastAsia="Times New Roman" w:hAnsi="Times New Roman" w:cs="Times New Roman"/>
          <w:bCs/>
          <w:sz w:val="24"/>
          <w:szCs w:val="24"/>
          <w:lang w:val="es-ES"/>
        </w:rPr>
        <w:t xml:space="preserve">. Centro de Ingeniería Genética y Biotecnología. Ave 31 entre 158 y </w:t>
      </w:r>
      <w:r>
        <w:rPr>
          <w:rFonts w:ascii="Times New Roman" w:eastAsia="Times New Roman" w:hAnsi="Times New Roman" w:cs="Times New Roman"/>
          <w:bCs/>
          <w:sz w:val="24"/>
          <w:szCs w:val="24"/>
          <w:lang w:val="es-ES"/>
        </w:rPr>
        <w:t xml:space="preserve">  </w:t>
      </w:r>
      <w:r w:rsidRPr="00E0201D">
        <w:rPr>
          <w:rFonts w:ascii="Times New Roman" w:eastAsia="Times New Roman" w:hAnsi="Times New Roman" w:cs="Times New Roman"/>
          <w:bCs/>
          <w:sz w:val="24"/>
          <w:szCs w:val="24"/>
          <w:lang w:val="es-ES"/>
        </w:rPr>
        <w:t xml:space="preserve">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hyperlink r:id="rId12" w:history="1">
        <w:r w:rsidR="00BA4D70" w:rsidRPr="003F0677">
          <w:rPr>
            <w:rStyle w:val="Hyperlink"/>
            <w:rFonts w:ascii="Times New Roman" w:hAnsi="Times New Roman" w:cs="Times New Roman"/>
            <w:sz w:val="24"/>
            <w:szCs w:val="24"/>
            <w:lang w:val="es-ES"/>
          </w:rPr>
          <w:t>lourdes.costa@cigb.edu.cu</w:t>
        </w:r>
      </w:hyperlink>
    </w:p>
    <w:p w:rsidR="00BA4D70" w:rsidRDefault="00BA4D70" w:rsidP="00BE272B">
      <w:pPr>
        <w:spacing w:after="0" w:line="240" w:lineRule="auto"/>
        <w:ind w:left="102" w:right="-20"/>
        <w:jc w:val="both"/>
        <w:rPr>
          <w:rStyle w:val="Hyperlink"/>
          <w:lang w:val="es-ES"/>
        </w:rPr>
      </w:pPr>
    </w:p>
    <w:p w:rsidR="00BA4D70" w:rsidRDefault="00BA4D70" w:rsidP="00BA4D70">
      <w:pPr>
        <w:spacing w:after="0" w:line="240" w:lineRule="auto"/>
        <w:ind w:left="102" w:right="-20"/>
        <w:jc w:val="both"/>
        <w:rPr>
          <w:rStyle w:val="Hyperlink"/>
          <w:rFonts w:ascii="Times New Roman" w:hAnsi="Times New Roman" w:cs="Times New Roman"/>
          <w:sz w:val="24"/>
          <w:szCs w:val="24"/>
          <w:lang w:val="es-ES"/>
        </w:rPr>
      </w:pPr>
      <w:r>
        <w:rPr>
          <w:rFonts w:ascii="Times New Roman" w:eastAsia="Times New Roman" w:hAnsi="Times New Roman" w:cs="Times New Roman"/>
          <w:bCs/>
          <w:sz w:val="24"/>
          <w:szCs w:val="24"/>
          <w:lang w:val="es-ES"/>
        </w:rPr>
        <w:t>7-</w:t>
      </w:r>
      <w:r w:rsidRPr="00E0201D">
        <w:rPr>
          <w:rFonts w:ascii="Times New Roman" w:eastAsia="Times New Roman" w:hAnsi="Times New Roman" w:cs="Times New Roman"/>
          <w:bCs/>
          <w:sz w:val="24"/>
          <w:szCs w:val="24"/>
          <w:lang w:val="es-ES"/>
        </w:rPr>
        <w:t xml:space="preserve"> </w:t>
      </w:r>
      <w:r w:rsidRPr="00BA4D70">
        <w:rPr>
          <w:rFonts w:ascii="Times New Roman" w:eastAsia="Times New Roman" w:hAnsi="Times New Roman" w:cs="Times New Roman"/>
          <w:bCs/>
          <w:sz w:val="24"/>
          <w:szCs w:val="24"/>
          <w:lang w:val="es-ES"/>
        </w:rPr>
        <w:t>Yair Quiñones Maya</w:t>
      </w:r>
      <w:r w:rsidRPr="00E0201D">
        <w:rPr>
          <w:rFonts w:ascii="Times New Roman" w:eastAsia="Times New Roman" w:hAnsi="Times New Roman" w:cs="Times New Roman"/>
          <w:bCs/>
          <w:sz w:val="24"/>
          <w:szCs w:val="24"/>
          <w:lang w:val="es-ES"/>
        </w:rPr>
        <w:t xml:space="preserve">. Centro de Ingeniería Genética y Biotecnología. Ave 31 entre 158 y </w:t>
      </w:r>
      <w:r>
        <w:rPr>
          <w:rFonts w:ascii="Times New Roman" w:eastAsia="Times New Roman" w:hAnsi="Times New Roman" w:cs="Times New Roman"/>
          <w:bCs/>
          <w:sz w:val="24"/>
          <w:szCs w:val="24"/>
          <w:lang w:val="es-ES"/>
        </w:rPr>
        <w:t xml:space="preserve">  </w:t>
      </w:r>
      <w:r w:rsidRPr="00E0201D">
        <w:rPr>
          <w:rFonts w:ascii="Times New Roman" w:eastAsia="Times New Roman" w:hAnsi="Times New Roman" w:cs="Times New Roman"/>
          <w:bCs/>
          <w:sz w:val="24"/>
          <w:szCs w:val="24"/>
          <w:lang w:val="es-ES"/>
        </w:rPr>
        <w:t xml:space="preserve">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hyperlink r:id="rId13" w:history="1">
        <w:r w:rsidRPr="003F0677">
          <w:rPr>
            <w:rStyle w:val="Hyperlink"/>
            <w:rFonts w:ascii="Times New Roman" w:hAnsi="Times New Roman" w:cs="Times New Roman"/>
            <w:sz w:val="24"/>
            <w:szCs w:val="24"/>
            <w:lang w:val="es-ES"/>
          </w:rPr>
          <w:t>yair.quiñones@cigb.edu.cu</w:t>
        </w:r>
      </w:hyperlink>
    </w:p>
    <w:p w:rsidR="00BA4D70" w:rsidRDefault="00BA4D70" w:rsidP="00BA4D70">
      <w:pPr>
        <w:spacing w:after="0" w:line="240" w:lineRule="auto"/>
        <w:ind w:left="102" w:right="-20"/>
        <w:jc w:val="both"/>
        <w:rPr>
          <w:rStyle w:val="Hyperlink"/>
          <w:lang w:val="es-ES"/>
        </w:rPr>
      </w:pPr>
    </w:p>
    <w:p w:rsidR="00BA4D70" w:rsidRDefault="00BA4D70" w:rsidP="00BA4D70">
      <w:pPr>
        <w:spacing w:after="0" w:line="240" w:lineRule="auto"/>
        <w:ind w:left="102" w:right="-20"/>
        <w:jc w:val="both"/>
        <w:rPr>
          <w:rStyle w:val="Hyperlink"/>
          <w:rFonts w:ascii="Times New Roman" w:hAnsi="Times New Roman" w:cs="Times New Roman"/>
          <w:sz w:val="24"/>
          <w:szCs w:val="24"/>
          <w:lang w:val="es-ES"/>
        </w:rPr>
      </w:pPr>
      <w:r>
        <w:rPr>
          <w:rFonts w:ascii="Times New Roman" w:eastAsia="Times New Roman" w:hAnsi="Times New Roman" w:cs="Times New Roman"/>
          <w:bCs/>
          <w:sz w:val="24"/>
          <w:szCs w:val="24"/>
          <w:lang w:val="es-ES"/>
        </w:rPr>
        <w:t>8-</w:t>
      </w:r>
      <w:r w:rsidRPr="00E0201D">
        <w:rPr>
          <w:rFonts w:ascii="Times New Roman" w:eastAsia="Times New Roman" w:hAnsi="Times New Roman" w:cs="Times New Roman"/>
          <w:bCs/>
          <w:sz w:val="24"/>
          <w:szCs w:val="24"/>
          <w:lang w:val="es-ES"/>
        </w:rPr>
        <w:t xml:space="preserve"> </w:t>
      </w:r>
      <w:r w:rsidRPr="00BA4D70">
        <w:rPr>
          <w:rFonts w:ascii="Times New Roman" w:eastAsia="Times New Roman" w:hAnsi="Times New Roman" w:cs="Times New Roman"/>
          <w:bCs/>
          <w:sz w:val="24"/>
          <w:szCs w:val="24"/>
          <w:lang w:val="es-ES"/>
        </w:rPr>
        <w:t>Jorge Luis Vega  Elias</w:t>
      </w:r>
      <w:r w:rsidRPr="00E0201D">
        <w:rPr>
          <w:rFonts w:ascii="Times New Roman" w:eastAsia="Times New Roman" w:hAnsi="Times New Roman" w:cs="Times New Roman"/>
          <w:bCs/>
          <w:sz w:val="24"/>
          <w:szCs w:val="24"/>
          <w:lang w:val="es-ES"/>
        </w:rPr>
        <w:t xml:space="preserve">. Centro de Ingeniería Genética y Biotecnología. Ave 31 entre 158 y </w:t>
      </w:r>
      <w:r>
        <w:rPr>
          <w:rFonts w:ascii="Times New Roman" w:eastAsia="Times New Roman" w:hAnsi="Times New Roman" w:cs="Times New Roman"/>
          <w:bCs/>
          <w:sz w:val="24"/>
          <w:szCs w:val="24"/>
          <w:lang w:val="es-ES"/>
        </w:rPr>
        <w:t xml:space="preserve">  </w:t>
      </w:r>
      <w:r w:rsidRPr="00E0201D">
        <w:rPr>
          <w:rFonts w:ascii="Times New Roman" w:eastAsia="Times New Roman" w:hAnsi="Times New Roman" w:cs="Times New Roman"/>
          <w:bCs/>
          <w:sz w:val="24"/>
          <w:szCs w:val="24"/>
          <w:lang w:val="es-ES"/>
        </w:rPr>
        <w:t xml:space="preserve">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hyperlink r:id="rId14" w:history="1">
        <w:r w:rsidRPr="003F0677">
          <w:rPr>
            <w:rStyle w:val="Hyperlink"/>
            <w:rFonts w:ascii="Times New Roman" w:hAnsi="Times New Roman" w:cs="Times New Roman"/>
            <w:sz w:val="24"/>
            <w:szCs w:val="24"/>
            <w:lang w:val="es-ES"/>
          </w:rPr>
          <w:t>jorge.vega@cigb.edu.cu</w:t>
        </w:r>
      </w:hyperlink>
    </w:p>
    <w:p w:rsidR="00BA4D70" w:rsidRDefault="00BA4D70" w:rsidP="00BA4D70">
      <w:pPr>
        <w:spacing w:after="0" w:line="240" w:lineRule="auto"/>
        <w:ind w:left="102" w:right="-20"/>
        <w:jc w:val="both"/>
        <w:rPr>
          <w:rStyle w:val="Hyperlink"/>
          <w:lang w:val="es-ES"/>
        </w:rPr>
      </w:pPr>
    </w:p>
    <w:p w:rsidR="00266929" w:rsidRPr="00BE272B" w:rsidRDefault="00266929">
      <w:pPr>
        <w:spacing w:after="0" w:line="200" w:lineRule="exact"/>
        <w:rPr>
          <w:sz w:val="20"/>
          <w:szCs w:val="20"/>
          <w:lang w:val="es-ES"/>
        </w:rPr>
      </w:pPr>
    </w:p>
    <w:p w:rsidR="00266929" w:rsidRPr="00BE272B" w:rsidRDefault="00266929">
      <w:pPr>
        <w:spacing w:after="0" w:line="200" w:lineRule="exact"/>
        <w:rPr>
          <w:sz w:val="20"/>
          <w:szCs w:val="20"/>
          <w:lang w:val="es-ES"/>
        </w:rPr>
      </w:pPr>
    </w:p>
    <w:p w:rsidR="00266929" w:rsidRPr="00BE272B" w:rsidRDefault="00A038FD">
      <w:pPr>
        <w:spacing w:after="0" w:line="359" w:lineRule="auto"/>
        <w:ind w:left="102" w:right="1183"/>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s</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pacing w:val="-1"/>
          <w:sz w:val="24"/>
          <w:szCs w:val="24"/>
          <w:lang w:val="es-ES"/>
        </w:rPr>
        <w:t>me</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 xml:space="preserve">: </w:t>
      </w:r>
      <w:r w:rsidRPr="00BE272B">
        <w:rPr>
          <w:rFonts w:ascii="Times New Roman" w:eastAsia="Times New Roman" w:hAnsi="Times New Roman" w:cs="Times New Roman"/>
          <w:b/>
          <w:bCs/>
          <w:spacing w:val="9"/>
          <w:sz w:val="24"/>
          <w:szCs w:val="24"/>
          <w:lang w:val="es-ES"/>
        </w:rPr>
        <w:t xml:space="preserve"> </w:t>
      </w:r>
    </w:p>
    <w:p w:rsidR="00266929" w:rsidRPr="00BE272B" w:rsidRDefault="00EC263D" w:rsidP="00FB4BF9">
      <w:pPr>
        <w:spacing w:line="360" w:lineRule="auto"/>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431398">
        <w:rPr>
          <w:rFonts w:ascii="Times New Roman" w:eastAsia="Times New Roman" w:hAnsi="Times New Roman" w:cs="Times New Roman"/>
          <w:sz w:val="24"/>
          <w:szCs w:val="24"/>
          <w:lang w:val="es-ES"/>
        </w:rPr>
        <w:tab/>
      </w:r>
      <w:r w:rsidRPr="00431398">
        <w:rPr>
          <w:rFonts w:ascii="Times New Roman" w:eastAsia="Times New Roman" w:hAnsi="Times New Roman" w:cs="Times New Roman"/>
          <w:b/>
          <w:bCs/>
          <w:spacing w:val="-3"/>
          <w:sz w:val="24"/>
          <w:szCs w:val="24"/>
          <w:lang w:val="es-ES"/>
        </w:rPr>
        <w:t>P</w:t>
      </w:r>
      <w:r w:rsidRPr="00431398">
        <w:rPr>
          <w:rFonts w:ascii="Times New Roman" w:eastAsia="Times New Roman" w:hAnsi="Times New Roman" w:cs="Times New Roman"/>
          <w:b/>
          <w:bCs/>
          <w:spacing w:val="-1"/>
          <w:sz w:val="24"/>
          <w:szCs w:val="24"/>
          <w:lang w:val="es-ES"/>
        </w:rPr>
        <w:t>r</w:t>
      </w:r>
      <w:r w:rsidRPr="00431398">
        <w:rPr>
          <w:rFonts w:ascii="Times New Roman" w:eastAsia="Times New Roman" w:hAnsi="Times New Roman" w:cs="Times New Roman"/>
          <w:b/>
          <w:bCs/>
          <w:sz w:val="24"/>
          <w:szCs w:val="24"/>
          <w:lang w:val="es-ES"/>
        </w:rPr>
        <w:t>o</w:t>
      </w:r>
      <w:r w:rsidRPr="00431398">
        <w:rPr>
          <w:rFonts w:ascii="Times New Roman" w:eastAsia="Times New Roman" w:hAnsi="Times New Roman" w:cs="Times New Roman"/>
          <w:b/>
          <w:bCs/>
          <w:spacing w:val="1"/>
          <w:sz w:val="24"/>
          <w:szCs w:val="24"/>
          <w:lang w:val="es-ES"/>
        </w:rPr>
        <w:t>b</w:t>
      </w:r>
      <w:r w:rsidRPr="00431398">
        <w:rPr>
          <w:rFonts w:ascii="Times New Roman" w:eastAsia="Times New Roman" w:hAnsi="Times New Roman" w:cs="Times New Roman"/>
          <w:b/>
          <w:bCs/>
          <w:sz w:val="24"/>
          <w:szCs w:val="24"/>
          <w:lang w:val="es-ES"/>
        </w:rPr>
        <w:t>l</w:t>
      </w:r>
      <w:r w:rsidRPr="00431398">
        <w:rPr>
          <w:rFonts w:ascii="Times New Roman" w:eastAsia="Times New Roman" w:hAnsi="Times New Roman" w:cs="Times New Roman"/>
          <w:b/>
          <w:bCs/>
          <w:spacing w:val="2"/>
          <w:sz w:val="24"/>
          <w:szCs w:val="24"/>
          <w:lang w:val="es-ES"/>
        </w:rPr>
        <w:t>e</w:t>
      </w:r>
      <w:r w:rsidRPr="00431398">
        <w:rPr>
          <w:rFonts w:ascii="Times New Roman" w:eastAsia="Times New Roman" w:hAnsi="Times New Roman" w:cs="Times New Roman"/>
          <w:b/>
          <w:bCs/>
          <w:spacing w:val="-1"/>
          <w:sz w:val="24"/>
          <w:szCs w:val="24"/>
          <w:lang w:val="es-ES"/>
        </w:rPr>
        <w:t>m</w:t>
      </w:r>
      <w:r w:rsidRPr="00431398">
        <w:rPr>
          <w:rFonts w:ascii="Times New Roman" w:eastAsia="Times New Roman" w:hAnsi="Times New Roman" w:cs="Times New Roman"/>
          <w:b/>
          <w:bCs/>
          <w:sz w:val="24"/>
          <w:szCs w:val="24"/>
          <w:lang w:val="es-ES"/>
        </w:rPr>
        <w:t>áti</w:t>
      </w:r>
      <w:r w:rsidRPr="00431398">
        <w:rPr>
          <w:rFonts w:ascii="Times New Roman" w:eastAsia="Times New Roman" w:hAnsi="Times New Roman" w:cs="Times New Roman"/>
          <w:b/>
          <w:bCs/>
          <w:spacing w:val="-1"/>
          <w:sz w:val="24"/>
          <w:szCs w:val="24"/>
          <w:lang w:val="es-ES"/>
        </w:rPr>
        <w:t>c</w:t>
      </w:r>
      <w:r w:rsidRPr="00431398">
        <w:rPr>
          <w:rFonts w:ascii="Times New Roman" w:eastAsia="Times New Roman" w:hAnsi="Times New Roman" w:cs="Times New Roman"/>
          <w:b/>
          <w:bCs/>
          <w:sz w:val="24"/>
          <w:szCs w:val="24"/>
          <w:lang w:val="es-ES"/>
        </w:rPr>
        <w:t>a</w:t>
      </w:r>
      <w:r w:rsidR="00A038FD" w:rsidRPr="00BE272B">
        <w:rPr>
          <w:rFonts w:ascii="Times New Roman" w:eastAsia="Times New Roman" w:hAnsi="Times New Roman" w:cs="Times New Roman"/>
          <w:b/>
          <w:bCs/>
          <w:sz w:val="24"/>
          <w:szCs w:val="24"/>
          <w:lang w:val="es-ES"/>
        </w:rPr>
        <w:t>:</w:t>
      </w:r>
      <w:r w:rsidR="00A038FD" w:rsidRPr="00BE272B">
        <w:rPr>
          <w:rFonts w:ascii="Times New Roman" w:eastAsia="Times New Roman" w:hAnsi="Times New Roman" w:cs="Times New Roman"/>
          <w:b/>
          <w:bCs/>
          <w:spacing w:val="3"/>
          <w:sz w:val="24"/>
          <w:szCs w:val="24"/>
          <w:lang w:val="es-ES"/>
        </w:rPr>
        <w:t xml:space="preserve"> </w:t>
      </w:r>
      <w:r w:rsidR="00707129" w:rsidRPr="00707129">
        <w:rPr>
          <w:rFonts w:ascii="Times New Roman" w:eastAsia="Times New Roman" w:hAnsi="Times New Roman" w:cs="Times New Roman"/>
          <w:sz w:val="24"/>
          <w:szCs w:val="24"/>
          <w:lang w:val="es-ES"/>
        </w:rPr>
        <w:t xml:space="preserve">El proceso de fabricación de </w:t>
      </w:r>
      <w:proofErr w:type="spellStart"/>
      <w:r w:rsidR="00707129" w:rsidRPr="00707129">
        <w:rPr>
          <w:rFonts w:ascii="Times New Roman" w:eastAsia="Times New Roman" w:hAnsi="Times New Roman" w:cs="Times New Roman"/>
          <w:sz w:val="24"/>
          <w:szCs w:val="24"/>
          <w:lang w:val="es-ES"/>
        </w:rPr>
        <w:t>biofármacos</w:t>
      </w:r>
      <w:proofErr w:type="spellEnd"/>
      <w:r w:rsidR="00707129" w:rsidRPr="00707129">
        <w:rPr>
          <w:rFonts w:ascii="Times New Roman" w:eastAsia="Times New Roman" w:hAnsi="Times New Roman" w:cs="Times New Roman"/>
          <w:sz w:val="24"/>
          <w:szCs w:val="24"/>
          <w:lang w:val="es-ES"/>
        </w:rPr>
        <w:t xml:space="preserve"> con frecuencia experimenta cambios, en estos casos, </w:t>
      </w:r>
      <w:proofErr w:type="gramStart"/>
      <w:r w:rsidR="00707129" w:rsidRPr="00707129">
        <w:rPr>
          <w:rFonts w:ascii="Times New Roman" w:eastAsia="Times New Roman" w:hAnsi="Times New Roman" w:cs="Times New Roman"/>
          <w:sz w:val="24"/>
          <w:szCs w:val="24"/>
          <w:lang w:val="es-ES"/>
        </w:rPr>
        <w:t>el</w:t>
      </w:r>
      <w:proofErr w:type="gramEnd"/>
      <w:r w:rsidR="00707129" w:rsidRPr="00707129">
        <w:rPr>
          <w:rFonts w:ascii="Times New Roman" w:eastAsia="Times New Roman" w:hAnsi="Times New Roman" w:cs="Times New Roman"/>
          <w:sz w:val="24"/>
          <w:szCs w:val="24"/>
          <w:lang w:val="es-ES"/>
        </w:rPr>
        <w:t xml:space="preserve"> fabricante debe demostrar la similitud entre el medicamento producido antes y después de introducir el cambio. En </w:t>
      </w:r>
      <w:r w:rsidR="000631AB">
        <w:rPr>
          <w:rFonts w:ascii="Times New Roman" w:eastAsia="Times New Roman" w:hAnsi="Times New Roman" w:cs="Times New Roman"/>
          <w:sz w:val="24"/>
          <w:szCs w:val="24"/>
          <w:lang w:val="es-ES"/>
        </w:rPr>
        <w:t>el</w:t>
      </w:r>
      <w:r w:rsidR="00707129" w:rsidRPr="00707129">
        <w:rPr>
          <w:rFonts w:ascii="Times New Roman" w:eastAsia="Times New Roman" w:hAnsi="Times New Roman" w:cs="Times New Roman"/>
          <w:sz w:val="24"/>
          <w:szCs w:val="24"/>
          <w:lang w:val="es-ES"/>
        </w:rPr>
        <w:t xml:space="preserve"> CIGB se realizó una inversión para aumentar el estándar productivo y regulatorio de una de sus plantas productivas, constituyendo una alternativa viable para la producción de los ingredientes farmacéuticos activos (IFA) de productos farmacéuticos ya registrados</w:t>
      </w:r>
      <w:r w:rsidR="00B70FD6">
        <w:rPr>
          <w:rFonts w:ascii="Times New Roman" w:eastAsia="Times New Roman" w:hAnsi="Times New Roman" w:cs="Times New Roman"/>
          <w:sz w:val="24"/>
          <w:szCs w:val="24"/>
          <w:lang w:val="es-ES"/>
        </w:rPr>
        <w:t>.</w:t>
      </w:r>
    </w:p>
    <w:p w:rsidR="00266929" w:rsidRPr="00BE272B" w:rsidRDefault="00266929">
      <w:pPr>
        <w:spacing w:before="8" w:after="0" w:line="130" w:lineRule="exact"/>
        <w:rPr>
          <w:sz w:val="13"/>
          <w:szCs w:val="13"/>
          <w:lang w:val="es-ES"/>
        </w:rPr>
      </w:pPr>
    </w:p>
    <w:p w:rsidR="002A6428" w:rsidRPr="003A535F" w:rsidRDefault="00A038FD" w:rsidP="003A535F">
      <w:pPr>
        <w:pStyle w:val="ListParagraph"/>
        <w:spacing w:line="360" w:lineRule="auto"/>
        <w:ind w:left="0"/>
        <w:jc w:val="both"/>
        <w:rPr>
          <w:rFonts w:ascii="Arial" w:eastAsia="Times New Roman" w:hAnsi="Arial" w:cs="Arial"/>
          <w:bCs/>
          <w:color w:val="000000"/>
          <w:sz w:val="20"/>
          <w:szCs w:val="20"/>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Pr="00BE272B">
        <w:rPr>
          <w:rFonts w:ascii="Times New Roman" w:eastAsia="Times New Roman" w:hAnsi="Times New Roman" w:cs="Times New Roman"/>
          <w:b/>
          <w:bCs/>
          <w:sz w:val="24"/>
          <w:szCs w:val="24"/>
          <w:lang w:val="es-ES"/>
        </w:rPr>
        <w:t>O</w:t>
      </w:r>
      <w:r w:rsidRPr="00BE272B">
        <w:rPr>
          <w:rFonts w:ascii="Times New Roman" w:eastAsia="Times New Roman" w:hAnsi="Times New Roman" w:cs="Times New Roman"/>
          <w:b/>
          <w:bCs/>
          <w:spacing w:val="1"/>
          <w:sz w:val="24"/>
          <w:szCs w:val="24"/>
          <w:lang w:val="es-ES"/>
        </w:rPr>
        <w:t>b</w:t>
      </w:r>
      <w:r w:rsidRPr="00BE272B">
        <w:rPr>
          <w:rFonts w:ascii="Times New Roman" w:eastAsia="Times New Roman" w:hAnsi="Times New Roman" w:cs="Times New Roman"/>
          <w:b/>
          <w:bCs/>
          <w:sz w:val="24"/>
          <w:szCs w:val="24"/>
          <w:lang w:val="es-ES"/>
        </w:rPr>
        <w:t>j</w:t>
      </w:r>
      <w:r w:rsidRPr="00BE272B">
        <w:rPr>
          <w:rFonts w:ascii="Times New Roman" w:eastAsia="Times New Roman" w:hAnsi="Times New Roman" w:cs="Times New Roman"/>
          <w:b/>
          <w:bCs/>
          <w:spacing w:val="-2"/>
          <w:sz w:val="24"/>
          <w:szCs w:val="24"/>
          <w:lang w:val="es-ES"/>
        </w:rPr>
        <w:t>e</w:t>
      </w:r>
      <w:r w:rsidRPr="00BE272B">
        <w:rPr>
          <w:rFonts w:ascii="Times New Roman" w:eastAsia="Times New Roman" w:hAnsi="Times New Roman" w:cs="Times New Roman"/>
          <w:b/>
          <w:bCs/>
          <w:sz w:val="24"/>
          <w:szCs w:val="24"/>
          <w:lang w:val="es-ES"/>
        </w:rPr>
        <w:t>tivo</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z w:val="24"/>
          <w:szCs w:val="24"/>
          <w:lang w:val="es-ES"/>
        </w:rPr>
        <w:t>:</w:t>
      </w:r>
      <w:r w:rsidRPr="00BE272B">
        <w:rPr>
          <w:rFonts w:ascii="Times New Roman" w:eastAsia="Times New Roman" w:hAnsi="Times New Roman" w:cs="Times New Roman"/>
          <w:b/>
          <w:bCs/>
          <w:spacing w:val="-1"/>
          <w:sz w:val="24"/>
          <w:szCs w:val="24"/>
          <w:lang w:val="es-ES"/>
        </w:rPr>
        <w:t xml:space="preserve"> </w:t>
      </w:r>
      <w:r w:rsidR="003A535F" w:rsidRPr="003A535F">
        <w:rPr>
          <w:rFonts w:ascii="Times New Roman" w:eastAsia="Times New Roman" w:hAnsi="Times New Roman" w:cs="Times New Roman"/>
          <w:sz w:val="24"/>
          <w:szCs w:val="24"/>
          <w:lang w:val="es-ES"/>
        </w:rPr>
        <w:t>E</w:t>
      </w:r>
      <w:r w:rsidR="003A535F">
        <w:rPr>
          <w:rFonts w:ascii="Times New Roman" w:eastAsia="Times New Roman" w:hAnsi="Times New Roman" w:cs="Times New Roman"/>
          <w:sz w:val="24"/>
          <w:szCs w:val="24"/>
          <w:lang w:val="es-ES"/>
        </w:rPr>
        <w:t>stablecer</w:t>
      </w:r>
      <w:r w:rsidR="00707129">
        <w:rPr>
          <w:rFonts w:ascii="Times New Roman" w:eastAsia="Times New Roman" w:hAnsi="Times New Roman" w:cs="Times New Roman"/>
          <w:sz w:val="24"/>
          <w:szCs w:val="24"/>
          <w:lang w:val="es-ES"/>
        </w:rPr>
        <w:t xml:space="preserve"> </w:t>
      </w:r>
      <w:r w:rsidR="003A535F">
        <w:rPr>
          <w:rFonts w:ascii="Times New Roman" w:eastAsia="Times New Roman" w:hAnsi="Times New Roman" w:cs="Times New Roman"/>
          <w:sz w:val="24"/>
          <w:szCs w:val="24"/>
          <w:lang w:val="es-ES"/>
        </w:rPr>
        <w:t xml:space="preserve">el </w:t>
      </w:r>
      <w:r w:rsidR="00707129" w:rsidRPr="00707129">
        <w:rPr>
          <w:rFonts w:ascii="Times New Roman" w:eastAsia="Times New Roman" w:hAnsi="Times New Roman" w:cs="Times New Roman"/>
          <w:sz w:val="24"/>
          <w:szCs w:val="24"/>
          <w:lang w:val="es-ES"/>
        </w:rPr>
        <w:t xml:space="preserve">protocolo de </w:t>
      </w:r>
      <w:proofErr w:type="spellStart"/>
      <w:r w:rsidR="00707129" w:rsidRPr="00707129">
        <w:rPr>
          <w:rFonts w:ascii="Times New Roman" w:eastAsia="Times New Roman" w:hAnsi="Times New Roman" w:cs="Times New Roman"/>
          <w:sz w:val="24"/>
          <w:szCs w:val="24"/>
          <w:lang w:val="es-ES"/>
        </w:rPr>
        <w:t>comparabilidad</w:t>
      </w:r>
      <w:proofErr w:type="spellEnd"/>
      <w:r w:rsidR="00707129" w:rsidRPr="00707129">
        <w:rPr>
          <w:rFonts w:ascii="Times New Roman" w:eastAsia="Times New Roman" w:hAnsi="Times New Roman" w:cs="Times New Roman"/>
          <w:sz w:val="24"/>
          <w:szCs w:val="24"/>
          <w:lang w:val="es-ES"/>
        </w:rPr>
        <w:t xml:space="preserve"> </w:t>
      </w:r>
      <w:r w:rsidR="00707129">
        <w:rPr>
          <w:rFonts w:ascii="Times New Roman" w:eastAsia="Times New Roman" w:hAnsi="Times New Roman" w:cs="Times New Roman"/>
          <w:sz w:val="24"/>
          <w:szCs w:val="24"/>
          <w:lang w:val="es-ES"/>
        </w:rPr>
        <w:t xml:space="preserve">analítica </w:t>
      </w:r>
      <w:r w:rsidR="00707129" w:rsidRPr="00707129">
        <w:rPr>
          <w:rFonts w:ascii="Times New Roman" w:eastAsia="Times New Roman" w:hAnsi="Times New Roman" w:cs="Times New Roman"/>
          <w:sz w:val="24"/>
          <w:szCs w:val="24"/>
          <w:lang w:val="es-ES"/>
        </w:rPr>
        <w:t xml:space="preserve">conforme a las regulaciones vigentes </w:t>
      </w:r>
      <w:r w:rsidR="00211022">
        <w:rPr>
          <w:rFonts w:ascii="Times New Roman" w:eastAsia="Times New Roman" w:hAnsi="Times New Roman" w:cs="Times New Roman"/>
          <w:sz w:val="24"/>
          <w:szCs w:val="24"/>
          <w:lang w:val="es-ES"/>
        </w:rPr>
        <w:t>basándonos en</w:t>
      </w:r>
      <w:r w:rsidR="003A535F">
        <w:rPr>
          <w:rFonts w:ascii="Times New Roman" w:eastAsia="Times New Roman" w:hAnsi="Times New Roman" w:cs="Times New Roman"/>
          <w:sz w:val="24"/>
          <w:szCs w:val="24"/>
          <w:lang w:val="es-ES"/>
        </w:rPr>
        <w:t xml:space="preserve"> </w:t>
      </w:r>
      <w:proofErr w:type="gramStart"/>
      <w:r w:rsidR="003A535F">
        <w:rPr>
          <w:rFonts w:ascii="Times New Roman" w:eastAsia="Times New Roman" w:hAnsi="Times New Roman" w:cs="Times New Roman"/>
          <w:sz w:val="24"/>
          <w:szCs w:val="24"/>
          <w:lang w:val="es-ES"/>
        </w:rPr>
        <w:t>un</w:t>
      </w:r>
      <w:proofErr w:type="gramEnd"/>
      <w:r w:rsidR="003A535F">
        <w:rPr>
          <w:rFonts w:ascii="Times New Roman" w:eastAsia="Times New Roman" w:hAnsi="Times New Roman" w:cs="Times New Roman"/>
          <w:sz w:val="24"/>
          <w:szCs w:val="24"/>
          <w:lang w:val="es-ES"/>
        </w:rPr>
        <w:t xml:space="preserve"> enfoque de riesgos</w:t>
      </w:r>
      <w:r w:rsidR="00707129" w:rsidRPr="00707129">
        <w:rPr>
          <w:rFonts w:ascii="Times New Roman" w:eastAsia="Times New Roman" w:hAnsi="Times New Roman" w:cs="Times New Roman"/>
          <w:sz w:val="24"/>
          <w:szCs w:val="24"/>
          <w:lang w:val="es-ES"/>
        </w:rPr>
        <w:t>.</w:t>
      </w:r>
      <w:r w:rsidR="00FC538B" w:rsidRPr="00FC538B">
        <w:rPr>
          <w:rFonts w:ascii="Times New Roman" w:eastAsia="Times New Roman" w:hAnsi="Times New Roman" w:cs="Times New Roman"/>
          <w:sz w:val="24"/>
          <w:szCs w:val="24"/>
          <w:lang w:val="es-ES"/>
        </w:rPr>
        <w:t xml:space="preserve"> </w:t>
      </w:r>
    </w:p>
    <w:p w:rsidR="002A6428" w:rsidRPr="008C1B27" w:rsidRDefault="002A6428" w:rsidP="002A6428">
      <w:pPr>
        <w:pStyle w:val="NormalWeb"/>
        <w:spacing w:before="0" w:beforeAutospacing="0" w:after="0" w:afterAutospacing="0"/>
        <w:jc w:val="both"/>
        <w:textAlignment w:val="baseline"/>
        <w:rPr>
          <w:rFonts w:ascii="Arial" w:hAnsi="Arial" w:cs="Arial"/>
          <w:i/>
          <w:sz w:val="18"/>
          <w:szCs w:val="18"/>
          <w:lang w:val="es-ES_tradnl" w:eastAsia="en-US"/>
        </w:rPr>
      </w:pPr>
    </w:p>
    <w:p w:rsidR="00707129" w:rsidRPr="006453EF" w:rsidRDefault="005C19AA" w:rsidP="00707129">
      <w:pPr>
        <w:pStyle w:val="ListParagraph"/>
        <w:spacing w:line="360" w:lineRule="auto"/>
        <w:ind w:left="0"/>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00BE272B" w:rsidRPr="005C19AA">
        <w:rPr>
          <w:rFonts w:ascii="Times New Roman" w:eastAsia="Times New Roman" w:hAnsi="Times New Roman" w:cs="Times New Roman"/>
          <w:b/>
          <w:bCs/>
          <w:spacing w:val="-1"/>
          <w:sz w:val="24"/>
          <w:szCs w:val="24"/>
          <w:lang w:val="es-ES"/>
        </w:rPr>
        <w:t>Me</w:t>
      </w:r>
      <w:r w:rsidR="00BE272B" w:rsidRPr="005C19AA">
        <w:rPr>
          <w:rFonts w:ascii="Times New Roman" w:eastAsia="Times New Roman" w:hAnsi="Times New Roman" w:cs="Times New Roman"/>
          <w:b/>
          <w:bCs/>
          <w:sz w:val="24"/>
          <w:szCs w:val="24"/>
          <w:lang w:val="es-ES"/>
        </w:rPr>
        <w:t xml:space="preserve">todología: </w:t>
      </w:r>
      <w:r w:rsidR="00D22645" w:rsidRPr="00D22645">
        <w:rPr>
          <w:rFonts w:ascii="Times New Roman" w:eastAsia="Times New Roman" w:hAnsi="Times New Roman" w:cs="Times New Roman"/>
          <w:sz w:val="24"/>
          <w:szCs w:val="24"/>
          <w:lang w:val="es-ES"/>
        </w:rPr>
        <w:t xml:space="preserve">Se elaboró la matriz de riesgo </w:t>
      </w:r>
      <w:r w:rsidR="001F1010">
        <w:rPr>
          <w:rFonts w:ascii="Times New Roman" w:eastAsia="Times New Roman" w:hAnsi="Times New Roman" w:cs="Times New Roman"/>
          <w:sz w:val="24"/>
          <w:szCs w:val="24"/>
          <w:lang w:val="es-ES"/>
        </w:rPr>
        <w:t xml:space="preserve">por </w:t>
      </w:r>
      <w:proofErr w:type="gramStart"/>
      <w:r w:rsidR="001F1010">
        <w:rPr>
          <w:rFonts w:ascii="Times New Roman" w:eastAsia="Times New Roman" w:hAnsi="Times New Roman" w:cs="Times New Roman"/>
          <w:sz w:val="24"/>
          <w:szCs w:val="24"/>
          <w:lang w:val="es-ES"/>
        </w:rPr>
        <w:t>un</w:t>
      </w:r>
      <w:proofErr w:type="gramEnd"/>
      <w:r w:rsidR="001F1010">
        <w:rPr>
          <w:rFonts w:ascii="Times New Roman" w:eastAsia="Times New Roman" w:hAnsi="Times New Roman" w:cs="Times New Roman"/>
          <w:sz w:val="24"/>
          <w:szCs w:val="24"/>
          <w:lang w:val="es-ES"/>
        </w:rPr>
        <w:t xml:space="preserve"> grupo de expertos </w:t>
      </w:r>
      <w:r w:rsidR="00D22645" w:rsidRPr="00D22645">
        <w:rPr>
          <w:rFonts w:ascii="Times New Roman" w:eastAsia="Times New Roman" w:hAnsi="Times New Roman" w:cs="Times New Roman"/>
          <w:sz w:val="24"/>
          <w:szCs w:val="24"/>
          <w:lang w:val="es-ES"/>
        </w:rPr>
        <w:t xml:space="preserve">para </w:t>
      </w:r>
      <w:r w:rsidR="00D22645">
        <w:rPr>
          <w:rFonts w:ascii="Times New Roman" w:eastAsia="Times New Roman" w:hAnsi="Times New Roman" w:cs="Times New Roman"/>
          <w:sz w:val="24"/>
          <w:szCs w:val="24"/>
          <w:lang w:val="es-ES"/>
        </w:rPr>
        <w:t xml:space="preserve">facilitar </w:t>
      </w:r>
      <w:r w:rsidR="00D22645" w:rsidRPr="00D22645">
        <w:rPr>
          <w:rFonts w:ascii="Times New Roman" w:eastAsia="Times New Roman" w:hAnsi="Times New Roman" w:cs="Times New Roman"/>
          <w:sz w:val="24"/>
          <w:szCs w:val="24"/>
          <w:lang w:val="es-ES"/>
        </w:rPr>
        <w:t>el diseño de</w:t>
      </w:r>
      <w:r w:rsidR="001F1010">
        <w:rPr>
          <w:rFonts w:ascii="Times New Roman" w:eastAsia="Times New Roman" w:hAnsi="Times New Roman" w:cs="Times New Roman"/>
          <w:sz w:val="24"/>
          <w:szCs w:val="24"/>
          <w:lang w:val="es-ES"/>
        </w:rPr>
        <w:t>l protocolo</w:t>
      </w:r>
      <w:r w:rsidR="00D22645" w:rsidRPr="00D22645">
        <w:rPr>
          <w:rFonts w:ascii="Times New Roman" w:eastAsia="Times New Roman" w:hAnsi="Times New Roman" w:cs="Times New Roman"/>
          <w:sz w:val="24"/>
          <w:szCs w:val="24"/>
          <w:lang w:val="es-ES"/>
        </w:rPr>
        <w:t>.</w:t>
      </w:r>
      <w:r w:rsidR="001F1010" w:rsidRPr="001F1010">
        <w:rPr>
          <w:rFonts w:ascii="Times New Roman" w:eastAsia="Times New Roman" w:hAnsi="Times New Roman" w:cs="Times New Roman"/>
          <w:sz w:val="24"/>
          <w:szCs w:val="24"/>
          <w:lang w:val="es-ES"/>
        </w:rPr>
        <w:t xml:space="preserve"> </w:t>
      </w:r>
      <w:r w:rsidR="001F1010" w:rsidRPr="00D22645">
        <w:rPr>
          <w:rFonts w:ascii="Times New Roman" w:eastAsia="Times New Roman" w:hAnsi="Times New Roman" w:cs="Times New Roman"/>
          <w:sz w:val="24"/>
          <w:szCs w:val="24"/>
          <w:lang w:val="es-ES"/>
        </w:rPr>
        <w:t xml:space="preserve">Se </w:t>
      </w:r>
      <w:r w:rsidR="001F1010">
        <w:rPr>
          <w:rFonts w:ascii="Times New Roman" w:eastAsia="Times New Roman" w:hAnsi="Times New Roman" w:cs="Times New Roman"/>
          <w:sz w:val="24"/>
          <w:szCs w:val="24"/>
          <w:lang w:val="es-ES"/>
        </w:rPr>
        <w:t>elaboró</w:t>
      </w:r>
      <w:r w:rsidR="001F1010" w:rsidRPr="00D22645">
        <w:rPr>
          <w:rFonts w:ascii="Times New Roman" w:eastAsia="Times New Roman" w:hAnsi="Times New Roman" w:cs="Times New Roman"/>
          <w:sz w:val="24"/>
          <w:szCs w:val="24"/>
          <w:lang w:val="es-ES"/>
        </w:rPr>
        <w:t xml:space="preserve"> el protocolo de </w:t>
      </w:r>
      <w:proofErr w:type="spellStart"/>
      <w:r w:rsidR="001F1010" w:rsidRPr="00D22645">
        <w:rPr>
          <w:rFonts w:ascii="Times New Roman" w:eastAsia="Times New Roman" w:hAnsi="Times New Roman" w:cs="Times New Roman"/>
          <w:sz w:val="24"/>
          <w:szCs w:val="24"/>
          <w:lang w:val="es-ES"/>
        </w:rPr>
        <w:t>comparabilidad</w:t>
      </w:r>
      <w:proofErr w:type="spellEnd"/>
      <w:r w:rsidR="001F1010" w:rsidRPr="00D22645">
        <w:rPr>
          <w:rFonts w:ascii="Times New Roman" w:eastAsia="Times New Roman" w:hAnsi="Times New Roman" w:cs="Times New Roman"/>
          <w:sz w:val="24"/>
          <w:szCs w:val="24"/>
          <w:lang w:val="es-ES"/>
        </w:rPr>
        <w:t xml:space="preserve"> que deberá transcurrir durante la implementación del proceso conforme a las regulaciones vigentes (CECMED, ICH y EMA).</w:t>
      </w:r>
    </w:p>
    <w:p w:rsidR="00BE272B" w:rsidRPr="00C06DDC" w:rsidRDefault="00BE272B" w:rsidP="00BE272B">
      <w:pPr>
        <w:spacing w:before="8" w:after="0" w:line="360" w:lineRule="auto"/>
        <w:jc w:val="both"/>
        <w:rPr>
          <w:sz w:val="13"/>
          <w:szCs w:val="13"/>
          <w:lang w:val="es-ES"/>
        </w:rPr>
      </w:pPr>
    </w:p>
    <w:p w:rsidR="00BE272B" w:rsidRPr="00561978" w:rsidRDefault="00BE272B" w:rsidP="00561978">
      <w:pPr>
        <w:spacing w:line="360" w:lineRule="auto"/>
        <w:jc w:val="both"/>
        <w:rPr>
          <w:rFonts w:ascii="Arial" w:eastAsia="Times New Roman" w:hAnsi="Arial" w:cs="Arial"/>
          <w:color w:val="000000"/>
          <w:kern w:val="24"/>
          <w:sz w:val="20"/>
          <w:szCs w:val="20"/>
          <w:lang w:val="es-MX" w:eastAsia="es-ES"/>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R</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s</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 xml:space="preserve">ltados y </w:t>
      </w:r>
      <w:r w:rsidRPr="00C06DDC">
        <w:rPr>
          <w:rFonts w:ascii="Times New Roman" w:eastAsia="Times New Roman" w:hAnsi="Times New Roman" w:cs="Times New Roman"/>
          <w:b/>
          <w:bCs/>
          <w:spacing w:val="1"/>
          <w:sz w:val="24"/>
          <w:szCs w:val="24"/>
          <w:lang w:val="es-ES"/>
        </w:rPr>
        <w:t>d</w:t>
      </w:r>
      <w:r w:rsidRPr="00C06DDC">
        <w:rPr>
          <w:rFonts w:ascii="Times New Roman" w:eastAsia="Times New Roman" w:hAnsi="Times New Roman" w:cs="Times New Roman"/>
          <w:b/>
          <w:bCs/>
          <w:sz w:val="24"/>
          <w:szCs w:val="24"/>
          <w:lang w:val="es-ES"/>
        </w:rPr>
        <w:t>iscu</w:t>
      </w:r>
      <w:r w:rsidRPr="00C06DDC">
        <w:rPr>
          <w:rFonts w:ascii="Times New Roman" w:eastAsia="Times New Roman" w:hAnsi="Times New Roman" w:cs="Times New Roman"/>
          <w:b/>
          <w:bCs/>
          <w:spacing w:val="1"/>
          <w:sz w:val="24"/>
          <w:szCs w:val="24"/>
          <w:lang w:val="es-ES"/>
        </w:rPr>
        <w:t>s</w:t>
      </w:r>
      <w:r w:rsidRPr="00C06DDC">
        <w:rPr>
          <w:rFonts w:ascii="Times New Roman" w:eastAsia="Times New Roman" w:hAnsi="Times New Roman" w:cs="Times New Roman"/>
          <w:b/>
          <w:bCs/>
          <w:sz w:val="24"/>
          <w:szCs w:val="24"/>
          <w:lang w:val="es-ES"/>
        </w:rPr>
        <w:t>i</w:t>
      </w:r>
      <w:r w:rsidRPr="00C06DDC">
        <w:rPr>
          <w:rFonts w:ascii="Times New Roman" w:eastAsia="Times New Roman" w:hAnsi="Times New Roman" w:cs="Times New Roman"/>
          <w:b/>
          <w:bCs/>
          <w:spacing w:val="-2"/>
          <w:sz w:val="24"/>
          <w:szCs w:val="24"/>
          <w:lang w:val="es-ES"/>
        </w:rPr>
        <w:t>ó</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z w:val="24"/>
          <w:szCs w:val="24"/>
          <w:lang w:val="es-ES"/>
        </w:rPr>
        <w:t>:</w:t>
      </w:r>
      <w:r w:rsidR="00707129" w:rsidRPr="00707129">
        <w:rPr>
          <w:rFonts w:ascii="Arial" w:eastAsia="Times New Roman" w:hAnsi="Arial" w:cs="Arial"/>
          <w:bCs/>
          <w:color w:val="000000"/>
          <w:sz w:val="20"/>
          <w:szCs w:val="20"/>
          <w:lang w:val="es-ES"/>
        </w:rPr>
        <w:t xml:space="preserve"> </w:t>
      </w:r>
      <w:r w:rsidR="00426D85" w:rsidRPr="00426D85">
        <w:rPr>
          <w:rFonts w:ascii="Times New Roman" w:eastAsia="Times New Roman" w:hAnsi="Times New Roman" w:cs="Times New Roman"/>
          <w:sz w:val="24"/>
          <w:szCs w:val="24"/>
          <w:lang w:val="es-ES"/>
        </w:rPr>
        <w:t xml:space="preserve">La matriz de riesgo permitió determinar </w:t>
      </w:r>
      <w:r w:rsidR="00B70FD6">
        <w:rPr>
          <w:rFonts w:ascii="Times New Roman" w:eastAsia="Times New Roman" w:hAnsi="Times New Roman" w:cs="Times New Roman"/>
          <w:sz w:val="24"/>
          <w:szCs w:val="24"/>
          <w:lang w:val="es-ES"/>
        </w:rPr>
        <w:t>que</w:t>
      </w:r>
      <w:r w:rsidR="00426D85" w:rsidRPr="00426D85">
        <w:rPr>
          <w:rFonts w:ascii="Times New Roman" w:eastAsia="Times New Roman" w:hAnsi="Times New Roman" w:cs="Times New Roman"/>
          <w:sz w:val="24"/>
          <w:szCs w:val="24"/>
          <w:lang w:val="es-ES"/>
        </w:rPr>
        <w:t xml:space="preserve"> los atributos críticos de la calidad </w:t>
      </w:r>
      <w:r w:rsidR="00B70FD6" w:rsidRPr="00426D85">
        <w:rPr>
          <w:rFonts w:ascii="Times New Roman" w:eastAsia="Times New Roman" w:hAnsi="Times New Roman" w:cs="Times New Roman"/>
          <w:sz w:val="24"/>
          <w:szCs w:val="24"/>
          <w:lang w:val="es-ES"/>
        </w:rPr>
        <w:t xml:space="preserve">relacionados con la seguridad, identidad y pureza de la molécula </w:t>
      </w:r>
      <w:r w:rsidR="00B70FD6">
        <w:rPr>
          <w:rFonts w:ascii="Times New Roman" w:eastAsia="Times New Roman" w:hAnsi="Times New Roman" w:cs="Times New Roman"/>
          <w:sz w:val="24"/>
          <w:szCs w:val="24"/>
          <w:lang w:val="es-ES"/>
        </w:rPr>
        <w:t xml:space="preserve">son los </w:t>
      </w:r>
      <w:r w:rsidR="00426D85" w:rsidRPr="00426D85">
        <w:rPr>
          <w:rFonts w:ascii="Times New Roman" w:eastAsia="Times New Roman" w:hAnsi="Times New Roman" w:cs="Times New Roman"/>
          <w:sz w:val="24"/>
          <w:szCs w:val="24"/>
          <w:lang w:val="es-ES"/>
        </w:rPr>
        <w:t>más importantes</w:t>
      </w:r>
      <w:r w:rsidR="00FB4BF9">
        <w:rPr>
          <w:rFonts w:ascii="Times New Roman" w:eastAsia="Times New Roman" w:hAnsi="Times New Roman" w:cs="Times New Roman"/>
          <w:sz w:val="24"/>
          <w:szCs w:val="24"/>
          <w:lang w:val="es-ES"/>
        </w:rPr>
        <w:t xml:space="preserve">. Se diseñó un protocolo de </w:t>
      </w:r>
      <w:proofErr w:type="spellStart"/>
      <w:r w:rsidR="00FB4BF9">
        <w:rPr>
          <w:rFonts w:ascii="Times New Roman" w:eastAsia="Times New Roman" w:hAnsi="Times New Roman" w:cs="Times New Roman"/>
          <w:sz w:val="24"/>
          <w:szCs w:val="24"/>
          <w:lang w:val="es-ES"/>
        </w:rPr>
        <w:t>comparabilidad</w:t>
      </w:r>
      <w:proofErr w:type="spellEnd"/>
      <w:r w:rsidR="00EA40C0">
        <w:rPr>
          <w:rFonts w:ascii="Times New Roman" w:eastAsia="Times New Roman" w:hAnsi="Times New Roman" w:cs="Times New Roman"/>
          <w:sz w:val="24"/>
          <w:szCs w:val="24"/>
          <w:lang w:val="es-ES"/>
        </w:rPr>
        <w:t xml:space="preserve"> </w:t>
      </w:r>
      <w:r w:rsidR="00FB4BF9">
        <w:rPr>
          <w:rFonts w:ascii="Times New Roman" w:eastAsia="Times New Roman" w:hAnsi="Times New Roman" w:cs="Times New Roman"/>
          <w:sz w:val="24"/>
          <w:szCs w:val="24"/>
          <w:lang w:val="es-ES"/>
        </w:rPr>
        <w:t>que incluyó</w:t>
      </w:r>
      <w:r w:rsidR="00707129" w:rsidRPr="00707129">
        <w:rPr>
          <w:rFonts w:ascii="Times New Roman" w:eastAsia="Times New Roman" w:hAnsi="Times New Roman" w:cs="Times New Roman"/>
          <w:sz w:val="24"/>
          <w:szCs w:val="24"/>
          <w:lang w:val="es-ES"/>
        </w:rPr>
        <w:t xml:space="preserve"> </w:t>
      </w:r>
      <w:r w:rsidR="00240ED4">
        <w:rPr>
          <w:rFonts w:ascii="Times New Roman" w:eastAsia="Times New Roman" w:hAnsi="Times New Roman" w:cs="Times New Roman"/>
          <w:sz w:val="24"/>
          <w:szCs w:val="24"/>
          <w:lang w:val="es-ES"/>
        </w:rPr>
        <w:t xml:space="preserve">un </w:t>
      </w:r>
      <w:r w:rsidR="00707129" w:rsidRPr="00707129">
        <w:rPr>
          <w:rFonts w:ascii="Times New Roman" w:eastAsia="Times New Roman" w:hAnsi="Times New Roman" w:cs="Times New Roman"/>
          <w:sz w:val="24"/>
          <w:szCs w:val="24"/>
          <w:lang w:val="es-ES"/>
        </w:rPr>
        <w:t xml:space="preserve">programa exhaustivo de caracterización, para comparar los atributos de calidad fisicoquímica y biológica con el producto de referencia antes de introducir el cambio. El protocolo </w:t>
      </w:r>
      <w:r w:rsidR="00240ED4">
        <w:rPr>
          <w:rFonts w:ascii="Times New Roman" w:eastAsia="Times New Roman" w:hAnsi="Times New Roman" w:cs="Times New Roman"/>
          <w:sz w:val="24"/>
          <w:szCs w:val="24"/>
          <w:lang w:val="es-ES"/>
        </w:rPr>
        <w:t xml:space="preserve">propuesto </w:t>
      </w:r>
      <w:r w:rsidR="00707129" w:rsidRPr="00707129">
        <w:rPr>
          <w:rFonts w:ascii="Times New Roman" w:eastAsia="Times New Roman" w:hAnsi="Times New Roman" w:cs="Times New Roman"/>
          <w:sz w:val="24"/>
          <w:szCs w:val="24"/>
          <w:lang w:val="es-ES"/>
        </w:rPr>
        <w:t>cumple con lo establecido por las agencias reguladoras consultadas</w:t>
      </w:r>
      <w:r w:rsidR="00B70FD6">
        <w:rPr>
          <w:rFonts w:ascii="Times New Roman" w:eastAsia="Times New Roman" w:hAnsi="Times New Roman" w:cs="Times New Roman"/>
          <w:sz w:val="24"/>
          <w:szCs w:val="24"/>
          <w:lang w:val="es-ES"/>
        </w:rPr>
        <w:t xml:space="preserve">: </w:t>
      </w:r>
      <w:r w:rsidR="00707129" w:rsidRPr="00707129">
        <w:rPr>
          <w:rFonts w:ascii="Times New Roman" w:eastAsia="Times New Roman" w:hAnsi="Times New Roman" w:cs="Times New Roman"/>
          <w:sz w:val="24"/>
          <w:szCs w:val="24"/>
          <w:lang w:val="es-ES"/>
        </w:rPr>
        <w:t xml:space="preserve">CECMED, </w:t>
      </w:r>
      <w:proofErr w:type="gramStart"/>
      <w:r w:rsidR="00707129" w:rsidRPr="00707129">
        <w:rPr>
          <w:rFonts w:ascii="Times New Roman" w:eastAsia="Times New Roman" w:hAnsi="Times New Roman" w:cs="Times New Roman"/>
          <w:sz w:val="24"/>
          <w:szCs w:val="24"/>
          <w:lang w:val="es-ES"/>
        </w:rPr>
        <w:t>INVIMA</w:t>
      </w:r>
      <w:r w:rsidR="00211022" w:rsidRPr="00211022">
        <w:rPr>
          <w:rFonts w:ascii="Arial" w:eastAsia="Times New Roman" w:hAnsi="Arial" w:cs="Arial"/>
          <w:color w:val="000000"/>
          <w:kern w:val="24"/>
          <w:sz w:val="20"/>
          <w:szCs w:val="20"/>
          <w:lang w:val="es-MX" w:eastAsia="es-ES"/>
        </w:rPr>
        <w:t xml:space="preserve"> </w:t>
      </w:r>
      <w:r w:rsidR="00B70FD6">
        <w:rPr>
          <w:rFonts w:ascii="Arial" w:eastAsia="Times New Roman" w:hAnsi="Arial" w:cs="Arial"/>
          <w:color w:val="000000"/>
          <w:kern w:val="24"/>
          <w:sz w:val="20"/>
          <w:szCs w:val="20"/>
          <w:lang w:val="es-MX" w:eastAsia="es-ES"/>
        </w:rPr>
        <w:t>.</w:t>
      </w:r>
      <w:proofErr w:type="gramEnd"/>
    </w:p>
    <w:p w:rsidR="00BE272B" w:rsidRPr="00C06DDC" w:rsidRDefault="00BE272B" w:rsidP="00BE272B">
      <w:pPr>
        <w:spacing w:before="8" w:after="0" w:line="360" w:lineRule="auto"/>
        <w:jc w:val="both"/>
        <w:rPr>
          <w:sz w:val="13"/>
          <w:szCs w:val="13"/>
          <w:lang w:val="es-ES"/>
        </w:rPr>
      </w:pPr>
    </w:p>
    <w:p w:rsidR="00707129" w:rsidRPr="00707129" w:rsidRDefault="00BE272B" w:rsidP="00707129">
      <w:pPr>
        <w:spacing w:line="360" w:lineRule="auto"/>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Concl</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sio</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 xml:space="preserve">s: </w:t>
      </w:r>
      <w:r w:rsidR="00707129" w:rsidRPr="00707129">
        <w:rPr>
          <w:rFonts w:ascii="Times New Roman" w:eastAsia="Times New Roman" w:hAnsi="Times New Roman" w:cs="Times New Roman"/>
          <w:sz w:val="24"/>
          <w:szCs w:val="24"/>
          <w:lang w:val="es-ES"/>
        </w:rPr>
        <w:t xml:space="preserve">El programa comparativo propuesto es amplio y riguroso entre el candidato y el producto de referencia, cuyas bases son una evaluación comparativa para demostrar que el producto en evaluación y el producto biológico de referencia son altamente similares. </w:t>
      </w:r>
    </w:p>
    <w:p w:rsidR="00BE272B" w:rsidRPr="00240ED4" w:rsidRDefault="00BE272B" w:rsidP="00BE272B">
      <w:pPr>
        <w:spacing w:before="6" w:after="0" w:line="130" w:lineRule="exact"/>
        <w:jc w:val="both"/>
        <w:rPr>
          <w:sz w:val="13"/>
          <w:szCs w:val="13"/>
          <w:lang w:val="es-ES"/>
        </w:rPr>
      </w:pPr>
    </w:p>
    <w:p w:rsidR="00EC263D" w:rsidRPr="00240ED4" w:rsidRDefault="00EC263D" w:rsidP="00BE272B">
      <w:pPr>
        <w:spacing w:before="6" w:after="0" w:line="130" w:lineRule="exact"/>
        <w:jc w:val="both"/>
        <w:rPr>
          <w:sz w:val="13"/>
          <w:szCs w:val="13"/>
          <w:lang w:val="es-ES"/>
        </w:rPr>
      </w:pPr>
    </w:p>
    <w:p w:rsidR="00EC263D" w:rsidRPr="00240ED4" w:rsidRDefault="00EC263D" w:rsidP="00BE272B">
      <w:pPr>
        <w:spacing w:before="6" w:after="0" w:line="130" w:lineRule="exact"/>
        <w:jc w:val="both"/>
        <w:rPr>
          <w:sz w:val="13"/>
          <w:szCs w:val="13"/>
          <w:lang w:val="es-ES"/>
        </w:rPr>
      </w:pPr>
    </w:p>
    <w:p w:rsidR="00EC263D" w:rsidRPr="00240ED4" w:rsidRDefault="00EC263D" w:rsidP="00BE272B">
      <w:pPr>
        <w:spacing w:before="6" w:after="0" w:line="130" w:lineRule="exact"/>
        <w:jc w:val="both"/>
        <w:rPr>
          <w:sz w:val="13"/>
          <w:szCs w:val="13"/>
          <w:lang w:val="es-ES"/>
        </w:rPr>
      </w:pPr>
    </w:p>
    <w:p w:rsidR="00BE272B" w:rsidRPr="00873553" w:rsidRDefault="00BE272B" w:rsidP="005C19AA">
      <w:pPr>
        <w:spacing w:after="0" w:line="360" w:lineRule="auto"/>
        <w:ind w:left="102" w:right="1187"/>
        <w:jc w:val="both"/>
        <w:rPr>
          <w:rFonts w:ascii="Times New Roman" w:eastAsia="Times New Roman" w:hAnsi="Times New Roman" w:cs="Times New Roman"/>
          <w:b/>
          <w:i/>
          <w:sz w:val="24"/>
          <w:szCs w:val="24"/>
        </w:rPr>
      </w:pPr>
      <w:r w:rsidRPr="00873553">
        <w:rPr>
          <w:rFonts w:ascii="Times New Roman" w:eastAsia="Times New Roman" w:hAnsi="Times New Roman" w:cs="Times New Roman"/>
          <w:b/>
          <w:i/>
          <w:sz w:val="24"/>
          <w:szCs w:val="24"/>
        </w:rPr>
        <w:t>Summary:</w:t>
      </w:r>
    </w:p>
    <w:p w:rsidR="00561978" w:rsidRDefault="00EC263D" w:rsidP="009971A5">
      <w:pPr>
        <w:spacing w:after="0" w:line="360" w:lineRule="auto"/>
        <w:ind w:left="102" w:right="-63"/>
        <w:jc w:val="both"/>
        <w:rPr>
          <w:rFonts w:ascii="Times New Roman" w:eastAsia="Times New Roman" w:hAnsi="Times New Roman" w:cs="Times New Roman"/>
          <w:i/>
          <w:sz w:val="24"/>
          <w:szCs w:val="24"/>
        </w:rPr>
      </w:pPr>
      <w:r>
        <w:rPr>
          <w:rFonts w:ascii="Symbol" w:eastAsia="Symbol" w:hAnsi="Symbol" w:cs="Symbol"/>
          <w:sz w:val="24"/>
          <w:szCs w:val="24"/>
        </w:rPr>
        <w:t></w:t>
      </w:r>
      <w:r w:rsidRPr="00EC263D">
        <w:rPr>
          <w:rFonts w:ascii="Times New Roman" w:eastAsia="Times New Roman" w:hAnsi="Times New Roman" w:cs="Times New Roman"/>
          <w:sz w:val="24"/>
          <w:szCs w:val="24"/>
        </w:rPr>
        <w:tab/>
      </w:r>
      <w:r w:rsidRPr="00873553">
        <w:rPr>
          <w:rFonts w:ascii="Times New Roman" w:eastAsia="Times New Roman" w:hAnsi="Times New Roman" w:cs="Times New Roman"/>
          <w:b/>
          <w:i/>
          <w:sz w:val="24"/>
          <w:szCs w:val="24"/>
        </w:rPr>
        <w:t>Problematic</w:t>
      </w:r>
      <w:r w:rsidRPr="00EC263D">
        <w:rPr>
          <w:rFonts w:ascii="Times New Roman" w:eastAsia="Times New Roman" w:hAnsi="Times New Roman" w:cs="Times New Roman"/>
          <w:b/>
          <w:bCs/>
          <w:i/>
          <w:sz w:val="24"/>
          <w:szCs w:val="24"/>
        </w:rPr>
        <w:t>:</w:t>
      </w:r>
      <w:r w:rsidR="00561978" w:rsidRPr="00EC263D">
        <w:rPr>
          <w:rStyle w:val="Strong"/>
          <w:rFonts w:ascii="Roboto" w:hAnsi="Roboto"/>
          <w:i/>
          <w:color w:val="777777"/>
          <w:sz w:val="20"/>
          <w:szCs w:val="20"/>
        </w:rPr>
        <w:t xml:space="preserve"> </w:t>
      </w:r>
      <w:r w:rsidR="00561978" w:rsidRPr="00561978">
        <w:rPr>
          <w:rFonts w:ascii="Times New Roman" w:eastAsia="Times New Roman" w:hAnsi="Times New Roman" w:cs="Times New Roman"/>
          <w:i/>
          <w:sz w:val="24"/>
          <w:szCs w:val="24"/>
        </w:rPr>
        <w:t xml:space="preserve">The process of manufacturing biopharmaceuticals often undergoes changes, in these </w:t>
      </w:r>
      <w:proofErr w:type="gramStart"/>
      <w:r w:rsidR="00561978" w:rsidRPr="00561978">
        <w:rPr>
          <w:rFonts w:ascii="Times New Roman" w:eastAsia="Times New Roman" w:hAnsi="Times New Roman" w:cs="Times New Roman"/>
          <w:i/>
          <w:sz w:val="24"/>
          <w:szCs w:val="24"/>
        </w:rPr>
        <w:t>cases,</w:t>
      </w:r>
      <w:proofErr w:type="gramEnd"/>
      <w:r w:rsidR="00561978" w:rsidRPr="00561978">
        <w:rPr>
          <w:rFonts w:ascii="Times New Roman" w:eastAsia="Times New Roman" w:hAnsi="Times New Roman" w:cs="Times New Roman"/>
          <w:i/>
          <w:sz w:val="24"/>
          <w:szCs w:val="24"/>
        </w:rPr>
        <w:t xml:space="preserve"> the manufacturer must demonstrate the similarity between the medication produced before and after introducing the change. In the CIGB, an investment was made to increase the production and regulatory standard of one of its production plants, constituting a viable alternative for the production of active pharmaceutical ingredients (APIs) of already registered pharmaceutical product</w:t>
      </w:r>
      <w:r>
        <w:rPr>
          <w:rFonts w:ascii="Times New Roman" w:eastAsia="Times New Roman" w:hAnsi="Times New Roman" w:cs="Times New Roman"/>
          <w:i/>
          <w:sz w:val="24"/>
          <w:szCs w:val="24"/>
        </w:rPr>
        <w:t>.</w:t>
      </w:r>
    </w:p>
    <w:p w:rsidR="00EC263D" w:rsidRPr="00561978" w:rsidRDefault="00EC263D" w:rsidP="005C19AA">
      <w:pPr>
        <w:spacing w:after="0" w:line="360" w:lineRule="auto"/>
        <w:ind w:left="102" w:right="1187"/>
        <w:jc w:val="both"/>
        <w:rPr>
          <w:rFonts w:ascii="Times New Roman" w:eastAsia="Times New Roman" w:hAnsi="Times New Roman" w:cs="Times New Roman"/>
          <w:b/>
          <w:bCs/>
          <w:i/>
          <w:sz w:val="24"/>
          <w:szCs w:val="24"/>
        </w:rPr>
      </w:pPr>
    </w:p>
    <w:p w:rsidR="00BE272B" w:rsidRDefault="00EC263D" w:rsidP="009971A5">
      <w:pPr>
        <w:spacing w:after="0" w:line="360" w:lineRule="auto"/>
        <w:ind w:left="102" w:right="-63"/>
        <w:jc w:val="both"/>
        <w:rPr>
          <w:rFonts w:ascii="Times New Roman" w:eastAsia="Times New Roman" w:hAnsi="Times New Roman" w:cs="Times New Roman"/>
          <w:i/>
          <w:sz w:val="24"/>
          <w:szCs w:val="24"/>
        </w:rPr>
      </w:pPr>
      <w:r>
        <w:rPr>
          <w:rFonts w:ascii="Symbol" w:eastAsia="Symbol" w:hAnsi="Symbol" w:cs="Symbol"/>
          <w:sz w:val="24"/>
          <w:szCs w:val="24"/>
        </w:rPr>
        <w:t></w:t>
      </w:r>
      <w:r w:rsidRPr="00EC263D">
        <w:rPr>
          <w:rFonts w:ascii="Times New Roman" w:eastAsia="Times New Roman" w:hAnsi="Times New Roman" w:cs="Times New Roman"/>
          <w:sz w:val="24"/>
          <w:szCs w:val="24"/>
        </w:rPr>
        <w:tab/>
      </w:r>
      <w:r w:rsidRPr="00873553">
        <w:rPr>
          <w:rFonts w:ascii="Times New Roman" w:eastAsia="Times New Roman" w:hAnsi="Times New Roman" w:cs="Times New Roman"/>
          <w:b/>
          <w:i/>
          <w:sz w:val="24"/>
          <w:szCs w:val="24"/>
        </w:rPr>
        <w:t>Objective (s):</w:t>
      </w:r>
      <w:r w:rsidRPr="00873553">
        <w:rPr>
          <w:rFonts w:ascii="Times New Roman" w:eastAsia="Times New Roman" w:hAnsi="Times New Roman" w:cs="Times New Roman"/>
          <w:i/>
          <w:sz w:val="24"/>
          <w:szCs w:val="24"/>
        </w:rPr>
        <w:t xml:space="preserve"> </w:t>
      </w:r>
      <w:r w:rsidR="00561978" w:rsidRPr="00561978">
        <w:rPr>
          <w:rFonts w:ascii="Times New Roman" w:eastAsia="Times New Roman" w:hAnsi="Times New Roman" w:cs="Times New Roman"/>
          <w:i/>
          <w:sz w:val="24"/>
          <w:szCs w:val="24"/>
        </w:rPr>
        <w:t xml:space="preserve">Establish the analytical comparability protocol in accordance with current regulations based on a </w:t>
      </w:r>
      <w:r w:rsidR="00561978" w:rsidRPr="00E91C9D">
        <w:rPr>
          <w:rFonts w:ascii="Times New Roman" w:eastAsia="Times New Roman" w:hAnsi="Times New Roman" w:cs="Times New Roman"/>
          <w:i/>
          <w:sz w:val="24"/>
          <w:szCs w:val="24"/>
        </w:rPr>
        <w:t>risk approach</w:t>
      </w:r>
      <w:r w:rsidR="00561978" w:rsidRPr="00561978">
        <w:rPr>
          <w:rFonts w:ascii="Times New Roman" w:eastAsia="Times New Roman" w:hAnsi="Times New Roman" w:cs="Times New Roman"/>
          <w:i/>
          <w:sz w:val="24"/>
          <w:szCs w:val="24"/>
        </w:rPr>
        <w:t>.</w:t>
      </w:r>
    </w:p>
    <w:p w:rsidR="00EC263D" w:rsidRPr="00873553" w:rsidRDefault="00EC263D" w:rsidP="005C19AA">
      <w:pPr>
        <w:spacing w:after="0" w:line="360" w:lineRule="auto"/>
        <w:ind w:left="102" w:right="1187"/>
        <w:jc w:val="both"/>
        <w:rPr>
          <w:rFonts w:ascii="Times New Roman" w:eastAsia="Times New Roman" w:hAnsi="Times New Roman" w:cs="Times New Roman"/>
          <w:i/>
          <w:sz w:val="24"/>
          <w:szCs w:val="24"/>
        </w:rPr>
      </w:pPr>
    </w:p>
    <w:p w:rsidR="00EC263D" w:rsidRPr="00873553" w:rsidRDefault="00EC263D" w:rsidP="001F1010">
      <w:pPr>
        <w:spacing w:line="360" w:lineRule="auto"/>
        <w:rPr>
          <w:rFonts w:ascii="Times New Roman" w:eastAsia="Times New Roman" w:hAnsi="Times New Roman" w:cs="Times New Roman"/>
          <w:i/>
          <w:sz w:val="24"/>
          <w:szCs w:val="24"/>
        </w:rPr>
      </w:pPr>
      <w:r>
        <w:rPr>
          <w:rFonts w:ascii="Symbol" w:eastAsia="Symbol" w:hAnsi="Symbol" w:cs="Symbol"/>
          <w:sz w:val="24"/>
          <w:szCs w:val="24"/>
        </w:rPr>
        <w:t></w:t>
      </w:r>
      <w:r w:rsidRPr="00EC263D">
        <w:rPr>
          <w:rFonts w:ascii="Times New Roman" w:eastAsia="Times New Roman" w:hAnsi="Times New Roman" w:cs="Times New Roman"/>
          <w:sz w:val="24"/>
          <w:szCs w:val="24"/>
        </w:rPr>
        <w:tab/>
      </w:r>
      <w:r w:rsidRPr="00873553">
        <w:rPr>
          <w:rFonts w:ascii="Times New Roman" w:eastAsia="Times New Roman" w:hAnsi="Times New Roman" w:cs="Times New Roman"/>
          <w:b/>
          <w:i/>
          <w:sz w:val="24"/>
          <w:szCs w:val="24"/>
        </w:rPr>
        <w:t>Methodology:</w:t>
      </w:r>
      <w:r w:rsidR="00BE272B" w:rsidRPr="00873553">
        <w:rPr>
          <w:rFonts w:ascii="Times New Roman" w:eastAsia="Times New Roman" w:hAnsi="Times New Roman" w:cs="Times New Roman"/>
          <w:i/>
          <w:sz w:val="24"/>
          <w:szCs w:val="24"/>
        </w:rPr>
        <w:t xml:space="preserve"> </w:t>
      </w:r>
      <w:r w:rsidR="00D22645" w:rsidRPr="00D22645">
        <w:rPr>
          <w:rFonts w:ascii="Times New Roman" w:eastAsia="Times New Roman" w:hAnsi="Times New Roman" w:cs="Times New Roman"/>
          <w:i/>
          <w:sz w:val="24"/>
          <w:szCs w:val="24"/>
        </w:rPr>
        <w:t xml:space="preserve"> </w:t>
      </w:r>
      <w:r w:rsidR="001F1010" w:rsidRPr="001F1010">
        <w:rPr>
          <w:rFonts w:ascii="Times New Roman" w:eastAsia="Times New Roman" w:hAnsi="Times New Roman" w:cs="Times New Roman"/>
          <w:i/>
          <w:sz w:val="24"/>
          <w:szCs w:val="24"/>
        </w:rPr>
        <w:t>The risk matrix was elaborated by a group of experts to facilitate the design of the protocol. The comparability protocol</w:t>
      </w:r>
      <w:r w:rsidR="001F1010">
        <w:rPr>
          <w:rFonts w:ascii="Times New Roman" w:eastAsia="Times New Roman" w:hAnsi="Times New Roman" w:cs="Times New Roman"/>
          <w:i/>
          <w:sz w:val="24"/>
          <w:szCs w:val="24"/>
        </w:rPr>
        <w:t xml:space="preserve"> was made</w:t>
      </w:r>
      <w:r w:rsidR="001F1010" w:rsidRPr="001F1010">
        <w:rPr>
          <w:rFonts w:ascii="Times New Roman" w:eastAsia="Times New Roman" w:hAnsi="Times New Roman" w:cs="Times New Roman"/>
          <w:i/>
          <w:sz w:val="24"/>
          <w:szCs w:val="24"/>
        </w:rPr>
        <w:t>, which must be carried out during the implementation of the process in accordance with the regulations in force (CECMED, ICH and EMA).</w:t>
      </w:r>
      <w:r w:rsidR="001F1010" w:rsidRPr="00873553">
        <w:rPr>
          <w:rFonts w:ascii="Times New Roman" w:eastAsia="Times New Roman" w:hAnsi="Times New Roman" w:cs="Times New Roman"/>
          <w:i/>
          <w:sz w:val="24"/>
          <w:szCs w:val="24"/>
        </w:rPr>
        <w:t xml:space="preserve"> </w:t>
      </w:r>
    </w:p>
    <w:p w:rsidR="00561978" w:rsidRDefault="00EC263D" w:rsidP="009971A5">
      <w:pPr>
        <w:spacing w:after="0" w:line="360" w:lineRule="auto"/>
        <w:ind w:left="102" w:right="221"/>
        <w:jc w:val="both"/>
        <w:rPr>
          <w:rFonts w:ascii="Times New Roman" w:eastAsia="Times New Roman" w:hAnsi="Times New Roman" w:cs="Times New Roman"/>
          <w:i/>
          <w:sz w:val="24"/>
          <w:szCs w:val="24"/>
        </w:rPr>
      </w:pPr>
      <w:r>
        <w:rPr>
          <w:rFonts w:ascii="Symbol" w:eastAsia="Symbol" w:hAnsi="Symbol" w:cs="Symbol"/>
          <w:sz w:val="24"/>
          <w:szCs w:val="24"/>
        </w:rPr>
        <w:t></w:t>
      </w:r>
      <w:r w:rsidRPr="00EC263D">
        <w:rPr>
          <w:rFonts w:ascii="Times New Roman" w:eastAsia="Times New Roman" w:hAnsi="Times New Roman" w:cs="Times New Roman"/>
          <w:sz w:val="24"/>
          <w:szCs w:val="24"/>
        </w:rPr>
        <w:tab/>
      </w:r>
      <w:r w:rsidRPr="00873553">
        <w:rPr>
          <w:rFonts w:ascii="Times New Roman" w:eastAsia="Times New Roman" w:hAnsi="Times New Roman" w:cs="Times New Roman"/>
          <w:b/>
          <w:i/>
          <w:sz w:val="24"/>
          <w:szCs w:val="24"/>
        </w:rPr>
        <w:t>Results and discussion:</w:t>
      </w:r>
      <w:r w:rsidRPr="00873553">
        <w:rPr>
          <w:rFonts w:ascii="Times New Roman" w:eastAsia="Times New Roman" w:hAnsi="Times New Roman" w:cs="Times New Roman"/>
          <w:i/>
          <w:sz w:val="24"/>
          <w:szCs w:val="24"/>
        </w:rPr>
        <w:t xml:space="preserve"> </w:t>
      </w:r>
      <w:r w:rsidR="00561978" w:rsidRPr="00561978">
        <w:rPr>
          <w:rFonts w:ascii="Times New Roman" w:eastAsia="Times New Roman" w:hAnsi="Times New Roman" w:cs="Times New Roman"/>
          <w:i/>
          <w:sz w:val="24"/>
          <w:szCs w:val="24"/>
        </w:rPr>
        <w:t xml:space="preserve">The risk matrix allowed determining that the critical quality attributes related to the safety, identity and purity of the </w:t>
      </w:r>
      <w:r w:rsidR="00035053">
        <w:rPr>
          <w:rFonts w:ascii="Times New Roman" w:eastAsia="Times New Roman" w:hAnsi="Times New Roman" w:cs="Times New Roman"/>
          <w:i/>
          <w:sz w:val="24"/>
          <w:szCs w:val="24"/>
        </w:rPr>
        <w:t>molecule are the most important. A</w:t>
      </w:r>
      <w:r w:rsidR="00561978" w:rsidRPr="00561978">
        <w:rPr>
          <w:rFonts w:ascii="Times New Roman" w:eastAsia="Times New Roman" w:hAnsi="Times New Roman" w:cs="Times New Roman"/>
          <w:i/>
          <w:sz w:val="24"/>
          <w:szCs w:val="24"/>
        </w:rPr>
        <w:t xml:space="preserve"> comparability protocol </w:t>
      </w:r>
      <w:r w:rsidR="00035053">
        <w:rPr>
          <w:rFonts w:ascii="Times New Roman" w:eastAsia="Times New Roman" w:hAnsi="Times New Roman" w:cs="Times New Roman"/>
          <w:i/>
          <w:sz w:val="24"/>
          <w:szCs w:val="24"/>
        </w:rPr>
        <w:t xml:space="preserve">was designed </w:t>
      </w:r>
      <w:r w:rsidR="00561978" w:rsidRPr="00561978">
        <w:rPr>
          <w:rFonts w:ascii="Times New Roman" w:eastAsia="Times New Roman" w:hAnsi="Times New Roman" w:cs="Times New Roman"/>
          <w:i/>
          <w:sz w:val="24"/>
          <w:szCs w:val="24"/>
        </w:rPr>
        <w:t xml:space="preserve">that includes a comprehensive characterization program, to compare the </w:t>
      </w:r>
      <w:proofErr w:type="spellStart"/>
      <w:r w:rsidR="00561978" w:rsidRPr="00561978">
        <w:rPr>
          <w:rFonts w:ascii="Times New Roman" w:eastAsia="Times New Roman" w:hAnsi="Times New Roman" w:cs="Times New Roman"/>
          <w:i/>
          <w:sz w:val="24"/>
          <w:szCs w:val="24"/>
        </w:rPr>
        <w:t>physico</w:t>
      </w:r>
      <w:proofErr w:type="spellEnd"/>
      <w:r w:rsidR="00561978" w:rsidRPr="00561978">
        <w:rPr>
          <w:rFonts w:ascii="Times New Roman" w:eastAsia="Times New Roman" w:hAnsi="Times New Roman" w:cs="Times New Roman"/>
          <w:i/>
          <w:sz w:val="24"/>
          <w:szCs w:val="24"/>
        </w:rPr>
        <w:t xml:space="preserve">-chemical and biological quality attributes with the reference product. </w:t>
      </w:r>
      <w:r w:rsidR="00561978">
        <w:rPr>
          <w:rFonts w:ascii="Times New Roman" w:eastAsia="Times New Roman" w:hAnsi="Times New Roman" w:cs="Times New Roman"/>
          <w:i/>
          <w:sz w:val="24"/>
          <w:szCs w:val="24"/>
        </w:rPr>
        <w:t xml:space="preserve">The protocol complies with that </w:t>
      </w:r>
      <w:r w:rsidR="00561978" w:rsidRPr="00561978">
        <w:rPr>
          <w:rFonts w:ascii="Times New Roman" w:eastAsia="Times New Roman" w:hAnsi="Times New Roman" w:cs="Times New Roman"/>
          <w:i/>
          <w:sz w:val="24"/>
          <w:szCs w:val="24"/>
        </w:rPr>
        <w:t>established by the regulatory agencies consulted: CECMED, INVIMA</w:t>
      </w:r>
    </w:p>
    <w:p w:rsidR="00EC263D" w:rsidRDefault="00EC263D" w:rsidP="005C19AA">
      <w:pPr>
        <w:spacing w:after="0" w:line="360" w:lineRule="auto"/>
        <w:ind w:left="102" w:right="1187"/>
        <w:jc w:val="both"/>
        <w:rPr>
          <w:rFonts w:ascii="Times New Roman" w:eastAsia="Times New Roman" w:hAnsi="Times New Roman" w:cs="Times New Roman"/>
          <w:i/>
          <w:sz w:val="24"/>
          <w:szCs w:val="24"/>
        </w:rPr>
      </w:pPr>
    </w:p>
    <w:p w:rsidR="00561978" w:rsidRPr="00561978" w:rsidRDefault="00EC263D" w:rsidP="00561978">
      <w:pPr>
        <w:spacing w:line="360" w:lineRule="auto"/>
        <w:rPr>
          <w:rFonts w:ascii="Times New Roman" w:eastAsia="Times New Roman" w:hAnsi="Times New Roman" w:cs="Times New Roman"/>
          <w:i/>
          <w:sz w:val="24"/>
          <w:szCs w:val="24"/>
        </w:rPr>
      </w:pPr>
      <w:r>
        <w:rPr>
          <w:rFonts w:ascii="Symbol" w:eastAsia="Symbol" w:hAnsi="Symbol" w:cs="Symbol"/>
          <w:sz w:val="24"/>
          <w:szCs w:val="24"/>
        </w:rPr>
        <w:t></w:t>
      </w:r>
      <w:r w:rsidRPr="00EC263D">
        <w:rPr>
          <w:rFonts w:ascii="Times New Roman" w:eastAsia="Times New Roman" w:hAnsi="Times New Roman" w:cs="Times New Roman"/>
          <w:sz w:val="24"/>
          <w:szCs w:val="24"/>
        </w:rPr>
        <w:tab/>
      </w:r>
      <w:r w:rsidRPr="00873553">
        <w:rPr>
          <w:rFonts w:ascii="Times New Roman" w:eastAsia="Times New Roman" w:hAnsi="Times New Roman" w:cs="Times New Roman"/>
          <w:b/>
          <w:i/>
          <w:sz w:val="24"/>
          <w:szCs w:val="24"/>
        </w:rPr>
        <w:t>Conclusions</w:t>
      </w:r>
      <w:r w:rsidR="00BE272B" w:rsidRPr="00EC263D">
        <w:rPr>
          <w:rFonts w:ascii="Times New Roman" w:eastAsia="Times New Roman" w:hAnsi="Times New Roman" w:cs="Times New Roman"/>
          <w:b/>
          <w:i/>
          <w:sz w:val="24"/>
          <w:szCs w:val="24"/>
        </w:rPr>
        <w:t>:</w:t>
      </w:r>
      <w:r w:rsidR="00BE272B" w:rsidRPr="00561978">
        <w:rPr>
          <w:rFonts w:ascii="Times New Roman" w:eastAsia="Times New Roman" w:hAnsi="Times New Roman" w:cs="Times New Roman"/>
          <w:i/>
          <w:sz w:val="24"/>
          <w:szCs w:val="24"/>
        </w:rPr>
        <w:t xml:space="preserve"> </w:t>
      </w:r>
      <w:r w:rsidR="00561978" w:rsidRPr="00561978">
        <w:rPr>
          <w:rFonts w:ascii="Times New Roman" w:eastAsia="Times New Roman" w:hAnsi="Times New Roman" w:cs="Times New Roman"/>
          <w:i/>
          <w:sz w:val="24"/>
          <w:szCs w:val="24"/>
        </w:rPr>
        <w:t>The proposed comparative program is broad and rigorous between the</w:t>
      </w:r>
      <w:bookmarkStart w:id="0" w:name="_GoBack"/>
      <w:bookmarkEnd w:id="0"/>
      <w:r w:rsidR="00561978" w:rsidRPr="00561978">
        <w:rPr>
          <w:rFonts w:ascii="Times New Roman" w:eastAsia="Times New Roman" w:hAnsi="Times New Roman" w:cs="Times New Roman"/>
          <w:i/>
          <w:sz w:val="24"/>
          <w:szCs w:val="24"/>
        </w:rPr>
        <w:t xml:space="preserve"> candidate and the reference product, whose bases are a comparative evaluation to demonstrate that the product under evaluation and the biological reference product are highly similar.</w:t>
      </w:r>
    </w:p>
    <w:p w:rsidR="005C19AA" w:rsidRPr="00EC263D" w:rsidRDefault="005C19AA" w:rsidP="00EC263D">
      <w:pPr>
        <w:spacing w:line="360" w:lineRule="auto"/>
        <w:rPr>
          <w:rFonts w:ascii="Arial" w:eastAsia="Times New Roman" w:hAnsi="Arial" w:cs="Arial"/>
          <w:sz w:val="20"/>
          <w:szCs w:val="20"/>
          <w:lang w:val="es-ES_tradnl"/>
        </w:rPr>
      </w:pPr>
      <w:r w:rsidRPr="00C06DDC">
        <w:rPr>
          <w:rFonts w:ascii="Times New Roman" w:eastAsia="Times New Roman" w:hAnsi="Times New Roman" w:cs="Times New Roman"/>
          <w:b/>
          <w:bCs/>
          <w:spacing w:val="-3"/>
          <w:sz w:val="24"/>
          <w:szCs w:val="24"/>
          <w:lang w:val="es-ES"/>
        </w:rPr>
        <w:t>P</w:t>
      </w:r>
      <w:r w:rsidRPr="00C06DDC">
        <w:rPr>
          <w:rFonts w:ascii="Times New Roman" w:eastAsia="Times New Roman" w:hAnsi="Times New Roman" w:cs="Times New Roman"/>
          <w:b/>
          <w:bCs/>
          <w:sz w:val="24"/>
          <w:szCs w:val="24"/>
          <w:lang w:val="es-ES"/>
        </w:rPr>
        <w:t>ala</w:t>
      </w:r>
      <w:r w:rsidRPr="00C06DDC">
        <w:rPr>
          <w:rFonts w:ascii="Times New Roman" w:eastAsia="Times New Roman" w:hAnsi="Times New Roman" w:cs="Times New Roman"/>
          <w:b/>
          <w:bCs/>
          <w:spacing w:val="1"/>
          <w:sz w:val="24"/>
          <w:szCs w:val="24"/>
          <w:lang w:val="es-ES"/>
        </w:rPr>
        <w:t>b</w:t>
      </w:r>
      <w:r w:rsidRPr="00C06DDC">
        <w:rPr>
          <w:rFonts w:ascii="Times New Roman" w:eastAsia="Times New Roman" w:hAnsi="Times New Roman" w:cs="Times New Roman"/>
          <w:b/>
          <w:bCs/>
          <w:spacing w:val="-1"/>
          <w:sz w:val="24"/>
          <w:szCs w:val="24"/>
          <w:lang w:val="es-ES"/>
        </w:rPr>
        <w:t>r</w:t>
      </w:r>
      <w:r w:rsidRPr="00C06DDC">
        <w:rPr>
          <w:rFonts w:ascii="Times New Roman" w:eastAsia="Times New Roman" w:hAnsi="Times New Roman" w:cs="Times New Roman"/>
          <w:b/>
          <w:bCs/>
          <w:sz w:val="24"/>
          <w:szCs w:val="24"/>
          <w:lang w:val="es-ES"/>
        </w:rPr>
        <w:t>as</w:t>
      </w:r>
      <w:r w:rsidRPr="00C06DDC">
        <w:rPr>
          <w:rFonts w:ascii="Times New Roman" w:eastAsia="Times New Roman" w:hAnsi="Times New Roman" w:cs="Times New Roman"/>
          <w:b/>
          <w:bCs/>
          <w:spacing w:val="12"/>
          <w:sz w:val="24"/>
          <w:szCs w:val="24"/>
          <w:lang w:val="es-ES"/>
        </w:rPr>
        <w:t xml:space="preserve"> </w:t>
      </w:r>
      <w:r w:rsidRPr="00C06DDC">
        <w:rPr>
          <w:rFonts w:ascii="Times New Roman" w:eastAsia="Times New Roman" w:hAnsi="Times New Roman" w:cs="Times New Roman"/>
          <w:b/>
          <w:bCs/>
          <w:sz w:val="24"/>
          <w:szCs w:val="24"/>
          <w:lang w:val="es-ES"/>
        </w:rPr>
        <w:t>Clav</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w:t>
      </w:r>
      <w:r w:rsidRPr="00C06DDC">
        <w:rPr>
          <w:rFonts w:ascii="Times New Roman" w:eastAsia="Times New Roman" w:hAnsi="Times New Roman" w:cs="Times New Roman"/>
          <w:b/>
          <w:bCs/>
          <w:spacing w:val="12"/>
          <w:sz w:val="24"/>
          <w:szCs w:val="24"/>
          <w:lang w:val="es-ES"/>
        </w:rPr>
        <w:t xml:space="preserve"> </w:t>
      </w:r>
      <w:r w:rsidR="00561978" w:rsidRPr="00561978">
        <w:rPr>
          <w:rFonts w:ascii="Times New Roman" w:eastAsia="Times New Roman" w:hAnsi="Times New Roman" w:cs="Times New Roman"/>
          <w:sz w:val="24"/>
          <w:szCs w:val="24"/>
          <w:lang w:val="es-ES_tradnl"/>
        </w:rPr>
        <w:t>Comparabilidad</w:t>
      </w:r>
      <w:r w:rsidR="00561978">
        <w:rPr>
          <w:rFonts w:ascii="Times New Roman" w:eastAsia="Times New Roman" w:hAnsi="Times New Roman" w:cs="Times New Roman"/>
          <w:sz w:val="24"/>
          <w:szCs w:val="24"/>
          <w:lang w:val="es-ES_tradnl"/>
        </w:rPr>
        <w:t xml:space="preserve">; </w:t>
      </w:r>
      <w:r w:rsidR="00561978" w:rsidRPr="00561978">
        <w:rPr>
          <w:rFonts w:ascii="Times New Roman" w:eastAsia="Times New Roman" w:hAnsi="Times New Roman" w:cs="Times New Roman"/>
          <w:sz w:val="24"/>
          <w:szCs w:val="24"/>
          <w:lang w:val="es-ES_tradnl"/>
        </w:rPr>
        <w:t>Cambios de proceso</w:t>
      </w:r>
      <w:r w:rsidR="00561978">
        <w:rPr>
          <w:rFonts w:ascii="Times New Roman" w:eastAsia="Times New Roman" w:hAnsi="Times New Roman" w:cs="Times New Roman"/>
          <w:sz w:val="24"/>
          <w:szCs w:val="24"/>
          <w:lang w:val="es-ES_tradnl"/>
        </w:rPr>
        <w:t xml:space="preserve">; </w:t>
      </w:r>
      <w:r w:rsidR="00561978" w:rsidRPr="00561978">
        <w:rPr>
          <w:rFonts w:ascii="Times New Roman" w:eastAsia="Times New Roman" w:hAnsi="Times New Roman" w:cs="Times New Roman"/>
          <w:sz w:val="24"/>
          <w:szCs w:val="24"/>
          <w:lang w:val="es-ES_tradnl"/>
        </w:rPr>
        <w:t xml:space="preserve"> IFA</w:t>
      </w:r>
      <w:r w:rsidR="00561978">
        <w:rPr>
          <w:rFonts w:ascii="Times New Roman" w:eastAsia="Times New Roman" w:hAnsi="Times New Roman" w:cs="Times New Roman"/>
          <w:sz w:val="24"/>
          <w:szCs w:val="24"/>
          <w:lang w:val="es-ES_tradnl"/>
        </w:rPr>
        <w:t xml:space="preserve">; </w:t>
      </w:r>
      <w:r w:rsidR="00561978" w:rsidRPr="00561978">
        <w:rPr>
          <w:rFonts w:ascii="Times New Roman" w:eastAsia="Times New Roman" w:hAnsi="Times New Roman" w:cs="Times New Roman"/>
          <w:sz w:val="24"/>
          <w:szCs w:val="24"/>
          <w:lang w:val="es-ES_tradnl"/>
        </w:rPr>
        <w:t xml:space="preserve"> </w:t>
      </w:r>
      <w:proofErr w:type="spellStart"/>
      <w:r w:rsidR="00561978" w:rsidRPr="00561978">
        <w:rPr>
          <w:rFonts w:ascii="Times New Roman" w:eastAsia="Times New Roman" w:hAnsi="Times New Roman" w:cs="Times New Roman"/>
          <w:sz w:val="24"/>
          <w:szCs w:val="24"/>
          <w:lang w:val="es-ES_tradnl"/>
        </w:rPr>
        <w:t>Biofármacos</w:t>
      </w:r>
      <w:proofErr w:type="spellEnd"/>
      <w:r w:rsidR="00561978">
        <w:rPr>
          <w:rFonts w:ascii="Times New Roman" w:eastAsia="Times New Roman" w:hAnsi="Times New Roman" w:cs="Times New Roman"/>
          <w:sz w:val="24"/>
          <w:szCs w:val="24"/>
          <w:lang w:val="es-ES_tradnl"/>
        </w:rPr>
        <w:t xml:space="preserve">; </w:t>
      </w:r>
      <w:r w:rsidR="00EC263D">
        <w:rPr>
          <w:rFonts w:ascii="Times New Roman" w:eastAsia="Times New Roman" w:hAnsi="Times New Roman" w:cs="Times New Roman"/>
          <w:sz w:val="24"/>
          <w:szCs w:val="24"/>
          <w:lang w:val="es-ES_tradnl"/>
        </w:rPr>
        <w:t xml:space="preserve"> </w:t>
      </w:r>
      <w:r w:rsidRPr="00873553">
        <w:rPr>
          <w:rFonts w:ascii="Times New Roman" w:eastAsia="Times New Roman" w:hAnsi="Times New Roman" w:cs="Times New Roman"/>
          <w:sz w:val="24"/>
          <w:szCs w:val="24"/>
          <w:lang w:val="es-ES_tradnl"/>
        </w:rPr>
        <w:t>Riesgos</w:t>
      </w:r>
    </w:p>
    <w:p w:rsidR="00EC263D" w:rsidRPr="00EC263D" w:rsidRDefault="005C19AA" w:rsidP="00EC263D">
      <w:pPr>
        <w:spacing w:after="0" w:line="360" w:lineRule="auto"/>
        <w:ind w:left="102" w:right="1181"/>
        <w:rPr>
          <w:rFonts w:ascii="Times New Roman" w:eastAsia="Times New Roman" w:hAnsi="Times New Roman" w:cs="Times New Roman"/>
          <w:i/>
          <w:sz w:val="24"/>
          <w:szCs w:val="24"/>
        </w:rPr>
        <w:sectPr w:rsidR="00EC263D" w:rsidRPr="00EC263D">
          <w:headerReference w:type="default" r:id="rId15"/>
          <w:footerReference w:type="default" r:id="rId16"/>
          <w:type w:val="continuous"/>
          <w:pgSz w:w="11920" w:h="16840"/>
          <w:pgMar w:top="2900" w:right="460" w:bottom="1640" w:left="1600" w:header="300" w:footer="1444" w:gutter="0"/>
          <w:cols w:space="720"/>
        </w:sectPr>
      </w:pPr>
      <w:r w:rsidRPr="00873553">
        <w:rPr>
          <w:rFonts w:ascii="Times New Roman" w:eastAsia="Times New Roman" w:hAnsi="Times New Roman" w:cs="Times New Roman"/>
          <w:b/>
          <w:bCs/>
          <w:i/>
          <w:sz w:val="24"/>
          <w:szCs w:val="24"/>
        </w:rPr>
        <w:t>K</w:t>
      </w:r>
      <w:r w:rsidRPr="00873553">
        <w:rPr>
          <w:rFonts w:ascii="Times New Roman" w:eastAsia="Times New Roman" w:hAnsi="Times New Roman" w:cs="Times New Roman"/>
          <w:b/>
          <w:bCs/>
          <w:i/>
          <w:spacing w:val="-1"/>
          <w:sz w:val="24"/>
          <w:szCs w:val="24"/>
        </w:rPr>
        <w:t>ey</w:t>
      </w:r>
      <w:r w:rsidRPr="00873553">
        <w:rPr>
          <w:rFonts w:ascii="Times New Roman" w:eastAsia="Times New Roman" w:hAnsi="Times New Roman" w:cs="Times New Roman"/>
          <w:b/>
          <w:bCs/>
          <w:i/>
          <w:sz w:val="24"/>
          <w:szCs w:val="24"/>
        </w:rPr>
        <w:t>words:</w:t>
      </w:r>
      <w:r w:rsidRPr="00873553">
        <w:rPr>
          <w:rFonts w:ascii="Times New Roman" w:eastAsia="Times New Roman" w:hAnsi="Times New Roman" w:cs="Times New Roman"/>
          <w:b/>
          <w:bCs/>
          <w:i/>
          <w:spacing w:val="5"/>
          <w:sz w:val="24"/>
          <w:szCs w:val="24"/>
        </w:rPr>
        <w:t xml:space="preserve"> </w:t>
      </w:r>
      <w:r w:rsidR="00EC263D" w:rsidRPr="00EC263D">
        <w:rPr>
          <w:rFonts w:ascii="Times New Roman" w:eastAsia="Times New Roman" w:hAnsi="Times New Roman" w:cs="Times New Roman"/>
          <w:bCs/>
          <w:i/>
          <w:spacing w:val="5"/>
          <w:sz w:val="24"/>
          <w:szCs w:val="24"/>
        </w:rPr>
        <w:t>Comparability; Process changes, API; Biopharmaceutical</w:t>
      </w:r>
      <w:r w:rsidR="00EC263D">
        <w:rPr>
          <w:rFonts w:ascii="Times New Roman" w:eastAsia="Times New Roman" w:hAnsi="Times New Roman" w:cs="Times New Roman"/>
          <w:bCs/>
          <w:i/>
          <w:spacing w:val="5"/>
          <w:sz w:val="24"/>
          <w:szCs w:val="24"/>
        </w:rPr>
        <w:t>s</w:t>
      </w:r>
      <w:r w:rsidR="00EC263D">
        <w:rPr>
          <w:rFonts w:ascii="Times New Roman" w:eastAsia="Times New Roman" w:hAnsi="Times New Roman" w:cs="Times New Roman"/>
          <w:b/>
          <w:bCs/>
          <w:i/>
          <w:spacing w:val="5"/>
          <w:sz w:val="24"/>
          <w:szCs w:val="24"/>
        </w:rPr>
        <w:t xml:space="preserve">; </w:t>
      </w:r>
      <w:r w:rsidRPr="00EC263D">
        <w:rPr>
          <w:rFonts w:ascii="Times New Roman" w:eastAsia="Times New Roman" w:hAnsi="Times New Roman" w:cs="Times New Roman"/>
          <w:i/>
          <w:sz w:val="24"/>
          <w:szCs w:val="24"/>
        </w:rPr>
        <w:t>Risk</w:t>
      </w:r>
    </w:p>
    <w:p w:rsidR="00266929" w:rsidRPr="00BE272B" w:rsidRDefault="00266929" w:rsidP="00EC263D">
      <w:pPr>
        <w:spacing w:before="2" w:after="0" w:line="120" w:lineRule="exact"/>
        <w:rPr>
          <w:sz w:val="12"/>
          <w:szCs w:val="12"/>
        </w:rPr>
      </w:pPr>
    </w:p>
    <w:sectPr w:rsidR="00266929" w:rsidRPr="00BE272B" w:rsidSect="00266929">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6D" w:rsidRDefault="00D2296D" w:rsidP="00266929">
      <w:pPr>
        <w:spacing w:after="0" w:line="240" w:lineRule="auto"/>
      </w:pPr>
      <w:r>
        <w:separator/>
      </w:r>
    </w:p>
  </w:endnote>
  <w:endnote w:type="continuationSeparator" w:id="0">
    <w:p w:rsidR="00D2296D" w:rsidRDefault="00D2296D" w:rsidP="00266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29" w:rsidRDefault="00342092">
    <w:pPr>
      <w:spacing w:after="0" w:line="200" w:lineRule="exact"/>
      <w:rPr>
        <w:sz w:val="20"/>
        <w:szCs w:val="20"/>
      </w:rPr>
    </w:pPr>
    <w:r w:rsidRPr="00342092">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266929" w:rsidRPr="00BE272B" w:rsidRDefault="00A038FD">
                <w:pPr>
                  <w:spacing w:after="0" w:line="307" w:lineRule="exact"/>
                  <w:ind w:left="42" w:right="-20"/>
                  <w:rPr>
                    <w:rFonts w:ascii="Times New Roman" w:eastAsia="Times New Roman" w:hAnsi="Times New Roman" w:cs="Times New Roman"/>
                    <w:sz w:val="28"/>
                    <w:szCs w:val="28"/>
                    <w:lang w:val="es-ES"/>
                  </w:rPr>
                </w:pPr>
                <w:r w:rsidRPr="00BE272B">
                  <w:rPr>
                    <w:rFonts w:ascii="Times New Roman" w:eastAsia="Times New Roman" w:hAnsi="Times New Roman" w:cs="Times New Roman"/>
                    <w:sz w:val="28"/>
                    <w:szCs w:val="28"/>
                    <w:lang w:val="es-ES"/>
                  </w:rPr>
                  <w:t>I</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2"/>
                    <w:sz w:val="28"/>
                    <w:szCs w:val="28"/>
                    <w:lang w:val="es-ES"/>
                  </w:rPr>
                  <w:t>f</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z w:val="28"/>
                    <w:szCs w:val="28"/>
                    <w:lang w:val="es-ES"/>
                  </w:rPr>
                  <w:t>r</w:t>
                </w:r>
                <w:r w:rsidRPr="00BE272B">
                  <w:rPr>
                    <w:rFonts w:ascii="Times New Roman" w:eastAsia="Times New Roman" w:hAnsi="Times New Roman" w:cs="Times New Roman"/>
                    <w:spacing w:val="-5"/>
                    <w:sz w:val="28"/>
                    <w:szCs w:val="28"/>
                    <w:lang w:val="es-ES"/>
                  </w:rPr>
                  <w:t>m</w:t>
                </w:r>
                <w:r w:rsidRPr="00BE272B">
                  <w:rPr>
                    <w:rFonts w:ascii="Times New Roman" w:eastAsia="Times New Roman" w:hAnsi="Times New Roman" w:cs="Times New Roman"/>
                    <w:sz w:val="28"/>
                    <w:szCs w:val="28"/>
                    <w:lang w:val="es-ES"/>
                  </w:rPr>
                  <w:t>ac</w:t>
                </w:r>
                <w:r w:rsidRPr="00BE272B">
                  <w:rPr>
                    <w:rFonts w:ascii="Times New Roman" w:eastAsia="Times New Roman" w:hAnsi="Times New Roman" w:cs="Times New Roman"/>
                    <w:spacing w:val="1"/>
                    <w:sz w:val="28"/>
                    <w:szCs w:val="28"/>
                    <w:lang w:val="es-ES"/>
                  </w:rPr>
                  <w:t>ió</w:t>
                </w:r>
                <w:r w:rsidRPr="00BE272B">
                  <w:rPr>
                    <w:rFonts w:ascii="Times New Roman" w:eastAsia="Times New Roman" w:hAnsi="Times New Roman" w:cs="Times New Roman"/>
                    <w:sz w:val="28"/>
                    <w:szCs w:val="28"/>
                    <w:lang w:val="es-ES"/>
                  </w:rPr>
                  <w:t>n</w:t>
                </w:r>
                <w:r w:rsidRPr="00BE272B">
                  <w:rPr>
                    <w:rFonts w:ascii="Times New Roman" w:eastAsia="Times New Roman" w:hAnsi="Times New Roman" w:cs="Times New Roman"/>
                    <w:spacing w:val="-2"/>
                    <w:sz w:val="28"/>
                    <w:szCs w:val="28"/>
                    <w:lang w:val="es-ES"/>
                  </w:rPr>
                  <w:t xml:space="preserve"> </w:t>
                </w:r>
                <w:r w:rsidRPr="00BE272B">
                  <w:rPr>
                    <w:rFonts w:ascii="Times New Roman" w:eastAsia="Times New Roman" w:hAnsi="Times New Roman" w:cs="Times New Roman"/>
                    <w:spacing w:val="1"/>
                    <w:sz w:val="28"/>
                    <w:szCs w:val="28"/>
                    <w:lang w:val="es-ES"/>
                  </w:rPr>
                  <w:t>d</w:t>
                </w:r>
                <w:r w:rsidRPr="00BE272B">
                  <w:rPr>
                    <w:rFonts w:ascii="Times New Roman" w:eastAsia="Times New Roman" w:hAnsi="Times New Roman" w:cs="Times New Roman"/>
                    <w:sz w:val="28"/>
                    <w:szCs w:val="28"/>
                    <w:lang w:val="es-ES"/>
                  </w:rPr>
                  <w:t xml:space="preserve">e </w:t>
                </w:r>
                <w:r w:rsidRPr="00BE272B">
                  <w:rPr>
                    <w:rFonts w:ascii="Times New Roman" w:eastAsia="Times New Roman" w:hAnsi="Times New Roman" w:cs="Times New Roman"/>
                    <w:spacing w:val="-3"/>
                    <w:sz w:val="28"/>
                    <w:szCs w:val="28"/>
                    <w:lang w:val="es-ES"/>
                  </w:rPr>
                  <w:t>c</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pacing w:val="-2"/>
                    <w:sz w:val="28"/>
                    <w:szCs w:val="28"/>
                    <w:lang w:val="es-ES"/>
                  </w:rPr>
                  <w:t>a</w:t>
                </w:r>
                <w:r w:rsidRPr="00BE272B">
                  <w:rPr>
                    <w:rFonts w:ascii="Times New Roman" w:eastAsia="Times New Roman" w:hAnsi="Times New Roman" w:cs="Times New Roman"/>
                    <w:sz w:val="28"/>
                    <w:szCs w:val="28"/>
                    <w:lang w:val="es-ES"/>
                  </w:rPr>
                  <w:t>c</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z w:val="28"/>
                    <w:szCs w:val="28"/>
                    <w:lang w:val="es-ES"/>
                  </w:rPr>
                  <w:t>o</w:t>
                </w:r>
              </w:p>
              <w:p w:rsidR="00266929" w:rsidRPr="00BE272B" w:rsidRDefault="00342092">
                <w:pPr>
                  <w:spacing w:before="6" w:after="0" w:line="322" w:lineRule="exact"/>
                  <w:ind w:left="426" w:right="-48" w:hanging="406"/>
                  <w:rPr>
                    <w:rFonts w:ascii="Times New Roman" w:eastAsia="Times New Roman" w:hAnsi="Times New Roman" w:cs="Times New Roman"/>
                    <w:sz w:val="28"/>
                    <w:szCs w:val="28"/>
                    <w:lang w:val="es-ES"/>
                  </w:rPr>
                </w:pPr>
                <w:hyperlink r:id="rId1">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o</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pacing w:val="-2"/>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2"/>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i</w:t>
                  </w:r>
                  <w:r w:rsidR="00A038FD" w:rsidRPr="00BE272B">
                    <w:rPr>
                      <w:rFonts w:ascii="Times New Roman" w:eastAsia="Times New Roman" w:hAnsi="Times New Roman" w:cs="Times New Roman"/>
                      <w:color w:val="0000FF"/>
                      <w:spacing w:val="-1"/>
                      <w:sz w:val="28"/>
                      <w:szCs w:val="28"/>
                      <w:u w:val="single" w:color="0000FF"/>
                      <w:lang w:val="es-ES"/>
                    </w:rPr>
                    <w:t>on</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lv</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.cu</w:t>
                  </w:r>
                  <w:r w:rsidR="00A038FD" w:rsidRPr="00BE272B">
                    <w:rPr>
                      <w:rFonts w:ascii="Times New Roman" w:eastAsia="Times New Roman" w:hAnsi="Times New Roman" w:cs="Times New Roman"/>
                      <w:color w:val="0000FF"/>
                      <w:sz w:val="28"/>
                      <w:szCs w:val="28"/>
                      <w:lang w:val="es-ES"/>
                    </w:rPr>
                    <w:t xml:space="preserve"> </w:t>
                  </w:r>
                </w:hyperlink>
                <w:hyperlink r:id="rId2">
                  <w:r w:rsidR="00A038FD" w:rsidRPr="00BE272B">
                    <w:rPr>
                      <w:rFonts w:ascii="Times New Roman" w:eastAsia="Times New Roman" w:hAnsi="Times New Roman" w:cs="Times New Roman"/>
                      <w:color w:val="0000FF"/>
                      <w:spacing w:val="-1"/>
                      <w:sz w:val="28"/>
                      <w:szCs w:val="28"/>
                      <w:u w:val="single" w:color="0000FF"/>
                      <w:lang w:val="es-ES"/>
                    </w:rPr>
                    <w:t>www</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w:t>
                  </w:r>
                  <w:r w:rsidR="00A038FD" w:rsidRPr="00BE272B">
                    <w:rPr>
                      <w:rFonts w:ascii="Times New Roman" w:eastAsia="Times New Roman" w:hAnsi="Times New Roman" w:cs="Times New Roman"/>
                      <w:color w:val="0000FF"/>
                      <w:spacing w:val="-3"/>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d</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6D" w:rsidRDefault="00D2296D" w:rsidP="00266929">
      <w:pPr>
        <w:spacing w:after="0" w:line="240" w:lineRule="auto"/>
      </w:pPr>
      <w:r>
        <w:separator/>
      </w:r>
    </w:p>
  </w:footnote>
  <w:footnote w:type="continuationSeparator" w:id="0">
    <w:p w:rsidR="00D2296D" w:rsidRDefault="00D2296D" w:rsidP="00266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29" w:rsidRDefault="00342092">
    <w:pPr>
      <w:spacing w:after="0" w:line="200" w:lineRule="exact"/>
      <w:rPr>
        <w:sz w:val="20"/>
        <w:szCs w:val="20"/>
      </w:rPr>
    </w:pPr>
    <w:r w:rsidRPr="00342092">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342092">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266929" w:rsidRPr="00BE272B" w:rsidRDefault="00A038FD">
                <w:pPr>
                  <w:spacing w:after="0" w:line="265" w:lineRule="exact"/>
                  <w:ind w:left="-18" w:right="-38"/>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TI</w:t>
                </w:r>
                <w:r w:rsidRPr="00BE272B">
                  <w:rPr>
                    <w:rFonts w:ascii="Times New Roman" w:eastAsia="Times New Roman" w:hAnsi="Times New Roman" w:cs="Times New Roman"/>
                    <w:b/>
                    <w:bCs/>
                    <w:spacing w:val="1"/>
                    <w:sz w:val="24"/>
                    <w:szCs w:val="24"/>
                    <w:lang w:val="es-ES"/>
                  </w:rPr>
                  <w:t>L</w:t>
                </w:r>
                <w:r w:rsidRPr="00BE272B">
                  <w:rPr>
                    <w:rFonts w:ascii="Times New Roman" w:eastAsia="Times New Roman" w:hAnsi="Times New Roman" w:cs="Times New Roman"/>
                    <w:b/>
                    <w:bCs/>
                    <w:sz w:val="24"/>
                    <w:szCs w:val="24"/>
                    <w:lang w:val="es-ES"/>
                  </w:rPr>
                  <w:t>LA O</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CI</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 xml:space="preserve">L </w:t>
                </w: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 LA</w:t>
                </w:r>
                <w:r w:rsidRPr="00BE272B">
                  <w:rPr>
                    <w:rFonts w:ascii="Times New Roman" w:eastAsia="Times New Roman" w:hAnsi="Times New Roman" w:cs="Times New Roman"/>
                    <w:b/>
                    <w:bCs/>
                    <w:spacing w:val="5"/>
                    <w:sz w:val="24"/>
                    <w:szCs w:val="24"/>
                    <w:lang w:val="es-ES"/>
                  </w:rPr>
                  <w:t xml:space="preserve"> </w:t>
                </w:r>
                <w:r w:rsidRPr="00BE272B">
                  <w:rPr>
                    <w:rFonts w:ascii="Times New Roman" w:eastAsia="Times New Roman" w:hAnsi="Times New Roman" w:cs="Times New Roman"/>
                    <w:b/>
                    <w:bCs/>
                    <w:sz w:val="24"/>
                    <w:szCs w:val="24"/>
                    <w:lang w:val="es-ES"/>
                  </w:rPr>
                  <w:t>P</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E</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z w:val="24"/>
                    <w:szCs w:val="24"/>
                    <w:lang w:val="es-ES"/>
                  </w:rPr>
                  <w:t>ENTA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D</w:t>
                </w:r>
                <w:r w:rsidRPr="00BE272B">
                  <w:rPr>
                    <w:rFonts w:ascii="Times New Roman" w:eastAsia="Times New Roman" w:hAnsi="Times New Roman" w:cs="Times New Roman"/>
                    <w:b/>
                    <w:bCs/>
                    <w:sz w:val="24"/>
                    <w:szCs w:val="24"/>
                    <w:lang w:val="es-ES"/>
                  </w:rPr>
                  <w:t>E TRABAJOS</w:t>
                </w:r>
              </w:p>
              <w:p w:rsidR="00266929" w:rsidRPr="00BE272B" w:rsidRDefault="00A038FD">
                <w:pPr>
                  <w:spacing w:after="0" w:line="240" w:lineRule="auto"/>
                  <w:ind w:left="865" w:right="84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 xml:space="preserve">II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ONVEN</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NT</w:t>
                </w:r>
                <w:r w:rsidRPr="00BE272B">
                  <w:rPr>
                    <w:rFonts w:ascii="Times New Roman" w:eastAsia="Times New Roman" w:hAnsi="Times New Roman" w:cs="Times New Roman"/>
                    <w:b/>
                    <w:bCs/>
                    <w:spacing w:val="1"/>
                    <w:sz w:val="24"/>
                    <w:szCs w:val="24"/>
                    <w:lang w:val="es-ES"/>
                  </w:rPr>
                  <w:t>Í</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z w:val="24"/>
                    <w:szCs w:val="24"/>
                    <w:lang w:val="es-ES"/>
                  </w:rPr>
                  <w:t>ICA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INT</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ONAL</w:t>
                </w:r>
              </w:p>
              <w:p w:rsidR="00266929" w:rsidRPr="00BE272B" w:rsidRDefault="00A038FD">
                <w:pPr>
                  <w:spacing w:after="0" w:line="240" w:lineRule="auto"/>
                  <w:ind w:left="2536" w:right="251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“II C</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 U</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LV 2019”</w:t>
                </w:r>
              </w:p>
            </w:txbxContent>
          </v:textbox>
          <w10:wrap anchorx="page" anchory="page"/>
        </v:shape>
      </w:pict>
    </w:r>
    <w:r w:rsidRPr="00342092">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266929" w:rsidRPr="00BE272B" w:rsidRDefault="00A038FD">
                <w:pPr>
                  <w:spacing w:after="0" w:line="265" w:lineRule="exact"/>
                  <w:ind w:left="20" w:right="-5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23 AL 30 DE JUNIO</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2019.</w:t>
                </w:r>
              </w:p>
              <w:p w:rsidR="00266929" w:rsidRPr="00BE272B" w:rsidRDefault="00A038FD">
                <w:pPr>
                  <w:spacing w:after="0" w:line="240" w:lineRule="auto"/>
                  <w:ind w:left="27" w:right="-4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YOS</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 xml:space="preserve">DE VILLA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D5EE7"/>
    <w:multiLevelType w:val="hybridMultilevel"/>
    <w:tmpl w:val="03960B0A"/>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266929"/>
    <w:rsid w:val="00035053"/>
    <w:rsid w:val="000631AB"/>
    <w:rsid w:val="001C67B3"/>
    <w:rsid w:val="001F1010"/>
    <w:rsid w:val="00211022"/>
    <w:rsid w:val="00240ED4"/>
    <w:rsid w:val="00266929"/>
    <w:rsid w:val="002A6428"/>
    <w:rsid w:val="002C297F"/>
    <w:rsid w:val="00342092"/>
    <w:rsid w:val="003A535F"/>
    <w:rsid w:val="00426D85"/>
    <w:rsid w:val="00561978"/>
    <w:rsid w:val="005C19AA"/>
    <w:rsid w:val="006453EF"/>
    <w:rsid w:val="0065281F"/>
    <w:rsid w:val="00694906"/>
    <w:rsid w:val="00707129"/>
    <w:rsid w:val="007D4655"/>
    <w:rsid w:val="009971A5"/>
    <w:rsid w:val="009A1D22"/>
    <w:rsid w:val="00A038FD"/>
    <w:rsid w:val="00B70FD6"/>
    <w:rsid w:val="00BA4D70"/>
    <w:rsid w:val="00BE272B"/>
    <w:rsid w:val="00C74600"/>
    <w:rsid w:val="00D22645"/>
    <w:rsid w:val="00D2296D"/>
    <w:rsid w:val="00D57AAA"/>
    <w:rsid w:val="00E91C9D"/>
    <w:rsid w:val="00EA40C0"/>
    <w:rsid w:val="00EC263D"/>
    <w:rsid w:val="00EE229B"/>
    <w:rsid w:val="00FB4BF9"/>
    <w:rsid w:val="00FC538B"/>
    <w:rsid w:val="00FF1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72B"/>
    <w:rPr>
      <w:b/>
      <w:bCs/>
    </w:rPr>
  </w:style>
  <w:style w:type="character" w:styleId="Hyperlink">
    <w:name w:val="Hyperlink"/>
    <w:basedOn w:val="DefaultParagraphFont"/>
    <w:uiPriority w:val="99"/>
    <w:unhideWhenUsed/>
    <w:rsid w:val="00BE272B"/>
    <w:rPr>
      <w:color w:val="0000FF" w:themeColor="hyperlink"/>
      <w:u w:val="single"/>
    </w:rPr>
  </w:style>
  <w:style w:type="paragraph" w:styleId="ListParagraph">
    <w:name w:val="List Paragraph"/>
    <w:basedOn w:val="Normal"/>
    <w:uiPriority w:val="34"/>
    <w:qFormat/>
    <w:rsid w:val="005C19AA"/>
    <w:pPr>
      <w:ind w:left="720"/>
      <w:contextualSpacing/>
    </w:pPr>
  </w:style>
  <w:style w:type="paragraph" w:styleId="NormalWeb">
    <w:name w:val="Normal (Web)"/>
    <w:basedOn w:val="Normal"/>
    <w:uiPriority w:val="99"/>
    <w:unhideWhenUsed/>
    <w:rsid w:val="002A6428"/>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lid-translation">
    <w:name w:val="tlid-translation"/>
    <w:basedOn w:val="DefaultParagraphFont"/>
    <w:rsid w:val="00561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ivan.maseda@cigb.edu.cu" TargetMode="External"/><Relationship Id="rId13" Type="http://schemas.openxmlformats.org/officeDocument/2006/relationships/hyperlink" Target="mailto:yair.qui&#241;ones@cigb.edu.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yte.perez@cigb.edu.cu" TargetMode="External"/><Relationship Id="rId12" Type="http://schemas.openxmlformats.org/officeDocument/2006/relationships/hyperlink" Target="mailto:lourdes.costa@cigb.edu.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iano.hern&#225;ndez@cigb.edu.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nelis.velazquez@cigb.edu.c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oscar.ruiz@cigb.edu.cu" TargetMode="External"/><Relationship Id="rId14" Type="http://schemas.openxmlformats.org/officeDocument/2006/relationships/hyperlink" Target="mailto:jorge.vega@cigb.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840</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CIGB</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mayte</cp:lastModifiedBy>
  <cp:revision>9</cp:revision>
  <dcterms:created xsi:type="dcterms:W3CDTF">2019-03-14T21:36:00Z</dcterms:created>
  <dcterms:modified xsi:type="dcterms:W3CDTF">2019-03-15T19:26:00Z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