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D895F" w14:textId="658ABADD" w:rsidR="009D67CD" w:rsidRPr="00E263C2" w:rsidRDefault="00862E3E" w:rsidP="00E263C2">
      <w:pPr>
        <w:widowControl w:val="0"/>
        <w:spacing w:after="0" w:line="240" w:lineRule="auto"/>
        <w:ind w:right="-1"/>
        <w:jc w:val="center"/>
        <w:rPr>
          <w:rFonts w:ascii="Times New Roman" w:eastAsia="Times New Roman" w:hAnsi="Times New Roman" w:cs="Times New Roman"/>
          <w:b/>
          <w:bCs/>
          <w:spacing w:val="-1"/>
          <w:sz w:val="28"/>
          <w:szCs w:val="28"/>
          <w:lang w:val="es-EC"/>
        </w:rPr>
      </w:pPr>
      <w:r w:rsidRPr="00E263C2">
        <w:rPr>
          <w:rFonts w:ascii="Times New Roman" w:eastAsia="Times New Roman" w:hAnsi="Times New Roman" w:cs="Times New Roman"/>
          <w:b/>
          <w:bCs/>
          <w:spacing w:val="-1"/>
          <w:sz w:val="28"/>
          <w:szCs w:val="28"/>
          <w:lang w:val="es-EC"/>
        </w:rPr>
        <w:t>VII SIMPOSIO</w:t>
      </w:r>
      <w:r w:rsidR="00E263C2">
        <w:rPr>
          <w:rFonts w:ascii="Times New Roman" w:eastAsia="Times New Roman" w:hAnsi="Times New Roman" w:cs="Times New Roman"/>
          <w:b/>
          <w:bCs/>
          <w:spacing w:val="-1"/>
          <w:sz w:val="28"/>
          <w:szCs w:val="28"/>
          <w:lang w:val="es-EC"/>
        </w:rPr>
        <w:t xml:space="preserve"> </w:t>
      </w:r>
      <w:r w:rsidRPr="00E263C2">
        <w:rPr>
          <w:rFonts w:ascii="Times New Roman" w:eastAsia="Times New Roman" w:hAnsi="Times New Roman" w:cs="Times New Roman"/>
          <w:b/>
          <w:bCs/>
          <w:spacing w:val="-1"/>
          <w:sz w:val="28"/>
          <w:szCs w:val="28"/>
          <w:lang w:val="es-EC"/>
        </w:rPr>
        <w:t>INTERNACIONALDE QUÍMICA</w:t>
      </w:r>
    </w:p>
    <w:p w14:paraId="2E4BCB18" w14:textId="77777777" w:rsidR="00364E49" w:rsidRPr="00CF74C7" w:rsidRDefault="00364E49" w:rsidP="00364E49">
      <w:pPr>
        <w:spacing w:after="0"/>
        <w:jc w:val="center"/>
        <w:rPr>
          <w:rFonts w:ascii="Times New Roman" w:hAnsi="Times New Roman" w:cs="Times New Roman"/>
          <w:b/>
          <w:sz w:val="28"/>
          <w:szCs w:val="28"/>
        </w:rPr>
      </w:pPr>
    </w:p>
    <w:p w14:paraId="2CBB196F" w14:textId="77777777" w:rsidR="00364E49" w:rsidRPr="00CF74C7" w:rsidRDefault="00364E49" w:rsidP="00364E49">
      <w:pPr>
        <w:spacing w:after="0"/>
        <w:jc w:val="center"/>
        <w:rPr>
          <w:rFonts w:ascii="Times New Roman" w:hAnsi="Times New Roman" w:cs="Times New Roman"/>
          <w:b/>
          <w:sz w:val="28"/>
          <w:szCs w:val="28"/>
        </w:rPr>
      </w:pPr>
      <w:r w:rsidRPr="00CF74C7">
        <w:rPr>
          <w:rFonts w:ascii="Times New Roman" w:hAnsi="Times New Roman" w:cs="Times New Roman"/>
          <w:b/>
          <w:sz w:val="28"/>
          <w:szCs w:val="28"/>
        </w:rPr>
        <w:t>NOMBRE DEL SUB-EVENTO</w:t>
      </w:r>
    </w:p>
    <w:p w14:paraId="20CB7644" w14:textId="77777777" w:rsidR="00364E49" w:rsidRPr="00CF74C7" w:rsidRDefault="00364E49" w:rsidP="00364E49">
      <w:pPr>
        <w:spacing w:after="0"/>
        <w:jc w:val="center"/>
        <w:rPr>
          <w:rFonts w:ascii="Times New Roman" w:hAnsi="Times New Roman" w:cs="Times New Roman"/>
          <w:sz w:val="24"/>
          <w:szCs w:val="24"/>
        </w:rPr>
      </w:pPr>
      <w:r w:rsidRPr="00CF74C7">
        <w:rPr>
          <w:rFonts w:ascii="Times New Roman" w:hAnsi="Times New Roman" w:cs="Times New Roman"/>
          <w:sz w:val="28"/>
          <w:szCs w:val="28"/>
        </w:rPr>
        <w:t>Comisión I: XII Conferencia "La Ingeniería Química: Desarrollo, potencialidades y sus retos"</w:t>
      </w:r>
    </w:p>
    <w:p w14:paraId="3884D85C" w14:textId="77777777" w:rsidR="00364E49" w:rsidRPr="00CF74C7" w:rsidRDefault="00364E49" w:rsidP="00667F10">
      <w:pPr>
        <w:spacing w:after="0"/>
        <w:jc w:val="center"/>
        <w:rPr>
          <w:rFonts w:ascii="Times New Roman" w:hAnsi="Times New Roman" w:cs="Times New Roman"/>
          <w:b/>
          <w:sz w:val="28"/>
          <w:szCs w:val="28"/>
        </w:rPr>
      </w:pPr>
    </w:p>
    <w:p w14:paraId="5B6D0A1A" w14:textId="77777777" w:rsidR="00E912D0" w:rsidRPr="00CF74C7" w:rsidRDefault="00E912D0" w:rsidP="00667F10">
      <w:pPr>
        <w:spacing w:after="0"/>
        <w:jc w:val="center"/>
        <w:rPr>
          <w:rFonts w:ascii="Times New Roman" w:hAnsi="Times New Roman" w:cs="Times New Roman"/>
          <w:b/>
          <w:sz w:val="24"/>
          <w:szCs w:val="24"/>
        </w:rPr>
      </w:pPr>
    </w:p>
    <w:p w14:paraId="012968A2" w14:textId="77777777" w:rsidR="001C12DB" w:rsidRPr="00CF74C7" w:rsidRDefault="001C12DB" w:rsidP="00667F10">
      <w:pPr>
        <w:spacing w:after="0"/>
        <w:jc w:val="center"/>
        <w:rPr>
          <w:rFonts w:ascii="Times New Roman" w:hAnsi="Times New Roman" w:cs="Times New Roman"/>
          <w:b/>
          <w:sz w:val="28"/>
          <w:szCs w:val="28"/>
        </w:rPr>
      </w:pPr>
      <w:r w:rsidRPr="00CF74C7">
        <w:rPr>
          <w:rFonts w:ascii="Times New Roman" w:hAnsi="Times New Roman" w:cs="Times New Roman"/>
          <w:b/>
          <w:sz w:val="28"/>
          <w:szCs w:val="28"/>
        </w:rPr>
        <w:t>Universidad Estatal Amazónica como intangi</w:t>
      </w:r>
      <w:r w:rsidR="008B5625" w:rsidRPr="00CF74C7">
        <w:rPr>
          <w:rFonts w:ascii="Times New Roman" w:hAnsi="Times New Roman" w:cs="Times New Roman"/>
          <w:b/>
          <w:sz w:val="28"/>
          <w:szCs w:val="28"/>
        </w:rPr>
        <w:t>ble para el desarrollo local de</w:t>
      </w:r>
      <w:r w:rsidRPr="00CF74C7">
        <w:rPr>
          <w:rFonts w:ascii="Times New Roman" w:hAnsi="Times New Roman" w:cs="Times New Roman"/>
          <w:b/>
          <w:sz w:val="28"/>
          <w:szCs w:val="28"/>
        </w:rPr>
        <w:t xml:space="preserve"> P</w:t>
      </w:r>
      <w:r w:rsidR="008B5625" w:rsidRPr="00CF74C7">
        <w:rPr>
          <w:rFonts w:ascii="Times New Roman" w:hAnsi="Times New Roman" w:cs="Times New Roman"/>
          <w:b/>
          <w:sz w:val="28"/>
          <w:szCs w:val="28"/>
        </w:rPr>
        <w:t>astaza</w:t>
      </w:r>
      <w:r w:rsidR="00EE3FE3" w:rsidRPr="00CF74C7">
        <w:rPr>
          <w:rFonts w:ascii="Times New Roman" w:hAnsi="Times New Roman" w:cs="Times New Roman"/>
          <w:b/>
          <w:sz w:val="28"/>
          <w:szCs w:val="28"/>
        </w:rPr>
        <w:t>: C</w:t>
      </w:r>
      <w:r w:rsidR="00A95C6B" w:rsidRPr="00CF74C7">
        <w:rPr>
          <w:rFonts w:ascii="Times New Roman" w:hAnsi="Times New Roman" w:cs="Times New Roman"/>
          <w:b/>
          <w:sz w:val="28"/>
          <w:szCs w:val="28"/>
        </w:rPr>
        <w:t>aso de la</w:t>
      </w:r>
      <w:r w:rsidR="005E421F" w:rsidRPr="00CF74C7">
        <w:rPr>
          <w:rFonts w:ascii="Times New Roman" w:hAnsi="Times New Roman" w:cs="Times New Roman"/>
          <w:b/>
          <w:sz w:val="28"/>
          <w:szCs w:val="28"/>
        </w:rPr>
        <w:t xml:space="preserve"> Industria Química</w:t>
      </w:r>
      <w:r w:rsidR="00A95C6B" w:rsidRPr="00CF74C7">
        <w:rPr>
          <w:rFonts w:ascii="Times New Roman" w:hAnsi="Times New Roman" w:cs="Times New Roman"/>
          <w:b/>
          <w:sz w:val="28"/>
          <w:szCs w:val="28"/>
        </w:rPr>
        <w:t>.</w:t>
      </w:r>
    </w:p>
    <w:p w14:paraId="2C9FB285" w14:textId="77777777" w:rsidR="008A1C16" w:rsidRPr="00CF74C7" w:rsidRDefault="008A1C16" w:rsidP="00667F10">
      <w:pPr>
        <w:spacing w:after="0"/>
        <w:jc w:val="center"/>
        <w:rPr>
          <w:rFonts w:ascii="Times New Roman" w:hAnsi="Times New Roman" w:cs="Times New Roman"/>
          <w:sz w:val="24"/>
          <w:szCs w:val="24"/>
        </w:rPr>
      </w:pPr>
    </w:p>
    <w:p w14:paraId="05905D7B" w14:textId="77777777" w:rsidR="00E912D0" w:rsidRPr="00CF74C7" w:rsidRDefault="00E912D0" w:rsidP="00667F10">
      <w:pPr>
        <w:spacing w:after="0"/>
        <w:jc w:val="center"/>
        <w:rPr>
          <w:rFonts w:ascii="Times New Roman" w:hAnsi="Times New Roman" w:cs="Times New Roman"/>
          <w:b/>
          <w:i/>
          <w:sz w:val="24"/>
          <w:szCs w:val="24"/>
        </w:rPr>
      </w:pPr>
    </w:p>
    <w:p w14:paraId="0E5EE967" w14:textId="77777777" w:rsidR="008A1C16" w:rsidRPr="00CF74C7" w:rsidRDefault="005E421F" w:rsidP="00667F10">
      <w:pPr>
        <w:spacing w:after="0"/>
        <w:jc w:val="center"/>
        <w:rPr>
          <w:rFonts w:ascii="Times New Roman" w:hAnsi="Times New Roman" w:cs="Times New Roman"/>
          <w:b/>
          <w:i/>
          <w:sz w:val="28"/>
          <w:szCs w:val="28"/>
          <w:lang w:val="en-US"/>
        </w:rPr>
      </w:pPr>
      <w:r w:rsidRPr="00CF74C7">
        <w:rPr>
          <w:rFonts w:ascii="Times New Roman" w:hAnsi="Times New Roman" w:cs="Times New Roman"/>
          <w:b/>
          <w:i/>
          <w:sz w:val="28"/>
          <w:szCs w:val="28"/>
          <w:lang w:val="en-US"/>
        </w:rPr>
        <w:t>Universidad Estatal Amazónica as intangible for the local development of Pastaza: Chemical Industry Case.</w:t>
      </w:r>
    </w:p>
    <w:p w14:paraId="6A2CC89A" w14:textId="77777777" w:rsidR="009D5E02" w:rsidRPr="00CF74C7" w:rsidRDefault="009D5E02" w:rsidP="00FF3346">
      <w:pPr>
        <w:spacing w:after="0" w:line="360" w:lineRule="auto"/>
        <w:rPr>
          <w:rFonts w:ascii="Times New Roman" w:hAnsi="Times New Roman" w:cs="Times New Roman"/>
          <w:b/>
          <w:sz w:val="24"/>
          <w:szCs w:val="24"/>
          <w:lang w:val="en-US"/>
        </w:rPr>
      </w:pPr>
    </w:p>
    <w:p w14:paraId="5318BCA2" w14:textId="77777777" w:rsidR="008A1C16" w:rsidRPr="00CF74C7" w:rsidRDefault="00C76FB1" w:rsidP="00FF3346">
      <w:pPr>
        <w:spacing w:after="0" w:line="360" w:lineRule="auto"/>
        <w:jc w:val="center"/>
        <w:rPr>
          <w:rFonts w:ascii="Times New Roman" w:hAnsi="Times New Roman" w:cs="Times New Roman"/>
          <w:b/>
          <w:sz w:val="24"/>
          <w:szCs w:val="24"/>
        </w:rPr>
      </w:pPr>
      <w:r w:rsidRPr="00CF74C7">
        <w:rPr>
          <w:rFonts w:ascii="Times New Roman" w:hAnsi="Times New Roman" w:cs="Times New Roman"/>
          <w:b/>
          <w:sz w:val="24"/>
          <w:szCs w:val="24"/>
        </w:rPr>
        <w:t>Víctor Rodrigo Cerda Mejía</w:t>
      </w:r>
      <w:r w:rsidR="009D5E02" w:rsidRPr="00CF74C7">
        <w:rPr>
          <w:rFonts w:ascii="Times New Roman" w:hAnsi="Times New Roman" w:cs="Times New Roman"/>
          <w:b/>
          <w:sz w:val="24"/>
          <w:szCs w:val="24"/>
          <w:vertAlign w:val="superscript"/>
        </w:rPr>
        <w:t>1</w:t>
      </w:r>
      <w:r w:rsidR="009D5E02" w:rsidRPr="00CF74C7">
        <w:rPr>
          <w:rFonts w:ascii="Times New Roman" w:hAnsi="Times New Roman" w:cs="Times New Roman"/>
          <w:b/>
          <w:sz w:val="24"/>
          <w:szCs w:val="24"/>
        </w:rPr>
        <w:t xml:space="preserve">, </w:t>
      </w:r>
      <w:r w:rsidRPr="00CF74C7">
        <w:rPr>
          <w:rFonts w:ascii="Times New Roman" w:hAnsi="Times New Roman" w:cs="Times New Roman"/>
          <w:b/>
          <w:sz w:val="24"/>
          <w:szCs w:val="24"/>
        </w:rPr>
        <w:t>Amaury Pérez Martínez</w:t>
      </w:r>
      <w:r w:rsidR="009D5E02" w:rsidRPr="00CF74C7">
        <w:rPr>
          <w:rFonts w:ascii="Times New Roman" w:hAnsi="Times New Roman" w:cs="Times New Roman"/>
          <w:b/>
          <w:sz w:val="24"/>
          <w:szCs w:val="24"/>
          <w:vertAlign w:val="superscript"/>
        </w:rPr>
        <w:t>2</w:t>
      </w:r>
      <w:r w:rsidR="009D5E02" w:rsidRPr="00CF74C7">
        <w:rPr>
          <w:rFonts w:ascii="Times New Roman" w:hAnsi="Times New Roman" w:cs="Times New Roman"/>
          <w:b/>
          <w:sz w:val="24"/>
          <w:szCs w:val="24"/>
        </w:rPr>
        <w:t xml:space="preserve">, </w:t>
      </w:r>
      <w:r w:rsidR="00626181" w:rsidRPr="00CF74C7">
        <w:rPr>
          <w:rFonts w:ascii="Times New Roman" w:hAnsi="Times New Roman" w:cs="Times New Roman"/>
          <w:b/>
          <w:sz w:val="24"/>
          <w:szCs w:val="24"/>
        </w:rPr>
        <w:t>Estela Guardado Yordi</w:t>
      </w:r>
      <w:r w:rsidR="00A7086D" w:rsidRPr="00CF74C7">
        <w:rPr>
          <w:rFonts w:ascii="Times New Roman" w:hAnsi="Times New Roman" w:cs="Times New Roman"/>
          <w:b/>
          <w:sz w:val="24"/>
          <w:szCs w:val="24"/>
          <w:vertAlign w:val="superscript"/>
        </w:rPr>
        <w:t>3</w:t>
      </w:r>
      <w:r w:rsidR="00626181" w:rsidRPr="00CF74C7">
        <w:rPr>
          <w:rFonts w:ascii="Times New Roman" w:hAnsi="Times New Roman" w:cs="Times New Roman"/>
          <w:b/>
          <w:sz w:val="24"/>
          <w:szCs w:val="24"/>
        </w:rPr>
        <w:t>, Marianela Escobar</w:t>
      </w:r>
      <w:r w:rsidR="00A7086D" w:rsidRPr="00CF74C7">
        <w:rPr>
          <w:rFonts w:ascii="Times New Roman" w:hAnsi="Times New Roman" w:cs="Times New Roman"/>
          <w:b/>
          <w:sz w:val="24"/>
          <w:szCs w:val="24"/>
          <w:vertAlign w:val="superscript"/>
        </w:rPr>
        <w:t>4</w:t>
      </w:r>
      <w:r w:rsidR="00626181" w:rsidRPr="00CF74C7">
        <w:rPr>
          <w:rFonts w:ascii="Times New Roman" w:hAnsi="Times New Roman" w:cs="Times New Roman"/>
          <w:b/>
          <w:sz w:val="24"/>
          <w:szCs w:val="24"/>
        </w:rPr>
        <w:t xml:space="preserve">, </w:t>
      </w:r>
      <w:r w:rsidR="003D77EE" w:rsidRPr="00CF74C7">
        <w:rPr>
          <w:rFonts w:ascii="Times New Roman" w:hAnsi="Times New Roman" w:cs="Times New Roman"/>
          <w:b/>
          <w:sz w:val="24"/>
          <w:szCs w:val="24"/>
        </w:rPr>
        <w:t>Diana Concepción Toledo</w:t>
      </w:r>
      <w:r w:rsidR="00A7086D" w:rsidRPr="00CF74C7">
        <w:rPr>
          <w:rFonts w:ascii="Times New Roman" w:hAnsi="Times New Roman" w:cs="Times New Roman"/>
          <w:b/>
          <w:sz w:val="24"/>
          <w:szCs w:val="24"/>
          <w:vertAlign w:val="superscript"/>
        </w:rPr>
        <w:t>5</w:t>
      </w:r>
      <w:r w:rsidR="00862E3E" w:rsidRPr="00CF74C7">
        <w:rPr>
          <w:rFonts w:ascii="Times New Roman" w:hAnsi="Times New Roman" w:cs="Times New Roman"/>
          <w:b/>
          <w:sz w:val="24"/>
          <w:szCs w:val="24"/>
          <w:vertAlign w:val="superscript"/>
        </w:rPr>
        <w:t xml:space="preserve"> </w:t>
      </w:r>
      <w:r w:rsidR="00862E3E" w:rsidRPr="00CF74C7">
        <w:rPr>
          <w:rFonts w:ascii="Times New Roman" w:hAnsi="Times New Roman" w:cs="Times New Roman"/>
          <w:b/>
          <w:sz w:val="24"/>
          <w:szCs w:val="24"/>
        </w:rPr>
        <w:t>y</w:t>
      </w:r>
      <w:r w:rsidR="00273FAD" w:rsidRPr="00CF74C7">
        <w:rPr>
          <w:rFonts w:ascii="Times New Roman" w:hAnsi="Times New Roman" w:cs="Times New Roman"/>
          <w:b/>
          <w:sz w:val="24"/>
          <w:szCs w:val="24"/>
        </w:rPr>
        <w:t xml:space="preserve"> </w:t>
      </w:r>
      <w:r w:rsidR="003D77EE" w:rsidRPr="00CF74C7">
        <w:rPr>
          <w:rFonts w:ascii="Times New Roman" w:hAnsi="Times New Roman" w:cs="Times New Roman"/>
          <w:b/>
          <w:sz w:val="24"/>
          <w:szCs w:val="24"/>
        </w:rPr>
        <w:t>Erenio González Suárez</w:t>
      </w:r>
      <w:r w:rsidR="00A7086D" w:rsidRPr="00CF74C7">
        <w:rPr>
          <w:rFonts w:ascii="Times New Roman" w:hAnsi="Times New Roman" w:cs="Times New Roman"/>
          <w:b/>
          <w:sz w:val="24"/>
          <w:szCs w:val="24"/>
          <w:vertAlign w:val="superscript"/>
        </w:rPr>
        <w:t>6</w:t>
      </w:r>
    </w:p>
    <w:p w14:paraId="77097E98" w14:textId="77777777" w:rsidR="009D5E02" w:rsidRPr="00CF74C7" w:rsidRDefault="009D5E02" w:rsidP="00631500">
      <w:pPr>
        <w:spacing w:after="0" w:line="360" w:lineRule="auto"/>
        <w:jc w:val="both"/>
        <w:rPr>
          <w:rFonts w:ascii="Times New Roman" w:hAnsi="Times New Roman" w:cs="Times New Roman"/>
          <w:sz w:val="24"/>
          <w:szCs w:val="24"/>
        </w:rPr>
      </w:pPr>
    </w:p>
    <w:p w14:paraId="424A9510" w14:textId="77777777" w:rsidR="00273FAD" w:rsidRPr="00CF74C7" w:rsidRDefault="00273FAD" w:rsidP="00273FA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1- Víctor Cerda Mejía. Universidad Estatal Amazónica, Ecuador.</w:t>
      </w:r>
      <w:r w:rsidR="004C60E3" w:rsidRPr="00CF74C7">
        <w:rPr>
          <w:rFonts w:ascii="Times New Roman" w:hAnsi="Times New Roman" w:cs="Times New Roman"/>
          <w:sz w:val="24"/>
          <w:szCs w:val="24"/>
        </w:rPr>
        <w:t xml:space="preserve"> - Universidad Central “Marta Abreu” de las Villas, Cuba. </w:t>
      </w:r>
      <w:r w:rsidRPr="00CF74C7">
        <w:rPr>
          <w:rFonts w:ascii="Times New Roman" w:hAnsi="Times New Roman" w:cs="Times New Roman"/>
          <w:sz w:val="24"/>
          <w:szCs w:val="24"/>
        </w:rPr>
        <w:t xml:space="preserve"> E-mail: </w:t>
      </w:r>
      <w:hyperlink r:id="rId8" w:history="1">
        <w:r w:rsidR="00030361" w:rsidRPr="00CF74C7">
          <w:rPr>
            <w:rStyle w:val="Hipervnculo"/>
            <w:rFonts w:ascii="Times New Roman" w:hAnsi="Times New Roman" w:cs="Times New Roman"/>
            <w:color w:val="auto"/>
            <w:sz w:val="24"/>
            <w:szCs w:val="24"/>
          </w:rPr>
          <w:t>vcerda@uea.edu.ec</w:t>
        </w:r>
      </w:hyperlink>
      <w:r w:rsidR="00030361" w:rsidRPr="00CF74C7">
        <w:rPr>
          <w:rFonts w:ascii="Times New Roman" w:hAnsi="Times New Roman" w:cs="Times New Roman"/>
          <w:sz w:val="24"/>
          <w:szCs w:val="24"/>
        </w:rPr>
        <w:t xml:space="preserve"> </w:t>
      </w:r>
    </w:p>
    <w:p w14:paraId="42456CCA" w14:textId="77777777" w:rsidR="00030361" w:rsidRPr="00CF74C7" w:rsidRDefault="00273FAD" w:rsidP="00273FAD">
      <w:pPr>
        <w:spacing w:after="0" w:line="360" w:lineRule="auto"/>
        <w:jc w:val="both"/>
      </w:pPr>
      <w:r w:rsidRPr="00CF74C7">
        <w:rPr>
          <w:rFonts w:ascii="Times New Roman" w:hAnsi="Times New Roman" w:cs="Times New Roman"/>
          <w:sz w:val="24"/>
          <w:szCs w:val="24"/>
        </w:rPr>
        <w:t xml:space="preserve">2- Amaury Pérez Martínez. Universidad Estatal Amazónica, Ecuador. E-mail: </w:t>
      </w:r>
      <w:hyperlink r:id="rId9" w:history="1">
        <w:r w:rsidR="009D2713" w:rsidRPr="00CF74C7">
          <w:rPr>
            <w:rStyle w:val="Hipervnculo"/>
            <w:rFonts w:ascii="Times New Roman" w:hAnsi="Times New Roman" w:cs="Times New Roman"/>
            <w:color w:val="auto"/>
            <w:sz w:val="24"/>
            <w:szCs w:val="24"/>
          </w:rPr>
          <w:t>amperez@uea.edu.e</w:t>
        </w:r>
        <w:r w:rsidR="009D2713" w:rsidRPr="00CF74C7">
          <w:rPr>
            <w:rStyle w:val="Hipervnculo"/>
            <w:color w:val="auto"/>
          </w:rPr>
          <w:t>c</w:t>
        </w:r>
      </w:hyperlink>
      <w:r w:rsidR="009D2713" w:rsidRPr="00CF74C7">
        <w:t xml:space="preserve"> </w:t>
      </w:r>
    </w:p>
    <w:p w14:paraId="7C6B6363" w14:textId="77777777" w:rsidR="004C6522" w:rsidRPr="00CF74C7" w:rsidRDefault="004C6522" w:rsidP="00273FA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3- Estela Guardado Yordi. Universidad de </w:t>
      </w:r>
      <w:r w:rsidR="00862E3E" w:rsidRPr="00CF74C7">
        <w:rPr>
          <w:rFonts w:ascii="Times New Roman" w:hAnsi="Times New Roman" w:cs="Times New Roman"/>
          <w:sz w:val="24"/>
          <w:szCs w:val="24"/>
        </w:rPr>
        <w:t>Camagüey</w:t>
      </w:r>
      <w:r w:rsidRPr="00CF74C7">
        <w:rPr>
          <w:rFonts w:ascii="Times New Roman" w:hAnsi="Times New Roman" w:cs="Times New Roman"/>
          <w:sz w:val="24"/>
          <w:szCs w:val="24"/>
        </w:rPr>
        <w:t xml:space="preserve"> “Ignacio Agramonte Loynaz”</w:t>
      </w:r>
      <w:r w:rsidR="00631500" w:rsidRPr="00CF74C7">
        <w:rPr>
          <w:rFonts w:ascii="Times New Roman" w:hAnsi="Times New Roman" w:cs="Times New Roman"/>
          <w:sz w:val="24"/>
          <w:szCs w:val="24"/>
        </w:rPr>
        <w:t>, Cuba.</w:t>
      </w:r>
      <w:r w:rsidR="004A7168" w:rsidRPr="00CF74C7">
        <w:rPr>
          <w:rFonts w:ascii="Times New Roman" w:hAnsi="Times New Roman" w:cs="Times New Roman"/>
          <w:sz w:val="24"/>
          <w:szCs w:val="24"/>
        </w:rPr>
        <w:t xml:space="preserve"> </w:t>
      </w:r>
      <w:r w:rsidR="00631500" w:rsidRPr="00CF74C7">
        <w:rPr>
          <w:rFonts w:ascii="Times New Roman" w:hAnsi="Times New Roman" w:cs="Times New Roman"/>
          <w:sz w:val="24"/>
          <w:szCs w:val="24"/>
        </w:rPr>
        <w:t xml:space="preserve">E-mail: </w:t>
      </w:r>
      <w:hyperlink r:id="rId10" w:history="1">
        <w:r w:rsidR="009D2713" w:rsidRPr="00CF74C7">
          <w:rPr>
            <w:rStyle w:val="Hipervnculo"/>
            <w:rFonts w:ascii="Times New Roman" w:hAnsi="Times New Roman" w:cs="Times New Roman"/>
            <w:color w:val="auto"/>
            <w:sz w:val="24"/>
            <w:szCs w:val="24"/>
          </w:rPr>
          <w:t>estelagy70@gmail.com</w:t>
        </w:r>
      </w:hyperlink>
      <w:r w:rsidR="009D2713" w:rsidRPr="00CF74C7">
        <w:t xml:space="preserve"> </w:t>
      </w:r>
    </w:p>
    <w:p w14:paraId="3ED0BD48" w14:textId="77777777" w:rsidR="00046D2A" w:rsidRPr="00CF74C7" w:rsidRDefault="00046D2A" w:rsidP="00273FA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4-</w:t>
      </w:r>
      <w:r w:rsidR="00631500" w:rsidRPr="00CF74C7">
        <w:rPr>
          <w:rFonts w:ascii="Times New Roman" w:hAnsi="Times New Roman" w:cs="Times New Roman"/>
          <w:sz w:val="24"/>
          <w:szCs w:val="24"/>
        </w:rPr>
        <w:t xml:space="preserve"> Marianela Escobar. Universidad Estatal Amazónica, Ecuador. E-mail: </w:t>
      </w:r>
      <w:hyperlink r:id="rId11" w:history="1">
        <w:r w:rsidR="009D2713" w:rsidRPr="00CF74C7">
          <w:rPr>
            <w:rStyle w:val="Hipervnculo"/>
            <w:rFonts w:ascii="Times New Roman" w:hAnsi="Times New Roman" w:cs="Times New Roman"/>
            <w:color w:val="auto"/>
            <w:sz w:val="24"/>
            <w:szCs w:val="24"/>
          </w:rPr>
          <w:t>mescobar@uea.edu.ec</w:t>
        </w:r>
      </w:hyperlink>
      <w:r w:rsidR="009D2713" w:rsidRPr="00CF74C7">
        <w:rPr>
          <w:rFonts w:ascii="Times New Roman" w:hAnsi="Times New Roman" w:cs="Times New Roman"/>
          <w:sz w:val="24"/>
          <w:szCs w:val="24"/>
        </w:rPr>
        <w:t xml:space="preserve"> </w:t>
      </w:r>
    </w:p>
    <w:p w14:paraId="68FA57C8" w14:textId="77777777" w:rsidR="00273FAD" w:rsidRPr="00CF74C7" w:rsidRDefault="00631500" w:rsidP="00273FA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5</w:t>
      </w:r>
      <w:r w:rsidR="00273FAD" w:rsidRPr="00CF74C7">
        <w:rPr>
          <w:rFonts w:ascii="Times New Roman" w:hAnsi="Times New Roman" w:cs="Times New Roman"/>
          <w:sz w:val="24"/>
          <w:szCs w:val="24"/>
        </w:rPr>
        <w:t xml:space="preserve">- </w:t>
      </w:r>
      <w:r w:rsidR="005C6CB6" w:rsidRPr="00CF74C7">
        <w:rPr>
          <w:rFonts w:ascii="Times New Roman" w:hAnsi="Times New Roman" w:cs="Times New Roman"/>
          <w:sz w:val="24"/>
          <w:szCs w:val="24"/>
        </w:rPr>
        <w:t>Diana Concepción Toledo</w:t>
      </w:r>
      <w:r w:rsidR="00273FAD" w:rsidRPr="00CF74C7">
        <w:rPr>
          <w:rFonts w:ascii="Times New Roman" w:hAnsi="Times New Roman" w:cs="Times New Roman"/>
          <w:sz w:val="24"/>
          <w:szCs w:val="24"/>
        </w:rPr>
        <w:t xml:space="preserve">. Universidad Central </w:t>
      </w:r>
      <w:r w:rsidR="005C6CB6" w:rsidRPr="00CF74C7">
        <w:rPr>
          <w:rFonts w:ascii="Times New Roman" w:hAnsi="Times New Roman" w:cs="Times New Roman"/>
          <w:sz w:val="24"/>
          <w:szCs w:val="24"/>
        </w:rPr>
        <w:t>“Marta Abreu” d</w:t>
      </w:r>
      <w:r w:rsidR="00273FAD" w:rsidRPr="00CF74C7">
        <w:rPr>
          <w:rFonts w:ascii="Times New Roman" w:hAnsi="Times New Roman" w:cs="Times New Roman"/>
          <w:sz w:val="24"/>
          <w:szCs w:val="24"/>
        </w:rPr>
        <w:t xml:space="preserve">e </w:t>
      </w:r>
      <w:r w:rsidR="005C6CB6" w:rsidRPr="00CF74C7">
        <w:rPr>
          <w:rFonts w:ascii="Times New Roman" w:hAnsi="Times New Roman" w:cs="Times New Roman"/>
          <w:sz w:val="24"/>
          <w:szCs w:val="24"/>
        </w:rPr>
        <w:t>l</w:t>
      </w:r>
      <w:r w:rsidR="00273FAD" w:rsidRPr="00CF74C7">
        <w:rPr>
          <w:rFonts w:ascii="Times New Roman" w:hAnsi="Times New Roman" w:cs="Times New Roman"/>
          <w:sz w:val="24"/>
          <w:szCs w:val="24"/>
        </w:rPr>
        <w:t xml:space="preserve">as Villas, Cuba. E-mail: </w:t>
      </w:r>
      <w:hyperlink r:id="rId12" w:history="1">
        <w:r w:rsidR="009D2713" w:rsidRPr="00CF74C7">
          <w:rPr>
            <w:rStyle w:val="Hipervnculo"/>
            <w:rFonts w:ascii="Times New Roman" w:hAnsi="Times New Roman" w:cs="Times New Roman"/>
            <w:color w:val="auto"/>
            <w:sz w:val="24"/>
            <w:szCs w:val="24"/>
          </w:rPr>
          <w:t>dianac@uclv.edu.cu</w:t>
        </w:r>
      </w:hyperlink>
      <w:r w:rsidR="009D2713" w:rsidRPr="00CF74C7">
        <w:rPr>
          <w:rFonts w:ascii="Times New Roman" w:hAnsi="Times New Roman" w:cs="Times New Roman"/>
          <w:sz w:val="24"/>
          <w:szCs w:val="24"/>
        </w:rPr>
        <w:t xml:space="preserve"> </w:t>
      </w:r>
    </w:p>
    <w:p w14:paraId="670691AF" w14:textId="77777777" w:rsidR="00273FAD" w:rsidRPr="00CF74C7" w:rsidRDefault="00631500" w:rsidP="00273FA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6</w:t>
      </w:r>
      <w:r w:rsidR="00273FAD" w:rsidRPr="00CF74C7">
        <w:rPr>
          <w:rFonts w:ascii="Times New Roman" w:hAnsi="Times New Roman" w:cs="Times New Roman"/>
          <w:sz w:val="24"/>
          <w:szCs w:val="24"/>
        </w:rPr>
        <w:t xml:space="preserve">- Erenio González Suárez. Universidad Central </w:t>
      </w:r>
      <w:r w:rsidR="00AA5C3A" w:rsidRPr="00CF74C7">
        <w:rPr>
          <w:rFonts w:ascii="Times New Roman" w:hAnsi="Times New Roman" w:cs="Times New Roman"/>
          <w:sz w:val="24"/>
          <w:szCs w:val="24"/>
        </w:rPr>
        <w:t>“Marta Abreu” d</w:t>
      </w:r>
      <w:r w:rsidR="00273FAD" w:rsidRPr="00CF74C7">
        <w:rPr>
          <w:rFonts w:ascii="Times New Roman" w:hAnsi="Times New Roman" w:cs="Times New Roman"/>
          <w:sz w:val="24"/>
          <w:szCs w:val="24"/>
        </w:rPr>
        <w:t xml:space="preserve">e </w:t>
      </w:r>
      <w:r w:rsidR="00AA5C3A" w:rsidRPr="00CF74C7">
        <w:rPr>
          <w:rFonts w:ascii="Times New Roman" w:hAnsi="Times New Roman" w:cs="Times New Roman"/>
          <w:sz w:val="24"/>
          <w:szCs w:val="24"/>
        </w:rPr>
        <w:t>l</w:t>
      </w:r>
      <w:r w:rsidR="00273FAD" w:rsidRPr="00CF74C7">
        <w:rPr>
          <w:rFonts w:ascii="Times New Roman" w:hAnsi="Times New Roman" w:cs="Times New Roman"/>
          <w:sz w:val="24"/>
          <w:szCs w:val="24"/>
        </w:rPr>
        <w:t xml:space="preserve">as Villas, Cuba. E-mail: </w:t>
      </w:r>
      <w:hyperlink r:id="rId13" w:history="1">
        <w:r w:rsidR="009D2713" w:rsidRPr="00CF74C7">
          <w:rPr>
            <w:rStyle w:val="Hipervnculo"/>
            <w:rFonts w:ascii="Times New Roman" w:hAnsi="Times New Roman" w:cs="Times New Roman"/>
            <w:color w:val="auto"/>
            <w:sz w:val="24"/>
            <w:szCs w:val="24"/>
          </w:rPr>
          <w:t>erenio@uclv.edu.cu</w:t>
        </w:r>
      </w:hyperlink>
      <w:r w:rsidR="009D2713" w:rsidRPr="00CF74C7">
        <w:rPr>
          <w:rFonts w:ascii="Times New Roman" w:hAnsi="Times New Roman" w:cs="Times New Roman"/>
          <w:sz w:val="24"/>
          <w:szCs w:val="24"/>
        </w:rPr>
        <w:t xml:space="preserve"> </w:t>
      </w:r>
    </w:p>
    <w:p w14:paraId="020FD459" w14:textId="77777777" w:rsidR="00E912D0" w:rsidRPr="00CF74C7" w:rsidRDefault="00E912D0" w:rsidP="00FF3346">
      <w:pPr>
        <w:spacing w:after="0" w:line="360" w:lineRule="auto"/>
        <w:rPr>
          <w:rFonts w:ascii="Times New Roman" w:hAnsi="Times New Roman" w:cs="Times New Roman"/>
          <w:b/>
          <w:sz w:val="24"/>
          <w:szCs w:val="24"/>
        </w:rPr>
      </w:pPr>
    </w:p>
    <w:p w14:paraId="345211C8" w14:textId="77777777" w:rsidR="008A1C16" w:rsidRPr="00CF74C7" w:rsidRDefault="008A1C16" w:rsidP="00FF3346">
      <w:pPr>
        <w:spacing w:after="0" w:line="360" w:lineRule="auto"/>
        <w:jc w:val="both"/>
        <w:rPr>
          <w:rFonts w:ascii="Times New Roman" w:hAnsi="Times New Roman" w:cs="Times New Roman"/>
          <w:b/>
          <w:sz w:val="24"/>
          <w:szCs w:val="24"/>
        </w:rPr>
      </w:pPr>
      <w:r w:rsidRPr="00CF74C7">
        <w:rPr>
          <w:rFonts w:ascii="Times New Roman" w:hAnsi="Times New Roman" w:cs="Times New Roman"/>
          <w:b/>
          <w:sz w:val="24"/>
          <w:szCs w:val="24"/>
        </w:rPr>
        <w:lastRenderedPageBreak/>
        <w:t>Resumen:</w:t>
      </w:r>
    </w:p>
    <w:p w14:paraId="4B80E905" w14:textId="44A0CB12" w:rsidR="00C43857" w:rsidRPr="00CF74C7" w:rsidRDefault="009E65C4" w:rsidP="00862E3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L</w:t>
      </w:r>
      <w:r w:rsidR="00D73571" w:rsidRPr="00CF74C7">
        <w:rPr>
          <w:rFonts w:ascii="Times New Roman" w:hAnsi="Times New Roman" w:cs="Times New Roman"/>
          <w:sz w:val="24"/>
          <w:szCs w:val="24"/>
        </w:rPr>
        <w:t>a producción de panela granulada en la provincia de Pastaza es parte de la diversidad de producto</w:t>
      </w:r>
      <w:r w:rsidR="009837F1" w:rsidRPr="00CF74C7">
        <w:rPr>
          <w:rFonts w:ascii="Times New Roman" w:hAnsi="Times New Roman" w:cs="Times New Roman"/>
          <w:sz w:val="24"/>
          <w:szCs w:val="24"/>
        </w:rPr>
        <w:t xml:space="preserve">s que se obtiene a partir de la caña de azúcar. La industria panelera en la </w:t>
      </w:r>
      <w:r w:rsidR="00C0354F" w:rsidRPr="00CF74C7">
        <w:rPr>
          <w:rFonts w:ascii="Times New Roman" w:hAnsi="Times New Roman" w:cs="Times New Roman"/>
          <w:sz w:val="24"/>
          <w:szCs w:val="24"/>
        </w:rPr>
        <w:t>Provincia</w:t>
      </w:r>
      <w:r w:rsidR="009837F1" w:rsidRPr="00CF74C7">
        <w:rPr>
          <w:rFonts w:ascii="Times New Roman" w:hAnsi="Times New Roman" w:cs="Times New Roman"/>
          <w:sz w:val="24"/>
          <w:szCs w:val="24"/>
        </w:rPr>
        <w:t xml:space="preserve"> se caracteriza por ser pequeñas empresas artesanales. Se </w:t>
      </w:r>
      <w:r w:rsidR="007416FC" w:rsidRPr="00CF74C7">
        <w:rPr>
          <w:rFonts w:ascii="Times New Roman" w:hAnsi="Times New Roman" w:cs="Times New Roman"/>
          <w:sz w:val="24"/>
          <w:szCs w:val="24"/>
        </w:rPr>
        <w:t>identificaron</w:t>
      </w:r>
      <w:r w:rsidR="00894F64" w:rsidRPr="00CF74C7">
        <w:rPr>
          <w:rFonts w:ascii="Times New Roman" w:hAnsi="Times New Roman" w:cs="Times New Roman"/>
          <w:sz w:val="24"/>
          <w:szCs w:val="24"/>
        </w:rPr>
        <w:t xml:space="preserve"> de </w:t>
      </w:r>
      <w:r w:rsidR="006D0A38" w:rsidRPr="00CF74C7">
        <w:rPr>
          <w:rFonts w:ascii="Times New Roman" w:hAnsi="Times New Roman" w:cs="Times New Roman"/>
          <w:sz w:val="24"/>
          <w:szCs w:val="24"/>
        </w:rPr>
        <w:t>u</w:t>
      </w:r>
      <w:r w:rsidR="00894F64" w:rsidRPr="00CF74C7">
        <w:rPr>
          <w:rFonts w:ascii="Times New Roman" w:hAnsi="Times New Roman" w:cs="Times New Roman"/>
          <w:sz w:val="24"/>
          <w:szCs w:val="24"/>
        </w:rPr>
        <w:t>na muestra de 13 paneleras</w:t>
      </w:r>
      <w:r w:rsidR="007416FC" w:rsidRPr="00CF74C7">
        <w:rPr>
          <w:rFonts w:ascii="Times New Roman" w:hAnsi="Times New Roman" w:cs="Times New Roman"/>
          <w:sz w:val="24"/>
          <w:szCs w:val="24"/>
        </w:rPr>
        <w:t xml:space="preserve"> que apenas una de ellas cuenta con registro sanitario y se enfrentan </w:t>
      </w:r>
      <w:r w:rsidR="00894F64" w:rsidRPr="00CF74C7">
        <w:rPr>
          <w:rFonts w:ascii="Times New Roman" w:hAnsi="Times New Roman" w:cs="Times New Roman"/>
          <w:sz w:val="24"/>
          <w:szCs w:val="24"/>
        </w:rPr>
        <w:t xml:space="preserve">a </w:t>
      </w:r>
      <w:r w:rsidR="007416FC" w:rsidRPr="00CF74C7">
        <w:rPr>
          <w:rFonts w:ascii="Times New Roman" w:hAnsi="Times New Roman" w:cs="Times New Roman"/>
          <w:sz w:val="24"/>
          <w:szCs w:val="24"/>
        </w:rPr>
        <w:t>problemas como: inestabilidad del precio, demanda insuficiente, infraestructura regular, limitadas condiciones del proceso, desconocimiento de la calidad y su control.</w:t>
      </w:r>
      <w:r w:rsidRPr="00CF74C7">
        <w:rPr>
          <w:rFonts w:ascii="Times New Roman" w:hAnsi="Times New Roman" w:cs="Times New Roman"/>
          <w:sz w:val="24"/>
          <w:szCs w:val="24"/>
        </w:rPr>
        <w:t xml:space="preserve"> </w:t>
      </w:r>
      <w:r w:rsidR="00801AED" w:rsidRPr="00CF74C7">
        <w:rPr>
          <w:rFonts w:ascii="Times New Roman" w:hAnsi="Times New Roman" w:cs="Times New Roman"/>
          <w:sz w:val="24"/>
          <w:szCs w:val="24"/>
        </w:rPr>
        <w:t xml:space="preserve">El objetivo de la presente investigación es </w:t>
      </w:r>
      <w:r w:rsidR="00E60B85" w:rsidRPr="00CF74C7">
        <w:rPr>
          <w:rFonts w:ascii="Times New Roman" w:hAnsi="Times New Roman" w:cs="Times New Roman"/>
          <w:sz w:val="24"/>
          <w:szCs w:val="24"/>
        </w:rPr>
        <w:t>demostrar</w:t>
      </w:r>
      <w:r w:rsidR="00801AED" w:rsidRPr="00CF74C7">
        <w:rPr>
          <w:rFonts w:ascii="Times New Roman" w:hAnsi="Times New Roman" w:cs="Times New Roman"/>
          <w:sz w:val="24"/>
          <w:szCs w:val="24"/>
        </w:rPr>
        <w:t xml:space="preserve"> el aporte de </w:t>
      </w:r>
      <w:r w:rsidR="00A844BA" w:rsidRPr="00CF74C7">
        <w:rPr>
          <w:rFonts w:ascii="Times New Roman" w:hAnsi="Times New Roman" w:cs="Times New Roman"/>
          <w:sz w:val="24"/>
          <w:szCs w:val="24"/>
        </w:rPr>
        <w:t>Universidad Estatal Amazónica</w:t>
      </w:r>
      <w:r w:rsidR="004F6728" w:rsidRPr="00CF74C7">
        <w:rPr>
          <w:rFonts w:ascii="Times New Roman" w:hAnsi="Times New Roman" w:cs="Times New Roman"/>
          <w:sz w:val="24"/>
          <w:szCs w:val="24"/>
        </w:rPr>
        <w:t xml:space="preserve"> </w:t>
      </w:r>
      <w:r w:rsidR="00046D2A" w:rsidRPr="00CF74C7">
        <w:rPr>
          <w:rFonts w:ascii="Times New Roman" w:hAnsi="Times New Roman" w:cs="Times New Roman"/>
          <w:sz w:val="24"/>
          <w:szCs w:val="24"/>
        </w:rPr>
        <w:t>(</w:t>
      </w:r>
      <w:r w:rsidR="004F6728" w:rsidRPr="00CF74C7">
        <w:rPr>
          <w:rFonts w:ascii="Times New Roman" w:hAnsi="Times New Roman" w:cs="Times New Roman"/>
          <w:sz w:val="24"/>
          <w:szCs w:val="24"/>
        </w:rPr>
        <w:t>UEA</w:t>
      </w:r>
      <w:r w:rsidR="00046D2A" w:rsidRPr="00CF74C7">
        <w:rPr>
          <w:rFonts w:ascii="Times New Roman" w:hAnsi="Times New Roman" w:cs="Times New Roman"/>
          <w:sz w:val="24"/>
          <w:szCs w:val="24"/>
        </w:rPr>
        <w:t>)</w:t>
      </w:r>
      <w:r w:rsidR="00A844BA" w:rsidRPr="00CF74C7">
        <w:rPr>
          <w:rFonts w:ascii="Times New Roman" w:hAnsi="Times New Roman" w:cs="Times New Roman"/>
          <w:sz w:val="24"/>
          <w:szCs w:val="24"/>
        </w:rPr>
        <w:t xml:space="preserve"> como intangible para</w:t>
      </w:r>
      <w:r w:rsidR="00322F3E" w:rsidRPr="00CF74C7">
        <w:rPr>
          <w:rFonts w:ascii="Times New Roman" w:hAnsi="Times New Roman" w:cs="Times New Roman"/>
          <w:sz w:val="24"/>
          <w:szCs w:val="24"/>
        </w:rPr>
        <w:t xml:space="preserve"> el desarrollo </w:t>
      </w:r>
      <w:r w:rsidR="000E49C2" w:rsidRPr="00CF74C7">
        <w:rPr>
          <w:rFonts w:ascii="Times New Roman" w:hAnsi="Times New Roman" w:cs="Times New Roman"/>
          <w:sz w:val="24"/>
          <w:szCs w:val="24"/>
        </w:rPr>
        <w:t>de las paneleras en</w:t>
      </w:r>
      <w:r w:rsidR="00322F3E" w:rsidRPr="00CF74C7">
        <w:rPr>
          <w:rFonts w:ascii="Times New Roman" w:hAnsi="Times New Roman" w:cs="Times New Roman"/>
          <w:sz w:val="24"/>
          <w:szCs w:val="24"/>
        </w:rPr>
        <w:t xml:space="preserve"> Pastaza</w:t>
      </w:r>
      <w:r w:rsidR="00A844BA" w:rsidRPr="00CF74C7">
        <w:rPr>
          <w:rFonts w:ascii="Times New Roman" w:hAnsi="Times New Roman" w:cs="Times New Roman"/>
          <w:sz w:val="24"/>
          <w:szCs w:val="24"/>
        </w:rPr>
        <w:t>.</w:t>
      </w:r>
      <w:r w:rsidR="006D0A38" w:rsidRPr="00CF74C7">
        <w:rPr>
          <w:rFonts w:ascii="Times New Roman" w:hAnsi="Times New Roman" w:cs="Times New Roman"/>
          <w:sz w:val="24"/>
          <w:szCs w:val="24"/>
        </w:rPr>
        <w:t xml:space="preserve"> </w:t>
      </w:r>
      <w:r w:rsidR="00046D2A" w:rsidRPr="00CF74C7">
        <w:rPr>
          <w:rFonts w:ascii="Times New Roman" w:hAnsi="Times New Roman" w:cs="Times New Roman"/>
          <w:sz w:val="24"/>
          <w:szCs w:val="24"/>
        </w:rPr>
        <w:t>Se realizó una encuesta a todas las paneleras y se caracterizó su situación antes de la intervención de la UEA y posterior a ella</w:t>
      </w:r>
      <w:r w:rsidR="00631500" w:rsidRPr="00CF74C7">
        <w:rPr>
          <w:rFonts w:ascii="Times New Roman" w:hAnsi="Times New Roman" w:cs="Times New Roman"/>
          <w:sz w:val="24"/>
          <w:szCs w:val="24"/>
        </w:rPr>
        <w:t xml:space="preserve">. </w:t>
      </w:r>
      <w:r w:rsidR="00364135">
        <w:rPr>
          <w:rFonts w:ascii="Times New Roman" w:hAnsi="Times New Roman" w:cs="Times New Roman"/>
          <w:sz w:val="24"/>
          <w:szCs w:val="24"/>
        </w:rPr>
        <w:t>Encontrando</w:t>
      </w:r>
      <w:r w:rsidR="00631500" w:rsidRPr="00CF74C7">
        <w:rPr>
          <w:rFonts w:ascii="Times New Roman" w:hAnsi="Times New Roman" w:cs="Times New Roman"/>
          <w:sz w:val="24"/>
          <w:szCs w:val="24"/>
        </w:rPr>
        <w:t xml:space="preserve"> como resultado una inestabilidad en la calidad y en la demanda del producto antes de l</w:t>
      </w:r>
      <w:r w:rsidR="009837F1" w:rsidRPr="00CF74C7">
        <w:rPr>
          <w:rFonts w:ascii="Times New Roman" w:hAnsi="Times New Roman" w:cs="Times New Roman"/>
          <w:sz w:val="24"/>
          <w:szCs w:val="24"/>
        </w:rPr>
        <w:t>a</w:t>
      </w:r>
      <w:r w:rsidR="00631500" w:rsidRPr="00CF74C7">
        <w:rPr>
          <w:rFonts w:ascii="Times New Roman" w:hAnsi="Times New Roman" w:cs="Times New Roman"/>
          <w:sz w:val="24"/>
          <w:szCs w:val="24"/>
        </w:rPr>
        <w:t xml:space="preserve"> intervención y posterior </w:t>
      </w:r>
      <w:r w:rsidR="009837F1" w:rsidRPr="00CF74C7">
        <w:rPr>
          <w:rFonts w:ascii="Times New Roman" w:hAnsi="Times New Roman" w:cs="Times New Roman"/>
          <w:sz w:val="24"/>
          <w:szCs w:val="24"/>
        </w:rPr>
        <w:t xml:space="preserve">un aumento de la demanda de 100 qq al mes debido al cumplimiento de los estándares de calidad exigidos por el cliente. </w:t>
      </w:r>
      <w:r w:rsidR="00453AFB" w:rsidRPr="00CF74C7">
        <w:rPr>
          <w:rFonts w:ascii="Times New Roman" w:hAnsi="Times New Roman" w:cs="Times New Roman"/>
          <w:sz w:val="24"/>
          <w:szCs w:val="24"/>
        </w:rPr>
        <w:t>Por tanto, el trabajo</w:t>
      </w:r>
      <w:r w:rsidR="002B7269" w:rsidRPr="00CF74C7">
        <w:rPr>
          <w:rFonts w:ascii="Times New Roman" w:hAnsi="Times New Roman" w:cs="Times New Roman"/>
          <w:sz w:val="24"/>
          <w:szCs w:val="24"/>
        </w:rPr>
        <w:t xml:space="preserve"> </w:t>
      </w:r>
      <w:r w:rsidR="00E02271" w:rsidRPr="00CF74C7">
        <w:rPr>
          <w:rFonts w:ascii="Times New Roman" w:hAnsi="Times New Roman" w:cs="Times New Roman"/>
          <w:sz w:val="24"/>
          <w:szCs w:val="24"/>
        </w:rPr>
        <w:t>colaborativo</w:t>
      </w:r>
      <w:r w:rsidR="002B7269" w:rsidRPr="00CF74C7">
        <w:rPr>
          <w:rFonts w:ascii="Times New Roman" w:hAnsi="Times New Roman" w:cs="Times New Roman"/>
          <w:sz w:val="24"/>
          <w:szCs w:val="24"/>
        </w:rPr>
        <w:t xml:space="preserve"> de las universidades constituye un recurso intangible</w:t>
      </w:r>
      <w:r w:rsidR="00E66400" w:rsidRPr="00CF74C7">
        <w:rPr>
          <w:rFonts w:ascii="Times New Roman" w:hAnsi="Times New Roman" w:cs="Times New Roman"/>
          <w:sz w:val="24"/>
          <w:szCs w:val="24"/>
        </w:rPr>
        <w:t>, el mismo</w:t>
      </w:r>
      <w:r w:rsidR="002B7269" w:rsidRPr="00CF74C7">
        <w:rPr>
          <w:rFonts w:ascii="Times New Roman" w:hAnsi="Times New Roman" w:cs="Times New Roman"/>
          <w:sz w:val="24"/>
          <w:szCs w:val="24"/>
        </w:rPr>
        <w:t xml:space="preserve"> </w:t>
      </w:r>
      <w:r w:rsidR="00CC3807" w:rsidRPr="00CF74C7">
        <w:rPr>
          <w:rFonts w:ascii="Times New Roman" w:hAnsi="Times New Roman" w:cs="Times New Roman"/>
          <w:sz w:val="24"/>
          <w:szCs w:val="24"/>
        </w:rPr>
        <w:t xml:space="preserve">que </w:t>
      </w:r>
      <w:r w:rsidR="00E66400" w:rsidRPr="00CF74C7">
        <w:rPr>
          <w:rFonts w:ascii="Times New Roman" w:hAnsi="Times New Roman" w:cs="Times New Roman"/>
          <w:sz w:val="24"/>
          <w:szCs w:val="24"/>
        </w:rPr>
        <w:t xml:space="preserve">a partir </w:t>
      </w:r>
      <w:r w:rsidR="00CC3807" w:rsidRPr="00CF74C7">
        <w:rPr>
          <w:rFonts w:ascii="Times New Roman" w:hAnsi="Times New Roman" w:cs="Times New Roman"/>
          <w:sz w:val="24"/>
          <w:szCs w:val="24"/>
        </w:rPr>
        <w:t>d</w:t>
      </w:r>
      <w:r w:rsidR="00E66400" w:rsidRPr="00CF74C7">
        <w:rPr>
          <w:rFonts w:ascii="Times New Roman" w:hAnsi="Times New Roman" w:cs="Times New Roman"/>
          <w:sz w:val="24"/>
          <w:szCs w:val="24"/>
        </w:rPr>
        <w:t>e</w:t>
      </w:r>
      <w:r w:rsidR="00CC3807" w:rsidRPr="00CF74C7">
        <w:rPr>
          <w:rFonts w:ascii="Times New Roman" w:hAnsi="Times New Roman" w:cs="Times New Roman"/>
          <w:sz w:val="24"/>
          <w:szCs w:val="24"/>
        </w:rPr>
        <w:t xml:space="preserve"> su</w:t>
      </w:r>
      <w:r w:rsidR="00E66400" w:rsidRPr="00CF74C7">
        <w:rPr>
          <w:rFonts w:ascii="Times New Roman" w:hAnsi="Times New Roman" w:cs="Times New Roman"/>
          <w:sz w:val="24"/>
          <w:szCs w:val="24"/>
        </w:rPr>
        <w:t xml:space="preserve"> aplica</w:t>
      </w:r>
      <w:r w:rsidR="00CC3807" w:rsidRPr="00CF74C7">
        <w:rPr>
          <w:rFonts w:ascii="Times New Roman" w:hAnsi="Times New Roman" w:cs="Times New Roman"/>
          <w:sz w:val="24"/>
          <w:szCs w:val="24"/>
        </w:rPr>
        <w:t>ció</w:t>
      </w:r>
      <w:r w:rsidR="00E66400" w:rsidRPr="00CF74C7">
        <w:rPr>
          <w:rFonts w:ascii="Times New Roman" w:hAnsi="Times New Roman" w:cs="Times New Roman"/>
          <w:sz w:val="24"/>
          <w:szCs w:val="24"/>
        </w:rPr>
        <w:t xml:space="preserve">n </w:t>
      </w:r>
      <w:r w:rsidR="00B8499D" w:rsidRPr="00CF74C7">
        <w:rPr>
          <w:rFonts w:ascii="Times New Roman" w:hAnsi="Times New Roman" w:cs="Times New Roman"/>
          <w:sz w:val="24"/>
          <w:szCs w:val="24"/>
        </w:rPr>
        <w:t>se vuelve</w:t>
      </w:r>
      <w:r w:rsidR="00F24DE1" w:rsidRPr="00CF74C7">
        <w:rPr>
          <w:rFonts w:ascii="Times New Roman" w:hAnsi="Times New Roman" w:cs="Times New Roman"/>
          <w:sz w:val="24"/>
          <w:szCs w:val="24"/>
        </w:rPr>
        <w:t xml:space="preserve"> tangible y cuantificable pa</w:t>
      </w:r>
      <w:r w:rsidR="002B7269" w:rsidRPr="00CF74C7">
        <w:rPr>
          <w:rFonts w:ascii="Times New Roman" w:hAnsi="Times New Roman" w:cs="Times New Roman"/>
          <w:sz w:val="24"/>
          <w:szCs w:val="24"/>
        </w:rPr>
        <w:t>ra las empresas</w:t>
      </w:r>
      <w:r w:rsidR="00F24DE1" w:rsidRPr="00CF74C7">
        <w:rPr>
          <w:rFonts w:ascii="Times New Roman" w:hAnsi="Times New Roman" w:cs="Times New Roman"/>
          <w:sz w:val="24"/>
          <w:szCs w:val="24"/>
        </w:rPr>
        <w:t>.</w:t>
      </w:r>
    </w:p>
    <w:p w14:paraId="2B783A9C" w14:textId="77777777" w:rsidR="00F24DE1" w:rsidRPr="00CF74C7" w:rsidRDefault="00F24DE1" w:rsidP="00C43857">
      <w:pPr>
        <w:spacing w:after="0" w:line="360" w:lineRule="auto"/>
        <w:jc w:val="both"/>
        <w:rPr>
          <w:rFonts w:ascii="Times New Roman" w:hAnsi="Times New Roman" w:cs="Times New Roman"/>
          <w:sz w:val="24"/>
          <w:szCs w:val="24"/>
        </w:rPr>
      </w:pPr>
    </w:p>
    <w:p w14:paraId="3E6D4BB0" w14:textId="77777777" w:rsidR="00707FF1" w:rsidRPr="00CF74C7" w:rsidRDefault="009061A5" w:rsidP="00FF3346">
      <w:pPr>
        <w:spacing w:after="0" w:line="360" w:lineRule="auto"/>
        <w:jc w:val="both"/>
        <w:rPr>
          <w:rFonts w:ascii="Times New Roman" w:hAnsi="Times New Roman" w:cs="Times New Roman"/>
          <w:sz w:val="24"/>
          <w:szCs w:val="24"/>
          <w:lang w:val="en-US"/>
        </w:rPr>
      </w:pPr>
      <w:r w:rsidRPr="00CF74C7">
        <w:rPr>
          <w:rFonts w:ascii="Times New Roman" w:hAnsi="Times New Roman" w:cs="Times New Roman"/>
          <w:b/>
          <w:i/>
          <w:sz w:val="24"/>
          <w:szCs w:val="24"/>
          <w:lang w:val="en-US"/>
        </w:rPr>
        <w:t>Abstract:</w:t>
      </w:r>
      <w:r w:rsidRPr="00CF74C7">
        <w:rPr>
          <w:rFonts w:ascii="Times New Roman" w:hAnsi="Times New Roman" w:cs="Times New Roman"/>
          <w:sz w:val="24"/>
          <w:szCs w:val="24"/>
          <w:lang w:val="en-US"/>
        </w:rPr>
        <w:t xml:space="preserve"> </w:t>
      </w:r>
    </w:p>
    <w:p w14:paraId="01FD70B0" w14:textId="77777777" w:rsidR="009061A5" w:rsidRPr="00CF74C7" w:rsidRDefault="00707FF1" w:rsidP="00FF3346">
      <w:pPr>
        <w:spacing w:after="0" w:line="360" w:lineRule="auto"/>
        <w:jc w:val="both"/>
        <w:rPr>
          <w:rFonts w:ascii="Times New Roman" w:hAnsi="Times New Roman" w:cs="Times New Roman"/>
          <w:i/>
          <w:sz w:val="24"/>
          <w:szCs w:val="24"/>
          <w:lang w:val="en-US"/>
        </w:rPr>
      </w:pPr>
      <w:r w:rsidRPr="00CF74C7">
        <w:rPr>
          <w:rFonts w:ascii="Times New Roman" w:hAnsi="Times New Roman" w:cs="Times New Roman"/>
          <w:i/>
          <w:sz w:val="24"/>
          <w:szCs w:val="24"/>
          <w:lang w:val="en-US"/>
        </w:rPr>
        <w:t xml:space="preserve">The production of granulated panela in the province of Pastaza is part of the diversity of products obtained from sugarcane. The panela industry in the Province is characterized by being small craft companies. They were identified from a sample of 13 panels that only one of them has sanitary registration and face problems such as: price instability, insufficient demand, regular infrastructure, limited process conditions, ignorance of quality and its control. The objective of this research is to demonstrate the contribution of the State University of the Amazon (UEA) as intangible for the development of panela in Pastaza. A survey was carried out to all the paneleras and their situation was characterized before the intervention of the UEA and after it. Throwing as a result an instability in the quality and the demand of the product before the intervention and later </w:t>
      </w:r>
      <w:r w:rsidRPr="00CF74C7">
        <w:rPr>
          <w:rFonts w:ascii="Times New Roman" w:hAnsi="Times New Roman" w:cs="Times New Roman"/>
          <w:i/>
          <w:sz w:val="24"/>
          <w:szCs w:val="24"/>
          <w:lang w:val="en-US"/>
        </w:rPr>
        <w:lastRenderedPageBreak/>
        <w:t>an increase of the demand of 100 qq per month due to the fulfillment of the quality standards demanded by the client. Therefore, the collaborative work of the universities constitutes an intangible resource, the same one that from its application becomes tangible and quantifiable for the companies.</w:t>
      </w:r>
    </w:p>
    <w:p w14:paraId="72D8C9EE" w14:textId="77777777" w:rsidR="009061A5" w:rsidRPr="00CF74C7" w:rsidRDefault="009061A5" w:rsidP="00FF3346">
      <w:pPr>
        <w:spacing w:after="0" w:line="360" w:lineRule="auto"/>
        <w:jc w:val="both"/>
        <w:rPr>
          <w:rFonts w:ascii="Times New Roman" w:hAnsi="Times New Roman" w:cs="Times New Roman"/>
          <w:sz w:val="24"/>
          <w:szCs w:val="24"/>
          <w:lang w:val="en-US"/>
        </w:rPr>
      </w:pPr>
    </w:p>
    <w:p w14:paraId="01C79FEF" w14:textId="77777777" w:rsidR="009061A5" w:rsidRPr="00CF74C7" w:rsidRDefault="009061A5" w:rsidP="00FF3346">
      <w:pPr>
        <w:spacing w:after="0" w:line="360" w:lineRule="auto"/>
        <w:jc w:val="both"/>
        <w:rPr>
          <w:rFonts w:ascii="Times New Roman" w:hAnsi="Times New Roman" w:cs="Times New Roman"/>
          <w:sz w:val="24"/>
          <w:szCs w:val="24"/>
        </w:rPr>
      </w:pPr>
      <w:r w:rsidRPr="00CF74C7">
        <w:rPr>
          <w:rFonts w:ascii="Times New Roman" w:hAnsi="Times New Roman" w:cs="Times New Roman"/>
          <w:b/>
          <w:sz w:val="24"/>
          <w:szCs w:val="24"/>
        </w:rPr>
        <w:t>Palabras Clave:</w:t>
      </w:r>
      <w:r w:rsidRPr="00CF74C7">
        <w:rPr>
          <w:rFonts w:ascii="Times New Roman" w:hAnsi="Times New Roman" w:cs="Times New Roman"/>
          <w:sz w:val="24"/>
          <w:szCs w:val="24"/>
        </w:rPr>
        <w:t xml:space="preserve"> </w:t>
      </w:r>
    </w:p>
    <w:p w14:paraId="624F5097" w14:textId="77777777" w:rsidR="00325115" w:rsidRPr="00CF74C7" w:rsidRDefault="00325115" w:rsidP="00FF3346">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Gestión del conocimiento; Industria química</w:t>
      </w:r>
    </w:p>
    <w:p w14:paraId="17D3969D" w14:textId="77777777" w:rsidR="00C0354F" w:rsidRPr="00CF74C7" w:rsidRDefault="00C0354F" w:rsidP="00FF3346">
      <w:pPr>
        <w:spacing w:after="0" w:line="360" w:lineRule="auto"/>
        <w:jc w:val="both"/>
        <w:rPr>
          <w:rFonts w:ascii="Times New Roman" w:hAnsi="Times New Roman" w:cs="Times New Roman"/>
          <w:sz w:val="24"/>
          <w:szCs w:val="24"/>
        </w:rPr>
      </w:pPr>
    </w:p>
    <w:p w14:paraId="2B45C2C7" w14:textId="77777777" w:rsidR="00862E3E" w:rsidRPr="00CF74C7" w:rsidRDefault="009061A5" w:rsidP="00C0354F">
      <w:pPr>
        <w:spacing w:after="0" w:line="360" w:lineRule="auto"/>
        <w:jc w:val="both"/>
        <w:rPr>
          <w:rFonts w:ascii="Times New Roman" w:hAnsi="Times New Roman" w:cs="Times New Roman"/>
          <w:sz w:val="24"/>
          <w:szCs w:val="24"/>
          <w:lang w:val="en-US"/>
        </w:rPr>
      </w:pPr>
      <w:r w:rsidRPr="00CF74C7">
        <w:rPr>
          <w:rFonts w:ascii="Times New Roman" w:hAnsi="Times New Roman" w:cs="Times New Roman"/>
          <w:b/>
          <w:i/>
          <w:sz w:val="24"/>
          <w:szCs w:val="24"/>
          <w:lang w:val="en-US"/>
        </w:rPr>
        <w:t>Keywords:</w:t>
      </w:r>
      <w:r w:rsidRPr="00CF74C7">
        <w:rPr>
          <w:rFonts w:ascii="Times New Roman" w:hAnsi="Times New Roman" w:cs="Times New Roman"/>
          <w:sz w:val="24"/>
          <w:szCs w:val="24"/>
          <w:lang w:val="en-US"/>
        </w:rPr>
        <w:t xml:space="preserve"> </w:t>
      </w:r>
    </w:p>
    <w:p w14:paraId="2E4E198C" w14:textId="77777777" w:rsidR="00D36D1C" w:rsidRPr="00CF74C7" w:rsidRDefault="00862E3E" w:rsidP="00C0354F">
      <w:pPr>
        <w:spacing w:after="0" w:line="360" w:lineRule="auto"/>
        <w:jc w:val="both"/>
        <w:rPr>
          <w:rFonts w:ascii="Times New Roman" w:hAnsi="Times New Roman" w:cs="Times New Roman"/>
          <w:i/>
          <w:sz w:val="24"/>
          <w:szCs w:val="24"/>
          <w:lang w:val="en-US"/>
        </w:rPr>
      </w:pPr>
      <w:r w:rsidRPr="00CF74C7">
        <w:rPr>
          <w:rFonts w:ascii="Times New Roman" w:hAnsi="Times New Roman" w:cs="Times New Roman"/>
          <w:i/>
          <w:sz w:val="24"/>
          <w:szCs w:val="24"/>
          <w:lang w:val="en-US"/>
        </w:rPr>
        <w:t>Knowledge Management, Chemical Industry</w:t>
      </w:r>
    </w:p>
    <w:p w14:paraId="0536CDC1" w14:textId="77777777" w:rsidR="00B116FF" w:rsidRPr="00CF74C7" w:rsidRDefault="00B116FF" w:rsidP="00C0354F">
      <w:pPr>
        <w:spacing w:after="0" w:line="360" w:lineRule="auto"/>
        <w:jc w:val="both"/>
        <w:rPr>
          <w:rFonts w:ascii="Times New Roman" w:hAnsi="Times New Roman" w:cs="Times New Roman"/>
          <w:i/>
          <w:sz w:val="24"/>
          <w:szCs w:val="24"/>
          <w:lang w:val="en-US"/>
        </w:rPr>
      </w:pPr>
    </w:p>
    <w:p w14:paraId="228019F1" w14:textId="77777777" w:rsidR="00B116FF" w:rsidRPr="00CF74C7" w:rsidRDefault="00B116FF" w:rsidP="00B116FF">
      <w:pPr>
        <w:spacing w:after="0" w:line="360" w:lineRule="auto"/>
        <w:jc w:val="both"/>
        <w:rPr>
          <w:rFonts w:ascii="Times New Roman" w:hAnsi="Times New Roman" w:cs="Times New Roman"/>
          <w:b/>
          <w:sz w:val="24"/>
          <w:szCs w:val="24"/>
          <w:lang w:val="en-US"/>
        </w:rPr>
      </w:pPr>
      <w:r w:rsidRPr="00CF74C7">
        <w:rPr>
          <w:rFonts w:ascii="Times New Roman" w:hAnsi="Times New Roman" w:cs="Times New Roman"/>
          <w:b/>
          <w:sz w:val="24"/>
          <w:szCs w:val="24"/>
          <w:lang w:val="en-US"/>
        </w:rPr>
        <w:t>1. Introducción</w:t>
      </w:r>
    </w:p>
    <w:p w14:paraId="276FE834" w14:textId="3609535E" w:rsidR="00B116FF" w:rsidRPr="00CF74C7" w:rsidRDefault="00B116FF" w:rsidP="00B116F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La Universidad Estatal Amazónica (UEA), es una institución de educación superior, que conforme al Art. 5 de su Estatuto, tiene como misión, generar ciencia, tecnología, formar profesionales y científicos, para satisfacer las necesidades de desarrollo sostenible, integral y equilibrado del ser humano, de la Región Amazónica y del Ecuador; conservando sus conocimientos ancestrales y fomentando su cultura, </w:t>
      </w:r>
      <w:r w:rsidRPr="00CF74C7">
        <w:rPr>
          <w:rFonts w:ascii="Times New Roman" w:hAnsi="Times New Roman" w:cs="Times New Roman"/>
          <w:sz w:val="24"/>
          <w:szCs w:val="24"/>
        </w:rPr>
        <w:fldChar w:fldCharType="begin" w:fldLock="1"/>
      </w:r>
      <w:r w:rsidR="00B233A6">
        <w:rPr>
          <w:rFonts w:ascii="Times New Roman" w:hAnsi="Times New Roman" w:cs="Times New Roman"/>
          <w:sz w:val="24"/>
          <w:szCs w:val="24"/>
        </w:rPr>
        <w:instrText>ADDIN CSL_CITATION {"citationItems":[{"id":"ITEM-1","itemData":{"author":[{"dropping-particle":"","family":"UEA","given":"","non-dropping-particle":"","parse-names":false,"suffix":""}],"id":"ITEM-1","issue":"434","issued":{"date-parts":[["2013"]]},"number":"RPC-SO-42-No.434-2013","page":"80","publisher":"www.uea.edu.ec","publisher-place":"Ecuador","title":"Estatuto Universidad Estatal Amazónica","type":"legislation"},"uris":["http://www.mendeley.com/documents/?uuid=d23f725c-9854-4d2f-8315-275f2442e2f1"]}],"mendeley":{"formattedCitation":"UEA, (2013)","plainTextFormattedCitation":"UEA, (2013)","previouslyFormattedCitation":"UEA, (2013)"},"properties":{"noteIndex":0},"schema":"https://github.com/citation-style-language/schema/raw/master/csl-citation.json"}</w:instrText>
      </w:r>
      <w:r w:rsidRPr="00CF74C7">
        <w:rPr>
          <w:rFonts w:ascii="Times New Roman" w:hAnsi="Times New Roman" w:cs="Times New Roman"/>
          <w:sz w:val="24"/>
          <w:szCs w:val="24"/>
        </w:rPr>
        <w:fldChar w:fldCharType="separate"/>
      </w:r>
      <w:r w:rsidR="00220B08" w:rsidRPr="00220B08">
        <w:rPr>
          <w:rFonts w:ascii="Times New Roman" w:hAnsi="Times New Roman" w:cs="Times New Roman"/>
          <w:noProof/>
          <w:sz w:val="24"/>
          <w:szCs w:val="24"/>
        </w:rPr>
        <w:t>UEA, (2013)</w:t>
      </w:r>
      <w:r w:rsidRPr="00CF74C7">
        <w:rPr>
          <w:rFonts w:ascii="Times New Roman" w:hAnsi="Times New Roman" w:cs="Times New Roman"/>
          <w:sz w:val="24"/>
          <w:szCs w:val="24"/>
        </w:rPr>
        <w:fldChar w:fldCharType="end"/>
      </w:r>
      <w:r w:rsidRPr="00CF74C7">
        <w:rPr>
          <w:rFonts w:ascii="Times New Roman" w:hAnsi="Times New Roman" w:cs="Times New Roman"/>
          <w:sz w:val="24"/>
          <w:szCs w:val="24"/>
        </w:rPr>
        <w:t>.</w:t>
      </w:r>
    </w:p>
    <w:p w14:paraId="0B2BC878" w14:textId="559D87E3" w:rsidR="00B116FF" w:rsidRPr="00CF74C7" w:rsidRDefault="00B116FF" w:rsidP="00B116F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Por su parte, el Reglamento de Régimen Académico de la UEA, respecto a la vinculación con la sociedad, en el art. 149 declara como el proceso de comunicación entre la universidad y la sociedad, lo que implica una relación entre oferta y demanda de conocimiento, y el art. 165 refiere a las prácticas pre profesionales y pasantías como un mecanismo de investigación – acción dentro del entorno institucional, empresarial o comunitario sea público o privado, </w:t>
      </w:r>
      <w:r w:rsidRPr="00CF74C7">
        <w:rPr>
          <w:rFonts w:ascii="Times New Roman" w:hAnsi="Times New Roman" w:cs="Times New Roman"/>
          <w:sz w:val="24"/>
          <w:szCs w:val="24"/>
        </w:rPr>
        <w:fldChar w:fldCharType="begin" w:fldLock="1"/>
      </w:r>
      <w:r w:rsidR="00B233A6">
        <w:rPr>
          <w:rFonts w:ascii="Times New Roman" w:hAnsi="Times New Roman" w:cs="Times New Roman"/>
          <w:sz w:val="24"/>
          <w:szCs w:val="24"/>
        </w:rPr>
        <w:instrText>ADDIN CSL_CITATION {"citationItems":[{"id":"ITEM-1","itemData":{"author":[{"dropping-particle":"","family":"UEA","given":"","non-dropping-particle":"","parse-names":false,"suffix":""}],"id":"ITEM-1","issued":{"date-parts":[["2017"]]},"number":"Consejo Universitario-21-02-2017","page":"52","publisher":"www.uea.edu.ec","title":"Reglamento de Régimen Académico de la Universidad Estatal Amazónica","type":"legislation"},"uris":["http://www.mendeley.com/documents/?uuid=5b408190-4885-41a4-9a33-4e48b62d76f2"]}],"mendeley":{"formattedCitation":"UEA, (2017)","plainTextFormattedCitation":"UEA, (2017)","previouslyFormattedCitation":"UEA, (2017)"},"properties":{"noteIndex":0},"schema":"https://github.com/citation-style-language/schema/raw/master/csl-citation.json"}</w:instrText>
      </w:r>
      <w:r w:rsidRPr="00CF74C7">
        <w:rPr>
          <w:rFonts w:ascii="Times New Roman" w:hAnsi="Times New Roman" w:cs="Times New Roman"/>
          <w:sz w:val="24"/>
          <w:szCs w:val="24"/>
        </w:rPr>
        <w:fldChar w:fldCharType="separate"/>
      </w:r>
      <w:r w:rsidR="00220B08" w:rsidRPr="00220B08">
        <w:rPr>
          <w:rFonts w:ascii="Times New Roman" w:hAnsi="Times New Roman" w:cs="Times New Roman"/>
          <w:noProof/>
          <w:sz w:val="24"/>
          <w:szCs w:val="24"/>
        </w:rPr>
        <w:t>UEA, (2017)</w:t>
      </w:r>
      <w:r w:rsidRPr="00CF74C7">
        <w:rPr>
          <w:rFonts w:ascii="Times New Roman" w:hAnsi="Times New Roman" w:cs="Times New Roman"/>
          <w:sz w:val="24"/>
          <w:szCs w:val="24"/>
        </w:rPr>
        <w:fldChar w:fldCharType="end"/>
      </w:r>
      <w:r w:rsidRPr="00CF74C7">
        <w:rPr>
          <w:rFonts w:ascii="Times New Roman" w:hAnsi="Times New Roman" w:cs="Times New Roman"/>
          <w:sz w:val="24"/>
          <w:szCs w:val="24"/>
        </w:rPr>
        <w:t>.</w:t>
      </w:r>
    </w:p>
    <w:p w14:paraId="29B65233" w14:textId="1B225203" w:rsidR="00B116FF" w:rsidRPr="00CF74C7" w:rsidRDefault="00B116FF" w:rsidP="00B116F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La UEA al momento cuenta con 6 carreras aprobadas por el Consejo de Educación Superior (CES) a saber: Ambiental, Agroindustria, Agropecuaria, Biología, Forestal y Turismo. De forma particular, Agroindustria dentro de las modalidades de graduación según </w:t>
      </w:r>
      <w:r w:rsidRPr="00CF74C7">
        <w:rPr>
          <w:rFonts w:ascii="Times New Roman" w:hAnsi="Times New Roman" w:cs="Times New Roman"/>
          <w:sz w:val="24"/>
          <w:szCs w:val="24"/>
        </w:rPr>
        <w:fldChar w:fldCharType="begin" w:fldLock="1"/>
      </w:r>
      <w:r w:rsidR="00B233A6">
        <w:rPr>
          <w:rFonts w:ascii="Times New Roman" w:hAnsi="Times New Roman" w:cs="Times New Roman"/>
          <w:sz w:val="24"/>
          <w:szCs w:val="24"/>
        </w:rPr>
        <w:instrText>ADDIN CSL_CITATION {"citationItems":[{"id":"ITEM-1","itemData":{"author":[{"dropping-particle":"","family":"UEA","given":"","non-dropping-particle":"","parse-names":false,"suffix":""}],"id":"ITEM-1","issue":"563","issued":{"date-parts":[["2015"]]},"number":"RPC-SO-42-1058-650721A01-No.01-563-2015","publisher-place":"Ecuador","title":"Proyecto de Rediseño Curricular para la carrera de agroindustria de la Universidad Estatal Amazónica","type":"legislation"},"uris":["http://www.mendeley.com/documents/?uuid=b8a8ae88-0873-4c87-a844-d1b9fc372239"]}],"mendeley":{"formattedCitation":"UEA, (2015)","plainTextFormattedCitation":"UEA, (2015)","previouslyFormattedCitation":"UEA, (2015)"},"properties":{"noteIndex":0},"schema":"https://github.com/citation-style-language/schema/raw/master/csl-citation.json"}</w:instrText>
      </w:r>
      <w:r w:rsidRPr="00CF74C7">
        <w:rPr>
          <w:rFonts w:ascii="Times New Roman" w:hAnsi="Times New Roman" w:cs="Times New Roman"/>
          <w:sz w:val="24"/>
          <w:szCs w:val="24"/>
        </w:rPr>
        <w:fldChar w:fldCharType="separate"/>
      </w:r>
      <w:r w:rsidR="00220B08" w:rsidRPr="00220B08">
        <w:rPr>
          <w:rFonts w:ascii="Times New Roman" w:hAnsi="Times New Roman" w:cs="Times New Roman"/>
          <w:noProof/>
          <w:sz w:val="24"/>
          <w:szCs w:val="24"/>
        </w:rPr>
        <w:t>UEA, (2015)</w:t>
      </w:r>
      <w:r w:rsidRPr="00CF74C7">
        <w:rPr>
          <w:rFonts w:ascii="Times New Roman" w:hAnsi="Times New Roman" w:cs="Times New Roman"/>
          <w:sz w:val="24"/>
          <w:szCs w:val="24"/>
        </w:rPr>
        <w:fldChar w:fldCharType="end"/>
      </w:r>
      <w:r w:rsidRPr="00CF74C7">
        <w:rPr>
          <w:rFonts w:ascii="Times New Roman" w:hAnsi="Times New Roman" w:cs="Times New Roman"/>
          <w:sz w:val="24"/>
          <w:szCs w:val="24"/>
        </w:rPr>
        <w:t xml:space="preserve"> contempla la presentación de un proyecto de investigación previo la obtención del título.</w:t>
      </w:r>
    </w:p>
    <w:p w14:paraId="527C479E" w14:textId="77777777" w:rsidR="00B116FF" w:rsidRPr="00CF74C7" w:rsidRDefault="00B116FF" w:rsidP="007E43E9">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lastRenderedPageBreak/>
        <w:t xml:space="preserve">En este </w:t>
      </w:r>
      <w:r w:rsidR="008C7A80" w:rsidRPr="00CF74C7">
        <w:rPr>
          <w:rFonts w:ascii="Times New Roman" w:hAnsi="Times New Roman" w:cs="Times New Roman"/>
          <w:sz w:val="24"/>
          <w:szCs w:val="24"/>
        </w:rPr>
        <w:t>contexto, la</w:t>
      </w:r>
      <w:r w:rsidR="007E43E9" w:rsidRPr="00CF74C7">
        <w:rPr>
          <w:rFonts w:ascii="Times New Roman" w:hAnsi="Times New Roman" w:cs="Times New Roman"/>
          <w:sz w:val="24"/>
          <w:szCs w:val="24"/>
        </w:rPr>
        <w:t xml:space="preserve"> Universidad Estatal Amazónica constituye un recurso intangible para el desarrollo local de Pastaza, específicamente la carrera Agroindustria</w:t>
      </w:r>
      <w:r w:rsidR="009E2F0E" w:rsidRPr="00CF74C7">
        <w:rPr>
          <w:rFonts w:ascii="Times New Roman" w:hAnsi="Times New Roman" w:cs="Times New Roman"/>
          <w:sz w:val="24"/>
          <w:szCs w:val="24"/>
        </w:rPr>
        <w:t xml:space="preserve"> a través de proyectos de investigación y vinculación con la comunidad aporta con soluciones a los problemas de la</w:t>
      </w:r>
      <w:r w:rsidR="007E43E9" w:rsidRPr="00CF74C7">
        <w:rPr>
          <w:rFonts w:ascii="Times New Roman" w:hAnsi="Times New Roman" w:cs="Times New Roman"/>
          <w:sz w:val="24"/>
          <w:szCs w:val="24"/>
        </w:rPr>
        <w:t xml:space="preserve"> Industria </w:t>
      </w:r>
      <w:r w:rsidR="00197C9A" w:rsidRPr="00CF74C7">
        <w:rPr>
          <w:rFonts w:ascii="Times New Roman" w:hAnsi="Times New Roman" w:cs="Times New Roman"/>
          <w:sz w:val="24"/>
          <w:szCs w:val="24"/>
        </w:rPr>
        <w:t>de Procesos que se desarrolla en su zona de influencia, de forma particular en la Amazonía</w:t>
      </w:r>
      <w:r w:rsidR="007E43E9" w:rsidRPr="00CF74C7">
        <w:rPr>
          <w:rFonts w:ascii="Times New Roman" w:hAnsi="Times New Roman" w:cs="Times New Roman"/>
          <w:sz w:val="24"/>
          <w:szCs w:val="24"/>
        </w:rPr>
        <w:t>.</w:t>
      </w:r>
    </w:p>
    <w:p w14:paraId="72D602D5" w14:textId="734216DF" w:rsidR="00251B20" w:rsidRDefault="00DE6BC9" w:rsidP="00DE6BC9">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En el Ecuador</w:t>
      </w:r>
      <w:r w:rsidR="00B233A6">
        <w:rPr>
          <w:rFonts w:ascii="Times New Roman" w:hAnsi="Times New Roman" w:cs="Times New Roman"/>
          <w:sz w:val="24"/>
          <w:szCs w:val="24"/>
        </w:rPr>
        <w:t xml:space="preserve">, según </w:t>
      </w:r>
      <w:r w:rsidR="00B233A6">
        <w:rPr>
          <w:rFonts w:ascii="Times New Roman" w:hAnsi="Times New Roman" w:cs="Times New Roman"/>
          <w:sz w:val="24"/>
          <w:szCs w:val="24"/>
        </w:rPr>
        <w:fldChar w:fldCharType="begin" w:fldLock="1"/>
      </w:r>
      <w:r w:rsidR="001D3C4B">
        <w:rPr>
          <w:rFonts w:ascii="Times New Roman" w:hAnsi="Times New Roman" w:cs="Times New Roman"/>
          <w:sz w:val="24"/>
          <w:szCs w:val="24"/>
        </w:rPr>
        <w:instrText>ADDIN CSL_CITATION {"citationItems":[{"id":"ITEM-1","itemData":{"author":[{"dropping-particle":"","family":"Carlosama","given":"P.","non-dropping-particle":"","parse-names":false,"suffix":""}],"id":"ITEM-1","issued":{"date-parts":[["2009"]]},"publisher":"Escuela Politecnica Nacional","title":"Diseño del plan y documentación para la implementación de buenas prácticas de manufactura para la elaboración de panela granulada para las unidades productivas paneleras de la COPROPAP de pacto","type":"thesis"},"uris":["http://www.mendeley.com/documents/?uuid=14ace977-0cec-44d6-980f-0893ea139745"]}],"mendeley":{"formattedCitation":"Carlosama, (2009)","plainTextFormattedCitation":"Carlosama, (2009)","previouslyFormattedCitation":"Carlosama, (2009)"},"properties":{"noteIndex":0},"schema":"https://github.com/citation-style-language/schema/raw/master/csl-citation.json"}</w:instrText>
      </w:r>
      <w:r w:rsidR="00B233A6">
        <w:rPr>
          <w:rFonts w:ascii="Times New Roman" w:hAnsi="Times New Roman" w:cs="Times New Roman"/>
          <w:sz w:val="24"/>
          <w:szCs w:val="24"/>
        </w:rPr>
        <w:fldChar w:fldCharType="separate"/>
      </w:r>
      <w:r w:rsidR="00B233A6" w:rsidRPr="00B233A6">
        <w:rPr>
          <w:rFonts w:ascii="Times New Roman" w:hAnsi="Times New Roman" w:cs="Times New Roman"/>
          <w:noProof/>
          <w:sz w:val="24"/>
          <w:szCs w:val="24"/>
        </w:rPr>
        <w:t>Carlosama, (2009)</w:t>
      </w:r>
      <w:r w:rsidR="00B233A6">
        <w:rPr>
          <w:rFonts w:ascii="Times New Roman" w:hAnsi="Times New Roman" w:cs="Times New Roman"/>
          <w:sz w:val="24"/>
          <w:szCs w:val="24"/>
        </w:rPr>
        <w:fldChar w:fldCharType="end"/>
      </w:r>
      <w:r w:rsidRPr="00CF74C7">
        <w:rPr>
          <w:rFonts w:ascii="Times New Roman" w:hAnsi="Times New Roman" w:cs="Times New Roman"/>
          <w:sz w:val="24"/>
          <w:szCs w:val="24"/>
        </w:rPr>
        <w:t xml:space="preserve"> la cadena productiva de la panela está compuesta por actores públicos, privados, por eslabones productivos y comerciales. La demanda de la panela ha incentivado a grandes y pequeños producto</w:t>
      </w:r>
      <w:r w:rsidR="00E31C02" w:rsidRPr="00CF74C7">
        <w:rPr>
          <w:rFonts w:ascii="Times New Roman" w:hAnsi="Times New Roman" w:cs="Times New Roman"/>
          <w:sz w:val="24"/>
          <w:szCs w:val="24"/>
        </w:rPr>
        <w:t>re</w:t>
      </w:r>
      <w:r w:rsidRPr="00CF74C7">
        <w:rPr>
          <w:rFonts w:ascii="Times New Roman" w:hAnsi="Times New Roman" w:cs="Times New Roman"/>
          <w:sz w:val="24"/>
          <w:szCs w:val="24"/>
        </w:rPr>
        <w:t>s a diversificar e incrementar su producción</w:t>
      </w:r>
      <w:r w:rsidR="00B233A6">
        <w:rPr>
          <w:rFonts w:ascii="Times New Roman" w:hAnsi="Times New Roman" w:cs="Times New Roman"/>
          <w:sz w:val="24"/>
          <w:szCs w:val="24"/>
        </w:rPr>
        <w:t>.</w:t>
      </w:r>
      <w:r w:rsidR="00153C70">
        <w:rPr>
          <w:rFonts w:ascii="Times New Roman" w:hAnsi="Times New Roman" w:cs="Times New Roman"/>
          <w:sz w:val="24"/>
          <w:szCs w:val="24"/>
        </w:rPr>
        <w:t xml:space="preserve"> Varios autores, entre ellos </w:t>
      </w:r>
      <w:r w:rsidR="00153C70">
        <w:rPr>
          <w:rFonts w:ascii="Times New Roman" w:hAnsi="Times New Roman" w:cs="Times New Roman"/>
          <w:sz w:val="24"/>
          <w:szCs w:val="24"/>
        </w:rPr>
        <w:fldChar w:fldCharType="begin" w:fldLock="1"/>
      </w:r>
      <w:r w:rsidR="008B6897">
        <w:rPr>
          <w:rFonts w:ascii="Times New Roman" w:hAnsi="Times New Roman" w:cs="Times New Roman"/>
          <w:sz w:val="24"/>
          <w:szCs w:val="24"/>
        </w:rPr>
        <w:instrText>ADDIN CSL_CITATION {"citationItems":[{"id":"ITEM-1","itemData":{"author":[{"dropping-particle":"","family":"Guevara","given":"Enid Evangelina","non-dropping-particle":"","parse-names":false,"suffix":""}],"id":"ITEM-1","issued":{"date-parts":[["2011"]]},"publisher":"Universidad Estatal Amazónica","title":"Inocuidad de la miel de caña aplicando buenas prácticas de manufactura","type":"thesis"},"uris":["http://www.mendeley.com/documents/?uuid=e042b4aa-3aee-3c05-988b-c7abc2e9a169"]}],"mendeley":{"formattedCitation":"Guevara, (2011)","plainTextFormattedCitation":"Guevara, (2011)","previouslyFormattedCitation":"Guevara, (2011)"},"properties":{"noteIndex":0},"schema":"https://github.com/citation-style-language/schema/raw/master/csl-citation.json"}</w:instrText>
      </w:r>
      <w:r w:rsidR="00153C70">
        <w:rPr>
          <w:rFonts w:ascii="Times New Roman" w:hAnsi="Times New Roman" w:cs="Times New Roman"/>
          <w:sz w:val="24"/>
          <w:szCs w:val="24"/>
        </w:rPr>
        <w:fldChar w:fldCharType="separate"/>
      </w:r>
      <w:r w:rsidR="008B6897" w:rsidRPr="008B6897">
        <w:rPr>
          <w:rFonts w:ascii="Times New Roman" w:hAnsi="Times New Roman" w:cs="Times New Roman"/>
          <w:noProof/>
          <w:sz w:val="24"/>
          <w:szCs w:val="24"/>
        </w:rPr>
        <w:t>Guevara, (2011)</w:t>
      </w:r>
      <w:r w:rsidR="00153C70">
        <w:rPr>
          <w:rFonts w:ascii="Times New Roman" w:hAnsi="Times New Roman" w:cs="Times New Roman"/>
          <w:sz w:val="24"/>
          <w:szCs w:val="24"/>
        </w:rPr>
        <w:fldChar w:fldCharType="end"/>
      </w:r>
      <w:r w:rsidR="00153C70">
        <w:rPr>
          <w:rFonts w:ascii="Times New Roman" w:hAnsi="Times New Roman" w:cs="Times New Roman"/>
          <w:sz w:val="24"/>
          <w:szCs w:val="24"/>
        </w:rPr>
        <w:t>,</w:t>
      </w:r>
      <w:r w:rsidR="00B233A6">
        <w:rPr>
          <w:rFonts w:ascii="Times New Roman" w:hAnsi="Times New Roman" w:cs="Times New Roman"/>
          <w:sz w:val="24"/>
          <w:szCs w:val="24"/>
        </w:rPr>
        <w:t xml:space="preserve"> </w:t>
      </w:r>
      <w:r w:rsidR="001D3C4B">
        <w:rPr>
          <w:rFonts w:ascii="Times New Roman" w:hAnsi="Times New Roman" w:cs="Times New Roman"/>
          <w:sz w:val="24"/>
          <w:szCs w:val="24"/>
        </w:rPr>
        <w:fldChar w:fldCharType="begin" w:fldLock="1"/>
      </w:r>
      <w:r w:rsidR="00153C70">
        <w:rPr>
          <w:rFonts w:ascii="Times New Roman" w:hAnsi="Times New Roman" w:cs="Times New Roman"/>
          <w:sz w:val="24"/>
          <w:szCs w:val="24"/>
        </w:rPr>
        <w:instrText>ADDIN CSL_CITATION {"citationItems":[{"id":"ITEM-1","itemData":{"author":[{"dropping-particle":"","family":"Escobar","given":"Julia M","non-dropping-particle":"","parse-names":false,"suffix":""},{"dropping-particle":"","family":"Cerda","given":"Víctor R","non-dropping-particle":"","parse-names":false,"suffix":""},{"dropping-particle":"","family":"Tapuy","given":"Andrea S","non-dropping-particle":"","parse-names":false,"suffix":""}],"container-title":"MOL2NET, International Conference Series on Multidisciplinary Sciences","id":"ITEM-1","issued":{"date-parts":[["2018"]]},"page":"2-7","title":"Evaluation of the operation parameters and the process quality of the obtaining of granulated panela in the parish of Tarqui, in the panela industry “El Valle”","type":"paper-conference"},"uris":["http://www.mendeley.com/documents/?uuid=b28ccc3b-7e91-4be8-a67e-a829555d4493"]}],"mendeley":{"formattedCitation":"Escobar, Cerda, &amp; Tapuy, (2018)","plainTextFormattedCitation":"Escobar, Cerda, &amp; Tapuy, (2018)","previouslyFormattedCitation":"Escobar, Cerda, &amp; Tapuy, (2018)"},"properties":{"noteIndex":0},"schema":"https://github.com/citation-style-language/schema/raw/master/csl-citation.json"}</w:instrText>
      </w:r>
      <w:r w:rsidR="001D3C4B">
        <w:rPr>
          <w:rFonts w:ascii="Times New Roman" w:hAnsi="Times New Roman" w:cs="Times New Roman"/>
          <w:sz w:val="24"/>
          <w:szCs w:val="24"/>
        </w:rPr>
        <w:fldChar w:fldCharType="separate"/>
      </w:r>
      <w:r w:rsidR="001D3C4B" w:rsidRPr="001D3C4B">
        <w:rPr>
          <w:rFonts w:ascii="Times New Roman" w:hAnsi="Times New Roman" w:cs="Times New Roman"/>
          <w:noProof/>
          <w:sz w:val="24"/>
          <w:szCs w:val="24"/>
        </w:rPr>
        <w:t>Escobar, Cerda, &amp; Tapuy, (2018)</w:t>
      </w:r>
      <w:r w:rsidR="001D3C4B">
        <w:rPr>
          <w:rFonts w:ascii="Times New Roman" w:hAnsi="Times New Roman" w:cs="Times New Roman"/>
          <w:sz w:val="24"/>
          <w:szCs w:val="24"/>
        </w:rPr>
        <w:fldChar w:fldCharType="end"/>
      </w:r>
      <w:r w:rsidR="001D3C4B">
        <w:rPr>
          <w:rFonts w:ascii="Times New Roman" w:hAnsi="Times New Roman" w:cs="Times New Roman"/>
          <w:sz w:val="24"/>
          <w:szCs w:val="24"/>
        </w:rPr>
        <w:t>, mencionan</w:t>
      </w:r>
      <w:r w:rsidRPr="00CF74C7">
        <w:rPr>
          <w:rFonts w:ascii="Times New Roman" w:hAnsi="Times New Roman" w:cs="Times New Roman"/>
          <w:sz w:val="24"/>
          <w:szCs w:val="24"/>
        </w:rPr>
        <w:t xml:space="preserve"> que en la provincia de Pastaza la productividad de panela representa un rubro muy importante en la economía, que genera y proporciona trabajo a las familias a través de la participación en los procesos de cultivo, procesamiento, transportación y comercialización</w:t>
      </w:r>
      <w:r w:rsidR="00153C70">
        <w:rPr>
          <w:rFonts w:ascii="Times New Roman" w:hAnsi="Times New Roman" w:cs="Times New Roman"/>
          <w:sz w:val="24"/>
          <w:szCs w:val="24"/>
        </w:rPr>
        <w:t>.</w:t>
      </w:r>
    </w:p>
    <w:p w14:paraId="04D4511E" w14:textId="25D18B34" w:rsidR="00DE6BC9" w:rsidRPr="00CF74C7" w:rsidRDefault="00DE6BC9" w:rsidP="00DE6BC9">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Actualmente según el Gobierno Autónomo Descentralizado Provincial de Pastaza de acuerdo al diagnóstico de la ASOCAP, 2010 existen 212 fábricas de molienda, y que su actividad panelera se halla absorbida y procesada en tres centrales paneleras que trabajan en función a la capacidad productiva del cantón (Tarqui, Fátima y Madre Tierra)</w:t>
      </w:r>
      <w:r w:rsidR="00EB5979" w:rsidRPr="00CF74C7">
        <w:rPr>
          <w:rFonts w:ascii="Times New Roman" w:hAnsi="Times New Roman" w:cs="Times New Roman"/>
          <w:sz w:val="24"/>
          <w:szCs w:val="24"/>
        </w:rPr>
        <w:t xml:space="preserve"> </w:t>
      </w:r>
      <w:r w:rsidR="00EB5979" w:rsidRPr="00CF74C7">
        <w:rPr>
          <w:rFonts w:ascii="Times New Roman" w:hAnsi="Times New Roman" w:cs="Times New Roman"/>
          <w:sz w:val="24"/>
          <w:szCs w:val="24"/>
        </w:rPr>
        <w:fldChar w:fldCharType="begin" w:fldLock="1"/>
      </w:r>
      <w:r w:rsidR="00076BEC" w:rsidRPr="00CF74C7">
        <w:rPr>
          <w:rFonts w:ascii="Times New Roman" w:hAnsi="Times New Roman" w:cs="Times New Roman"/>
          <w:sz w:val="24"/>
          <w:szCs w:val="24"/>
        </w:rPr>
        <w:instrText>ADDIN CSL_CITATION {"citationItems":[{"id":"ITEM-1","itemData":{"author":[{"dropping-particle":"","family":"Palacios","given":"W","non-dropping-particle":"","parse-names":false,"suffix":""}],"id":"ITEM-1","issued":{"date-parts":[["2012"]]},"publisher":"Universidad Tecnológica Equinoccial","title":"Los desechos en el proceso productivo artesanal de la panela y sus efectos ambientales en la parroquia Tarqui de la provincia de Pastaza","type":"thesis"},"uris":["http://www.mendeley.com/documents/?uuid=3765e0d4-147a-4859-b1d6-68838900d923"]}],"mendeley":{"formattedCitation":"Palacios, (2012)","plainTextFormattedCitation":"Palacios, (2012)","previouslyFormattedCitation":"Palacios, (2012)"},"properties":{"noteIndex":0},"schema":"https://github.com/citation-style-language/schema/raw/master/csl-citation.json"}</w:instrText>
      </w:r>
      <w:r w:rsidR="00EB5979" w:rsidRPr="00CF74C7">
        <w:rPr>
          <w:rFonts w:ascii="Times New Roman" w:hAnsi="Times New Roman" w:cs="Times New Roman"/>
          <w:sz w:val="24"/>
          <w:szCs w:val="24"/>
        </w:rPr>
        <w:fldChar w:fldCharType="separate"/>
      </w:r>
      <w:r w:rsidR="00EB5979" w:rsidRPr="00CF74C7">
        <w:rPr>
          <w:rFonts w:ascii="Times New Roman" w:hAnsi="Times New Roman" w:cs="Times New Roman"/>
          <w:noProof/>
          <w:sz w:val="24"/>
          <w:szCs w:val="24"/>
        </w:rPr>
        <w:t>Palacios, (2012)</w:t>
      </w:r>
      <w:r w:rsidR="00EB5979" w:rsidRPr="00CF74C7">
        <w:rPr>
          <w:rFonts w:ascii="Times New Roman" w:hAnsi="Times New Roman" w:cs="Times New Roman"/>
          <w:sz w:val="24"/>
          <w:szCs w:val="24"/>
        </w:rPr>
        <w:fldChar w:fldCharType="end"/>
      </w:r>
      <w:r w:rsidRPr="00CF74C7">
        <w:rPr>
          <w:rFonts w:ascii="Times New Roman" w:hAnsi="Times New Roman" w:cs="Times New Roman"/>
          <w:sz w:val="24"/>
          <w:szCs w:val="24"/>
        </w:rPr>
        <w:t>.</w:t>
      </w:r>
    </w:p>
    <w:p w14:paraId="6038A1C5" w14:textId="51AFB91B" w:rsidR="00DE6BC9" w:rsidRPr="00CF74C7" w:rsidRDefault="00DE6BC9" w:rsidP="00DE6BC9">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En la parroquia Tarqui las industrias paneleras realizan la elaboración a base de técnicas artesanales, donde las instalaciones e infraestructura no reúnen las condiciones sanitarias, porque las construcciones son de madera, techo de paja y pisos de tierra, lo que no es adecuado en una industria panelera</w:t>
      </w:r>
      <w:r w:rsidR="001B57F8" w:rsidRPr="00CF74C7">
        <w:rPr>
          <w:rFonts w:ascii="Times New Roman" w:hAnsi="Times New Roman" w:cs="Times New Roman"/>
          <w:sz w:val="24"/>
          <w:szCs w:val="24"/>
        </w:rPr>
        <w:t xml:space="preserve"> </w:t>
      </w:r>
      <w:r w:rsidR="00076BEC" w:rsidRPr="00CF74C7">
        <w:rPr>
          <w:rFonts w:ascii="Times New Roman" w:hAnsi="Times New Roman" w:cs="Times New Roman"/>
          <w:sz w:val="24"/>
          <w:szCs w:val="24"/>
        </w:rPr>
        <w:fldChar w:fldCharType="begin" w:fldLock="1"/>
      </w:r>
      <w:r w:rsidR="00AA223A">
        <w:rPr>
          <w:rFonts w:ascii="Times New Roman" w:hAnsi="Times New Roman" w:cs="Times New Roman"/>
          <w:sz w:val="24"/>
          <w:szCs w:val="24"/>
        </w:rPr>
        <w:instrText>ADDIN CSL_CITATION {"citationItems":[{"id":"ITEM-1","itemData":{"abstract":"publicado trabajos en revistas y periódicos locales y nacionales acerca de sus investigaciones realizadas. Ha dado asesoría en empresas productoras de panela y en la empresa TAVA sobre estabilización del gel, filete y elaboración de productos de sábila. Es autor del folleto sobre Miel Salud y Vida. Actualmente trabaja en la revisión para su impresión en documentos sobre: guía técnica de aceites esenciales, ingeniería de procesos y agroindustria azucarera. Queda prohibida su reproducción parcial o total.","author":[{"dropping-particle":"","family":"Quezada","given":"Walter","non-dropping-particle":"","parse-names":false,"suffix":""}],"id":"ITEM-1","issued":{"date-parts":[["2007"]]},"title":"Guía Técnica de Agroindustria Panelera","type":"book"},"uris":["http://www.mendeley.com/documents/?uuid=69860cdd-4266-3831-ac91-6f8fe60aaefc"]}],"mendeley":{"formattedCitation":"Quezada, (2007)","plainTextFormattedCitation":"Quezada, (2007)","previouslyFormattedCitation":"Quezada, (2007)"},"properties":{"noteIndex":0},"schema":"https://github.com/citation-style-language/schema/raw/master/csl-citation.json"}</w:instrText>
      </w:r>
      <w:r w:rsidR="00076BEC" w:rsidRPr="00CF74C7">
        <w:rPr>
          <w:rFonts w:ascii="Times New Roman" w:hAnsi="Times New Roman" w:cs="Times New Roman"/>
          <w:sz w:val="24"/>
          <w:szCs w:val="24"/>
        </w:rPr>
        <w:fldChar w:fldCharType="separate"/>
      </w:r>
      <w:r w:rsidR="008B6897" w:rsidRPr="008B6897">
        <w:rPr>
          <w:rFonts w:ascii="Times New Roman" w:hAnsi="Times New Roman" w:cs="Times New Roman"/>
          <w:noProof/>
          <w:sz w:val="24"/>
          <w:szCs w:val="24"/>
        </w:rPr>
        <w:t>Quezada, (2007)</w:t>
      </w:r>
      <w:r w:rsidR="00076BEC" w:rsidRPr="00CF74C7">
        <w:rPr>
          <w:rFonts w:ascii="Times New Roman" w:hAnsi="Times New Roman" w:cs="Times New Roman"/>
          <w:sz w:val="24"/>
          <w:szCs w:val="24"/>
        </w:rPr>
        <w:fldChar w:fldCharType="end"/>
      </w:r>
      <w:r w:rsidRPr="00CF74C7">
        <w:rPr>
          <w:rFonts w:ascii="Times New Roman" w:hAnsi="Times New Roman" w:cs="Times New Roman"/>
          <w:sz w:val="24"/>
          <w:szCs w:val="24"/>
        </w:rPr>
        <w:t xml:space="preserve">. El proceso de panela en pequeñas industrias paneleras se realiza entre </w:t>
      </w:r>
      <w:r w:rsidR="00494AE4">
        <w:rPr>
          <w:rFonts w:ascii="Times New Roman" w:hAnsi="Times New Roman" w:cs="Times New Roman"/>
          <w:sz w:val="24"/>
          <w:szCs w:val="24"/>
        </w:rPr>
        <w:t>4</w:t>
      </w:r>
      <w:r w:rsidRPr="00CF74C7">
        <w:rPr>
          <w:rFonts w:ascii="Times New Roman" w:hAnsi="Times New Roman" w:cs="Times New Roman"/>
          <w:sz w:val="24"/>
          <w:szCs w:val="24"/>
        </w:rPr>
        <w:t xml:space="preserve"> y </w:t>
      </w:r>
      <w:r w:rsidR="00494AE4">
        <w:rPr>
          <w:rFonts w:ascii="Times New Roman" w:hAnsi="Times New Roman" w:cs="Times New Roman"/>
          <w:sz w:val="24"/>
          <w:szCs w:val="24"/>
        </w:rPr>
        <w:t>5</w:t>
      </w:r>
      <w:r w:rsidRPr="00CF74C7">
        <w:rPr>
          <w:rFonts w:ascii="Times New Roman" w:hAnsi="Times New Roman" w:cs="Times New Roman"/>
          <w:sz w:val="24"/>
          <w:szCs w:val="24"/>
        </w:rPr>
        <w:t xml:space="preserve"> pailas, hornillas en diferentes grados de eficiencia, trapiches accionados o movidos con animales, en otros casos con motores a </w:t>
      </w:r>
      <w:r w:rsidR="008610E6" w:rsidRPr="00CF74C7">
        <w:rPr>
          <w:rFonts w:ascii="Times New Roman" w:hAnsi="Times New Roman" w:cs="Times New Roman"/>
          <w:sz w:val="24"/>
          <w:szCs w:val="24"/>
        </w:rPr>
        <w:t>diésel</w:t>
      </w:r>
      <w:r w:rsidRPr="00CF74C7">
        <w:rPr>
          <w:rFonts w:ascii="Times New Roman" w:hAnsi="Times New Roman" w:cs="Times New Roman"/>
          <w:sz w:val="24"/>
          <w:szCs w:val="24"/>
        </w:rPr>
        <w:t xml:space="preserve"> o la leña como uso de combustible y manteniendo técnicas ancestrales. En el caso de las principales paneleras la producción de la panela ha sufrido transformaciones en el proceso de extracción del jugo. Han pasado de utilizar motores de combustión interna a </w:t>
      </w:r>
      <w:r w:rsidRPr="00CF74C7">
        <w:rPr>
          <w:rFonts w:ascii="Times New Roman" w:hAnsi="Times New Roman" w:cs="Times New Roman"/>
          <w:sz w:val="24"/>
          <w:szCs w:val="24"/>
        </w:rPr>
        <w:lastRenderedPageBreak/>
        <w:t>motores eléctricos y poder procesar las grandes extensiones de caña y disminuir el consumo de madera</w:t>
      </w:r>
      <w:r w:rsidR="008610E6" w:rsidRPr="00CF74C7">
        <w:rPr>
          <w:rFonts w:ascii="Times New Roman" w:hAnsi="Times New Roman" w:cs="Times New Roman"/>
          <w:sz w:val="24"/>
          <w:szCs w:val="24"/>
        </w:rPr>
        <w:t xml:space="preserve"> </w:t>
      </w:r>
      <w:r w:rsidR="008610E6" w:rsidRPr="00CF74C7">
        <w:rPr>
          <w:rFonts w:ascii="Times New Roman" w:hAnsi="Times New Roman" w:cs="Times New Roman"/>
          <w:sz w:val="24"/>
          <w:szCs w:val="24"/>
        </w:rPr>
        <w:fldChar w:fldCharType="begin" w:fldLock="1"/>
      </w:r>
      <w:r w:rsidR="00641ACF" w:rsidRPr="00CF74C7">
        <w:rPr>
          <w:rFonts w:ascii="Times New Roman" w:hAnsi="Times New Roman" w:cs="Times New Roman"/>
          <w:sz w:val="24"/>
          <w:szCs w:val="24"/>
        </w:rPr>
        <w:instrText>ADDIN CSL_CITATION {"citationItems":[{"id":"ITEM-1","itemData":{"author":[{"dropping-particle":"","family":"Palacios","given":"W","non-dropping-particle":"","parse-names":false,"suffix":""}],"id":"ITEM-1","issued":{"date-parts":[["2012"]]},"publisher":"Universidad Tecnológica Equinoccial","title":"Los desechos en el proceso productivo artesanal de la panela y sus efectos ambientales en la parroquia Tarqui de la provincia de Pastaza","type":"thesis"},"uris":["http://www.mendeley.com/documents/?uuid=3765e0d4-147a-4859-b1d6-68838900d923"]}],"mendeley":{"formattedCitation":"Palacios, (2012)","plainTextFormattedCitation":"Palacios, (2012)","previouslyFormattedCitation":"Palacios, (2012)"},"properties":{"noteIndex":0},"schema":"https://github.com/citation-style-language/schema/raw/master/csl-citation.json"}</w:instrText>
      </w:r>
      <w:r w:rsidR="008610E6" w:rsidRPr="00CF74C7">
        <w:rPr>
          <w:rFonts w:ascii="Times New Roman" w:hAnsi="Times New Roman" w:cs="Times New Roman"/>
          <w:sz w:val="24"/>
          <w:szCs w:val="24"/>
        </w:rPr>
        <w:fldChar w:fldCharType="separate"/>
      </w:r>
      <w:r w:rsidR="008610E6" w:rsidRPr="00CF74C7">
        <w:rPr>
          <w:rFonts w:ascii="Times New Roman" w:hAnsi="Times New Roman" w:cs="Times New Roman"/>
          <w:noProof/>
          <w:sz w:val="24"/>
          <w:szCs w:val="24"/>
        </w:rPr>
        <w:t>Palacios, (2012)</w:t>
      </w:r>
      <w:r w:rsidR="008610E6" w:rsidRPr="00CF74C7">
        <w:rPr>
          <w:rFonts w:ascii="Times New Roman" w:hAnsi="Times New Roman" w:cs="Times New Roman"/>
          <w:sz w:val="24"/>
          <w:szCs w:val="24"/>
        </w:rPr>
        <w:fldChar w:fldCharType="end"/>
      </w:r>
      <w:r w:rsidRPr="00CF74C7">
        <w:rPr>
          <w:rFonts w:ascii="Times New Roman" w:hAnsi="Times New Roman" w:cs="Times New Roman"/>
          <w:sz w:val="24"/>
          <w:szCs w:val="24"/>
        </w:rPr>
        <w:t>.</w:t>
      </w:r>
    </w:p>
    <w:p w14:paraId="77A2F368" w14:textId="77777777" w:rsidR="00DE6BC9" w:rsidRPr="00CF74C7" w:rsidRDefault="00DE6BC9" w:rsidP="00DE6BC9">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Es notoria en la actualidad la falta de calidad en la producción de panela en la parroquia Tarqui ya que ha sufrido transformaciones en pos de mejorar el equipamiento tecnológico que  disponen y lograr una estabilidad en la calidad y la producción final.</w:t>
      </w:r>
    </w:p>
    <w:p w14:paraId="4160CBC0" w14:textId="086274C5" w:rsidR="00E5031C" w:rsidRPr="00CF74C7" w:rsidRDefault="00DE6BC9" w:rsidP="00DE6BC9">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Para obtener un buen producto, debe seguirse la norma establecida INEN 2331</w:t>
      </w:r>
      <w:r w:rsidR="00641ACF" w:rsidRPr="00CF74C7">
        <w:rPr>
          <w:rFonts w:ascii="Times New Roman" w:hAnsi="Times New Roman" w:cs="Times New Roman"/>
          <w:sz w:val="24"/>
          <w:szCs w:val="24"/>
        </w:rPr>
        <w:t xml:space="preserve"> </w:t>
      </w:r>
      <w:r w:rsidR="00641ACF" w:rsidRPr="00CF74C7">
        <w:rPr>
          <w:rFonts w:ascii="Times New Roman" w:hAnsi="Times New Roman" w:cs="Times New Roman"/>
          <w:sz w:val="24"/>
          <w:szCs w:val="24"/>
        </w:rPr>
        <w:fldChar w:fldCharType="begin" w:fldLock="1"/>
      </w:r>
      <w:r w:rsidR="00C76876">
        <w:rPr>
          <w:rFonts w:ascii="Times New Roman" w:hAnsi="Times New Roman" w:cs="Times New Roman"/>
          <w:sz w:val="24"/>
          <w:szCs w:val="24"/>
        </w:rPr>
        <w:instrText>ADDIN CSL_CITATION {"citationItems":[{"id":"ITEM-1","itemData":{"author":[{"dropping-particle":"","family":"Instituto Ecuatoriano de Normalización","given":"","non-dropping-particle":"","parse-names":false,"suffix":""}],"id":"ITEM-1","issued":{"date-parts":[["2002"]]},"number":"NTE INEN 2 331","page":"8","publisher-place":"Ecuador","title":"PANELA SÓLIDA. REQUISITOS INEN","type":"legislation"},"uris":["http://www.mendeley.com/documents/?uuid=f25adbd4-b45e-36fc-a4ac-c92355efc6a6"]}],"mendeley":{"formattedCitation":"Instituto Ecuatoriano de Normalización, (2002)b","plainTextFormattedCitation":"Instituto Ecuatoriano de Normalización, (2002)b","previouslyFormattedCitation":"Instituto Ecuatoriano de Normalización, (2002)b"},"properties":{"noteIndex":0},"schema":"https://github.com/citation-style-language/schema/raw/master/csl-citation.json"}</w:instrText>
      </w:r>
      <w:r w:rsidR="00641ACF" w:rsidRPr="00CF74C7">
        <w:rPr>
          <w:rFonts w:ascii="Times New Roman" w:hAnsi="Times New Roman" w:cs="Times New Roman"/>
          <w:sz w:val="24"/>
          <w:szCs w:val="24"/>
        </w:rPr>
        <w:fldChar w:fldCharType="separate"/>
      </w:r>
      <w:r w:rsidR="00C76876" w:rsidRPr="00C76876">
        <w:rPr>
          <w:rFonts w:ascii="Times New Roman" w:hAnsi="Times New Roman" w:cs="Times New Roman"/>
          <w:noProof/>
          <w:sz w:val="24"/>
          <w:szCs w:val="24"/>
        </w:rPr>
        <w:t>Instituto Ecuatoriano de Normalización, (2002)b</w:t>
      </w:r>
      <w:r w:rsidR="00641ACF" w:rsidRPr="00CF74C7">
        <w:rPr>
          <w:rFonts w:ascii="Times New Roman" w:hAnsi="Times New Roman" w:cs="Times New Roman"/>
          <w:sz w:val="24"/>
          <w:szCs w:val="24"/>
        </w:rPr>
        <w:fldChar w:fldCharType="end"/>
      </w:r>
      <w:r w:rsidRPr="00CF74C7">
        <w:rPr>
          <w:rFonts w:ascii="Times New Roman" w:hAnsi="Times New Roman" w:cs="Times New Roman"/>
          <w:sz w:val="24"/>
          <w:szCs w:val="24"/>
        </w:rPr>
        <w:t>, las paneleras no cumplen estas condicione</w:t>
      </w:r>
      <w:r w:rsidR="003A3A2E" w:rsidRPr="00CF74C7">
        <w:rPr>
          <w:rFonts w:ascii="Times New Roman" w:hAnsi="Times New Roman" w:cs="Times New Roman"/>
          <w:sz w:val="24"/>
          <w:szCs w:val="24"/>
        </w:rPr>
        <w:t>, e</w:t>
      </w:r>
      <w:r w:rsidRPr="00CF74C7">
        <w:rPr>
          <w:rFonts w:ascii="Times New Roman" w:hAnsi="Times New Roman" w:cs="Times New Roman"/>
          <w:sz w:val="24"/>
          <w:szCs w:val="24"/>
        </w:rPr>
        <w:t>ntonces al no cumplir estas normas las paneleras se ven obligadas  a cerrar, lo cual provocaría un gran desnivel económico dejando en crisis a los productores  y paralizando la producción.</w:t>
      </w:r>
    </w:p>
    <w:p w14:paraId="39755F0A" w14:textId="4569E137" w:rsidR="00D77299" w:rsidRPr="00CF74C7" w:rsidRDefault="001A131D" w:rsidP="003D381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Según </w:t>
      </w:r>
      <w:r w:rsidRPr="00CF74C7">
        <w:rPr>
          <w:rFonts w:ascii="Times New Roman" w:hAnsi="Times New Roman" w:cs="Times New Roman"/>
          <w:sz w:val="24"/>
          <w:szCs w:val="24"/>
        </w:rPr>
        <w:fldChar w:fldCharType="begin" w:fldLock="1"/>
      </w:r>
      <w:r w:rsidR="00800EDF" w:rsidRPr="00CF74C7">
        <w:rPr>
          <w:rFonts w:ascii="Times New Roman" w:hAnsi="Times New Roman" w:cs="Times New Roman"/>
          <w:sz w:val="24"/>
          <w:szCs w:val="24"/>
        </w:rPr>
        <w:instrText>ADDIN CSL_CITATION {"citationItems":[{"id":"ITEM-1","itemData":{"author":[{"dropping-particle":"","family":"ESPAC","given":"","non-dropping-particle":"","parse-names":false,"suffix":""}],"id":"ITEM-1","issued":{"date-parts":[["2017"]]},"publisher-place":"Ecuador","title":"Encuesta de Superficie y Producción Agropecuaria Continua","type":"report"},"uris":["http://www.mendeley.com/documents/?uuid=42e3b381-2eac-33ce-bf17-d0253bbaf8ac"]}],"mendeley":{"formattedCitation":"ESPAC, (2017)","plainTextFormattedCitation":"ESPAC, (2017)","previouslyFormattedCitation":"ESPAC, (2017)"},"properties":{"noteIndex":0},"schema":"https://github.com/citation-style-language/schema/raw/master/csl-citation.json"}</w:instrText>
      </w:r>
      <w:r w:rsidRPr="00CF74C7">
        <w:rPr>
          <w:rFonts w:ascii="Times New Roman" w:hAnsi="Times New Roman" w:cs="Times New Roman"/>
          <w:sz w:val="24"/>
          <w:szCs w:val="24"/>
        </w:rPr>
        <w:fldChar w:fldCharType="separate"/>
      </w:r>
      <w:r w:rsidRPr="00CF74C7">
        <w:rPr>
          <w:rFonts w:ascii="Times New Roman" w:hAnsi="Times New Roman" w:cs="Times New Roman"/>
          <w:noProof/>
          <w:sz w:val="24"/>
          <w:szCs w:val="24"/>
        </w:rPr>
        <w:t>ESPAC, (2017)</w:t>
      </w:r>
      <w:r w:rsidRPr="00CF74C7">
        <w:rPr>
          <w:rFonts w:ascii="Times New Roman" w:hAnsi="Times New Roman" w:cs="Times New Roman"/>
          <w:sz w:val="24"/>
          <w:szCs w:val="24"/>
        </w:rPr>
        <w:fldChar w:fldCharType="end"/>
      </w:r>
      <w:r w:rsidRPr="00CF74C7">
        <w:rPr>
          <w:rFonts w:ascii="Times New Roman" w:hAnsi="Times New Roman" w:cs="Times New Roman"/>
          <w:sz w:val="24"/>
          <w:szCs w:val="24"/>
        </w:rPr>
        <w:t>, l</w:t>
      </w:r>
      <w:r w:rsidR="003D381E" w:rsidRPr="00CF74C7">
        <w:rPr>
          <w:rFonts w:ascii="Times New Roman" w:hAnsi="Times New Roman" w:cs="Times New Roman"/>
          <w:sz w:val="24"/>
          <w:szCs w:val="24"/>
        </w:rPr>
        <w:t xml:space="preserve">a provincia de Pastaza abarca una </w:t>
      </w:r>
      <w:r w:rsidR="002F4981" w:rsidRPr="00CF74C7">
        <w:rPr>
          <w:rFonts w:ascii="Times New Roman" w:hAnsi="Times New Roman" w:cs="Times New Roman"/>
          <w:sz w:val="24"/>
          <w:szCs w:val="24"/>
        </w:rPr>
        <w:t>superficie plantada</w:t>
      </w:r>
      <w:r w:rsidR="003D381E" w:rsidRPr="00CF74C7">
        <w:rPr>
          <w:rFonts w:ascii="Times New Roman" w:hAnsi="Times New Roman" w:cs="Times New Roman"/>
          <w:sz w:val="24"/>
          <w:szCs w:val="24"/>
        </w:rPr>
        <w:t xml:space="preserve"> de caña de </w:t>
      </w:r>
      <w:r w:rsidR="002F4981" w:rsidRPr="00CF74C7">
        <w:rPr>
          <w:rFonts w:ascii="Times New Roman" w:hAnsi="Times New Roman" w:cs="Times New Roman"/>
          <w:sz w:val="24"/>
          <w:szCs w:val="24"/>
        </w:rPr>
        <w:t>2</w:t>
      </w:r>
      <w:r w:rsidR="00494AE4">
        <w:rPr>
          <w:rFonts w:ascii="Times New Roman" w:hAnsi="Times New Roman" w:cs="Times New Roman"/>
          <w:sz w:val="24"/>
          <w:szCs w:val="24"/>
        </w:rPr>
        <w:t xml:space="preserve"> </w:t>
      </w:r>
      <w:r w:rsidR="002F4981" w:rsidRPr="00CF74C7">
        <w:rPr>
          <w:rFonts w:ascii="Times New Roman" w:hAnsi="Times New Roman" w:cs="Times New Roman"/>
          <w:sz w:val="24"/>
          <w:szCs w:val="24"/>
        </w:rPr>
        <w:t xml:space="preserve">401 </w:t>
      </w:r>
      <w:r w:rsidR="00494AE4">
        <w:rPr>
          <w:rFonts w:ascii="Times New Roman" w:hAnsi="Times New Roman" w:cs="Times New Roman"/>
          <w:sz w:val="24"/>
          <w:szCs w:val="24"/>
        </w:rPr>
        <w:t>h</w:t>
      </w:r>
      <w:r w:rsidRPr="00CF74C7">
        <w:rPr>
          <w:rFonts w:ascii="Times New Roman" w:hAnsi="Times New Roman" w:cs="Times New Roman"/>
          <w:sz w:val="24"/>
          <w:szCs w:val="24"/>
        </w:rPr>
        <w:t>a, d</w:t>
      </w:r>
      <w:r w:rsidR="002F4981" w:rsidRPr="00CF74C7">
        <w:rPr>
          <w:rFonts w:ascii="Times New Roman" w:hAnsi="Times New Roman" w:cs="Times New Roman"/>
          <w:sz w:val="24"/>
          <w:szCs w:val="24"/>
        </w:rPr>
        <w:t xml:space="preserve">e las </w:t>
      </w:r>
      <w:r w:rsidR="0062151A" w:rsidRPr="00CF74C7">
        <w:rPr>
          <w:rFonts w:ascii="Times New Roman" w:hAnsi="Times New Roman" w:cs="Times New Roman"/>
          <w:sz w:val="24"/>
          <w:szCs w:val="24"/>
        </w:rPr>
        <w:t>cuales 2</w:t>
      </w:r>
      <w:r w:rsidR="00494AE4">
        <w:rPr>
          <w:rFonts w:ascii="Times New Roman" w:hAnsi="Times New Roman" w:cs="Times New Roman"/>
          <w:sz w:val="24"/>
          <w:szCs w:val="24"/>
        </w:rPr>
        <w:t xml:space="preserve"> </w:t>
      </w:r>
      <w:r w:rsidR="0062151A" w:rsidRPr="00CF74C7">
        <w:rPr>
          <w:rFonts w:ascii="Times New Roman" w:hAnsi="Times New Roman" w:cs="Times New Roman"/>
          <w:sz w:val="24"/>
          <w:szCs w:val="24"/>
        </w:rPr>
        <w:t>393</w:t>
      </w:r>
      <w:r w:rsidR="002F4981" w:rsidRPr="00CF74C7">
        <w:rPr>
          <w:rFonts w:ascii="Times New Roman" w:hAnsi="Times New Roman" w:cs="Times New Roman"/>
          <w:sz w:val="24"/>
          <w:szCs w:val="24"/>
        </w:rPr>
        <w:t xml:space="preserve"> </w:t>
      </w:r>
      <w:r w:rsidR="00494AE4">
        <w:rPr>
          <w:rFonts w:ascii="Times New Roman" w:hAnsi="Times New Roman" w:cs="Times New Roman"/>
          <w:sz w:val="24"/>
          <w:szCs w:val="24"/>
        </w:rPr>
        <w:t>h</w:t>
      </w:r>
      <w:r w:rsidR="002F4981" w:rsidRPr="00CF74C7">
        <w:rPr>
          <w:rFonts w:ascii="Times New Roman" w:hAnsi="Times New Roman" w:cs="Times New Roman"/>
          <w:sz w:val="24"/>
          <w:szCs w:val="24"/>
        </w:rPr>
        <w:t>a son cosechadas, para una producción anual de 38</w:t>
      </w:r>
      <w:r w:rsidR="00494AE4">
        <w:rPr>
          <w:rFonts w:ascii="Times New Roman" w:hAnsi="Times New Roman" w:cs="Times New Roman"/>
          <w:sz w:val="24"/>
          <w:szCs w:val="24"/>
        </w:rPr>
        <w:t xml:space="preserve"> </w:t>
      </w:r>
      <w:r w:rsidR="002F4981" w:rsidRPr="00CF74C7">
        <w:rPr>
          <w:rFonts w:ascii="Times New Roman" w:hAnsi="Times New Roman" w:cs="Times New Roman"/>
          <w:sz w:val="24"/>
          <w:szCs w:val="24"/>
        </w:rPr>
        <w:t>919 Tm</w:t>
      </w:r>
      <w:r w:rsidR="00602A21" w:rsidRPr="00CF74C7">
        <w:rPr>
          <w:rFonts w:ascii="Times New Roman" w:hAnsi="Times New Roman" w:cs="Times New Roman"/>
          <w:sz w:val="24"/>
          <w:szCs w:val="24"/>
        </w:rPr>
        <w:t>. La producción anual de caña de azúcar para otros usos en Pastaza representa el 12,36% respecto a la producción nacional</w:t>
      </w:r>
      <w:r w:rsidR="00D77299" w:rsidRPr="00CF74C7">
        <w:rPr>
          <w:rFonts w:ascii="Times New Roman" w:hAnsi="Times New Roman" w:cs="Times New Roman"/>
          <w:sz w:val="24"/>
          <w:szCs w:val="24"/>
        </w:rPr>
        <w:t>.</w:t>
      </w:r>
    </w:p>
    <w:p w14:paraId="66CBD7C0" w14:textId="1E3EE54C" w:rsidR="003D381E" w:rsidRPr="00CF74C7" w:rsidRDefault="003D381E" w:rsidP="003D381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En la Parroquia Tarqui la pro</w:t>
      </w:r>
      <w:r w:rsidR="009A618D" w:rsidRPr="00CF74C7">
        <w:rPr>
          <w:rFonts w:ascii="Times New Roman" w:hAnsi="Times New Roman" w:cs="Times New Roman"/>
          <w:sz w:val="24"/>
          <w:szCs w:val="24"/>
        </w:rPr>
        <w:t xml:space="preserve">ducción de caña es de 198,75 </w:t>
      </w:r>
      <w:r w:rsidR="00494AE4">
        <w:rPr>
          <w:rFonts w:ascii="Times New Roman" w:hAnsi="Times New Roman" w:cs="Times New Roman"/>
          <w:sz w:val="24"/>
          <w:szCs w:val="24"/>
        </w:rPr>
        <w:t>h</w:t>
      </w:r>
      <w:r w:rsidR="009A618D" w:rsidRPr="00CF74C7">
        <w:rPr>
          <w:rFonts w:ascii="Times New Roman" w:hAnsi="Times New Roman" w:cs="Times New Roman"/>
          <w:sz w:val="24"/>
          <w:szCs w:val="24"/>
        </w:rPr>
        <w:t>a</w:t>
      </w:r>
      <w:r w:rsidRPr="00CF74C7">
        <w:rPr>
          <w:rFonts w:ascii="Times New Roman" w:hAnsi="Times New Roman" w:cs="Times New Roman"/>
          <w:sz w:val="24"/>
          <w:szCs w:val="24"/>
        </w:rPr>
        <w:t>. Esta parroquia es considerada como la mayor productora de caña</w:t>
      </w:r>
      <w:r w:rsidR="00602A21" w:rsidRPr="00CF74C7">
        <w:rPr>
          <w:rFonts w:ascii="Times New Roman" w:hAnsi="Times New Roman" w:cs="Times New Roman"/>
          <w:sz w:val="24"/>
          <w:szCs w:val="24"/>
        </w:rPr>
        <w:t xml:space="preserve"> en Pastaza</w:t>
      </w:r>
      <w:r w:rsidRPr="00CF74C7">
        <w:rPr>
          <w:rFonts w:ascii="Times New Roman" w:hAnsi="Times New Roman" w:cs="Times New Roman"/>
          <w:sz w:val="24"/>
          <w:szCs w:val="24"/>
        </w:rPr>
        <w:t>. La caña producida es vendida como fruta por los productores al por mayor a 0</w:t>
      </w:r>
      <w:r w:rsidR="00494AE4">
        <w:rPr>
          <w:rFonts w:ascii="Times New Roman" w:hAnsi="Times New Roman" w:cs="Times New Roman"/>
          <w:sz w:val="24"/>
          <w:szCs w:val="24"/>
        </w:rPr>
        <w:t>,</w:t>
      </w:r>
      <w:r w:rsidRPr="00CF74C7">
        <w:rPr>
          <w:rFonts w:ascii="Times New Roman" w:hAnsi="Times New Roman" w:cs="Times New Roman"/>
          <w:sz w:val="24"/>
          <w:szCs w:val="24"/>
        </w:rPr>
        <w:t xml:space="preserve">40 USD, por cada unidad en finca. La vía de comercialización principalmente es a través de la Asociación de vendedores de Caña y sus derivados en las provincias de Tungurahua, Cotopaxi, Sucumbíos y Pichincha. Los principales consumidores de este producto son turistas nacionales e internacionales.   </w:t>
      </w:r>
    </w:p>
    <w:p w14:paraId="3520C7C7" w14:textId="77777777" w:rsidR="003D381E" w:rsidRPr="00CF74C7" w:rsidRDefault="003D381E" w:rsidP="003D381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El resto de la producción de caña se utiliza para la producción de panela, que fundamentalmente está destinada al programa Aliméntate Ecuador. Al disponer de un solo mercado para la venta de sus producciones, los productores no se enfocan en mejorar la calidad y no buscan otros mercados. Disminuyendo así, su capacidad productiva y por ende la generación de ingresos.</w:t>
      </w:r>
    </w:p>
    <w:p w14:paraId="459CEDC4" w14:textId="32DF34A2" w:rsidR="003D381E" w:rsidRPr="00CF74C7" w:rsidRDefault="003D381E" w:rsidP="003D381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Los principales problemas que afectan a la producción de panela es: la no diversificación, la no obtención de productos con valor agregado y el acceso restringido al mercado por no poseer un producto competitivo. Esto se debe fundamentalmente a que el proceso es </w:t>
      </w:r>
      <w:r w:rsidRPr="00CF74C7">
        <w:rPr>
          <w:rFonts w:ascii="Times New Roman" w:hAnsi="Times New Roman" w:cs="Times New Roman"/>
          <w:sz w:val="24"/>
          <w:szCs w:val="24"/>
        </w:rPr>
        <w:lastRenderedPageBreak/>
        <w:t>desarrollado de forma empírica y por transferencia de los conocimientos de generación en generación</w:t>
      </w:r>
      <w:r w:rsidR="00800EDF" w:rsidRPr="00CF74C7">
        <w:rPr>
          <w:rFonts w:ascii="Times New Roman" w:hAnsi="Times New Roman" w:cs="Times New Roman"/>
          <w:sz w:val="24"/>
          <w:szCs w:val="24"/>
        </w:rPr>
        <w:t xml:space="preserve"> </w:t>
      </w:r>
      <w:r w:rsidR="00800EDF" w:rsidRPr="00CF74C7">
        <w:rPr>
          <w:rFonts w:ascii="Times New Roman" w:hAnsi="Times New Roman" w:cs="Times New Roman"/>
          <w:sz w:val="24"/>
          <w:szCs w:val="24"/>
        </w:rPr>
        <w:fldChar w:fldCharType="begin" w:fldLock="1"/>
      </w:r>
      <w:r w:rsidR="00153C70">
        <w:rPr>
          <w:rFonts w:ascii="Times New Roman" w:hAnsi="Times New Roman" w:cs="Times New Roman"/>
          <w:sz w:val="24"/>
          <w:szCs w:val="24"/>
        </w:rPr>
        <w:instrText>ADDIN CSL_CITATION {"citationItems":[{"id":"ITEM-1","itemData":{"author":[{"dropping-particle":"","family":"Escobar","given":"Julia M","non-dropping-particle":"","parse-names":false,"suffix":""},{"dropping-particle":"","family":"Cerda","given":"Víctor R","non-dropping-particle":"","parse-names":false,"suffix":""},{"dropping-particle":"","family":"Tapuy","given":"Andrea S","non-dropping-particle":"","parse-names":false,"suffix":""}],"container-title":"MOL2NET, International Conference Series on Multidisciplinary Sciences","id":"ITEM-1","issued":{"date-parts":[["2018"]]},"page":"2-7","title":"Evaluation of the operation parameters and the process quality of the obtaining of granulated panela in the parish of Tarqui, in the panela industry “El Valle”","type":"paper-conference"},"uris":["http://www.mendeley.com/documents/?uuid=b28ccc3b-7e91-4be8-a67e-a829555d4493"]}],"mendeley":{"formattedCitation":"Escobar et al., (2018)","plainTextFormattedCitation":"Escobar et al., (2018)","previouslyFormattedCitation":"Escobar et al., (2018)"},"properties":{"noteIndex":0},"schema":"https://github.com/citation-style-language/schema/raw/master/csl-citation.json"}</w:instrText>
      </w:r>
      <w:r w:rsidR="00800EDF" w:rsidRPr="00CF74C7">
        <w:rPr>
          <w:rFonts w:ascii="Times New Roman" w:hAnsi="Times New Roman" w:cs="Times New Roman"/>
          <w:sz w:val="24"/>
          <w:szCs w:val="24"/>
        </w:rPr>
        <w:fldChar w:fldCharType="separate"/>
      </w:r>
      <w:r w:rsidR="001D3C4B" w:rsidRPr="001D3C4B">
        <w:rPr>
          <w:rFonts w:ascii="Times New Roman" w:hAnsi="Times New Roman" w:cs="Times New Roman"/>
          <w:noProof/>
          <w:sz w:val="24"/>
          <w:szCs w:val="24"/>
        </w:rPr>
        <w:t>Escobar et al., (2018)</w:t>
      </w:r>
      <w:r w:rsidR="00800EDF" w:rsidRPr="00CF74C7">
        <w:rPr>
          <w:rFonts w:ascii="Times New Roman" w:hAnsi="Times New Roman" w:cs="Times New Roman"/>
          <w:sz w:val="24"/>
          <w:szCs w:val="24"/>
        </w:rPr>
        <w:fldChar w:fldCharType="end"/>
      </w:r>
      <w:r w:rsidRPr="00CF74C7">
        <w:rPr>
          <w:rFonts w:ascii="Times New Roman" w:hAnsi="Times New Roman" w:cs="Times New Roman"/>
          <w:sz w:val="24"/>
          <w:szCs w:val="24"/>
        </w:rPr>
        <w:t>.</w:t>
      </w:r>
    </w:p>
    <w:p w14:paraId="305A5531" w14:textId="58C95926" w:rsidR="003D381E" w:rsidRPr="00CF74C7" w:rsidRDefault="003D381E" w:rsidP="003D381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Según </w:t>
      </w:r>
      <w:r w:rsidR="00964A7E" w:rsidRPr="00CF74C7">
        <w:rPr>
          <w:rFonts w:ascii="Times New Roman" w:hAnsi="Times New Roman" w:cs="Times New Roman"/>
          <w:sz w:val="24"/>
          <w:szCs w:val="24"/>
        </w:rPr>
        <w:fldChar w:fldCharType="begin" w:fldLock="1"/>
      </w:r>
      <w:r w:rsidR="00AA223A">
        <w:rPr>
          <w:rFonts w:ascii="Times New Roman" w:hAnsi="Times New Roman" w:cs="Times New Roman"/>
          <w:sz w:val="24"/>
          <w:szCs w:val="24"/>
        </w:rPr>
        <w:instrText>ADDIN CSL_CITATION {"citationItems":[{"id":"ITEM-1","itemData":{"abstract":"publicado trabajos en revistas y periódicos locales y nacionales acerca de sus investigaciones realizadas. Ha dado asesoría en empresas productoras de panela y en la empresa TAVA sobre estabilización del gel, filete y elaboración de productos de sábila. Es autor del folleto sobre Miel Salud y Vida. Actualmente trabaja en la revisión para su impresión en documentos sobre: guía técnica de aceites esenciales, ingeniería de procesos y agroindustria azucarera. Queda prohibida su reproducción parcial o total.","author":[{"dropping-particle":"","family":"Quezada","given":"Walter","non-dropping-particle":"","parse-names":false,"suffix":""}],"id":"ITEM-1","issued":{"date-parts":[["2007"]]},"title":"Guía Técnica de Agroindustria Panelera","type":"book"},"uris":["http://www.mendeley.com/documents/?uuid=69860cdd-4266-3831-ac91-6f8fe60aaefc"]}],"mendeley":{"formattedCitation":"Quezada, (2007)","plainTextFormattedCitation":"Quezada, (2007)","previouslyFormattedCitation":"Quezada, (2007)"},"properties":{"noteIndex":0},"schema":"https://github.com/citation-style-language/schema/raw/master/csl-citation.json"}</w:instrText>
      </w:r>
      <w:r w:rsidR="00964A7E" w:rsidRPr="00CF74C7">
        <w:rPr>
          <w:rFonts w:ascii="Times New Roman" w:hAnsi="Times New Roman" w:cs="Times New Roman"/>
          <w:sz w:val="24"/>
          <w:szCs w:val="24"/>
        </w:rPr>
        <w:fldChar w:fldCharType="separate"/>
      </w:r>
      <w:r w:rsidR="008B6897" w:rsidRPr="008B6897">
        <w:rPr>
          <w:rFonts w:ascii="Times New Roman" w:hAnsi="Times New Roman" w:cs="Times New Roman"/>
          <w:noProof/>
          <w:sz w:val="24"/>
          <w:szCs w:val="24"/>
        </w:rPr>
        <w:t>Quezada, (2007)</w:t>
      </w:r>
      <w:r w:rsidR="00964A7E" w:rsidRPr="00CF74C7">
        <w:rPr>
          <w:rFonts w:ascii="Times New Roman" w:hAnsi="Times New Roman" w:cs="Times New Roman"/>
          <w:sz w:val="24"/>
          <w:szCs w:val="24"/>
        </w:rPr>
        <w:fldChar w:fldCharType="end"/>
      </w:r>
      <w:r w:rsidR="00964A7E" w:rsidRPr="00CF74C7">
        <w:rPr>
          <w:rFonts w:ascii="Times New Roman" w:hAnsi="Times New Roman" w:cs="Times New Roman"/>
          <w:sz w:val="24"/>
          <w:szCs w:val="24"/>
        </w:rPr>
        <w:t xml:space="preserve">, </w:t>
      </w:r>
      <w:r w:rsidRPr="00CF74C7">
        <w:rPr>
          <w:rFonts w:ascii="Times New Roman" w:hAnsi="Times New Roman" w:cs="Times New Roman"/>
          <w:sz w:val="24"/>
          <w:szCs w:val="24"/>
        </w:rPr>
        <w:t xml:space="preserve">los principales defectos en la panela, que afectan a la calidad, el costo y la aceptación del producto por el consumidor son: </w:t>
      </w:r>
    </w:p>
    <w:p w14:paraId="1482FC3D"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Impurezas en el producto como tierra, insectos, bagazo.</w:t>
      </w:r>
    </w:p>
    <w:p w14:paraId="001375EC"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Presencia de ojos o franjas blanquecinas, producto de acumulación de sustancias químicas incorporadas como sementinas, caliza, otros.</w:t>
      </w:r>
    </w:p>
    <w:p w14:paraId="059F9656"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Panelas aristas mal formadas o rotas por un inadecuado proceso en el moldeo, desmolde, transporte, falta de empaque.</w:t>
      </w:r>
    </w:p>
    <w:p w14:paraId="56570C2D"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Panelas demasiado oscuras, por mala clarificación, limpieza y alta concentración.</w:t>
      </w:r>
    </w:p>
    <w:p w14:paraId="647B04EA"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Panelas demasiado blandas por haber punteado a bajas temperaturas.</w:t>
      </w:r>
    </w:p>
    <w:p w14:paraId="5E786238"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Panelas huecas o con cavidades de aire en su interior.</w:t>
      </w:r>
    </w:p>
    <w:p w14:paraId="4B5CD6AF"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Panelas derritiéndose por condiciones de almacenamiento inapropiados (temperatura y humedad relativa demasiado elevado).</w:t>
      </w:r>
    </w:p>
    <w:p w14:paraId="43A4D755"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Manchas en la superficie por daño microbiano.</w:t>
      </w:r>
    </w:p>
    <w:p w14:paraId="25E5B6F7"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Panelas blanquecinas por la formación de hongos en la superficie y orificios.</w:t>
      </w:r>
    </w:p>
    <w:p w14:paraId="78A8E876"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Bordes en la superficie de productos.</w:t>
      </w:r>
    </w:p>
    <w:p w14:paraId="02EAE2B1"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Olores y sabores extraños.</w:t>
      </w:r>
    </w:p>
    <w:p w14:paraId="08076277"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Colores no definidos.</w:t>
      </w:r>
    </w:p>
    <w:p w14:paraId="1E59319F"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Residuos de la misma panela (polvillo) en la superficie.</w:t>
      </w:r>
    </w:p>
    <w:p w14:paraId="5ED168AF"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El no uso de empaques trae como consecuencias deterioro del producto.</w:t>
      </w:r>
    </w:p>
    <w:p w14:paraId="22A9DA8E" w14:textId="77777777" w:rsidR="003D381E" w:rsidRPr="00CF74C7" w:rsidRDefault="003D381E" w:rsidP="00755E22">
      <w:pPr>
        <w:pStyle w:val="Sinespaciado"/>
        <w:jc w:val="both"/>
        <w:rPr>
          <w:rFonts w:ascii="Times New Roman" w:hAnsi="Times New Roman" w:cs="Times New Roman"/>
          <w:sz w:val="24"/>
          <w:szCs w:val="24"/>
        </w:rPr>
      </w:pPr>
      <w:r w:rsidRPr="00CF74C7">
        <w:rPr>
          <w:rFonts w:ascii="Times New Roman" w:hAnsi="Times New Roman" w:cs="Times New Roman"/>
          <w:sz w:val="24"/>
          <w:szCs w:val="24"/>
        </w:rPr>
        <w:t>•</w:t>
      </w:r>
      <w:r w:rsidRPr="00CF74C7">
        <w:rPr>
          <w:rFonts w:ascii="Times New Roman" w:hAnsi="Times New Roman" w:cs="Times New Roman"/>
          <w:sz w:val="24"/>
          <w:szCs w:val="24"/>
        </w:rPr>
        <w:tab/>
        <w:t>Las impurezas, residuo de sustancias químicas, inadecuado almacenamiento entre otras, son causas que afectan la calidad de los derivados de la agroindustria panelera.</w:t>
      </w:r>
    </w:p>
    <w:p w14:paraId="693234A1" w14:textId="77777777" w:rsidR="003D381E" w:rsidRPr="00CF74C7" w:rsidRDefault="0093204D" w:rsidP="003D381E">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Según </w:t>
      </w:r>
      <w:r w:rsidRPr="00CF74C7">
        <w:rPr>
          <w:rFonts w:ascii="Times New Roman" w:hAnsi="Times New Roman" w:cs="Times New Roman"/>
          <w:sz w:val="24"/>
          <w:szCs w:val="24"/>
        </w:rPr>
        <w:fldChar w:fldCharType="begin" w:fldLock="1"/>
      </w:r>
      <w:r w:rsidR="005B444E" w:rsidRPr="00CF74C7">
        <w:rPr>
          <w:rFonts w:ascii="Times New Roman" w:hAnsi="Times New Roman" w:cs="Times New Roman"/>
          <w:sz w:val="24"/>
          <w:szCs w:val="24"/>
        </w:rPr>
        <w:instrText>ADDIN CSL_CITATION {"citationItems":[{"id":"ITEM-1","itemData":{"DOI":"10.18004/ucsa/2409-8752/2017.004(02)067-077","author":[{"dropping-particle":"","family":"Mamade-Toure","given":"B","non-dropping-particle":"","parse-names":false,"suffix":""},{"dropping-particle":"","family":"González-Suárez","given":"Erenio","non-dropping-particle":"","parse-names":false,"suffix":""},{"dropping-particle":"","family":"Curbelo-Sánchez","given":"A","non-dropping-particle":"","parse-names":false,"suffix":""},{"dropping-particle":"","family":"Peralta-Suárez","given":"L.M","non-dropping-particle":"","parse-names":false,"suffix":""},{"dropping-particle":"","family":"Miño-Valdés","given":"Juan","non-dropping-particle":"","parse-names":false,"suffix":""}],"container-title":"Revista Científica de la UCSA","id":"ITEM-1","issue":"02","issued":{"date-parts":[["2017"]]},"page":"67-77","title":"Herramientas de investigación para incrementar el impacto de la ciencia en la industria química","type":"article-journal","volume":"4"},"uris":["http://www.mendeley.com/documents/?uuid=de803ea0-c349-4122-844f-251d0619a38b"]}],"mendeley":{"formattedCitation":"Mamade-Toure, González-Suárez, Curbelo-Sánchez, Peralta-Suárez, &amp; Miño-Valdés, (2017)","plainTextFormattedCitation":"Mamade-Toure, González-Suárez, Curbelo-Sánchez, Peralta-Suárez, &amp; Miño-Valdés, (2017)","previouslyFormattedCitation":"Mamade-Toure, González-Suárez, Curbelo-Sánchez, Peralta-Suárez, &amp; Miño-Valdés, (2017)"},"properties":{"noteIndex":0},"schema":"https://github.com/citation-style-language/schema/raw/master/csl-citation.json"}</w:instrText>
      </w:r>
      <w:r w:rsidRPr="00CF74C7">
        <w:rPr>
          <w:rFonts w:ascii="Times New Roman" w:hAnsi="Times New Roman" w:cs="Times New Roman"/>
          <w:sz w:val="24"/>
          <w:szCs w:val="24"/>
        </w:rPr>
        <w:fldChar w:fldCharType="separate"/>
      </w:r>
      <w:r w:rsidRPr="00CF74C7">
        <w:rPr>
          <w:rFonts w:ascii="Times New Roman" w:hAnsi="Times New Roman" w:cs="Times New Roman"/>
          <w:noProof/>
          <w:sz w:val="24"/>
          <w:szCs w:val="24"/>
        </w:rPr>
        <w:t>Mamade-Toure, González-Suárez, Curbelo-Sánchez, Peralta-Suárez, &amp; Miño-Valdés, (2017)</w:t>
      </w:r>
      <w:r w:rsidRPr="00CF74C7">
        <w:rPr>
          <w:rFonts w:ascii="Times New Roman" w:hAnsi="Times New Roman" w:cs="Times New Roman"/>
          <w:sz w:val="24"/>
          <w:szCs w:val="24"/>
        </w:rPr>
        <w:fldChar w:fldCharType="end"/>
      </w:r>
      <w:r w:rsidRPr="00CF74C7">
        <w:rPr>
          <w:rFonts w:ascii="Times New Roman" w:hAnsi="Times New Roman" w:cs="Times New Roman"/>
          <w:sz w:val="24"/>
          <w:szCs w:val="24"/>
        </w:rPr>
        <w:t xml:space="preserve">, en las condiciones actuales e inmediatamente futuras se avizora una demanda creciente de la información científica técnica necesaria para la asimilación y desarrollo de nuevas tecnologías. </w:t>
      </w:r>
      <w:r w:rsidR="00702DC7" w:rsidRPr="00CF74C7">
        <w:rPr>
          <w:rFonts w:ascii="Times New Roman" w:hAnsi="Times New Roman" w:cs="Times New Roman"/>
          <w:sz w:val="24"/>
          <w:szCs w:val="24"/>
        </w:rPr>
        <w:t>Este papel dinamizador del conocimiento especialmente les corresponde</w:t>
      </w:r>
      <w:r w:rsidRPr="00CF74C7">
        <w:rPr>
          <w:rFonts w:ascii="Times New Roman" w:hAnsi="Times New Roman" w:cs="Times New Roman"/>
          <w:sz w:val="24"/>
          <w:szCs w:val="24"/>
        </w:rPr>
        <w:t xml:space="preserve"> a las universidades</w:t>
      </w:r>
      <w:r w:rsidR="00702DC7" w:rsidRPr="00CF74C7">
        <w:rPr>
          <w:rFonts w:ascii="Times New Roman" w:hAnsi="Times New Roman" w:cs="Times New Roman"/>
          <w:sz w:val="24"/>
          <w:szCs w:val="24"/>
        </w:rPr>
        <w:t xml:space="preserve">, y a través de sus departamentos de vinculación </w:t>
      </w:r>
      <w:r w:rsidR="00AE372E" w:rsidRPr="00CF74C7">
        <w:rPr>
          <w:rFonts w:ascii="Times New Roman" w:hAnsi="Times New Roman" w:cs="Times New Roman"/>
          <w:sz w:val="24"/>
          <w:szCs w:val="24"/>
        </w:rPr>
        <w:t>trasladar hacia el sector productivo.</w:t>
      </w:r>
    </w:p>
    <w:p w14:paraId="4619E36C" w14:textId="77777777" w:rsidR="009C388A" w:rsidRPr="00CF74C7" w:rsidRDefault="005B444E" w:rsidP="00C34591">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fldChar w:fldCharType="begin" w:fldLock="1"/>
      </w:r>
      <w:r w:rsidR="00051C8F" w:rsidRPr="00CF74C7">
        <w:rPr>
          <w:rFonts w:ascii="Times New Roman" w:hAnsi="Times New Roman" w:cs="Times New Roman"/>
          <w:sz w:val="24"/>
          <w:szCs w:val="24"/>
        </w:rPr>
        <w:instrText>ADDIN CSL_CITATION {"citationItems":[{"id":"ITEM-1","itemData":{"ISBN":"9789505794973","author":[{"dropping-particle":"","family":"González-Suárez","given":"Erenio","non-dropping-particle":"","parse-names":false,"suffix":""},{"dropping-particle":"","family":"Concepción Toledo","given":"Diana","non-dropping-particle":"","parse-names":false,"suffix":""},{"dropping-particle":"","family":"Miño-Valdés","given":"Juan","non-dropping-particle":"","parse-names":false,"suffix":""}],"id":"ITEM-1","issued":{"date-parts":[["2018"]]},"number-of-pages":"110","publisher":"Editorial Universitaria Universidad de Misiones","publisher-place":"Argentina","title":"Las Universidades como capital intangible para desarrollar la industria de procesos químicos y fermentativos","type":"book"},"uris":["http://www.mendeley.com/documents/?uuid=e4b29ee7-fa0e-4b58-b36e-a89db137f45d"]}],"mendeley":{"formattedCitation":"González-Suárez, Concepción Toledo, &amp; Miño-Valdés, (2018)","plainTextFormattedCitation":"González-Suárez, Concepción Toledo, &amp; Miño-Valdés, (2018)","previouslyFormattedCitation":"González-Suárez, Concepción Toledo, &amp; Miño-Valdés, (2018)"},"properties":{"noteIndex":0},"schema":"https://github.com/citation-style-language/schema/raw/master/csl-citation.json"}</w:instrText>
      </w:r>
      <w:r w:rsidRPr="00CF74C7">
        <w:rPr>
          <w:rFonts w:ascii="Times New Roman" w:hAnsi="Times New Roman" w:cs="Times New Roman"/>
          <w:sz w:val="24"/>
          <w:szCs w:val="24"/>
        </w:rPr>
        <w:fldChar w:fldCharType="separate"/>
      </w:r>
      <w:r w:rsidRPr="00CF74C7">
        <w:rPr>
          <w:rFonts w:ascii="Times New Roman" w:hAnsi="Times New Roman" w:cs="Times New Roman"/>
          <w:noProof/>
          <w:sz w:val="24"/>
          <w:szCs w:val="24"/>
        </w:rPr>
        <w:t>González-Suárez, Concepción Toledo, &amp; Miño-Valdés, (2018)</w:t>
      </w:r>
      <w:r w:rsidRPr="00CF74C7">
        <w:rPr>
          <w:rFonts w:ascii="Times New Roman" w:hAnsi="Times New Roman" w:cs="Times New Roman"/>
          <w:sz w:val="24"/>
          <w:szCs w:val="24"/>
        </w:rPr>
        <w:fldChar w:fldCharType="end"/>
      </w:r>
      <w:r w:rsidR="00C34591" w:rsidRPr="00CF74C7">
        <w:rPr>
          <w:rFonts w:ascii="Times New Roman" w:hAnsi="Times New Roman" w:cs="Times New Roman"/>
          <w:sz w:val="24"/>
          <w:szCs w:val="24"/>
        </w:rPr>
        <w:t xml:space="preserve">, refieren que algunos autores utilizan el concepto de Capital Intelectual como sinónimo de capital intangible, su diferencia radica en que un activo intangible se define </w:t>
      </w:r>
      <w:r w:rsidR="00E53B24" w:rsidRPr="00CF74C7">
        <w:rPr>
          <w:rFonts w:ascii="Times New Roman" w:hAnsi="Times New Roman" w:cs="Times New Roman"/>
          <w:sz w:val="24"/>
          <w:szCs w:val="24"/>
        </w:rPr>
        <w:t xml:space="preserve">por su naturaleza inmaterial </w:t>
      </w:r>
      <w:r w:rsidR="00C34591" w:rsidRPr="00CF74C7">
        <w:rPr>
          <w:rFonts w:ascii="Times New Roman" w:hAnsi="Times New Roman" w:cs="Times New Roman"/>
          <w:sz w:val="24"/>
          <w:szCs w:val="24"/>
        </w:rPr>
        <w:t>no monetaria, mientras que el capital intelectual es el valor económico de la puesta</w:t>
      </w:r>
      <w:r w:rsidR="00E53B24" w:rsidRPr="00CF74C7">
        <w:rPr>
          <w:rFonts w:ascii="Times New Roman" w:hAnsi="Times New Roman" w:cs="Times New Roman"/>
          <w:sz w:val="24"/>
          <w:szCs w:val="24"/>
        </w:rPr>
        <w:t xml:space="preserve"> en práctica de dichos activos.</w:t>
      </w:r>
      <w:r w:rsidR="009C388A" w:rsidRPr="00CF74C7">
        <w:rPr>
          <w:rFonts w:ascii="Times New Roman" w:hAnsi="Times New Roman" w:cs="Times New Roman"/>
          <w:sz w:val="24"/>
          <w:szCs w:val="24"/>
        </w:rPr>
        <w:t xml:space="preserve"> Los activos intangibles son en la actualidad uno de los </w:t>
      </w:r>
      <w:r w:rsidR="009C388A" w:rsidRPr="00CF74C7">
        <w:rPr>
          <w:rFonts w:ascii="Times New Roman" w:hAnsi="Times New Roman" w:cs="Times New Roman"/>
          <w:sz w:val="24"/>
          <w:szCs w:val="24"/>
        </w:rPr>
        <w:lastRenderedPageBreak/>
        <w:t>principales generadores de valor para las empresas y organizaciones, necesarios en la construcción de una ventaja competitiva.</w:t>
      </w:r>
    </w:p>
    <w:p w14:paraId="6A368564" w14:textId="77777777" w:rsidR="00C34591" w:rsidRPr="00CF74C7" w:rsidRDefault="00051C8F" w:rsidP="00C34591">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fldChar w:fldCharType="begin" w:fldLock="1"/>
      </w:r>
      <w:r w:rsidR="00993BFB">
        <w:rPr>
          <w:rFonts w:ascii="Times New Roman" w:hAnsi="Times New Roman" w:cs="Times New Roman"/>
          <w:sz w:val="24"/>
          <w:szCs w:val="24"/>
        </w:rPr>
        <w:instrText>ADDIN CSL_CITATION {"citationItems":[{"id":"ITEM-1","itemData":{"ISBN":"9789505794973","author":[{"dropping-particle":"","family":"González-Suárez","given":"Erenio","non-dropping-particle":"","parse-names":false,"suffix":""},{"dropping-particle":"","family":"Concepción Toledo","given":"Diana","non-dropping-particle":"","parse-names":false,"suffix":""},{"dropping-particle":"","family":"Miño-Valdés","given":"Juan","non-dropping-particle":"","parse-names":false,"suffix":""}],"id":"ITEM-1","issued":{"date-parts":[["2018"]]},"number-of-pages":"110","publisher":"Editorial Universitaria Universidad de Misiones","publisher-place":"Argentina","title":"Las Universidades como capital intangible para desarrollar la industria de procesos químicos y fermentativos","type":"book"},"uris":["http://www.mendeley.com/documents/?uuid=e4b29ee7-fa0e-4b58-b36e-a89db137f45d"]}],"mendeley":{"formattedCitation":"González-Suárez et al., (2018)","plainTextFormattedCitation":"González-Suárez et al., (2018)","previouslyFormattedCitation":"González-Suárez et al., (2018)"},"properties":{"noteIndex":0},"schema":"https://github.com/citation-style-language/schema/raw/master/csl-citation.json"}</w:instrText>
      </w:r>
      <w:r w:rsidRPr="00CF74C7">
        <w:rPr>
          <w:rFonts w:ascii="Times New Roman" w:hAnsi="Times New Roman" w:cs="Times New Roman"/>
          <w:sz w:val="24"/>
          <w:szCs w:val="24"/>
        </w:rPr>
        <w:fldChar w:fldCharType="separate"/>
      </w:r>
      <w:r w:rsidRPr="00CF74C7">
        <w:rPr>
          <w:rFonts w:ascii="Times New Roman" w:hAnsi="Times New Roman" w:cs="Times New Roman"/>
          <w:noProof/>
          <w:sz w:val="24"/>
          <w:szCs w:val="24"/>
        </w:rPr>
        <w:t>González-Suárez et al., (2018)</w:t>
      </w:r>
      <w:r w:rsidRPr="00CF74C7">
        <w:rPr>
          <w:rFonts w:ascii="Times New Roman" w:hAnsi="Times New Roman" w:cs="Times New Roman"/>
          <w:sz w:val="24"/>
          <w:szCs w:val="24"/>
        </w:rPr>
        <w:fldChar w:fldCharType="end"/>
      </w:r>
      <w:r w:rsidRPr="00CF74C7">
        <w:rPr>
          <w:rFonts w:ascii="Times New Roman" w:hAnsi="Times New Roman" w:cs="Times New Roman"/>
          <w:sz w:val="24"/>
          <w:szCs w:val="24"/>
        </w:rPr>
        <w:t>, mencionan que la capacidad de valorar y gestionar el capital intangible en instituciones del ámbito universitario puede significar un aporte para el diseño de estrategias que den respuesta a las necesidades actuales de la industria, siendo a su vez un elemento importante para el desarrollo local.</w:t>
      </w:r>
    </w:p>
    <w:p w14:paraId="48A84164" w14:textId="77777777" w:rsidR="008C7A80" w:rsidRPr="00CF74C7" w:rsidRDefault="008C7A80" w:rsidP="008C7A80">
      <w:pPr>
        <w:spacing w:after="0" w:line="360" w:lineRule="auto"/>
        <w:jc w:val="both"/>
        <w:rPr>
          <w:rFonts w:ascii="Times New Roman" w:hAnsi="Times New Roman" w:cs="Times New Roman"/>
          <w:b/>
          <w:sz w:val="24"/>
          <w:szCs w:val="24"/>
        </w:rPr>
      </w:pPr>
      <w:r w:rsidRPr="00CF74C7">
        <w:rPr>
          <w:rFonts w:ascii="Times New Roman" w:hAnsi="Times New Roman" w:cs="Times New Roman"/>
          <w:b/>
          <w:sz w:val="24"/>
          <w:szCs w:val="24"/>
        </w:rPr>
        <w:t>2. Metodología</w:t>
      </w:r>
    </w:p>
    <w:p w14:paraId="79E18107" w14:textId="77777777" w:rsidR="003D381E" w:rsidRPr="00CF74C7" w:rsidRDefault="003D381E" w:rsidP="003D381E">
      <w:pPr>
        <w:jc w:val="both"/>
        <w:rPr>
          <w:rFonts w:ascii="Times New Roman" w:hAnsi="Times New Roman" w:cs="Times New Roman"/>
          <w:sz w:val="24"/>
          <w:szCs w:val="24"/>
        </w:rPr>
      </w:pPr>
      <w:r w:rsidRPr="00CF74C7">
        <w:rPr>
          <w:rFonts w:ascii="Times New Roman" w:hAnsi="Times New Roman" w:cs="Times New Roman"/>
          <w:sz w:val="24"/>
          <w:szCs w:val="24"/>
        </w:rPr>
        <w:t xml:space="preserve">El presente </w:t>
      </w:r>
      <w:r w:rsidR="001E2CC9" w:rsidRPr="00CF74C7">
        <w:rPr>
          <w:rFonts w:ascii="Times New Roman" w:hAnsi="Times New Roman" w:cs="Times New Roman"/>
          <w:sz w:val="24"/>
          <w:szCs w:val="24"/>
        </w:rPr>
        <w:t>estudio nace</w:t>
      </w:r>
      <w:r w:rsidRPr="00CF74C7">
        <w:rPr>
          <w:rFonts w:ascii="Times New Roman" w:hAnsi="Times New Roman" w:cs="Times New Roman"/>
          <w:sz w:val="24"/>
          <w:szCs w:val="24"/>
        </w:rPr>
        <w:t xml:space="preserve"> de un proyecto de vinculación “Fortalecimiento de conocimientos y habilidades en el control de los parámetros operacionales y de calidad del proceso de obtención de panela, en la </w:t>
      </w:r>
      <w:r w:rsidR="00FE4D72" w:rsidRPr="00CF74C7">
        <w:rPr>
          <w:rFonts w:ascii="Times New Roman" w:hAnsi="Times New Roman" w:cs="Times New Roman"/>
          <w:sz w:val="24"/>
          <w:szCs w:val="24"/>
        </w:rPr>
        <w:t>empresa</w:t>
      </w:r>
      <w:r w:rsidRPr="00CF74C7">
        <w:rPr>
          <w:rFonts w:ascii="Times New Roman" w:hAnsi="Times New Roman" w:cs="Times New Roman"/>
          <w:sz w:val="24"/>
          <w:szCs w:val="24"/>
        </w:rPr>
        <w:t xml:space="preserve"> “El Valle”. </w:t>
      </w:r>
      <w:r w:rsidR="00DE6EA5" w:rsidRPr="00CF74C7">
        <w:rPr>
          <w:rFonts w:ascii="Times New Roman" w:hAnsi="Times New Roman" w:cs="Times New Roman"/>
          <w:sz w:val="24"/>
          <w:szCs w:val="24"/>
        </w:rPr>
        <w:t>Para ello previamente se realiza un diagnóstico a través de encuestas antes de la intervención de la Universidad,</w:t>
      </w:r>
      <w:r w:rsidR="00EB36EB" w:rsidRPr="00CF74C7">
        <w:rPr>
          <w:rFonts w:ascii="Times New Roman" w:hAnsi="Times New Roman" w:cs="Times New Roman"/>
          <w:sz w:val="24"/>
          <w:szCs w:val="24"/>
        </w:rPr>
        <w:t xml:space="preserve"> y posterior se evalúa los efectos de dicha intervención. </w:t>
      </w:r>
      <w:r w:rsidR="00DE6EA5" w:rsidRPr="00CF74C7">
        <w:rPr>
          <w:rFonts w:ascii="Times New Roman" w:hAnsi="Times New Roman" w:cs="Times New Roman"/>
          <w:sz w:val="24"/>
          <w:szCs w:val="24"/>
        </w:rPr>
        <w:t xml:space="preserve"> </w:t>
      </w:r>
      <w:r w:rsidRPr="00CF74C7">
        <w:rPr>
          <w:rFonts w:ascii="Times New Roman" w:hAnsi="Times New Roman" w:cs="Times New Roman"/>
          <w:sz w:val="24"/>
          <w:szCs w:val="24"/>
        </w:rPr>
        <w:t xml:space="preserve">Con el objetivo de evaluar los parámetros operacionales (Rendimiento, pH, Brix, Temperatura) durante el proceso de Recepción, Extracción, Clarificación, </w:t>
      </w:r>
      <w:r w:rsidR="00E677E1" w:rsidRPr="00CF74C7">
        <w:rPr>
          <w:rFonts w:ascii="Times New Roman" w:hAnsi="Times New Roman" w:cs="Times New Roman"/>
          <w:sz w:val="24"/>
          <w:szCs w:val="24"/>
        </w:rPr>
        <w:t>Evaporación</w:t>
      </w:r>
      <w:r w:rsidR="00FE4D72" w:rsidRPr="00CF74C7">
        <w:rPr>
          <w:rFonts w:ascii="Times New Roman" w:hAnsi="Times New Roman" w:cs="Times New Roman"/>
          <w:sz w:val="24"/>
          <w:szCs w:val="24"/>
        </w:rPr>
        <w:t>. Se</w:t>
      </w:r>
      <w:r w:rsidRPr="00CF74C7">
        <w:rPr>
          <w:rFonts w:ascii="Times New Roman" w:hAnsi="Times New Roman" w:cs="Times New Roman"/>
          <w:sz w:val="24"/>
          <w:szCs w:val="24"/>
        </w:rPr>
        <w:t xml:space="preserve"> realizó el seguimiento de los parámetros en la fábrica utilizando fichas de registro hasta recolectar diez datos para cada etapa del proceso y se utilizaron equipos de medición para la temperatura (</w:t>
      </w:r>
      <w:r w:rsidRPr="00494AE4">
        <w:rPr>
          <w:rFonts w:ascii="Times New Roman" w:hAnsi="Times New Roman" w:cs="Times New Roman"/>
          <w:i/>
          <w:sz w:val="24"/>
          <w:szCs w:val="24"/>
        </w:rPr>
        <w:t>Proster Digital Laser Infrared thermometer</w:t>
      </w:r>
      <w:r w:rsidRPr="00CF74C7">
        <w:rPr>
          <w:rFonts w:ascii="Times New Roman" w:hAnsi="Times New Roman" w:cs="Times New Roman"/>
          <w:sz w:val="24"/>
          <w:szCs w:val="24"/>
        </w:rPr>
        <w:t xml:space="preserve"> - 50 - 380ºC), pHmetro (APERA PC60), Brix (</w:t>
      </w:r>
      <w:r w:rsidRPr="00494AE4">
        <w:rPr>
          <w:rFonts w:ascii="Times New Roman" w:hAnsi="Times New Roman" w:cs="Times New Roman"/>
          <w:i/>
          <w:sz w:val="24"/>
          <w:szCs w:val="24"/>
        </w:rPr>
        <w:t>Boeco Germany</w:t>
      </w:r>
      <w:r w:rsidRPr="00CF74C7">
        <w:rPr>
          <w:rFonts w:ascii="Times New Roman" w:hAnsi="Times New Roman" w:cs="Times New Roman"/>
          <w:sz w:val="24"/>
          <w:szCs w:val="24"/>
        </w:rPr>
        <w:t>).</w:t>
      </w:r>
    </w:p>
    <w:p w14:paraId="5B1FD25E" w14:textId="77777777" w:rsidR="003D381E" w:rsidRPr="00CF74C7" w:rsidRDefault="003D381E" w:rsidP="003D381E">
      <w:pPr>
        <w:jc w:val="both"/>
        <w:rPr>
          <w:rFonts w:ascii="Times New Roman" w:hAnsi="Times New Roman" w:cs="Times New Roman"/>
          <w:sz w:val="24"/>
          <w:szCs w:val="24"/>
        </w:rPr>
      </w:pPr>
      <w:r w:rsidRPr="00CF74C7">
        <w:rPr>
          <w:rFonts w:ascii="Times New Roman" w:hAnsi="Times New Roman" w:cs="Times New Roman"/>
          <w:sz w:val="24"/>
          <w:szCs w:val="24"/>
        </w:rPr>
        <w:t xml:space="preserve">La evaluación de la </w:t>
      </w:r>
      <w:r w:rsidR="00E677E1" w:rsidRPr="00CF74C7">
        <w:rPr>
          <w:rFonts w:ascii="Times New Roman" w:hAnsi="Times New Roman" w:cs="Times New Roman"/>
          <w:sz w:val="24"/>
          <w:szCs w:val="24"/>
        </w:rPr>
        <w:t>calidad (</w:t>
      </w:r>
      <w:r w:rsidRPr="00CF74C7">
        <w:rPr>
          <w:rFonts w:ascii="Times New Roman" w:hAnsi="Times New Roman" w:cs="Times New Roman"/>
          <w:sz w:val="24"/>
          <w:szCs w:val="24"/>
        </w:rPr>
        <w:t xml:space="preserve">% humedad, % cenizas y de color) de la panela granulada se efectuó aplicando un muestreo probabilístico, las cuales fueron analizadas en el Laboratorio de Química de la Universidad Estatal Amazónica, basadas en la Norma Técnica Ecuatoriana NTE INEN 2331, 2332 (2002). Los datos obtenidos fueron tabulados </w:t>
      </w:r>
      <w:r w:rsidR="00E677E1" w:rsidRPr="00CF74C7">
        <w:rPr>
          <w:rFonts w:ascii="Times New Roman" w:hAnsi="Times New Roman" w:cs="Times New Roman"/>
          <w:sz w:val="24"/>
          <w:szCs w:val="24"/>
        </w:rPr>
        <w:t>empleado la</w:t>
      </w:r>
      <w:r w:rsidRPr="00CF74C7">
        <w:rPr>
          <w:rFonts w:ascii="Times New Roman" w:hAnsi="Times New Roman" w:cs="Times New Roman"/>
          <w:sz w:val="24"/>
          <w:szCs w:val="24"/>
        </w:rPr>
        <w:t xml:space="preserve"> estadística descriptiva y valores promedio de los parámetros evaluados.</w:t>
      </w:r>
    </w:p>
    <w:p w14:paraId="6ED63E7B"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r w:rsidRPr="00CF74C7">
        <w:rPr>
          <w:rFonts w:ascii="Times New Roman" w:hAnsi="Times New Roman" w:cs="Times New Roman"/>
          <w:b/>
          <w:bCs/>
          <w:sz w:val="24"/>
          <w:szCs w:val="24"/>
        </w:rPr>
        <w:t xml:space="preserve">Rendimiento del trapiche </w:t>
      </w:r>
    </w:p>
    <w:p w14:paraId="2C27E8D3"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p>
    <w:p w14:paraId="121BAF1C"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bCs/>
          <w:sz w:val="24"/>
          <w:szCs w:val="24"/>
        </w:rPr>
      </w:pPr>
      <w:r w:rsidRPr="00CF74C7">
        <w:rPr>
          <w:rFonts w:ascii="Times New Roman" w:hAnsi="Times New Roman" w:cs="Times New Roman"/>
          <w:bCs/>
          <w:sz w:val="24"/>
          <w:szCs w:val="24"/>
        </w:rPr>
        <w:t xml:space="preserve">Se determinó el rendimiento del trapiche en la etapa de extracción tomando, empleando una balanza CAMRY; capacidad máxima de 50 kg/110 lb. Se </w:t>
      </w:r>
      <w:r w:rsidR="0065244A" w:rsidRPr="00CF74C7">
        <w:rPr>
          <w:rFonts w:ascii="Times New Roman" w:hAnsi="Times New Roman" w:cs="Times New Roman"/>
          <w:bCs/>
          <w:sz w:val="24"/>
          <w:szCs w:val="24"/>
        </w:rPr>
        <w:t>pesaron seis</w:t>
      </w:r>
      <w:r w:rsidRPr="00CF74C7">
        <w:rPr>
          <w:rFonts w:ascii="Times New Roman" w:hAnsi="Times New Roman" w:cs="Times New Roman"/>
          <w:bCs/>
          <w:sz w:val="24"/>
          <w:szCs w:val="24"/>
        </w:rPr>
        <w:t xml:space="preserve"> cañas tomadas aleatoriamente del lote de producción y el ensayo se hizo por triplicado aplicando la siguiente formula %Ep = (Pj/Pc) 100 donde Ep = Extracción en peso; Pj = peso del jugo; Pc = peso de la caña.</w:t>
      </w:r>
    </w:p>
    <w:p w14:paraId="4B199173" w14:textId="77777777" w:rsidR="003D381E" w:rsidRPr="00CF74C7" w:rsidRDefault="003D381E" w:rsidP="003D381E">
      <w:pPr>
        <w:autoSpaceDE w:val="0"/>
        <w:autoSpaceDN w:val="0"/>
        <w:adjustRightInd w:val="0"/>
        <w:spacing w:after="0" w:line="240" w:lineRule="auto"/>
        <w:rPr>
          <w:rFonts w:ascii="Times New Roman" w:hAnsi="Times New Roman" w:cs="Times New Roman"/>
          <w:bCs/>
          <w:sz w:val="24"/>
          <w:szCs w:val="24"/>
        </w:rPr>
      </w:pPr>
    </w:p>
    <w:p w14:paraId="2EEDBF2C"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r w:rsidRPr="00CF74C7">
        <w:rPr>
          <w:rFonts w:ascii="Times New Roman" w:hAnsi="Times New Roman" w:cs="Times New Roman"/>
          <w:b/>
          <w:bCs/>
          <w:sz w:val="24"/>
          <w:szCs w:val="24"/>
        </w:rPr>
        <w:t>Determinación de pH</w:t>
      </w:r>
    </w:p>
    <w:p w14:paraId="71CBBF04"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p>
    <w:p w14:paraId="306BF9F6"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r w:rsidRPr="00CF74C7">
        <w:rPr>
          <w:rFonts w:ascii="Times New Roman" w:hAnsi="Times New Roman" w:cs="Times New Roman"/>
          <w:sz w:val="24"/>
          <w:szCs w:val="24"/>
        </w:rPr>
        <w:lastRenderedPageBreak/>
        <w:t>La medición de pH en la etapa de recepción fue directa, el jugo de caña fue tomado de la parte basal y para la medición de pH de las muestras tomadas de las pailas de evaporación se diluyeron previamente en agua destilada en una relación de 1:1 a temperatura ambiente, usando un pH</w:t>
      </w:r>
      <w:r w:rsidR="0065244A" w:rsidRPr="00CF74C7">
        <w:rPr>
          <w:rFonts w:ascii="Times New Roman" w:hAnsi="Times New Roman" w:cs="Times New Roman"/>
          <w:sz w:val="24"/>
          <w:szCs w:val="24"/>
        </w:rPr>
        <w:t xml:space="preserve"> </w:t>
      </w:r>
      <w:r w:rsidRPr="00CF74C7">
        <w:rPr>
          <w:rFonts w:ascii="Times New Roman" w:hAnsi="Times New Roman" w:cs="Times New Roman"/>
          <w:sz w:val="24"/>
          <w:szCs w:val="24"/>
        </w:rPr>
        <w:t>metro marca APERA PC60 calibrado.</w:t>
      </w:r>
    </w:p>
    <w:p w14:paraId="39610F6F"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r w:rsidRPr="00CF74C7">
        <w:rPr>
          <w:rFonts w:ascii="Times New Roman" w:hAnsi="Times New Roman" w:cs="Times New Roman"/>
          <w:b/>
          <w:bCs/>
          <w:sz w:val="24"/>
          <w:szCs w:val="24"/>
        </w:rPr>
        <w:t>Determinación de sólidos solubles</w:t>
      </w:r>
    </w:p>
    <w:p w14:paraId="5B99F096"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La determinación de los sólidos solubles en la etapa de recepción y extracción se utilizó un refractómetro </w:t>
      </w:r>
      <w:r w:rsidRPr="00494AE4">
        <w:rPr>
          <w:rFonts w:ascii="Times New Roman" w:hAnsi="Times New Roman" w:cs="Times New Roman"/>
          <w:i/>
          <w:sz w:val="24"/>
          <w:szCs w:val="24"/>
        </w:rPr>
        <w:t>Boeco Germany</w:t>
      </w:r>
      <w:r w:rsidRPr="00CF74C7">
        <w:rPr>
          <w:rFonts w:ascii="Times New Roman" w:hAnsi="Times New Roman" w:cs="Times New Roman"/>
          <w:sz w:val="24"/>
          <w:szCs w:val="24"/>
        </w:rPr>
        <w:t xml:space="preserve"> modelo BCBI9177, con un rango de escala Brix: 0 – 32%, con precisión de </w:t>
      </w:r>
      <w:r w:rsidRPr="00CF74C7">
        <w:rPr>
          <w:rFonts w:ascii="Times New Roman" w:hAnsi="Times New Roman" w:cs="Times New Roman"/>
          <w:b/>
          <w:bCs/>
          <w:sz w:val="24"/>
          <w:szCs w:val="24"/>
        </w:rPr>
        <w:t>±</w:t>
      </w:r>
      <w:r w:rsidRPr="00CF74C7">
        <w:rPr>
          <w:rFonts w:ascii="Times New Roman" w:hAnsi="Times New Roman" w:cs="Times New Roman"/>
          <w:sz w:val="24"/>
          <w:szCs w:val="24"/>
        </w:rPr>
        <w:t xml:space="preserve">0,2%; Para las muestras con elevada concentración de sólidos en </w:t>
      </w:r>
      <w:r w:rsidR="0065244A" w:rsidRPr="00CF74C7">
        <w:rPr>
          <w:rFonts w:ascii="Times New Roman" w:hAnsi="Times New Roman" w:cs="Times New Roman"/>
          <w:sz w:val="24"/>
          <w:szCs w:val="24"/>
        </w:rPr>
        <w:t>la etapa</w:t>
      </w:r>
      <w:r w:rsidRPr="00CF74C7">
        <w:rPr>
          <w:rFonts w:ascii="Times New Roman" w:hAnsi="Times New Roman" w:cs="Times New Roman"/>
          <w:sz w:val="24"/>
          <w:szCs w:val="24"/>
        </w:rPr>
        <w:t xml:space="preserve"> de evaporación se diluyeron en una proporción 1:1 de panela – </w:t>
      </w:r>
      <w:r w:rsidR="0065244A" w:rsidRPr="00CF74C7">
        <w:rPr>
          <w:rFonts w:ascii="Times New Roman" w:hAnsi="Times New Roman" w:cs="Times New Roman"/>
          <w:sz w:val="24"/>
          <w:szCs w:val="24"/>
        </w:rPr>
        <w:t>agua destilada</w:t>
      </w:r>
      <w:r w:rsidRPr="00CF74C7">
        <w:rPr>
          <w:rFonts w:ascii="Times New Roman" w:hAnsi="Times New Roman" w:cs="Times New Roman"/>
          <w:sz w:val="24"/>
          <w:szCs w:val="24"/>
        </w:rPr>
        <w:t xml:space="preserve"> y se utilizó un refractómetro </w:t>
      </w:r>
      <w:r w:rsidRPr="00CF74C7">
        <w:rPr>
          <w:rStyle w:val="txtstd2w"/>
          <w:rFonts w:ascii="Times New Roman" w:hAnsi="Times New Roman" w:cs="Times New Roman"/>
          <w:sz w:val="24"/>
          <w:szCs w:val="24"/>
        </w:rPr>
        <w:t xml:space="preserve">Atago HSR-500 con un rango de escala de 0,0 % - 90.0%, </w:t>
      </w:r>
      <w:r w:rsidRPr="00CF74C7">
        <w:rPr>
          <w:rFonts w:ascii="Times New Roman" w:hAnsi="Times New Roman" w:cs="Times New Roman"/>
          <w:sz w:val="24"/>
          <w:szCs w:val="24"/>
        </w:rPr>
        <w:t xml:space="preserve">con precisión de </w:t>
      </w:r>
      <w:r w:rsidRPr="00CF74C7">
        <w:rPr>
          <w:rFonts w:ascii="Times New Roman" w:hAnsi="Times New Roman" w:cs="Times New Roman"/>
          <w:b/>
          <w:bCs/>
          <w:sz w:val="24"/>
          <w:szCs w:val="24"/>
        </w:rPr>
        <w:t>±</w:t>
      </w:r>
      <w:r w:rsidRPr="00CF74C7">
        <w:rPr>
          <w:rFonts w:ascii="Times New Roman" w:hAnsi="Times New Roman" w:cs="Times New Roman"/>
          <w:sz w:val="24"/>
          <w:szCs w:val="24"/>
        </w:rPr>
        <w:t>0,2%.</w:t>
      </w:r>
      <w:r w:rsidRPr="00CF74C7">
        <w:rPr>
          <w:rStyle w:val="txtstd2w"/>
          <w:rFonts w:ascii="Times New Roman" w:hAnsi="Times New Roman" w:cs="Times New Roman"/>
          <w:sz w:val="24"/>
          <w:szCs w:val="24"/>
        </w:rPr>
        <w:t xml:space="preserve"> </w:t>
      </w:r>
      <w:r w:rsidRPr="00CF74C7">
        <w:rPr>
          <w:rFonts w:ascii="Times New Roman" w:hAnsi="Times New Roman" w:cs="Times New Roman"/>
          <w:sz w:val="24"/>
          <w:szCs w:val="24"/>
        </w:rPr>
        <w:t xml:space="preserve"> </w:t>
      </w:r>
    </w:p>
    <w:p w14:paraId="3BAF8D79"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p>
    <w:p w14:paraId="58D332C6"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r w:rsidRPr="00CF74C7">
        <w:rPr>
          <w:rFonts w:ascii="Times New Roman" w:hAnsi="Times New Roman" w:cs="Times New Roman"/>
          <w:b/>
          <w:bCs/>
          <w:sz w:val="24"/>
          <w:szCs w:val="24"/>
        </w:rPr>
        <w:t>Determinación de Humedad</w:t>
      </w:r>
    </w:p>
    <w:p w14:paraId="394FAB46" w14:textId="77777777" w:rsidR="003D381E" w:rsidRPr="00CF74C7" w:rsidRDefault="003D381E" w:rsidP="003D381E">
      <w:pPr>
        <w:autoSpaceDE w:val="0"/>
        <w:autoSpaceDN w:val="0"/>
        <w:adjustRightInd w:val="0"/>
        <w:spacing w:after="0" w:line="240" w:lineRule="auto"/>
        <w:rPr>
          <w:rFonts w:ascii="Times New Roman" w:hAnsi="Times New Roman" w:cs="Times New Roman"/>
          <w:b/>
          <w:bCs/>
          <w:sz w:val="24"/>
          <w:szCs w:val="24"/>
        </w:rPr>
      </w:pPr>
    </w:p>
    <w:p w14:paraId="406A7200"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Las determinaciones se hicieron por duplicado utilizando el método propuesto en la </w:t>
      </w:r>
      <w:r w:rsidR="0065244A" w:rsidRPr="00CF74C7">
        <w:rPr>
          <w:rFonts w:ascii="Times New Roman" w:hAnsi="Times New Roman" w:cs="Times New Roman"/>
          <w:sz w:val="24"/>
          <w:szCs w:val="24"/>
        </w:rPr>
        <w:t>Norma INEN</w:t>
      </w:r>
      <w:r w:rsidRPr="00CF74C7">
        <w:rPr>
          <w:rFonts w:ascii="Times New Roman" w:hAnsi="Times New Roman" w:cs="Times New Roman"/>
          <w:sz w:val="24"/>
          <w:szCs w:val="24"/>
        </w:rPr>
        <w:t xml:space="preserve"> 2331, 2332 (2002). Se colocó 5 g de azúcar crudo o panela en la cápsula de níquel, se pesaron en la balanza analítica </w:t>
      </w:r>
      <w:r w:rsidRPr="00494AE4">
        <w:rPr>
          <w:rFonts w:ascii="Times New Roman" w:hAnsi="Times New Roman" w:cs="Times New Roman"/>
          <w:i/>
          <w:sz w:val="24"/>
          <w:szCs w:val="24"/>
        </w:rPr>
        <w:t>Larko</w:t>
      </w:r>
      <w:r w:rsidRPr="00CF74C7">
        <w:rPr>
          <w:rFonts w:ascii="Times New Roman" w:hAnsi="Times New Roman" w:cs="Times New Roman"/>
          <w:sz w:val="24"/>
          <w:szCs w:val="24"/>
        </w:rPr>
        <w:t xml:space="preserve"> con grado de apreciación de ± 0.001 g; se colocaron en la estufa a 65º C durante 2 horas, una vez transcurrido el tiempo se retiraron de la estufa, se dejó enfriar y se pusieron en desecador durante 30 minutos, nuevamente se pesa en la balanza analítica y se calculó el porcentaje de humedad mediante la fórmula: % H= (m</w:t>
      </w:r>
      <w:r w:rsidRPr="00CF74C7">
        <w:rPr>
          <w:rFonts w:ascii="Times New Roman" w:hAnsi="Times New Roman" w:cs="Times New Roman"/>
          <w:sz w:val="24"/>
          <w:szCs w:val="24"/>
          <w:vertAlign w:val="subscript"/>
        </w:rPr>
        <w:t xml:space="preserve">1 </w:t>
      </w:r>
      <w:r w:rsidRPr="00CF74C7">
        <w:rPr>
          <w:rFonts w:ascii="Times New Roman" w:hAnsi="Times New Roman" w:cs="Times New Roman"/>
          <w:sz w:val="24"/>
          <w:szCs w:val="24"/>
        </w:rPr>
        <w:t>– m</w:t>
      </w:r>
      <w:r w:rsidRPr="00CF74C7">
        <w:rPr>
          <w:rFonts w:ascii="Times New Roman" w:hAnsi="Times New Roman" w:cs="Times New Roman"/>
          <w:sz w:val="24"/>
          <w:szCs w:val="24"/>
          <w:vertAlign w:val="subscript"/>
        </w:rPr>
        <w:t>2</w:t>
      </w:r>
      <w:r w:rsidRPr="00CF74C7">
        <w:rPr>
          <w:rFonts w:ascii="Times New Roman" w:hAnsi="Times New Roman" w:cs="Times New Roman"/>
          <w:sz w:val="24"/>
          <w:szCs w:val="24"/>
        </w:rPr>
        <w:t>)/m*100. Dónde: m = masa de la muestra, m</w:t>
      </w:r>
      <w:r w:rsidRPr="00CF74C7">
        <w:rPr>
          <w:rFonts w:ascii="Times New Roman" w:hAnsi="Times New Roman" w:cs="Times New Roman"/>
          <w:sz w:val="24"/>
          <w:szCs w:val="24"/>
          <w:vertAlign w:val="subscript"/>
        </w:rPr>
        <w:t>1</w:t>
      </w:r>
      <w:r w:rsidRPr="00CF74C7">
        <w:rPr>
          <w:rFonts w:ascii="Times New Roman" w:hAnsi="Times New Roman" w:cs="Times New Roman"/>
          <w:sz w:val="24"/>
          <w:szCs w:val="24"/>
        </w:rPr>
        <w:t>: masa de la cápsula, con la muestra, antes del calentamiento y m</w:t>
      </w:r>
      <w:r w:rsidRPr="00CF74C7">
        <w:rPr>
          <w:rFonts w:ascii="Times New Roman" w:hAnsi="Times New Roman" w:cs="Times New Roman"/>
          <w:sz w:val="24"/>
          <w:szCs w:val="24"/>
          <w:vertAlign w:val="subscript"/>
        </w:rPr>
        <w:t>2</w:t>
      </w:r>
      <w:r w:rsidRPr="00CF74C7">
        <w:rPr>
          <w:rFonts w:ascii="Times New Roman" w:hAnsi="Times New Roman" w:cs="Times New Roman"/>
          <w:sz w:val="24"/>
          <w:szCs w:val="24"/>
        </w:rPr>
        <w:t>: masa de la cápsula, con la muestra, después del calentamiento.</w:t>
      </w:r>
    </w:p>
    <w:p w14:paraId="4EA42E1C"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p>
    <w:p w14:paraId="0B89C649"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b/>
          <w:sz w:val="24"/>
          <w:szCs w:val="24"/>
        </w:rPr>
      </w:pPr>
      <w:r w:rsidRPr="00CF74C7">
        <w:rPr>
          <w:rFonts w:ascii="Times New Roman" w:hAnsi="Times New Roman" w:cs="Times New Roman"/>
          <w:b/>
          <w:sz w:val="24"/>
          <w:szCs w:val="24"/>
        </w:rPr>
        <w:t>Determinación de cenizas</w:t>
      </w:r>
    </w:p>
    <w:p w14:paraId="3F889764"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p>
    <w:p w14:paraId="7624ABFE" w14:textId="77777777" w:rsidR="003D381E" w:rsidRPr="00CF74C7" w:rsidRDefault="003D381E" w:rsidP="003D381E">
      <w:pPr>
        <w:autoSpaceDE w:val="0"/>
        <w:autoSpaceDN w:val="0"/>
        <w:adjustRightInd w:val="0"/>
        <w:spacing w:after="0" w:line="24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El análisis se realizó por duplicado empleando el método de cenizas totales (calcinación) (Kirk et al, 1996). Se pesó 3 a 5 g de muestra en el crisol (la muestra no debe sobrepasar la mitad del crisol) previamente pesado, se calcinó la muestra, </w:t>
      </w:r>
      <w:r w:rsidR="00C44361" w:rsidRPr="00CF74C7">
        <w:rPr>
          <w:rFonts w:ascii="Times New Roman" w:hAnsi="Times New Roman" w:cs="Times New Roman"/>
          <w:sz w:val="24"/>
          <w:szCs w:val="24"/>
        </w:rPr>
        <w:t>primeramente,</w:t>
      </w:r>
      <w:r w:rsidRPr="00CF74C7">
        <w:rPr>
          <w:rFonts w:ascii="Times New Roman" w:hAnsi="Times New Roman" w:cs="Times New Roman"/>
          <w:sz w:val="24"/>
          <w:szCs w:val="24"/>
        </w:rPr>
        <w:t xml:space="preserve"> con un mechero en la campana hasta que no se desprendan humos y posteriormente se introduce a la mufla 2 horas cuidando que la temperatura no pase de 550ºC. Enfriar en desecador, pesar hasta peso constante y calcular con la fórmula: % C=  m</w:t>
      </w:r>
      <w:r w:rsidRPr="00CF74C7">
        <w:rPr>
          <w:rFonts w:ascii="Times New Roman" w:hAnsi="Times New Roman" w:cs="Times New Roman"/>
          <w:sz w:val="24"/>
          <w:szCs w:val="24"/>
          <w:vertAlign w:val="subscript"/>
        </w:rPr>
        <w:t xml:space="preserve">2 </w:t>
      </w:r>
      <w:r w:rsidRPr="00CF74C7">
        <w:rPr>
          <w:rFonts w:ascii="Times New Roman" w:hAnsi="Times New Roman" w:cs="Times New Roman"/>
          <w:sz w:val="24"/>
          <w:szCs w:val="24"/>
        </w:rPr>
        <w:t>/m</w:t>
      </w:r>
      <w:r w:rsidRPr="00CF74C7">
        <w:rPr>
          <w:rFonts w:ascii="Times New Roman" w:hAnsi="Times New Roman" w:cs="Times New Roman"/>
          <w:sz w:val="24"/>
          <w:szCs w:val="24"/>
          <w:vertAlign w:val="subscript"/>
        </w:rPr>
        <w:t>1</w:t>
      </w:r>
      <w:r w:rsidRPr="00CF74C7">
        <w:rPr>
          <w:rFonts w:ascii="Times New Roman" w:hAnsi="Times New Roman" w:cs="Times New Roman"/>
          <w:sz w:val="24"/>
          <w:szCs w:val="24"/>
        </w:rPr>
        <w:t>*100 Dónde: m</w:t>
      </w:r>
      <w:r w:rsidRPr="00CF74C7">
        <w:rPr>
          <w:rFonts w:ascii="Times New Roman" w:hAnsi="Times New Roman" w:cs="Times New Roman"/>
          <w:sz w:val="24"/>
          <w:szCs w:val="24"/>
          <w:vertAlign w:val="subscript"/>
        </w:rPr>
        <w:t>1</w:t>
      </w:r>
      <w:r w:rsidRPr="00CF74C7">
        <w:rPr>
          <w:rFonts w:ascii="Times New Roman" w:hAnsi="Times New Roman" w:cs="Times New Roman"/>
          <w:sz w:val="24"/>
          <w:szCs w:val="24"/>
        </w:rPr>
        <w:t>: masa de la muestra antes de la calcinación y m</w:t>
      </w:r>
      <w:r w:rsidRPr="00CF74C7">
        <w:rPr>
          <w:rFonts w:ascii="Times New Roman" w:hAnsi="Times New Roman" w:cs="Times New Roman"/>
          <w:sz w:val="24"/>
          <w:szCs w:val="24"/>
          <w:vertAlign w:val="subscript"/>
        </w:rPr>
        <w:t>2</w:t>
      </w:r>
      <w:r w:rsidRPr="00CF74C7">
        <w:rPr>
          <w:rFonts w:ascii="Times New Roman" w:hAnsi="Times New Roman" w:cs="Times New Roman"/>
          <w:sz w:val="24"/>
          <w:szCs w:val="24"/>
        </w:rPr>
        <w:t>: masa de la cápsula, con la muestra, después de la calcinación.</w:t>
      </w:r>
    </w:p>
    <w:p w14:paraId="77E73937" w14:textId="77777777" w:rsidR="00C44361" w:rsidRPr="00CF74C7" w:rsidRDefault="00C44361" w:rsidP="003D381E">
      <w:pPr>
        <w:autoSpaceDE w:val="0"/>
        <w:autoSpaceDN w:val="0"/>
        <w:adjustRightInd w:val="0"/>
        <w:spacing w:after="0" w:line="240" w:lineRule="auto"/>
        <w:jc w:val="both"/>
        <w:rPr>
          <w:rFonts w:ascii="Times New Roman" w:hAnsi="Times New Roman" w:cs="Times New Roman"/>
          <w:sz w:val="24"/>
          <w:szCs w:val="24"/>
        </w:rPr>
      </w:pPr>
    </w:p>
    <w:p w14:paraId="7C8ADC40" w14:textId="77777777" w:rsidR="00C44361" w:rsidRPr="00CF74C7" w:rsidRDefault="00C44361" w:rsidP="00C44361">
      <w:pPr>
        <w:autoSpaceDE w:val="0"/>
        <w:autoSpaceDN w:val="0"/>
        <w:adjustRightInd w:val="0"/>
        <w:spacing w:after="0" w:line="240" w:lineRule="auto"/>
        <w:jc w:val="both"/>
        <w:rPr>
          <w:rFonts w:ascii="Times New Roman" w:hAnsi="Times New Roman" w:cs="Times New Roman"/>
          <w:b/>
          <w:sz w:val="24"/>
          <w:szCs w:val="24"/>
        </w:rPr>
      </w:pPr>
      <w:r w:rsidRPr="00CF74C7">
        <w:rPr>
          <w:rFonts w:ascii="Times New Roman" w:hAnsi="Times New Roman" w:cs="Times New Roman"/>
          <w:b/>
          <w:sz w:val="24"/>
          <w:szCs w:val="24"/>
        </w:rPr>
        <w:t>Encuestas</w:t>
      </w:r>
    </w:p>
    <w:p w14:paraId="76308B64" w14:textId="77777777" w:rsidR="00C44361" w:rsidRPr="00CF74C7" w:rsidRDefault="00C44361" w:rsidP="00C44361">
      <w:pPr>
        <w:autoSpaceDE w:val="0"/>
        <w:autoSpaceDN w:val="0"/>
        <w:adjustRightInd w:val="0"/>
        <w:spacing w:after="0" w:line="240" w:lineRule="auto"/>
        <w:jc w:val="both"/>
        <w:rPr>
          <w:rFonts w:ascii="Times New Roman" w:hAnsi="Times New Roman" w:cs="Times New Roman"/>
          <w:sz w:val="24"/>
          <w:szCs w:val="24"/>
        </w:rPr>
      </w:pPr>
    </w:p>
    <w:p w14:paraId="3F607D2E" w14:textId="77777777" w:rsidR="00082383" w:rsidRPr="00CF74C7" w:rsidRDefault="004F2995"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Se identifica las paneleras que trabajan en la zona de influencia, </w:t>
      </w:r>
      <w:r w:rsidR="00082383" w:rsidRPr="00CF74C7">
        <w:rPr>
          <w:rFonts w:ascii="Times New Roman" w:hAnsi="Times New Roman" w:cs="Times New Roman"/>
          <w:sz w:val="24"/>
          <w:szCs w:val="24"/>
        </w:rPr>
        <w:t>a las mismas se realiza la encuesta acerca de:</w:t>
      </w:r>
    </w:p>
    <w:p w14:paraId="73AF1F4E" w14:textId="77777777" w:rsidR="00082383" w:rsidRPr="00CF74C7" w:rsidRDefault="00082383"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Dispone de</w:t>
      </w:r>
      <w:r w:rsidR="004F2995" w:rsidRPr="00CF74C7">
        <w:rPr>
          <w:rFonts w:ascii="Times New Roman" w:hAnsi="Times New Roman" w:cs="Times New Roman"/>
          <w:sz w:val="24"/>
          <w:szCs w:val="24"/>
        </w:rPr>
        <w:t xml:space="preserve"> registro sanitario</w:t>
      </w:r>
    </w:p>
    <w:p w14:paraId="2050EC1F" w14:textId="77777777" w:rsidR="00082383" w:rsidRPr="00CF74C7" w:rsidRDefault="00082383"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P</w:t>
      </w:r>
      <w:r w:rsidR="004F2995" w:rsidRPr="00CF74C7">
        <w:rPr>
          <w:rFonts w:ascii="Times New Roman" w:hAnsi="Times New Roman" w:cs="Times New Roman"/>
          <w:sz w:val="24"/>
          <w:szCs w:val="24"/>
        </w:rPr>
        <w:t>recio</w:t>
      </w:r>
      <w:r w:rsidRPr="00CF74C7">
        <w:rPr>
          <w:rFonts w:ascii="Times New Roman" w:hAnsi="Times New Roman" w:cs="Times New Roman"/>
          <w:sz w:val="24"/>
          <w:szCs w:val="24"/>
        </w:rPr>
        <w:t xml:space="preserve"> de venta</w:t>
      </w:r>
    </w:p>
    <w:p w14:paraId="5B7F339B" w14:textId="77777777" w:rsidR="00675D0A" w:rsidRPr="00CF74C7" w:rsidRDefault="00675D0A" w:rsidP="00675D0A">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lastRenderedPageBreak/>
        <w:t>- Demanda del producto</w:t>
      </w:r>
    </w:p>
    <w:p w14:paraId="39EBB30D" w14:textId="77777777" w:rsidR="002E3CC7" w:rsidRPr="00CF74C7" w:rsidRDefault="00082383"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w:t>
      </w:r>
      <w:r w:rsidR="002E3CC7" w:rsidRPr="00CF74C7">
        <w:rPr>
          <w:rFonts w:ascii="Times New Roman" w:hAnsi="Times New Roman" w:cs="Times New Roman"/>
          <w:sz w:val="24"/>
          <w:szCs w:val="24"/>
        </w:rPr>
        <w:t xml:space="preserve"> Se diagnostica infraestructura, </w:t>
      </w:r>
      <w:r w:rsidR="004F2995" w:rsidRPr="00CF74C7">
        <w:rPr>
          <w:rFonts w:ascii="Times New Roman" w:hAnsi="Times New Roman" w:cs="Times New Roman"/>
          <w:sz w:val="24"/>
          <w:szCs w:val="24"/>
        </w:rPr>
        <w:t>condiciones del proceso</w:t>
      </w:r>
    </w:p>
    <w:p w14:paraId="2240C939" w14:textId="77777777" w:rsidR="002E3CC7" w:rsidRPr="00CF74C7" w:rsidRDefault="002E3CC7"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Normativas de</w:t>
      </w:r>
      <w:r w:rsidR="004F2995" w:rsidRPr="00CF74C7">
        <w:rPr>
          <w:rFonts w:ascii="Times New Roman" w:hAnsi="Times New Roman" w:cs="Times New Roman"/>
          <w:sz w:val="24"/>
          <w:szCs w:val="24"/>
        </w:rPr>
        <w:t xml:space="preserve"> calidad y su control. </w:t>
      </w:r>
    </w:p>
    <w:p w14:paraId="2A745ED5" w14:textId="77777777" w:rsidR="002E3CC7" w:rsidRPr="00CF74C7" w:rsidRDefault="002E3CC7"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Posterior a la intervención de la Universidad se diagnostica:</w:t>
      </w:r>
    </w:p>
    <w:p w14:paraId="4D66E406" w14:textId="77777777" w:rsidR="00675D0A" w:rsidRPr="00CF74C7" w:rsidRDefault="00675D0A" w:rsidP="004F2995">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Demanda del producto</w:t>
      </w:r>
    </w:p>
    <w:p w14:paraId="7F46A16D" w14:textId="77777777" w:rsidR="008C7A80" w:rsidRPr="00CF74C7" w:rsidRDefault="008C7A80" w:rsidP="008C7A80">
      <w:pPr>
        <w:spacing w:after="0" w:line="360" w:lineRule="auto"/>
        <w:jc w:val="both"/>
        <w:rPr>
          <w:rFonts w:ascii="Times New Roman" w:hAnsi="Times New Roman" w:cs="Times New Roman"/>
          <w:b/>
          <w:sz w:val="24"/>
          <w:szCs w:val="24"/>
        </w:rPr>
      </w:pPr>
      <w:r w:rsidRPr="00CF74C7">
        <w:rPr>
          <w:rFonts w:ascii="Times New Roman" w:hAnsi="Times New Roman" w:cs="Times New Roman"/>
          <w:b/>
          <w:sz w:val="24"/>
          <w:szCs w:val="24"/>
        </w:rPr>
        <w:t>3. Resultados y discusión</w:t>
      </w:r>
    </w:p>
    <w:p w14:paraId="53ABDE57" w14:textId="77777777" w:rsidR="00C213AF" w:rsidRPr="00CF74C7" w:rsidRDefault="00C213AF" w:rsidP="00C213AF">
      <w:pPr>
        <w:jc w:val="both"/>
        <w:rPr>
          <w:rFonts w:ascii="Times New Roman" w:hAnsi="Times New Roman" w:cs="Times New Roman"/>
          <w:b/>
          <w:sz w:val="24"/>
          <w:szCs w:val="24"/>
        </w:rPr>
      </w:pPr>
      <w:r w:rsidRPr="00CF74C7">
        <w:rPr>
          <w:rFonts w:ascii="Times New Roman" w:hAnsi="Times New Roman" w:cs="Times New Roman"/>
          <w:b/>
          <w:sz w:val="24"/>
          <w:szCs w:val="24"/>
        </w:rPr>
        <w:t>Descripción del proceso de obtención de panela.</w:t>
      </w:r>
    </w:p>
    <w:p w14:paraId="037D804F" w14:textId="77777777" w:rsidR="00C213AF" w:rsidRPr="00CF74C7" w:rsidRDefault="00C213AF" w:rsidP="00C213AF">
      <w:pPr>
        <w:jc w:val="both"/>
        <w:rPr>
          <w:rFonts w:ascii="Times New Roman" w:hAnsi="Times New Roman" w:cs="Times New Roman"/>
          <w:sz w:val="24"/>
          <w:szCs w:val="24"/>
        </w:rPr>
      </w:pPr>
      <w:r w:rsidRPr="00CF74C7">
        <w:rPr>
          <w:rFonts w:ascii="Times New Roman" w:hAnsi="Times New Roman" w:cs="Times New Roman"/>
          <w:sz w:val="24"/>
          <w:szCs w:val="24"/>
        </w:rPr>
        <w:t xml:space="preserve">La empresa “El Vallecito” dispone de un espacio cubierto de zinc para la recepción de la caña, misma que posteriormente pasa a un trapiche de mazas donde es extraído el jugo y a su vez por un prelimpiador, seguidamente es enviado por mangueras de PVC al tanque clarificador. Una vez clarificado el jugo pasa a la primera paila donde inicia el proceso de evaporación, una vez que empieza la ebullición del fluido con la ayuda de palas de acero el fluido es distribuido a la segunda, tercera y cuarta paila para facilitar la concentración de solidos solubles aprovechando el calor disponible del horno, este a su vez es alimentado de bagazo de caña y madera para la generación de calor. </w:t>
      </w:r>
      <w:r w:rsidR="004D1465" w:rsidRPr="00CF74C7">
        <w:rPr>
          <w:rFonts w:ascii="Times New Roman" w:hAnsi="Times New Roman" w:cs="Times New Roman"/>
          <w:sz w:val="24"/>
          <w:szCs w:val="24"/>
        </w:rPr>
        <w:t>Finalmente,</w:t>
      </w:r>
      <w:r w:rsidRPr="00CF74C7">
        <w:rPr>
          <w:rFonts w:ascii="Times New Roman" w:hAnsi="Times New Roman" w:cs="Times New Roman"/>
          <w:sz w:val="24"/>
          <w:szCs w:val="24"/>
        </w:rPr>
        <w:t xml:space="preserve"> el proceso culmina con el batido y moldeo de la meladura usando palas de acero para enfriarla en el caso de que sea en bloque o batirla hasta que se cristalice si es granulada, cerrando el ciclo con el envasado en fundas plásticas de alta densidad recubiertas por saquillos y el almacenamiento a temperatura </w:t>
      </w:r>
      <w:r w:rsidR="00180F41">
        <w:rPr>
          <w:rFonts w:ascii="Times New Roman" w:hAnsi="Times New Roman" w:cs="Times New Roman"/>
          <w:sz w:val="24"/>
          <w:szCs w:val="24"/>
        </w:rPr>
        <w:t>ambiente hasta su distribución Ilustración (1).</w:t>
      </w:r>
    </w:p>
    <w:p w14:paraId="00AFFBDE" w14:textId="77777777" w:rsidR="000F6374" w:rsidRDefault="001549DC" w:rsidP="000F6374">
      <w:pPr>
        <w:keepNext/>
        <w:jc w:val="both"/>
      </w:pPr>
      <w:r w:rsidRPr="00CF74C7">
        <w:rPr>
          <w:rFonts w:ascii="Times New Roman" w:hAnsi="Times New Roman" w:cs="Times New Roman"/>
          <w:noProof/>
          <w:sz w:val="24"/>
          <w:szCs w:val="24"/>
          <w:lang w:val="es-EC" w:eastAsia="es-EC"/>
        </w:rPr>
        <w:drawing>
          <wp:inline distT="0" distB="0" distL="0" distR="0" wp14:anchorId="1154C256" wp14:editId="7BB00D4E">
            <wp:extent cx="5400040" cy="9296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929640"/>
                    </a:xfrm>
                    <a:prstGeom prst="rect">
                      <a:avLst/>
                    </a:prstGeom>
                  </pic:spPr>
                </pic:pic>
              </a:graphicData>
            </a:graphic>
          </wp:inline>
        </w:drawing>
      </w:r>
    </w:p>
    <w:p w14:paraId="7A5E2AB8" w14:textId="77777777" w:rsidR="00C213AF" w:rsidRPr="004D1465" w:rsidRDefault="000F6374" w:rsidP="000F6374">
      <w:pPr>
        <w:pStyle w:val="Descripcin"/>
        <w:jc w:val="both"/>
        <w:rPr>
          <w:rFonts w:ascii="Times New Roman" w:hAnsi="Times New Roman" w:cs="Times New Roman"/>
          <w:b/>
          <w:color w:val="auto"/>
          <w:sz w:val="20"/>
          <w:szCs w:val="20"/>
        </w:rPr>
      </w:pPr>
      <w:r w:rsidRPr="004D1465">
        <w:rPr>
          <w:rFonts w:ascii="Times New Roman" w:hAnsi="Times New Roman" w:cs="Times New Roman"/>
          <w:color w:val="auto"/>
          <w:sz w:val="20"/>
          <w:szCs w:val="20"/>
        </w:rPr>
        <w:t xml:space="preserve">Ilustración </w:t>
      </w:r>
      <w:r w:rsidRPr="004D1465">
        <w:rPr>
          <w:rFonts w:ascii="Times New Roman" w:hAnsi="Times New Roman" w:cs="Times New Roman"/>
          <w:color w:val="auto"/>
          <w:sz w:val="20"/>
          <w:szCs w:val="20"/>
        </w:rPr>
        <w:fldChar w:fldCharType="begin"/>
      </w:r>
      <w:r w:rsidRPr="004D1465">
        <w:rPr>
          <w:rFonts w:ascii="Times New Roman" w:hAnsi="Times New Roman" w:cs="Times New Roman"/>
          <w:color w:val="auto"/>
          <w:sz w:val="20"/>
          <w:szCs w:val="20"/>
        </w:rPr>
        <w:instrText xml:space="preserve"> SEQ Ilustración \* ARABIC </w:instrText>
      </w:r>
      <w:r w:rsidRPr="004D1465">
        <w:rPr>
          <w:rFonts w:ascii="Times New Roman" w:hAnsi="Times New Roman" w:cs="Times New Roman"/>
          <w:color w:val="auto"/>
          <w:sz w:val="20"/>
          <w:szCs w:val="20"/>
        </w:rPr>
        <w:fldChar w:fldCharType="separate"/>
      </w:r>
      <w:r w:rsidRPr="004D1465">
        <w:rPr>
          <w:rFonts w:ascii="Times New Roman" w:hAnsi="Times New Roman" w:cs="Times New Roman"/>
          <w:noProof/>
          <w:color w:val="auto"/>
          <w:sz w:val="20"/>
          <w:szCs w:val="20"/>
        </w:rPr>
        <w:t>1</w:t>
      </w:r>
      <w:r w:rsidRPr="004D1465">
        <w:rPr>
          <w:rFonts w:ascii="Times New Roman" w:hAnsi="Times New Roman" w:cs="Times New Roman"/>
          <w:color w:val="auto"/>
          <w:sz w:val="20"/>
          <w:szCs w:val="20"/>
        </w:rPr>
        <w:fldChar w:fldCharType="end"/>
      </w:r>
      <w:r w:rsidR="004D1465" w:rsidRPr="004D1465">
        <w:rPr>
          <w:rFonts w:ascii="Times New Roman" w:hAnsi="Times New Roman" w:cs="Times New Roman"/>
          <w:color w:val="auto"/>
          <w:sz w:val="20"/>
          <w:szCs w:val="20"/>
        </w:rPr>
        <w:t xml:space="preserve">. </w:t>
      </w:r>
      <w:r w:rsidR="004D1465" w:rsidRPr="004D1465">
        <w:rPr>
          <w:rFonts w:ascii="Times New Roman" w:hAnsi="Times New Roman" w:cs="Times New Roman"/>
          <w:b/>
          <w:color w:val="auto"/>
          <w:sz w:val="20"/>
          <w:szCs w:val="20"/>
        </w:rPr>
        <w:t>Proceso de elaboración de panela. “Panelera el Vallecito”. Elaboración propia.</w:t>
      </w:r>
    </w:p>
    <w:p w14:paraId="0999C218" w14:textId="77777777" w:rsidR="00C213AF" w:rsidRPr="00CF74C7" w:rsidRDefault="00C213AF" w:rsidP="00C213AF">
      <w:pPr>
        <w:jc w:val="both"/>
        <w:rPr>
          <w:rFonts w:ascii="Times New Roman" w:hAnsi="Times New Roman" w:cs="Times New Roman"/>
          <w:b/>
          <w:sz w:val="24"/>
          <w:szCs w:val="24"/>
        </w:rPr>
      </w:pPr>
      <w:r w:rsidRPr="00CF74C7">
        <w:rPr>
          <w:rFonts w:ascii="Times New Roman" w:hAnsi="Times New Roman" w:cs="Times New Roman"/>
          <w:b/>
          <w:sz w:val="24"/>
          <w:szCs w:val="24"/>
        </w:rPr>
        <w:t>Parámetros operacionales iniciales del proceso</w:t>
      </w:r>
    </w:p>
    <w:p w14:paraId="6AB7CB4A" w14:textId="167BC4C6" w:rsidR="00C213AF" w:rsidRPr="00CF74C7" w:rsidRDefault="00BD092E" w:rsidP="00C213AF">
      <w:pPr>
        <w:jc w:val="both"/>
        <w:rPr>
          <w:rFonts w:ascii="Times New Roman" w:hAnsi="Times New Roman" w:cs="Times New Roman"/>
          <w:sz w:val="24"/>
          <w:szCs w:val="24"/>
        </w:rPr>
      </w:pPr>
      <w:r>
        <w:rPr>
          <w:rFonts w:ascii="Times New Roman" w:hAnsi="Times New Roman" w:cs="Times New Roman"/>
          <w:sz w:val="24"/>
          <w:szCs w:val="24"/>
        </w:rPr>
        <w:t>La tabla</w:t>
      </w:r>
      <w:r w:rsidR="00C213AF" w:rsidRPr="00CF74C7">
        <w:rPr>
          <w:rFonts w:ascii="Times New Roman" w:hAnsi="Times New Roman" w:cs="Times New Roman"/>
          <w:sz w:val="24"/>
          <w:szCs w:val="24"/>
        </w:rPr>
        <w:t xml:space="preserve"> </w:t>
      </w:r>
      <w:r w:rsidR="00180F41">
        <w:rPr>
          <w:rFonts w:ascii="Times New Roman" w:hAnsi="Times New Roman" w:cs="Times New Roman"/>
          <w:sz w:val="24"/>
          <w:szCs w:val="24"/>
        </w:rPr>
        <w:t>(</w:t>
      </w:r>
      <w:r w:rsidR="00C213AF" w:rsidRPr="00CF74C7">
        <w:rPr>
          <w:rFonts w:ascii="Times New Roman" w:hAnsi="Times New Roman" w:cs="Times New Roman"/>
          <w:sz w:val="24"/>
          <w:szCs w:val="24"/>
        </w:rPr>
        <w:t>1</w:t>
      </w:r>
      <w:r w:rsidR="00180F41">
        <w:rPr>
          <w:rFonts w:ascii="Times New Roman" w:hAnsi="Times New Roman" w:cs="Times New Roman"/>
          <w:sz w:val="24"/>
          <w:szCs w:val="24"/>
        </w:rPr>
        <w:t>)</w:t>
      </w:r>
      <w:r w:rsidR="00C213AF" w:rsidRPr="00CF74C7">
        <w:rPr>
          <w:rFonts w:ascii="Times New Roman" w:hAnsi="Times New Roman" w:cs="Times New Roman"/>
          <w:sz w:val="24"/>
          <w:szCs w:val="24"/>
        </w:rPr>
        <w:t xml:space="preserve"> presenta los valores medios iniciales tomados en la recepción donde el porcentaje de jugo extraído de la caña de azúcar indica que el rendimiento es regular de 63,1% y </w:t>
      </w:r>
      <w:r w:rsidR="00C213AF" w:rsidRPr="00CF74C7">
        <w:rPr>
          <w:rFonts w:ascii="Times New Roman" w:eastAsia="Times New Roman" w:hAnsi="Times New Roman" w:cs="Times New Roman"/>
          <w:sz w:val="24"/>
          <w:szCs w:val="24"/>
          <w:lang w:val="es-EC" w:eastAsia="es-EC"/>
        </w:rPr>
        <w:t>una desviación estándar a</w:t>
      </w:r>
      <w:r>
        <w:rPr>
          <w:rFonts w:ascii="Times New Roman" w:eastAsia="Times New Roman" w:hAnsi="Times New Roman" w:cs="Times New Roman"/>
          <w:sz w:val="24"/>
          <w:szCs w:val="24"/>
          <w:lang w:val="es-EC" w:eastAsia="es-EC"/>
        </w:rPr>
        <w:t>ltamente significativa de 5,3. S</w:t>
      </w:r>
      <w:r w:rsidR="00AA223A" w:rsidRPr="00CF74C7">
        <w:rPr>
          <w:rFonts w:ascii="Times New Roman" w:hAnsi="Times New Roman" w:cs="Times New Roman"/>
          <w:sz w:val="24"/>
          <w:szCs w:val="24"/>
        </w:rPr>
        <w:t>egún</w:t>
      </w:r>
      <w:r w:rsidR="00AA223A">
        <w:rPr>
          <w:rFonts w:ascii="Times New Roman" w:hAnsi="Times New Roman" w:cs="Times New Roman"/>
          <w:sz w:val="24"/>
          <w:szCs w:val="24"/>
        </w:rPr>
        <w:t xml:space="preserve"> </w:t>
      </w:r>
      <w:r w:rsidR="00AA223A">
        <w:rPr>
          <w:rFonts w:ascii="Times New Roman" w:hAnsi="Times New Roman" w:cs="Times New Roman"/>
          <w:sz w:val="24"/>
          <w:szCs w:val="24"/>
        </w:rPr>
        <w:fldChar w:fldCharType="begin" w:fldLock="1"/>
      </w:r>
      <w:r w:rsidR="00C76876">
        <w:rPr>
          <w:rFonts w:ascii="Times New Roman" w:hAnsi="Times New Roman" w:cs="Times New Roman"/>
          <w:sz w:val="24"/>
          <w:szCs w:val="24"/>
        </w:rPr>
        <w:instrText>ADDIN CSL_CITATION {"citationItems":[{"id":"ITEM-1","itemData":{"abstract":"publicado trabajos en revistas y periódicos locales y nacionales acerca de sus investigaciones realizadas. Ha dado asesoría en empresas productoras de panela y en la empresa TAVA sobre estabilización del gel, filete y elaboración de productos de sábila. Es autor del folleto sobre Miel Salud y Vida. Actualmente trabaja en la revisión para su impresión en documentos sobre: guía técnica de aceites esenciales, ingeniería de procesos y agroindustria azucarera. Queda prohibida su reproducción parcial o total.","author":[{"dropping-particle":"","family":"Quezada","given":"Walter","non-dropping-particle":"","parse-names":false,"suffix":""}],"id":"ITEM-1","issued":{"date-parts":[["2007"]]},"title":"Guía Técnica de Agroindustria Panelera","type":"book"},"uris":["http://www.mendeley.com/documents/?uuid=69860cdd-4266-3831-ac91-6f8fe60aaefc"]}],"mendeley":{"formattedCitation":"Quezada, (2007)","plainTextFormattedCitation":"Quezada, (2007)","previouslyFormattedCitation":"Quezada, (2007)"},"properties":{"noteIndex":0},"schema":"https://github.com/citation-style-language/schema/raw/master/csl-citation.json"}</w:instrText>
      </w:r>
      <w:r w:rsidR="00AA223A">
        <w:rPr>
          <w:rFonts w:ascii="Times New Roman" w:hAnsi="Times New Roman" w:cs="Times New Roman"/>
          <w:sz w:val="24"/>
          <w:szCs w:val="24"/>
        </w:rPr>
        <w:fldChar w:fldCharType="separate"/>
      </w:r>
      <w:r w:rsidR="00AA223A" w:rsidRPr="00AA223A">
        <w:rPr>
          <w:rFonts w:ascii="Times New Roman" w:hAnsi="Times New Roman" w:cs="Times New Roman"/>
          <w:noProof/>
          <w:sz w:val="24"/>
          <w:szCs w:val="24"/>
        </w:rPr>
        <w:t>Quezada, (2007)</w:t>
      </w:r>
      <w:r w:rsidR="00AA223A">
        <w:rPr>
          <w:rFonts w:ascii="Times New Roman" w:hAnsi="Times New Roman" w:cs="Times New Roman"/>
          <w:sz w:val="24"/>
          <w:szCs w:val="24"/>
        </w:rPr>
        <w:fldChar w:fldCharType="end"/>
      </w:r>
      <w:r w:rsidR="001D4E1A">
        <w:rPr>
          <w:rFonts w:ascii="Times New Roman" w:hAnsi="Times New Roman" w:cs="Times New Roman"/>
          <w:sz w:val="24"/>
          <w:szCs w:val="24"/>
        </w:rPr>
        <w:t xml:space="preserve"> </w:t>
      </w:r>
      <w:r w:rsidR="00C213AF" w:rsidRPr="00CF74C7">
        <w:rPr>
          <w:rFonts w:ascii="Times New Roman" w:hAnsi="Times New Roman" w:cs="Times New Roman"/>
          <w:sz w:val="24"/>
          <w:szCs w:val="24"/>
        </w:rPr>
        <w:t xml:space="preserve">para una buena extracción los molinos paneleros deben estar calibrados su velocidad de rotación de las mazas y espacios entre las mismas, se recomienda que la velocidad de rotación sea de 6 a 15 rpm, con velocidades superiores a las indicadas se muele más caña </w:t>
      </w:r>
      <w:r w:rsidR="00C213AF" w:rsidRPr="00CF74C7">
        <w:rPr>
          <w:rFonts w:ascii="Times New Roman" w:hAnsi="Times New Roman" w:cs="Times New Roman"/>
          <w:sz w:val="24"/>
          <w:szCs w:val="24"/>
        </w:rPr>
        <w:lastRenderedPageBreak/>
        <w:t>por hora pero disminuye la capacidad de extracción</w:t>
      </w:r>
      <w:r w:rsidR="00C213AF" w:rsidRPr="00CF74C7">
        <w:rPr>
          <w:rFonts w:ascii="Times New Roman" w:hAnsi="Times New Roman" w:cs="Times New Roman"/>
          <w:sz w:val="24"/>
          <w:szCs w:val="24"/>
        </w:rPr>
        <w:fldChar w:fldCharType="begin"/>
      </w:r>
      <w:r w:rsidR="00C213AF" w:rsidRPr="00CF74C7">
        <w:rPr>
          <w:rFonts w:ascii="Times New Roman" w:hAnsi="Times New Roman" w:cs="Times New Roman"/>
          <w:sz w:val="24"/>
          <w:szCs w:val="24"/>
        </w:rPr>
        <w:fldChar w:fldCharType="separate"/>
      </w:r>
      <w:r w:rsidR="00C213AF" w:rsidRPr="00CF74C7">
        <w:rPr>
          <w:rFonts w:ascii="Times New Roman" w:hAnsi="Times New Roman" w:cs="Times New Roman"/>
          <w:sz w:val="24"/>
          <w:szCs w:val="24"/>
        </w:rPr>
        <w:t>{Quezada Moreno, 2012 #1}</w:t>
      </w:r>
      <w:r w:rsidR="00C213AF" w:rsidRPr="00CF74C7">
        <w:rPr>
          <w:rFonts w:ascii="Times New Roman" w:hAnsi="Times New Roman" w:cs="Times New Roman"/>
          <w:sz w:val="24"/>
          <w:szCs w:val="24"/>
        </w:rPr>
        <w:fldChar w:fldCharType="end"/>
      </w:r>
      <w:r w:rsidR="00C213AF" w:rsidRPr="00CF74C7">
        <w:rPr>
          <w:rFonts w:ascii="Times New Roman" w:hAnsi="Times New Roman" w:cs="Times New Roman"/>
          <w:sz w:val="24"/>
          <w:szCs w:val="24"/>
        </w:rPr>
        <w:fldChar w:fldCharType="begin"/>
      </w:r>
      <w:r w:rsidR="00C213AF" w:rsidRPr="00CF74C7">
        <w:rPr>
          <w:rFonts w:ascii="Times New Roman" w:hAnsi="Times New Roman" w:cs="Times New Roman"/>
          <w:sz w:val="24"/>
          <w:szCs w:val="24"/>
        </w:rPr>
        <w:fldChar w:fldCharType="separate"/>
      </w:r>
      <w:r w:rsidR="00C213AF" w:rsidRPr="00CF74C7">
        <w:rPr>
          <w:rFonts w:ascii="Times New Roman" w:hAnsi="Times New Roman" w:cs="Times New Roman"/>
          <w:sz w:val="24"/>
          <w:szCs w:val="24"/>
        </w:rPr>
        <w:t>{Quezada Moreno, 2012 #1}</w:t>
      </w:r>
      <w:r w:rsidR="00C213AF" w:rsidRPr="00CF74C7">
        <w:rPr>
          <w:rFonts w:ascii="Times New Roman" w:hAnsi="Times New Roman" w:cs="Times New Roman"/>
          <w:sz w:val="24"/>
          <w:szCs w:val="24"/>
        </w:rPr>
        <w:fldChar w:fldCharType="end"/>
      </w:r>
      <w:r w:rsidR="00C213AF" w:rsidRPr="00CF74C7">
        <w:rPr>
          <w:rFonts w:ascii="Times New Roman" w:hAnsi="Times New Roman" w:cs="Times New Roman"/>
          <w:sz w:val="24"/>
          <w:szCs w:val="24"/>
        </w:rPr>
        <w:fldChar w:fldCharType="begin"/>
      </w:r>
      <w:r w:rsidR="00C213AF" w:rsidRPr="00CF74C7">
        <w:rPr>
          <w:rFonts w:ascii="Times New Roman" w:hAnsi="Times New Roman" w:cs="Times New Roman"/>
          <w:sz w:val="24"/>
          <w:szCs w:val="24"/>
        </w:rPr>
        <w:fldChar w:fldCharType="separate"/>
      </w:r>
      <w:r w:rsidR="00C213AF" w:rsidRPr="00CF74C7">
        <w:rPr>
          <w:rFonts w:ascii="Times New Roman" w:hAnsi="Times New Roman" w:cs="Times New Roman"/>
          <w:sz w:val="24"/>
          <w:szCs w:val="24"/>
        </w:rPr>
        <w:t>{Quezada Moreno, 2012 #1}</w:t>
      </w:r>
      <w:r w:rsidR="00C213AF" w:rsidRPr="00CF74C7">
        <w:rPr>
          <w:rFonts w:ascii="Times New Roman" w:hAnsi="Times New Roman" w:cs="Times New Roman"/>
          <w:sz w:val="24"/>
          <w:szCs w:val="24"/>
        </w:rPr>
        <w:fldChar w:fldCharType="end"/>
      </w:r>
      <w:r w:rsidR="00C213AF" w:rsidRPr="00CF74C7">
        <w:rPr>
          <w:rFonts w:ascii="Times New Roman" w:hAnsi="Times New Roman" w:cs="Times New Roman"/>
          <w:sz w:val="24"/>
          <w:szCs w:val="24"/>
        </w:rPr>
        <w:fldChar w:fldCharType="begin"/>
      </w:r>
      <w:r w:rsidR="00C213AF" w:rsidRPr="00CF74C7">
        <w:rPr>
          <w:rFonts w:ascii="Times New Roman" w:hAnsi="Times New Roman" w:cs="Times New Roman"/>
          <w:sz w:val="24"/>
          <w:szCs w:val="24"/>
        </w:rPr>
        <w:fldChar w:fldCharType="separate"/>
      </w:r>
      <w:r w:rsidR="00C213AF" w:rsidRPr="00CF74C7">
        <w:rPr>
          <w:rFonts w:ascii="Times New Roman" w:hAnsi="Times New Roman" w:cs="Times New Roman"/>
          <w:sz w:val="24"/>
          <w:szCs w:val="24"/>
        </w:rPr>
        <w:t>{Quezada Moreno, 2012 #1}</w:t>
      </w:r>
      <w:r w:rsidR="00C213AF" w:rsidRPr="00CF74C7">
        <w:rPr>
          <w:rFonts w:ascii="Times New Roman" w:hAnsi="Times New Roman" w:cs="Times New Roman"/>
          <w:sz w:val="24"/>
          <w:szCs w:val="24"/>
        </w:rPr>
        <w:fldChar w:fldCharType="end"/>
      </w:r>
      <w:r w:rsidR="00C213AF" w:rsidRPr="00CF74C7">
        <w:rPr>
          <w:rFonts w:ascii="Times New Roman" w:hAnsi="Times New Roman" w:cs="Times New Roman"/>
          <w:sz w:val="24"/>
          <w:szCs w:val="24"/>
        </w:rPr>
        <w:t xml:space="preserve"> y se estiman extracciones buenas entre un 50 a 65%. Los valores de °Brix están fuera del rango óptimo con promedio de </w:t>
      </w:r>
      <w:r>
        <w:rPr>
          <w:rFonts w:ascii="Times New Roman" w:hAnsi="Times New Roman" w:cs="Times New Roman"/>
          <w:sz w:val="24"/>
          <w:szCs w:val="24"/>
        </w:rPr>
        <w:t xml:space="preserve">16,3 °Brix y de </w:t>
      </w:r>
      <w:r w:rsidRPr="00CF74C7">
        <w:rPr>
          <w:rFonts w:ascii="Times New Roman" w:hAnsi="Times New Roman" w:cs="Times New Roman"/>
          <w:sz w:val="24"/>
          <w:szCs w:val="24"/>
        </w:rPr>
        <w:t>acuerdo</w:t>
      </w:r>
      <w:r w:rsidR="00C213AF" w:rsidRPr="00CF74C7">
        <w:rPr>
          <w:rFonts w:ascii="Times New Roman" w:hAnsi="Times New Roman" w:cs="Times New Roman"/>
          <w:sz w:val="24"/>
          <w:szCs w:val="24"/>
        </w:rPr>
        <w:t xml:space="preserve"> a Quezada, 2007 los rangos se pueden deber al tipo de cultivo, estado de madurez, número de corte, condiciones climáticas, debe ser fresca, no almacenarla por más de 24 horas después del corte y recomienda valores óptimos de 22 y 24 °Brix. Los valores de pH están relacionados con el estado de madurez y para la etapa inicial de proceso el rango óptimo es de 4,5 – 5, los datos obtenidos indican que el pH se encuentra dentro de lo recomendado al 95% de confianza.</w:t>
      </w:r>
    </w:p>
    <w:p w14:paraId="27FEB50B" w14:textId="77777777" w:rsidR="00180F41" w:rsidRPr="00180F41" w:rsidRDefault="00180F41" w:rsidP="00180F41">
      <w:pPr>
        <w:pStyle w:val="Descripcin"/>
        <w:keepNext/>
        <w:rPr>
          <w:rFonts w:ascii="Times New Roman" w:hAnsi="Times New Roman" w:cs="Times New Roman"/>
          <w:color w:val="auto"/>
          <w:sz w:val="20"/>
          <w:szCs w:val="20"/>
        </w:rPr>
      </w:pPr>
      <w:r w:rsidRPr="00180F41">
        <w:rPr>
          <w:rFonts w:ascii="Times New Roman" w:hAnsi="Times New Roman" w:cs="Times New Roman"/>
          <w:color w:val="auto"/>
          <w:sz w:val="20"/>
          <w:szCs w:val="20"/>
        </w:rPr>
        <w:t xml:space="preserve">Tabla </w:t>
      </w:r>
      <w:r w:rsidRPr="00180F41">
        <w:rPr>
          <w:rFonts w:ascii="Times New Roman" w:hAnsi="Times New Roman" w:cs="Times New Roman"/>
          <w:color w:val="auto"/>
          <w:sz w:val="20"/>
          <w:szCs w:val="20"/>
        </w:rPr>
        <w:fldChar w:fldCharType="begin"/>
      </w:r>
      <w:r w:rsidRPr="00180F41">
        <w:rPr>
          <w:rFonts w:ascii="Times New Roman" w:hAnsi="Times New Roman" w:cs="Times New Roman"/>
          <w:color w:val="auto"/>
          <w:sz w:val="20"/>
          <w:szCs w:val="20"/>
        </w:rPr>
        <w:instrText xml:space="preserve"> SEQ Tabla \* ARABIC </w:instrText>
      </w:r>
      <w:r w:rsidRPr="00180F41">
        <w:rPr>
          <w:rFonts w:ascii="Times New Roman" w:hAnsi="Times New Roman" w:cs="Times New Roman"/>
          <w:color w:val="auto"/>
          <w:sz w:val="20"/>
          <w:szCs w:val="20"/>
        </w:rPr>
        <w:fldChar w:fldCharType="separate"/>
      </w:r>
      <w:r w:rsidR="005143FF">
        <w:rPr>
          <w:rFonts w:ascii="Times New Roman" w:hAnsi="Times New Roman" w:cs="Times New Roman"/>
          <w:noProof/>
          <w:color w:val="auto"/>
          <w:sz w:val="20"/>
          <w:szCs w:val="20"/>
        </w:rPr>
        <w:t>1</w:t>
      </w:r>
      <w:r w:rsidRPr="00180F41">
        <w:rPr>
          <w:rFonts w:ascii="Times New Roman" w:hAnsi="Times New Roman" w:cs="Times New Roman"/>
          <w:color w:val="auto"/>
          <w:sz w:val="20"/>
          <w:szCs w:val="20"/>
        </w:rPr>
        <w:fldChar w:fldCharType="end"/>
      </w:r>
      <w:r w:rsidRPr="00180F41">
        <w:rPr>
          <w:rFonts w:ascii="Times New Roman" w:hAnsi="Times New Roman" w:cs="Times New Roman"/>
          <w:color w:val="auto"/>
          <w:sz w:val="20"/>
          <w:szCs w:val="20"/>
        </w:rPr>
        <w:t xml:space="preserve">. </w:t>
      </w:r>
      <w:r w:rsidRPr="00180F41">
        <w:rPr>
          <w:rFonts w:ascii="Times New Roman" w:hAnsi="Times New Roman" w:cs="Times New Roman"/>
          <w:b/>
          <w:color w:val="auto"/>
          <w:sz w:val="20"/>
          <w:szCs w:val="20"/>
        </w:rPr>
        <w:t>Valores promedios de parámetros operacionales al inicio del proceso</w:t>
      </w:r>
      <w:r w:rsidR="00BD092E">
        <w:rPr>
          <w:rFonts w:ascii="Times New Roman" w:hAnsi="Times New Roman" w:cs="Times New Roman"/>
          <w:b/>
          <w:color w:val="auto"/>
          <w:sz w:val="20"/>
          <w:szCs w:val="20"/>
        </w:rPr>
        <w:t xml:space="preserve">. </w:t>
      </w:r>
      <w:r w:rsidR="00BD092E">
        <w:rPr>
          <w:rFonts w:ascii="Times New Roman" w:hAnsi="Times New Roman" w:cs="Times New Roman"/>
          <w:b/>
          <w:color w:val="auto"/>
          <w:sz w:val="20"/>
          <w:szCs w:val="20"/>
        </w:rPr>
        <w:fldChar w:fldCharType="begin" w:fldLock="1"/>
      </w:r>
      <w:r w:rsidR="00812087">
        <w:rPr>
          <w:rFonts w:ascii="Times New Roman" w:hAnsi="Times New Roman" w:cs="Times New Roman"/>
          <w:b/>
          <w:color w:val="auto"/>
          <w:sz w:val="20"/>
          <w:szCs w:val="20"/>
        </w:rPr>
        <w:instrText>ADDIN CSL_CITATION {"citationItems":[{"id":"ITEM-1","itemData":{"author":[{"dropping-particle":"","family":"Escobar","given":"Julia M","non-dropping-particle":"","parse-names":false,"suffix":""},{"dropping-particle":"","family":"Cerda","given":"Víctor R","non-dropping-particle":"","parse-names":false,"suffix":""},{"dropping-particle":"","family":"Tapuy","given":"Andrea S","non-dropping-particle":"","parse-names":false,"suffix":""}],"container-title":"MOL2NET, International Conference Series on Multidisciplinary Sciences","id":"ITEM-1","issued":{"date-parts":[["2018"]]},"page":"2-7","title":"Evaluation of the operation parameters and the process quality of the obtaining of granulated panela in the parish of Tarqui, in the panela industry “El Valle”","type":"paper-conference"},"uris":["http://www.mendeley.com/documents/?uuid=b28ccc3b-7e91-4be8-a67e-a829555d4493"]}],"mendeley":{"formattedCitation":"Escobar et al., (2018)","plainTextFormattedCitation":"Escobar et al., (2018)","previouslyFormattedCitation":"Escobar et al., (2018)"},"properties":{"noteIndex":0},"schema":"https://github.com/citation-style-language/schema/raw/master/csl-citation.json"}</w:instrText>
      </w:r>
      <w:r w:rsidR="00BD092E">
        <w:rPr>
          <w:rFonts w:ascii="Times New Roman" w:hAnsi="Times New Roman" w:cs="Times New Roman"/>
          <w:b/>
          <w:color w:val="auto"/>
          <w:sz w:val="20"/>
          <w:szCs w:val="20"/>
        </w:rPr>
        <w:fldChar w:fldCharType="separate"/>
      </w:r>
      <w:r w:rsidR="00BD092E" w:rsidRPr="00BD092E">
        <w:rPr>
          <w:rFonts w:ascii="Times New Roman" w:hAnsi="Times New Roman" w:cs="Times New Roman"/>
          <w:i w:val="0"/>
          <w:noProof/>
          <w:color w:val="auto"/>
          <w:sz w:val="20"/>
          <w:szCs w:val="20"/>
        </w:rPr>
        <w:t>Escobar et al., (2018)</w:t>
      </w:r>
      <w:r w:rsidR="00BD092E">
        <w:rPr>
          <w:rFonts w:ascii="Times New Roman" w:hAnsi="Times New Roman" w:cs="Times New Roman"/>
          <w:b/>
          <w:color w:val="auto"/>
          <w:sz w:val="20"/>
          <w:szCs w:val="20"/>
        </w:rPr>
        <w:fldChar w:fldCharType="end"/>
      </w:r>
    </w:p>
    <w:tbl>
      <w:tblPr>
        <w:tblW w:w="8870" w:type="dxa"/>
        <w:tblCellMar>
          <w:left w:w="70" w:type="dxa"/>
          <w:right w:w="70" w:type="dxa"/>
        </w:tblCellMar>
        <w:tblLook w:val="04A0" w:firstRow="1" w:lastRow="0" w:firstColumn="1" w:lastColumn="0" w:noHBand="0" w:noVBand="1"/>
      </w:tblPr>
      <w:tblGrid>
        <w:gridCol w:w="1780"/>
        <w:gridCol w:w="1050"/>
        <w:gridCol w:w="1276"/>
        <w:gridCol w:w="1134"/>
        <w:gridCol w:w="1276"/>
        <w:gridCol w:w="1134"/>
        <w:gridCol w:w="1220"/>
      </w:tblGrid>
      <w:tr w:rsidR="00CF74C7" w:rsidRPr="00CF74C7" w14:paraId="0314709D" w14:textId="77777777" w:rsidTr="00180F41">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434B2"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INICIO DEL PROCESO</w:t>
            </w:r>
          </w:p>
        </w:tc>
        <w:tc>
          <w:tcPr>
            <w:tcW w:w="7090" w:type="dxa"/>
            <w:gridSpan w:val="6"/>
            <w:tcBorders>
              <w:top w:val="single" w:sz="4" w:space="0" w:color="auto"/>
              <w:left w:val="nil"/>
              <w:bottom w:val="single" w:sz="4" w:space="0" w:color="auto"/>
              <w:right w:val="single" w:sz="4" w:space="0" w:color="auto"/>
            </w:tcBorders>
            <w:shd w:val="clear" w:color="auto" w:fill="auto"/>
            <w:vAlign w:val="bottom"/>
            <w:hideMark/>
          </w:tcPr>
          <w:p w14:paraId="1216785E"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PARÁMETROS OPERACIONALES</w:t>
            </w:r>
          </w:p>
        </w:tc>
      </w:tr>
      <w:tr w:rsidR="00CF74C7" w:rsidRPr="00CF74C7" w14:paraId="780117D9" w14:textId="77777777" w:rsidTr="00180F41">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4230EEEF" w14:textId="77777777" w:rsidR="00C213AF" w:rsidRPr="00CF74C7" w:rsidRDefault="00C213AF" w:rsidP="002C7C82">
            <w:pPr>
              <w:spacing w:after="0" w:line="240" w:lineRule="auto"/>
              <w:rPr>
                <w:rFonts w:ascii="Times New Roman" w:eastAsia="Times New Roman" w:hAnsi="Times New Roman" w:cs="Times New Roman"/>
                <w:b/>
                <w:bCs/>
                <w:sz w:val="24"/>
                <w:szCs w:val="24"/>
                <w:lang w:val="es-EC" w:eastAsia="es-EC"/>
              </w:rPr>
            </w:pPr>
          </w:p>
        </w:tc>
        <w:tc>
          <w:tcPr>
            <w:tcW w:w="2326" w:type="dxa"/>
            <w:gridSpan w:val="2"/>
            <w:tcBorders>
              <w:top w:val="single" w:sz="4" w:space="0" w:color="auto"/>
              <w:left w:val="nil"/>
              <w:bottom w:val="single" w:sz="4" w:space="0" w:color="auto"/>
              <w:right w:val="single" w:sz="4" w:space="0" w:color="auto"/>
            </w:tcBorders>
            <w:shd w:val="clear" w:color="auto" w:fill="auto"/>
            <w:vAlign w:val="bottom"/>
            <w:hideMark/>
          </w:tcPr>
          <w:p w14:paraId="6A4B0DA2"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Rendimiento del trapiche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C56E348"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Sólidos Solubles (°Brix)</w:t>
            </w:r>
          </w:p>
        </w:tc>
        <w:tc>
          <w:tcPr>
            <w:tcW w:w="23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5A1C6C"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pH</w:t>
            </w:r>
          </w:p>
        </w:tc>
      </w:tr>
      <w:tr w:rsidR="00CF74C7" w:rsidRPr="00CF74C7" w14:paraId="787B7AAF" w14:textId="77777777" w:rsidTr="00180F41">
        <w:trPr>
          <w:trHeight w:val="52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5CFCDE03" w14:textId="77777777" w:rsidR="00C213AF" w:rsidRPr="00CF74C7" w:rsidRDefault="00C213AF" w:rsidP="002C7C82">
            <w:pPr>
              <w:spacing w:after="0" w:line="240" w:lineRule="auto"/>
              <w:rPr>
                <w:rFonts w:ascii="Times New Roman" w:eastAsia="Times New Roman" w:hAnsi="Times New Roman" w:cs="Times New Roman"/>
                <w:b/>
                <w:bCs/>
                <w:sz w:val="24"/>
                <w:szCs w:val="24"/>
                <w:lang w:val="es-EC" w:eastAsia="es-EC"/>
              </w:rPr>
            </w:pPr>
          </w:p>
        </w:tc>
        <w:tc>
          <w:tcPr>
            <w:tcW w:w="1050" w:type="dxa"/>
            <w:tcBorders>
              <w:top w:val="nil"/>
              <w:left w:val="nil"/>
              <w:bottom w:val="single" w:sz="4" w:space="0" w:color="auto"/>
              <w:right w:val="single" w:sz="4" w:space="0" w:color="auto"/>
            </w:tcBorders>
            <w:shd w:val="clear" w:color="auto" w:fill="auto"/>
            <w:vAlign w:val="bottom"/>
            <w:hideMark/>
          </w:tcPr>
          <w:p w14:paraId="6BDDEE6E"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Valor Medio</w:t>
            </w:r>
          </w:p>
        </w:tc>
        <w:tc>
          <w:tcPr>
            <w:tcW w:w="1276" w:type="dxa"/>
            <w:tcBorders>
              <w:top w:val="nil"/>
              <w:left w:val="nil"/>
              <w:bottom w:val="single" w:sz="4" w:space="0" w:color="auto"/>
              <w:right w:val="single" w:sz="4" w:space="0" w:color="auto"/>
            </w:tcBorders>
            <w:shd w:val="clear" w:color="auto" w:fill="auto"/>
            <w:vAlign w:val="bottom"/>
            <w:hideMark/>
          </w:tcPr>
          <w:p w14:paraId="3C10EDE5"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Desviación Estándar</w:t>
            </w:r>
          </w:p>
        </w:tc>
        <w:tc>
          <w:tcPr>
            <w:tcW w:w="1134" w:type="dxa"/>
            <w:tcBorders>
              <w:top w:val="nil"/>
              <w:left w:val="nil"/>
              <w:bottom w:val="single" w:sz="4" w:space="0" w:color="auto"/>
              <w:right w:val="single" w:sz="4" w:space="0" w:color="auto"/>
            </w:tcBorders>
            <w:shd w:val="clear" w:color="auto" w:fill="auto"/>
            <w:vAlign w:val="bottom"/>
          </w:tcPr>
          <w:p w14:paraId="70832E73"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Valor Medio</w:t>
            </w:r>
          </w:p>
        </w:tc>
        <w:tc>
          <w:tcPr>
            <w:tcW w:w="1276" w:type="dxa"/>
            <w:tcBorders>
              <w:top w:val="nil"/>
              <w:left w:val="nil"/>
              <w:bottom w:val="single" w:sz="4" w:space="0" w:color="auto"/>
              <w:right w:val="single" w:sz="4" w:space="0" w:color="auto"/>
            </w:tcBorders>
            <w:shd w:val="clear" w:color="auto" w:fill="auto"/>
            <w:vAlign w:val="bottom"/>
          </w:tcPr>
          <w:p w14:paraId="7399DDD2"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Desviación Estándar</w:t>
            </w:r>
          </w:p>
        </w:tc>
        <w:tc>
          <w:tcPr>
            <w:tcW w:w="1134" w:type="dxa"/>
            <w:tcBorders>
              <w:top w:val="nil"/>
              <w:left w:val="nil"/>
              <w:bottom w:val="single" w:sz="4" w:space="0" w:color="auto"/>
              <w:right w:val="single" w:sz="4" w:space="0" w:color="auto"/>
            </w:tcBorders>
            <w:shd w:val="clear" w:color="auto" w:fill="auto"/>
            <w:vAlign w:val="bottom"/>
            <w:hideMark/>
          </w:tcPr>
          <w:p w14:paraId="70DFBECB"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Valor Medio</w:t>
            </w:r>
          </w:p>
        </w:tc>
        <w:tc>
          <w:tcPr>
            <w:tcW w:w="1220" w:type="dxa"/>
            <w:tcBorders>
              <w:top w:val="nil"/>
              <w:left w:val="nil"/>
              <w:bottom w:val="single" w:sz="4" w:space="0" w:color="auto"/>
              <w:right w:val="single" w:sz="4" w:space="0" w:color="auto"/>
            </w:tcBorders>
            <w:shd w:val="clear" w:color="auto" w:fill="auto"/>
            <w:vAlign w:val="bottom"/>
            <w:hideMark/>
          </w:tcPr>
          <w:p w14:paraId="52A7552D"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Desviación Estándar</w:t>
            </w:r>
          </w:p>
        </w:tc>
      </w:tr>
      <w:tr w:rsidR="00CF74C7" w:rsidRPr="00CF74C7" w14:paraId="310DEFE1" w14:textId="77777777" w:rsidTr="00180F4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41E7586"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Recepción</w:t>
            </w:r>
          </w:p>
        </w:tc>
        <w:tc>
          <w:tcPr>
            <w:tcW w:w="1050" w:type="dxa"/>
            <w:tcBorders>
              <w:top w:val="nil"/>
              <w:left w:val="nil"/>
              <w:bottom w:val="single" w:sz="4" w:space="0" w:color="auto"/>
              <w:right w:val="single" w:sz="4" w:space="0" w:color="auto"/>
            </w:tcBorders>
            <w:shd w:val="clear" w:color="auto" w:fill="auto"/>
            <w:noWrap/>
            <w:vAlign w:val="bottom"/>
            <w:hideMark/>
          </w:tcPr>
          <w:p w14:paraId="0F8F6987" w14:textId="1F3085D8"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63,1</w:t>
            </w:r>
            <w:r w:rsidR="00494AE4">
              <w:rPr>
                <w:rFonts w:ascii="Times New Roman" w:eastAsia="Times New Roman" w:hAnsi="Times New Roman" w:cs="Times New Roman"/>
                <w:sz w:val="24"/>
                <w:szCs w:val="24"/>
                <w:lang w:val="es-EC" w:eastAsia="es-EC"/>
              </w:rPr>
              <w:t>0</w:t>
            </w:r>
          </w:p>
        </w:tc>
        <w:tc>
          <w:tcPr>
            <w:tcW w:w="1276" w:type="dxa"/>
            <w:tcBorders>
              <w:top w:val="nil"/>
              <w:left w:val="nil"/>
              <w:bottom w:val="single" w:sz="4" w:space="0" w:color="auto"/>
              <w:right w:val="single" w:sz="4" w:space="0" w:color="auto"/>
            </w:tcBorders>
            <w:shd w:val="clear" w:color="auto" w:fill="auto"/>
            <w:noWrap/>
            <w:vAlign w:val="bottom"/>
            <w:hideMark/>
          </w:tcPr>
          <w:p w14:paraId="0BD01D56" w14:textId="238B6186"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5,3</w:t>
            </w:r>
            <w:r w:rsidR="00494AE4">
              <w:rPr>
                <w:rFonts w:ascii="Times New Roman" w:eastAsia="Times New Roman" w:hAnsi="Times New Roman" w:cs="Times New Roman"/>
                <w:sz w:val="24"/>
                <w:szCs w:val="24"/>
                <w:lang w:val="es-EC" w:eastAsia="es-EC"/>
              </w:rPr>
              <w:t>0</w:t>
            </w:r>
          </w:p>
        </w:tc>
        <w:tc>
          <w:tcPr>
            <w:tcW w:w="1134" w:type="dxa"/>
            <w:tcBorders>
              <w:top w:val="nil"/>
              <w:left w:val="nil"/>
              <w:bottom w:val="single" w:sz="4" w:space="0" w:color="auto"/>
              <w:right w:val="single" w:sz="4" w:space="0" w:color="auto"/>
            </w:tcBorders>
            <w:shd w:val="clear" w:color="auto" w:fill="auto"/>
            <w:noWrap/>
            <w:vAlign w:val="bottom"/>
          </w:tcPr>
          <w:p w14:paraId="4A02360C" w14:textId="3529120B"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16,3</w:t>
            </w:r>
            <w:r w:rsidR="00494AE4">
              <w:rPr>
                <w:rFonts w:ascii="Times New Roman" w:eastAsia="Times New Roman" w:hAnsi="Times New Roman" w:cs="Times New Roman"/>
                <w:sz w:val="24"/>
                <w:szCs w:val="24"/>
                <w:lang w:val="es-EC" w:eastAsia="es-EC"/>
              </w:rPr>
              <w:t>0</w:t>
            </w:r>
          </w:p>
        </w:tc>
        <w:tc>
          <w:tcPr>
            <w:tcW w:w="1276" w:type="dxa"/>
            <w:tcBorders>
              <w:top w:val="nil"/>
              <w:left w:val="nil"/>
              <w:bottom w:val="single" w:sz="4" w:space="0" w:color="auto"/>
              <w:right w:val="single" w:sz="4" w:space="0" w:color="auto"/>
            </w:tcBorders>
            <w:shd w:val="clear" w:color="auto" w:fill="auto"/>
            <w:noWrap/>
            <w:vAlign w:val="bottom"/>
          </w:tcPr>
          <w:p w14:paraId="51E040FA" w14:textId="03A60AF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1,5</w:t>
            </w:r>
            <w:r w:rsidR="00494AE4">
              <w:rPr>
                <w:rFonts w:ascii="Times New Roman" w:eastAsia="Times New Roman" w:hAnsi="Times New Roman" w:cs="Times New Roman"/>
                <w:sz w:val="24"/>
                <w:szCs w:val="24"/>
                <w:lang w:val="es-EC" w:eastAsia="es-EC"/>
              </w:rPr>
              <w:t>0</w:t>
            </w:r>
          </w:p>
        </w:tc>
        <w:tc>
          <w:tcPr>
            <w:tcW w:w="1134" w:type="dxa"/>
            <w:tcBorders>
              <w:top w:val="nil"/>
              <w:left w:val="nil"/>
              <w:bottom w:val="single" w:sz="4" w:space="0" w:color="auto"/>
              <w:right w:val="single" w:sz="4" w:space="0" w:color="auto"/>
            </w:tcBorders>
            <w:shd w:val="clear" w:color="auto" w:fill="auto"/>
            <w:noWrap/>
            <w:vAlign w:val="bottom"/>
            <w:hideMark/>
          </w:tcPr>
          <w:p w14:paraId="23298FC3" w14:textId="13FF467A"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5,4</w:t>
            </w:r>
            <w:r w:rsidR="00494AE4">
              <w:rPr>
                <w:rFonts w:ascii="Times New Roman" w:eastAsia="Times New Roman" w:hAnsi="Times New Roman" w:cs="Times New Roman"/>
                <w:sz w:val="24"/>
                <w:szCs w:val="24"/>
                <w:lang w:val="es-EC" w:eastAsia="es-EC"/>
              </w:rPr>
              <w:t>0</w:t>
            </w:r>
          </w:p>
        </w:tc>
        <w:tc>
          <w:tcPr>
            <w:tcW w:w="1220" w:type="dxa"/>
            <w:tcBorders>
              <w:top w:val="nil"/>
              <w:left w:val="nil"/>
              <w:bottom w:val="single" w:sz="4" w:space="0" w:color="auto"/>
              <w:right w:val="single" w:sz="4" w:space="0" w:color="auto"/>
            </w:tcBorders>
            <w:shd w:val="clear" w:color="auto" w:fill="auto"/>
            <w:noWrap/>
            <w:vAlign w:val="bottom"/>
            <w:hideMark/>
          </w:tcPr>
          <w:p w14:paraId="0C7CF69F" w14:textId="433F7842"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0,4</w:t>
            </w:r>
            <w:r w:rsidR="00494AE4">
              <w:rPr>
                <w:rFonts w:ascii="Times New Roman" w:eastAsia="Times New Roman" w:hAnsi="Times New Roman" w:cs="Times New Roman"/>
                <w:sz w:val="24"/>
                <w:szCs w:val="24"/>
                <w:lang w:val="es-EC" w:eastAsia="es-EC"/>
              </w:rPr>
              <w:t>0</w:t>
            </w:r>
          </w:p>
        </w:tc>
      </w:tr>
    </w:tbl>
    <w:p w14:paraId="7EB85477" w14:textId="77777777" w:rsidR="00C213AF" w:rsidRPr="00CF74C7" w:rsidRDefault="00C213AF" w:rsidP="00C213AF">
      <w:pPr>
        <w:jc w:val="both"/>
        <w:rPr>
          <w:rFonts w:ascii="Times New Roman" w:hAnsi="Times New Roman" w:cs="Times New Roman"/>
          <w:sz w:val="24"/>
          <w:szCs w:val="24"/>
        </w:rPr>
      </w:pPr>
    </w:p>
    <w:p w14:paraId="008D4F3F" w14:textId="77777777" w:rsidR="00C213AF" w:rsidRPr="00CF74C7" w:rsidRDefault="00C213AF" w:rsidP="00C213AF">
      <w:pPr>
        <w:jc w:val="both"/>
        <w:rPr>
          <w:rFonts w:ascii="Times New Roman" w:hAnsi="Times New Roman" w:cs="Times New Roman"/>
          <w:b/>
          <w:sz w:val="24"/>
          <w:szCs w:val="24"/>
        </w:rPr>
      </w:pPr>
      <w:r w:rsidRPr="00CF74C7">
        <w:rPr>
          <w:rFonts w:ascii="Times New Roman" w:hAnsi="Times New Roman" w:cs="Times New Roman"/>
          <w:b/>
          <w:sz w:val="24"/>
          <w:szCs w:val="24"/>
        </w:rPr>
        <w:t>Parámetros operacionales durante el proceso</w:t>
      </w:r>
    </w:p>
    <w:p w14:paraId="4825DAA9" w14:textId="44BCC176" w:rsidR="00C213AF" w:rsidRPr="00E26A87" w:rsidRDefault="00C213AF" w:rsidP="00C213AF">
      <w:pPr>
        <w:jc w:val="both"/>
        <w:rPr>
          <w:rFonts w:ascii="Times New Roman" w:hAnsi="Times New Roman" w:cs="Times New Roman"/>
          <w:b/>
          <w:color w:val="FF0000"/>
          <w:sz w:val="24"/>
          <w:szCs w:val="24"/>
        </w:rPr>
      </w:pPr>
      <w:r w:rsidRPr="00CF74C7">
        <w:rPr>
          <w:rFonts w:ascii="Times New Roman" w:hAnsi="Times New Roman" w:cs="Times New Roman"/>
          <w:sz w:val="24"/>
          <w:szCs w:val="24"/>
        </w:rPr>
        <w:t xml:space="preserve">Como resultado de la medición de sólidos solubles y temperatura se observa en </w:t>
      </w:r>
      <w:r w:rsidR="00812087">
        <w:rPr>
          <w:rFonts w:ascii="Times New Roman" w:hAnsi="Times New Roman" w:cs="Times New Roman"/>
          <w:sz w:val="24"/>
          <w:szCs w:val="24"/>
        </w:rPr>
        <w:t>la tabla</w:t>
      </w:r>
      <w:r w:rsidRPr="00CF74C7">
        <w:rPr>
          <w:rFonts w:ascii="Times New Roman" w:hAnsi="Times New Roman" w:cs="Times New Roman"/>
          <w:sz w:val="24"/>
          <w:szCs w:val="24"/>
        </w:rPr>
        <w:t xml:space="preserve"> 2, el aumento de °Brix y °C con desviaciones estándar altamente significativas en un intervalo de confianza del 95%, esta variación se debe a que el sistema utilizado es abierto en la panelera “el Valle”, haciendo que tanto agua evaporada como la energía generada no sean aprovechadas de forma eficiente e incidiendo en las diversas calidades de la panela granulada obtenidas. En esta etapa el jugo hierve y va perdiendo agua por evaporación, así va pasando de un evaporador a otro empujado por diferencia de presiones hasta alcanzar entre 92 – 96 °Brix, debiendo cuidarse la temperatura ya que la sacarosa es un producto que al alcanzar ciertas condiciones puede presentar descomposición química y los valores de pH deben oscilar entre 6 a 7 para evitar las pérdidas de sacarosa</w:t>
      </w:r>
      <w:r w:rsidR="00E26A87">
        <w:rPr>
          <w:rFonts w:ascii="Times New Roman" w:hAnsi="Times New Roman" w:cs="Times New Roman"/>
          <w:sz w:val="24"/>
          <w:szCs w:val="24"/>
        </w:rPr>
        <w:t>.</w:t>
      </w:r>
    </w:p>
    <w:p w14:paraId="6F4256C4" w14:textId="77777777" w:rsidR="00812087" w:rsidRPr="00812087" w:rsidRDefault="00812087" w:rsidP="00812087">
      <w:pPr>
        <w:pStyle w:val="Descripcin"/>
        <w:keepNext/>
        <w:rPr>
          <w:rFonts w:ascii="Times New Roman" w:hAnsi="Times New Roman" w:cs="Times New Roman"/>
          <w:color w:val="auto"/>
          <w:sz w:val="20"/>
          <w:szCs w:val="20"/>
        </w:rPr>
      </w:pPr>
      <w:r w:rsidRPr="00812087">
        <w:rPr>
          <w:rFonts w:ascii="Times New Roman" w:hAnsi="Times New Roman" w:cs="Times New Roman"/>
          <w:color w:val="auto"/>
          <w:sz w:val="20"/>
          <w:szCs w:val="20"/>
        </w:rPr>
        <w:t xml:space="preserve">Tabla </w:t>
      </w:r>
      <w:r w:rsidRPr="00812087">
        <w:rPr>
          <w:rFonts w:ascii="Times New Roman" w:hAnsi="Times New Roman" w:cs="Times New Roman"/>
          <w:color w:val="auto"/>
          <w:sz w:val="20"/>
          <w:szCs w:val="20"/>
        </w:rPr>
        <w:fldChar w:fldCharType="begin"/>
      </w:r>
      <w:r w:rsidRPr="00812087">
        <w:rPr>
          <w:rFonts w:ascii="Times New Roman" w:hAnsi="Times New Roman" w:cs="Times New Roman"/>
          <w:color w:val="auto"/>
          <w:sz w:val="20"/>
          <w:szCs w:val="20"/>
        </w:rPr>
        <w:instrText xml:space="preserve"> SEQ Tabla \* ARABIC </w:instrText>
      </w:r>
      <w:r w:rsidRPr="00812087">
        <w:rPr>
          <w:rFonts w:ascii="Times New Roman" w:hAnsi="Times New Roman" w:cs="Times New Roman"/>
          <w:color w:val="auto"/>
          <w:sz w:val="20"/>
          <w:szCs w:val="20"/>
        </w:rPr>
        <w:fldChar w:fldCharType="separate"/>
      </w:r>
      <w:r w:rsidR="005143FF">
        <w:rPr>
          <w:rFonts w:ascii="Times New Roman" w:hAnsi="Times New Roman" w:cs="Times New Roman"/>
          <w:noProof/>
          <w:color w:val="auto"/>
          <w:sz w:val="20"/>
          <w:szCs w:val="20"/>
        </w:rPr>
        <w:t>2</w:t>
      </w:r>
      <w:r w:rsidRPr="00812087">
        <w:rPr>
          <w:rFonts w:ascii="Times New Roman" w:hAnsi="Times New Roman" w:cs="Times New Roman"/>
          <w:color w:val="auto"/>
          <w:sz w:val="20"/>
          <w:szCs w:val="20"/>
        </w:rPr>
        <w:fldChar w:fldCharType="end"/>
      </w:r>
      <w:r w:rsidRPr="00812087">
        <w:rPr>
          <w:rFonts w:ascii="Times New Roman" w:hAnsi="Times New Roman" w:cs="Times New Roman"/>
          <w:color w:val="auto"/>
          <w:sz w:val="20"/>
          <w:szCs w:val="20"/>
        </w:rPr>
        <w:t xml:space="preserve">. </w:t>
      </w:r>
      <w:r w:rsidRPr="00812087">
        <w:rPr>
          <w:rFonts w:ascii="Times New Roman" w:hAnsi="Times New Roman" w:cs="Times New Roman"/>
          <w:b/>
          <w:color w:val="auto"/>
          <w:sz w:val="20"/>
          <w:szCs w:val="20"/>
        </w:rPr>
        <w:t xml:space="preserve">Valores promedios de parámetros operacionales durante el proceso. </w:t>
      </w:r>
      <w:r w:rsidRPr="00812087">
        <w:rPr>
          <w:rFonts w:ascii="Times New Roman" w:hAnsi="Times New Roman" w:cs="Times New Roman"/>
          <w:b/>
          <w:color w:val="auto"/>
          <w:sz w:val="20"/>
          <w:szCs w:val="20"/>
        </w:rPr>
        <w:fldChar w:fldCharType="begin" w:fldLock="1"/>
      </w:r>
      <w:r w:rsidR="005143FF">
        <w:rPr>
          <w:rFonts w:ascii="Times New Roman" w:hAnsi="Times New Roman" w:cs="Times New Roman"/>
          <w:b/>
          <w:color w:val="auto"/>
          <w:sz w:val="20"/>
          <w:szCs w:val="20"/>
        </w:rPr>
        <w:instrText>ADDIN CSL_CITATION {"citationItems":[{"id":"ITEM-1","itemData":{"author":[{"dropping-particle":"","family":"Escobar","given":"Julia M","non-dropping-particle":"","parse-names":false,"suffix":""},{"dropping-particle":"","family":"Cerda","given":"Víctor R","non-dropping-particle":"","parse-names":false,"suffix":""},{"dropping-particle":"","family":"Tapuy","given":"Andrea S","non-dropping-particle":"","parse-names":false,"suffix":""}],"container-title":"MOL2NET, International Conference Series on Multidisciplinary Sciences","id":"ITEM-1","issued":{"date-parts":[["2018"]]},"page":"2-7","title":"Evaluation of the operation parameters and the process quality of the obtaining of granulated panela in the parish of Tarqui, in the panela industry “El Valle”","type":"paper-conference"},"uris":["http://www.mendeley.com/documents/?uuid=b28ccc3b-7e91-4be8-a67e-a829555d4493"]}],"mendeley":{"formattedCitation":"Escobar et al., (2018)","plainTextFormattedCitation":"Escobar et al., (2018)","previouslyFormattedCitation":"Escobar et al., (2018)"},"properties":{"noteIndex":0},"schema":"https://github.com/citation-style-language/schema/raw/master/csl-citation.json"}</w:instrText>
      </w:r>
      <w:r w:rsidRPr="00812087">
        <w:rPr>
          <w:rFonts w:ascii="Times New Roman" w:hAnsi="Times New Roman" w:cs="Times New Roman"/>
          <w:b/>
          <w:color w:val="auto"/>
          <w:sz w:val="20"/>
          <w:szCs w:val="20"/>
        </w:rPr>
        <w:fldChar w:fldCharType="separate"/>
      </w:r>
      <w:r w:rsidRPr="00812087">
        <w:rPr>
          <w:rFonts w:ascii="Times New Roman" w:hAnsi="Times New Roman" w:cs="Times New Roman"/>
          <w:i w:val="0"/>
          <w:noProof/>
          <w:color w:val="auto"/>
          <w:sz w:val="20"/>
          <w:szCs w:val="20"/>
        </w:rPr>
        <w:t>Escobar et al., (2018)</w:t>
      </w:r>
      <w:r w:rsidRPr="00812087">
        <w:rPr>
          <w:rFonts w:ascii="Times New Roman" w:hAnsi="Times New Roman" w:cs="Times New Roman"/>
          <w:b/>
          <w:color w:val="auto"/>
          <w:sz w:val="20"/>
          <w:szCs w:val="20"/>
        </w:rPr>
        <w:fldChar w:fldCharType="end"/>
      </w:r>
    </w:p>
    <w:tbl>
      <w:tblPr>
        <w:tblW w:w="6834" w:type="dxa"/>
        <w:tblCellMar>
          <w:left w:w="70" w:type="dxa"/>
          <w:right w:w="70" w:type="dxa"/>
        </w:tblCellMar>
        <w:tblLook w:val="04A0" w:firstRow="1" w:lastRow="0" w:firstColumn="1" w:lastColumn="0" w:noHBand="0" w:noVBand="1"/>
      </w:tblPr>
      <w:tblGrid>
        <w:gridCol w:w="1780"/>
        <w:gridCol w:w="1280"/>
        <w:gridCol w:w="1247"/>
        <w:gridCol w:w="1280"/>
        <w:gridCol w:w="1247"/>
      </w:tblGrid>
      <w:tr w:rsidR="00CF74C7" w:rsidRPr="00CF74C7" w14:paraId="1EBF99E0" w14:textId="77777777" w:rsidTr="00812087">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78C8C"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PROCESO</w:t>
            </w:r>
          </w:p>
        </w:tc>
        <w:tc>
          <w:tcPr>
            <w:tcW w:w="505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A7ADB4"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PARÁMETROS OPERACIONALES</w:t>
            </w:r>
          </w:p>
        </w:tc>
      </w:tr>
      <w:tr w:rsidR="00CF74C7" w:rsidRPr="00CF74C7" w14:paraId="2E0D8A77" w14:textId="77777777" w:rsidTr="00812087">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377EE4CB" w14:textId="77777777" w:rsidR="00C213AF" w:rsidRPr="00CF74C7" w:rsidRDefault="00C213AF" w:rsidP="002C7C82">
            <w:pPr>
              <w:spacing w:after="0" w:line="240" w:lineRule="auto"/>
              <w:rPr>
                <w:rFonts w:ascii="Times New Roman" w:eastAsia="Times New Roman" w:hAnsi="Times New Roman" w:cs="Times New Roman"/>
                <w:b/>
                <w:bCs/>
                <w:sz w:val="24"/>
                <w:szCs w:val="24"/>
                <w:lang w:val="es-EC" w:eastAsia="es-EC"/>
              </w:rPr>
            </w:pPr>
          </w:p>
        </w:tc>
        <w:tc>
          <w:tcPr>
            <w:tcW w:w="2527" w:type="dxa"/>
            <w:gridSpan w:val="2"/>
            <w:tcBorders>
              <w:top w:val="single" w:sz="4" w:space="0" w:color="auto"/>
              <w:left w:val="nil"/>
              <w:bottom w:val="single" w:sz="4" w:space="0" w:color="auto"/>
              <w:right w:val="single" w:sz="4" w:space="0" w:color="auto"/>
            </w:tcBorders>
            <w:shd w:val="clear" w:color="auto" w:fill="auto"/>
            <w:vAlign w:val="bottom"/>
            <w:hideMark/>
          </w:tcPr>
          <w:p w14:paraId="1A1BFEFD"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Sólidos Solubles (°Brix)</w:t>
            </w:r>
          </w:p>
        </w:tc>
        <w:tc>
          <w:tcPr>
            <w:tcW w:w="2527" w:type="dxa"/>
            <w:gridSpan w:val="2"/>
            <w:tcBorders>
              <w:top w:val="single" w:sz="4" w:space="0" w:color="auto"/>
              <w:left w:val="nil"/>
              <w:bottom w:val="single" w:sz="4" w:space="0" w:color="auto"/>
              <w:right w:val="single" w:sz="4" w:space="0" w:color="auto"/>
            </w:tcBorders>
            <w:shd w:val="clear" w:color="auto" w:fill="auto"/>
            <w:vAlign w:val="center"/>
            <w:hideMark/>
          </w:tcPr>
          <w:p w14:paraId="3F11EF13"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Temperatura (°C)</w:t>
            </w:r>
          </w:p>
        </w:tc>
      </w:tr>
      <w:tr w:rsidR="00CF74C7" w:rsidRPr="00CF74C7" w14:paraId="55A0C188" w14:textId="77777777" w:rsidTr="00812087">
        <w:trPr>
          <w:trHeight w:val="52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5885B38C" w14:textId="77777777" w:rsidR="00C213AF" w:rsidRPr="00CF74C7" w:rsidRDefault="00C213AF" w:rsidP="002C7C82">
            <w:pPr>
              <w:spacing w:after="0" w:line="240" w:lineRule="auto"/>
              <w:rPr>
                <w:rFonts w:ascii="Times New Roman" w:eastAsia="Times New Roman" w:hAnsi="Times New Roman" w:cs="Times New Roman"/>
                <w:b/>
                <w:bCs/>
                <w:sz w:val="24"/>
                <w:szCs w:val="24"/>
                <w:lang w:val="es-EC" w:eastAsia="es-EC"/>
              </w:rPr>
            </w:pPr>
          </w:p>
        </w:tc>
        <w:tc>
          <w:tcPr>
            <w:tcW w:w="1280" w:type="dxa"/>
            <w:tcBorders>
              <w:top w:val="nil"/>
              <w:left w:val="nil"/>
              <w:bottom w:val="single" w:sz="4" w:space="0" w:color="auto"/>
              <w:right w:val="single" w:sz="4" w:space="0" w:color="auto"/>
            </w:tcBorders>
            <w:shd w:val="clear" w:color="auto" w:fill="auto"/>
            <w:vAlign w:val="bottom"/>
            <w:hideMark/>
          </w:tcPr>
          <w:p w14:paraId="1C45E42B"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Valor Medio</w:t>
            </w:r>
          </w:p>
        </w:tc>
        <w:tc>
          <w:tcPr>
            <w:tcW w:w="1247" w:type="dxa"/>
            <w:tcBorders>
              <w:top w:val="nil"/>
              <w:left w:val="nil"/>
              <w:bottom w:val="single" w:sz="4" w:space="0" w:color="auto"/>
              <w:right w:val="single" w:sz="4" w:space="0" w:color="auto"/>
            </w:tcBorders>
            <w:shd w:val="clear" w:color="auto" w:fill="auto"/>
            <w:vAlign w:val="bottom"/>
            <w:hideMark/>
          </w:tcPr>
          <w:p w14:paraId="404F0516"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Desviación Estándar</w:t>
            </w:r>
          </w:p>
        </w:tc>
        <w:tc>
          <w:tcPr>
            <w:tcW w:w="1280" w:type="dxa"/>
            <w:tcBorders>
              <w:top w:val="nil"/>
              <w:left w:val="nil"/>
              <w:bottom w:val="single" w:sz="4" w:space="0" w:color="auto"/>
              <w:right w:val="single" w:sz="4" w:space="0" w:color="auto"/>
            </w:tcBorders>
            <w:shd w:val="clear" w:color="auto" w:fill="auto"/>
            <w:vAlign w:val="bottom"/>
            <w:hideMark/>
          </w:tcPr>
          <w:p w14:paraId="3282F110"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Valor Medio</w:t>
            </w:r>
          </w:p>
        </w:tc>
        <w:tc>
          <w:tcPr>
            <w:tcW w:w="1247" w:type="dxa"/>
            <w:tcBorders>
              <w:top w:val="nil"/>
              <w:left w:val="nil"/>
              <w:bottom w:val="single" w:sz="4" w:space="0" w:color="auto"/>
              <w:right w:val="single" w:sz="4" w:space="0" w:color="auto"/>
            </w:tcBorders>
            <w:shd w:val="clear" w:color="auto" w:fill="auto"/>
            <w:vAlign w:val="bottom"/>
            <w:hideMark/>
          </w:tcPr>
          <w:p w14:paraId="6466C502"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Desviación Estándar</w:t>
            </w:r>
          </w:p>
        </w:tc>
      </w:tr>
      <w:tr w:rsidR="00CF74C7" w:rsidRPr="00CF74C7" w14:paraId="79C79A05" w14:textId="77777777" w:rsidTr="0081208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32D5626"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Evaporador 1</w:t>
            </w:r>
          </w:p>
        </w:tc>
        <w:tc>
          <w:tcPr>
            <w:tcW w:w="1280" w:type="dxa"/>
            <w:tcBorders>
              <w:top w:val="nil"/>
              <w:left w:val="nil"/>
              <w:bottom w:val="single" w:sz="4" w:space="0" w:color="auto"/>
              <w:right w:val="single" w:sz="4" w:space="0" w:color="auto"/>
            </w:tcBorders>
            <w:shd w:val="clear" w:color="auto" w:fill="auto"/>
            <w:noWrap/>
            <w:vAlign w:val="bottom"/>
            <w:hideMark/>
          </w:tcPr>
          <w:p w14:paraId="4D4EBE2E" w14:textId="6429DC4E"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55,75</w:t>
            </w:r>
          </w:p>
        </w:tc>
        <w:tc>
          <w:tcPr>
            <w:tcW w:w="1247" w:type="dxa"/>
            <w:tcBorders>
              <w:top w:val="nil"/>
              <w:left w:val="nil"/>
              <w:bottom w:val="single" w:sz="4" w:space="0" w:color="auto"/>
              <w:right w:val="single" w:sz="4" w:space="0" w:color="auto"/>
            </w:tcBorders>
            <w:shd w:val="clear" w:color="auto" w:fill="auto"/>
            <w:noWrap/>
            <w:vAlign w:val="bottom"/>
            <w:hideMark/>
          </w:tcPr>
          <w:p w14:paraId="60E2C466"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4,03</w:t>
            </w:r>
          </w:p>
        </w:tc>
        <w:tc>
          <w:tcPr>
            <w:tcW w:w="1280" w:type="dxa"/>
            <w:tcBorders>
              <w:top w:val="nil"/>
              <w:left w:val="nil"/>
              <w:bottom w:val="single" w:sz="4" w:space="0" w:color="auto"/>
              <w:right w:val="single" w:sz="4" w:space="0" w:color="auto"/>
            </w:tcBorders>
            <w:shd w:val="clear" w:color="auto" w:fill="auto"/>
            <w:noWrap/>
            <w:vAlign w:val="bottom"/>
            <w:hideMark/>
          </w:tcPr>
          <w:p w14:paraId="76956726" w14:textId="34F5878F"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87,00</w:t>
            </w:r>
          </w:p>
        </w:tc>
        <w:tc>
          <w:tcPr>
            <w:tcW w:w="1247" w:type="dxa"/>
            <w:tcBorders>
              <w:top w:val="nil"/>
              <w:left w:val="nil"/>
              <w:bottom w:val="single" w:sz="4" w:space="0" w:color="auto"/>
              <w:right w:val="single" w:sz="4" w:space="0" w:color="auto"/>
            </w:tcBorders>
            <w:shd w:val="clear" w:color="auto" w:fill="auto"/>
            <w:noWrap/>
            <w:vAlign w:val="bottom"/>
            <w:hideMark/>
          </w:tcPr>
          <w:p w14:paraId="5CA324CC" w14:textId="4A5E5004"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8,7</w:t>
            </w:r>
            <w:r w:rsidR="00494AE4">
              <w:rPr>
                <w:rFonts w:ascii="Times New Roman" w:eastAsia="Times New Roman" w:hAnsi="Times New Roman" w:cs="Times New Roman"/>
                <w:sz w:val="24"/>
                <w:szCs w:val="24"/>
                <w:lang w:val="es-EC" w:eastAsia="es-EC"/>
              </w:rPr>
              <w:t>0</w:t>
            </w:r>
          </w:p>
        </w:tc>
      </w:tr>
      <w:tr w:rsidR="00CF74C7" w:rsidRPr="00CF74C7" w14:paraId="26462BBF" w14:textId="77777777" w:rsidTr="0081208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96CB1F1"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Evaporador 2</w:t>
            </w:r>
          </w:p>
        </w:tc>
        <w:tc>
          <w:tcPr>
            <w:tcW w:w="1280" w:type="dxa"/>
            <w:tcBorders>
              <w:top w:val="nil"/>
              <w:left w:val="nil"/>
              <w:bottom w:val="single" w:sz="4" w:space="0" w:color="auto"/>
              <w:right w:val="single" w:sz="4" w:space="0" w:color="auto"/>
            </w:tcBorders>
            <w:shd w:val="clear" w:color="auto" w:fill="auto"/>
            <w:noWrap/>
            <w:vAlign w:val="bottom"/>
            <w:hideMark/>
          </w:tcPr>
          <w:p w14:paraId="59F35BC4" w14:textId="774E9FBF"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68,14</w:t>
            </w:r>
          </w:p>
        </w:tc>
        <w:tc>
          <w:tcPr>
            <w:tcW w:w="1247" w:type="dxa"/>
            <w:tcBorders>
              <w:top w:val="nil"/>
              <w:left w:val="nil"/>
              <w:bottom w:val="single" w:sz="4" w:space="0" w:color="auto"/>
              <w:right w:val="single" w:sz="4" w:space="0" w:color="auto"/>
            </w:tcBorders>
            <w:shd w:val="clear" w:color="auto" w:fill="auto"/>
            <w:noWrap/>
            <w:vAlign w:val="bottom"/>
            <w:hideMark/>
          </w:tcPr>
          <w:p w14:paraId="681459B9" w14:textId="450E9EDD"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10,9</w:t>
            </w:r>
            <w:r w:rsidR="006C5BA5">
              <w:rPr>
                <w:rFonts w:ascii="Times New Roman" w:eastAsia="Times New Roman" w:hAnsi="Times New Roman" w:cs="Times New Roman"/>
                <w:sz w:val="24"/>
                <w:szCs w:val="24"/>
                <w:lang w:val="es-EC" w:eastAsia="es-EC"/>
              </w:rPr>
              <w:t>0</w:t>
            </w:r>
          </w:p>
        </w:tc>
        <w:tc>
          <w:tcPr>
            <w:tcW w:w="1280" w:type="dxa"/>
            <w:tcBorders>
              <w:top w:val="nil"/>
              <w:left w:val="nil"/>
              <w:bottom w:val="single" w:sz="4" w:space="0" w:color="auto"/>
              <w:right w:val="single" w:sz="4" w:space="0" w:color="auto"/>
            </w:tcBorders>
            <w:shd w:val="clear" w:color="auto" w:fill="auto"/>
            <w:noWrap/>
            <w:vAlign w:val="bottom"/>
            <w:hideMark/>
          </w:tcPr>
          <w:p w14:paraId="6FC30125"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89,05</w:t>
            </w:r>
          </w:p>
        </w:tc>
        <w:tc>
          <w:tcPr>
            <w:tcW w:w="1247" w:type="dxa"/>
            <w:tcBorders>
              <w:top w:val="nil"/>
              <w:left w:val="nil"/>
              <w:bottom w:val="single" w:sz="4" w:space="0" w:color="auto"/>
              <w:right w:val="single" w:sz="4" w:space="0" w:color="auto"/>
            </w:tcBorders>
            <w:shd w:val="clear" w:color="auto" w:fill="auto"/>
            <w:noWrap/>
            <w:vAlign w:val="bottom"/>
            <w:hideMark/>
          </w:tcPr>
          <w:p w14:paraId="270FDAB5" w14:textId="7CFF834E"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6,2</w:t>
            </w:r>
            <w:r w:rsidR="006C5BA5">
              <w:rPr>
                <w:rFonts w:ascii="Times New Roman" w:eastAsia="Times New Roman" w:hAnsi="Times New Roman" w:cs="Times New Roman"/>
                <w:sz w:val="24"/>
                <w:szCs w:val="24"/>
                <w:lang w:val="es-EC" w:eastAsia="es-EC"/>
              </w:rPr>
              <w:t>0</w:t>
            </w:r>
          </w:p>
        </w:tc>
      </w:tr>
      <w:tr w:rsidR="00CF74C7" w:rsidRPr="00CF74C7" w14:paraId="2B8C5A58" w14:textId="77777777" w:rsidTr="0081208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D08F7A1"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lastRenderedPageBreak/>
              <w:t>Evaporador 3</w:t>
            </w:r>
          </w:p>
        </w:tc>
        <w:tc>
          <w:tcPr>
            <w:tcW w:w="1280" w:type="dxa"/>
            <w:tcBorders>
              <w:top w:val="nil"/>
              <w:left w:val="nil"/>
              <w:bottom w:val="single" w:sz="4" w:space="0" w:color="auto"/>
              <w:right w:val="single" w:sz="4" w:space="0" w:color="auto"/>
            </w:tcBorders>
            <w:shd w:val="clear" w:color="auto" w:fill="auto"/>
            <w:noWrap/>
            <w:vAlign w:val="bottom"/>
            <w:hideMark/>
          </w:tcPr>
          <w:p w14:paraId="0C10D301" w14:textId="4EA5ADF0"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84,29</w:t>
            </w:r>
          </w:p>
        </w:tc>
        <w:tc>
          <w:tcPr>
            <w:tcW w:w="1247" w:type="dxa"/>
            <w:tcBorders>
              <w:top w:val="nil"/>
              <w:left w:val="nil"/>
              <w:bottom w:val="single" w:sz="4" w:space="0" w:color="auto"/>
              <w:right w:val="single" w:sz="4" w:space="0" w:color="auto"/>
            </w:tcBorders>
            <w:shd w:val="clear" w:color="auto" w:fill="auto"/>
            <w:noWrap/>
            <w:vAlign w:val="bottom"/>
            <w:hideMark/>
          </w:tcPr>
          <w:p w14:paraId="7C7B760C" w14:textId="5CF1537C"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5,2</w:t>
            </w:r>
            <w:r w:rsidR="006C5BA5">
              <w:rPr>
                <w:rFonts w:ascii="Times New Roman" w:eastAsia="Times New Roman" w:hAnsi="Times New Roman" w:cs="Times New Roman"/>
                <w:sz w:val="24"/>
                <w:szCs w:val="24"/>
                <w:lang w:val="es-EC" w:eastAsia="es-EC"/>
              </w:rPr>
              <w:t>0</w:t>
            </w:r>
          </w:p>
        </w:tc>
        <w:tc>
          <w:tcPr>
            <w:tcW w:w="1280" w:type="dxa"/>
            <w:tcBorders>
              <w:top w:val="nil"/>
              <w:left w:val="nil"/>
              <w:bottom w:val="single" w:sz="4" w:space="0" w:color="auto"/>
              <w:right w:val="single" w:sz="4" w:space="0" w:color="auto"/>
            </w:tcBorders>
            <w:shd w:val="clear" w:color="auto" w:fill="auto"/>
            <w:noWrap/>
            <w:vAlign w:val="bottom"/>
            <w:hideMark/>
          </w:tcPr>
          <w:p w14:paraId="276C9C67" w14:textId="1AF67BFE"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93,44</w:t>
            </w:r>
          </w:p>
        </w:tc>
        <w:tc>
          <w:tcPr>
            <w:tcW w:w="1247" w:type="dxa"/>
            <w:tcBorders>
              <w:top w:val="nil"/>
              <w:left w:val="nil"/>
              <w:bottom w:val="single" w:sz="4" w:space="0" w:color="auto"/>
              <w:right w:val="single" w:sz="4" w:space="0" w:color="auto"/>
            </w:tcBorders>
            <w:shd w:val="clear" w:color="auto" w:fill="auto"/>
            <w:noWrap/>
            <w:vAlign w:val="bottom"/>
            <w:hideMark/>
          </w:tcPr>
          <w:p w14:paraId="0CB8E095" w14:textId="715D44D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9,6</w:t>
            </w:r>
            <w:r w:rsidR="006C5BA5">
              <w:rPr>
                <w:rFonts w:ascii="Times New Roman" w:eastAsia="Times New Roman" w:hAnsi="Times New Roman" w:cs="Times New Roman"/>
                <w:sz w:val="24"/>
                <w:szCs w:val="24"/>
                <w:lang w:val="es-EC" w:eastAsia="es-EC"/>
              </w:rPr>
              <w:t>0</w:t>
            </w:r>
          </w:p>
        </w:tc>
      </w:tr>
      <w:tr w:rsidR="00CF74C7" w:rsidRPr="00CF74C7" w14:paraId="3EE53B0B" w14:textId="77777777" w:rsidTr="0081208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272ADDF"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Evaporador 4</w:t>
            </w:r>
          </w:p>
        </w:tc>
        <w:tc>
          <w:tcPr>
            <w:tcW w:w="1280" w:type="dxa"/>
            <w:tcBorders>
              <w:top w:val="nil"/>
              <w:left w:val="nil"/>
              <w:bottom w:val="single" w:sz="4" w:space="0" w:color="auto"/>
              <w:right w:val="single" w:sz="4" w:space="0" w:color="auto"/>
            </w:tcBorders>
            <w:shd w:val="clear" w:color="auto" w:fill="auto"/>
            <w:noWrap/>
            <w:vAlign w:val="bottom"/>
            <w:hideMark/>
          </w:tcPr>
          <w:p w14:paraId="44851DED"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&gt; 90</w:t>
            </w:r>
          </w:p>
        </w:tc>
        <w:tc>
          <w:tcPr>
            <w:tcW w:w="1247" w:type="dxa"/>
            <w:tcBorders>
              <w:top w:val="nil"/>
              <w:left w:val="nil"/>
              <w:bottom w:val="single" w:sz="4" w:space="0" w:color="auto"/>
              <w:right w:val="single" w:sz="4" w:space="0" w:color="auto"/>
            </w:tcBorders>
            <w:shd w:val="clear" w:color="auto" w:fill="auto"/>
            <w:noWrap/>
            <w:vAlign w:val="bottom"/>
            <w:hideMark/>
          </w:tcPr>
          <w:p w14:paraId="41D9E5BD"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4F58ED"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109,43</w:t>
            </w:r>
          </w:p>
        </w:tc>
        <w:tc>
          <w:tcPr>
            <w:tcW w:w="1247" w:type="dxa"/>
            <w:tcBorders>
              <w:top w:val="nil"/>
              <w:left w:val="nil"/>
              <w:bottom w:val="single" w:sz="4" w:space="0" w:color="auto"/>
              <w:right w:val="single" w:sz="4" w:space="0" w:color="auto"/>
            </w:tcBorders>
            <w:shd w:val="clear" w:color="auto" w:fill="auto"/>
            <w:noWrap/>
            <w:vAlign w:val="bottom"/>
            <w:hideMark/>
          </w:tcPr>
          <w:p w14:paraId="02137111" w14:textId="2226CF8A"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35,5</w:t>
            </w:r>
            <w:r w:rsidR="006C5BA5">
              <w:rPr>
                <w:rFonts w:ascii="Times New Roman" w:eastAsia="Times New Roman" w:hAnsi="Times New Roman" w:cs="Times New Roman"/>
                <w:sz w:val="24"/>
                <w:szCs w:val="24"/>
                <w:lang w:val="es-EC" w:eastAsia="es-EC"/>
              </w:rPr>
              <w:t>0</w:t>
            </w:r>
          </w:p>
        </w:tc>
      </w:tr>
    </w:tbl>
    <w:p w14:paraId="7B16F2BB" w14:textId="77777777" w:rsidR="00C213AF" w:rsidRPr="00CF74C7" w:rsidRDefault="00C213AF" w:rsidP="00C213AF">
      <w:pPr>
        <w:jc w:val="both"/>
        <w:rPr>
          <w:rFonts w:ascii="Times New Roman" w:hAnsi="Times New Roman" w:cs="Times New Roman"/>
          <w:sz w:val="24"/>
          <w:szCs w:val="24"/>
        </w:rPr>
      </w:pPr>
    </w:p>
    <w:p w14:paraId="3A6AE9B1" w14:textId="77777777" w:rsidR="00C213AF" w:rsidRPr="00CF74C7" w:rsidRDefault="00C213AF" w:rsidP="00C213AF">
      <w:pPr>
        <w:jc w:val="both"/>
        <w:rPr>
          <w:rFonts w:ascii="Times New Roman" w:hAnsi="Times New Roman" w:cs="Times New Roman"/>
          <w:b/>
          <w:sz w:val="24"/>
          <w:szCs w:val="24"/>
        </w:rPr>
      </w:pPr>
      <w:r w:rsidRPr="00CF74C7">
        <w:rPr>
          <w:rFonts w:ascii="Times New Roman" w:hAnsi="Times New Roman" w:cs="Times New Roman"/>
          <w:b/>
          <w:sz w:val="24"/>
          <w:szCs w:val="24"/>
        </w:rPr>
        <w:t>Parámetros de calidad de la panela granulada</w:t>
      </w:r>
    </w:p>
    <w:p w14:paraId="32940B96" w14:textId="6597F9ED" w:rsidR="00C213AF" w:rsidRPr="00CF74C7" w:rsidRDefault="00C213AF" w:rsidP="00C213AF">
      <w:pPr>
        <w:jc w:val="both"/>
        <w:rPr>
          <w:rFonts w:ascii="Times New Roman" w:hAnsi="Times New Roman" w:cs="Times New Roman"/>
          <w:sz w:val="24"/>
          <w:szCs w:val="24"/>
        </w:rPr>
      </w:pPr>
      <w:r w:rsidRPr="00CF74C7">
        <w:rPr>
          <w:rFonts w:ascii="Times New Roman" w:hAnsi="Times New Roman" w:cs="Times New Roman"/>
          <w:sz w:val="24"/>
          <w:szCs w:val="24"/>
        </w:rPr>
        <w:t>El valor promedio de pH registrado (</w:t>
      </w:r>
      <w:r w:rsidR="005143FF">
        <w:rPr>
          <w:rFonts w:ascii="Times New Roman" w:hAnsi="Times New Roman" w:cs="Times New Roman"/>
          <w:sz w:val="24"/>
          <w:szCs w:val="24"/>
        </w:rPr>
        <w:t>tabla</w:t>
      </w:r>
      <w:r w:rsidRPr="00CF74C7">
        <w:rPr>
          <w:rFonts w:ascii="Times New Roman" w:hAnsi="Times New Roman" w:cs="Times New Roman"/>
          <w:sz w:val="24"/>
          <w:szCs w:val="24"/>
        </w:rPr>
        <w:t xml:space="preserve"> 3) muestra que se cumple con lo requerido por </w:t>
      </w:r>
      <w:r w:rsidR="00B82EDC">
        <w:rPr>
          <w:rFonts w:ascii="Times New Roman" w:hAnsi="Times New Roman" w:cs="Times New Roman"/>
          <w:sz w:val="24"/>
          <w:szCs w:val="24"/>
        </w:rPr>
        <w:t xml:space="preserve"> </w:t>
      </w:r>
      <w:r w:rsidR="00B82EDC">
        <w:rPr>
          <w:rFonts w:ascii="Times New Roman" w:hAnsi="Times New Roman" w:cs="Times New Roman"/>
          <w:sz w:val="24"/>
          <w:szCs w:val="24"/>
        </w:rPr>
        <w:fldChar w:fldCharType="begin" w:fldLock="1"/>
      </w:r>
      <w:r w:rsidR="00B82EDC">
        <w:rPr>
          <w:rFonts w:ascii="Times New Roman" w:hAnsi="Times New Roman" w:cs="Times New Roman"/>
          <w:sz w:val="24"/>
          <w:szCs w:val="24"/>
        </w:rPr>
        <w:instrText>ADDIN CSL_CITATION {"citationItems":[{"id":"ITEM-1","itemData":{"author":[{"dropping-particle":"","family":"Instituto Ecuatoriano de Normalización","given":"","non-dropping-particle":"","parse-names":false,"suffix":""}],"id":"ITEM-1","issued":{"date-parts":[["2002"]]},"number":"NTE INEN 2 332","page":"8","publisher-place":"Ecuador","title":"PANELA GRANULADA. REQUISITOS INEN","type":"legislation"},"uris":["http://www.mendeley.com/documents/?uuid=79f400dc-21af-3fca-afce-cefe925158b6"]}],"mendeley":{"formattedCitation":"Instituto Ecuatoriano de Normalización, (2002)a","plainTextFormattedCitation":"Instituto Ecuatoriano de Normalización, (2002)a","previouslyFormattedCitation":"Instituto Ecuatoriano de Normalización, (2002)a"},"properties":{"noteIndex":0},"schema":"https://github.com/citation-style-language/schema/raw/master/csl-citation.json"}</w:instrText>
      </w:r>
      <w:r w:rsidR="00B82EDC">
        <w:rPr>
          <w:rFonts w:ascii="Times New Roman" w:hAnsi="Times New Roman" w:cs="Times New Roman"/>
          <w:sz w:val="24"/>
          <w:szCs w:val="24"/>
        </w:rPr>
        <w:fldChar w:fldCharType="separate"/>
      </w:r>
      <w:r w:rsidR="00B82EDC" w:rsidRPr="00B82EDC">
        <w:rPr>
          <w:rFonts w:ascii="Times New Roman" w:hAnsi="Times New Roman" w:cs="Times New Roman"/>
          <w:noProof/>
          <w:sz w:val="24"/>
          <w:szCs w:val="24"/>
        </w:rPr>
        <w:t>Instituto Ecuatoriano de Normalización, (2002)a</w:t>
      </w:r>
      <w:r w:rsidR="00B82EDC">
        <w:rPr>
          <w:rFonts w:ascii="Times New Roman" w:hAnsi="Times New Roman" w:cs="Times New Roman"/>
          <w:sz w:val="24"/>
          <w:szCs w:val="24"/>
        </w:rPr>
        <w:fldChar w:fldCharType="end"/>
      </w:r>
      <w:r w:rsidR="00B82EDC">
        <w:rPr>
          <w:rFonts w:ascii="Times New Roman" w:hAnsi="Times New Roman" w:cs="Times New Roman"/>
          <w:sz w:val="24"/>
          <w:szCs w:val="24"/>
        </w:rPr>
        <w:t xml:space="preserve"> </w:t>
      </w:r>
      <w:r w:rsidRPr="00CF74C7">
        <w:rPr>
          <w:rFonts w:ascii="Times New Roman" w:hAnsi="Times New Roman" w:cs="Times New Roman"/>
          <w:sz w:val="24"/>
          <w:szCs w:val="24"/>
        </w:rPr>
        <w:t>donde el valor mínimo de pH es 5,9 y son similares a los presentados por</w:t>
      </w:r>
      <w:r w:rsidR="00B82EDC">
        <w:rPr>
          <w:rFonts w:ascii="Times New Roman" w:hAnsi="Times New Roman" w:cs="Times New Roman"/>
          <w:sz w:val="24"/>
          <w:szCs w:val="24"/>
        </w:rPr>
        <w:t xml:space="preserve"> </w:t>
      </w:r>
      <w:r w:rsidR="00B82EDC">
        <w:rPr>
          <w:rFonts w:ascii="Times New Roman" w:hAnsi="Times New Roman" w:cs="Times New Roman"/>
          <w:sz w:val="24"/>
          <w:szCs w:val="24"/>
        </w:rPr>
        <w:fldChar w:fldCharType="begin" w:fldLock="1"/>
      </w:r>
      <w:r w:rsidR="006E1C41">
        <w:rPr>
          <w:rFonts w:ascii="Times New Roman" w:hAnsi="Times New Roman" w:cs="Times New Roman"/>
          <w:sz w:val="24"/>
          <w:szCs w:val="24"/>
        </w:rPr>
        <w:instrText>ADDIN CSL_CITATION {"citationItems":[{"id":"ITEM-1","itemData":{"abstract":"publicado trabajos en revistas y periódicos locales y nacionales acerca de sus investigaciones realizadas. Ha dado asesoría en empresas productoras de panela y en la empresa TAVA sobre estabilización del gel, filete y elaboración de productos de sábila. Es autor del folleto sobre Miel Salud y Vida. Actualmente trabaja en la revisión para su impresión en documentos sobre: guía técnica de aceites esenciales, ingeniería de procesos y agroindustria azucarera. Queda prohibida su reproducción parcial o total.","author":[{"dropping-particle":"","family":"Quezada","given":"Walter","non-dropping-particle":"","parse-names":false,"suffix":""}],"id":"ITEM-1","issued":{"date-parts":[["2007"]]},"title":"Guía Técnica de Agroindustria Panelera","type":"book"},"uris":["http://www.mendeley.com/documents/?uuid=69860cdd-4266-3831-ac91-6f8fe60aaefc"]}],"mendeley":{"formattedCitation":"Quezada, (2007)","plainTextFormattedCitation":"Quezada, (2007)","previouslyFormattedCitation":"Quezada, (2007)"},"properties":{"noteIndex":0},"schema":"https://github.com/citation-style-language/schema/raw/master/csl-citation.json"}</w:instrText>
      </w:r>
      <w:r w:rsidR="00B82EDC">
        <w:rPr>
          <w:rFonts w:ascii="Times New Roman" w:hAnsi="Times New Roman" w:cs="Times New Roman"/>
          <w:sz w:val="24"/>
          <w:szCs w:val="24"/>
        </w:rPr>
        <w:fldChar w:fldCharType="separate"/>
      </w:r>
      <w:r w:rsidR="00B82EDC" w:rsidRPr="00B82EDC">
        <w:rPr>
          <w:rFonts w:ascii="Times New Roman" w:hAnsi="Times New Roman" w:cs="Times New Roman"/>
          <w:noProof/>
          <w:sz w:val="24"/>
          <w:szCs w:val="24"/>
        </w:rPr>
        <w:t>Quezada, (2007)</w:t>
      </w:r>
      <w:r w:rsidR="00B82EDC">
        <w:rPr>
          <w:rFonts w:ascii="Times New Roman" w:hAnsi="Times New Roman" w:cs="Times New Roman"/>
          <w:sz w:val="24"/>
          <w:szCs w:val="24"/>
        </w:rPr>
        <w:fldChar w:fldCharType="end"/>
      </w:r>
      <w:r w:rsidR="00B82EDC" w:rsidRPr="00CF74C7">
        <w:rPr>
          <w:rFonts w:ascii="Times New Roman" w:hAnsi="Times New Roman" w:cs="Times New Roman"/>
          <w:sz w:val="24"/>
          <w:szCs w:val="24"/>
        </w:rPr>
        <w:t xml:space="preserve"> </w:t>
      </w:r>
      <w:r w:rsidR="00B82EDC">
        <w:rPr>
          <w:rFonts w:ascii="Times New Roman" w:hAnsi="Times New Roman" w:cs="Times New Roman"/>
          <w:sz w:val="24"/>
          <w:szCs w:val="24"/>
        </w:rPr>
        <w:t>q</w:t>
      </w:r>
      <w:r w:rsidRPr="00CF74C7">
        <w:rPr>
          <w:rFonts w:ascii="Times New Roman" w:hAnsi="Times New Roman" w:cs="Times New Roman"/>
          <w:sz w:val="24"/>
          <w:szCs w:val="24"/>
        </w:rPr>
        <w:t>uien indica que para tener una panela de calidad con color natural el pH debe ser cercano a 5,7. La humedad promedio de las muestras de panela granulada analizadas fue de 2,36% (</w:t>
      </w:r>
      <w:r w:rsidR="006C5BA5">
        <w:rPr>
          <w:rFonts w:ascii="Times New Roman" w:hAnsi="Times New Roman" w:cs="Times New Roman"/>
          <w:sz w:val="24"/>
          <w:szCs w:val="24"/>
        </w:rPr>
        <w:t>Tabla</w:t>
      </w:r>
      <w:r w:rsidRPr="00CF74C7">
        <w:rPr>
          <w:rFonts w:ascii="Times New Roman" w:hAnsi="Times New Roman" w:cs="Times New Roman"/>
          <w:sz w:val="24"/>
          <w:szCs w:val="24"/>
        </w:rPr>
        <w:t xml:space="preserve"> 3) en comparación con la Normativa que estipula un valor máximo de humedad es 3% con una desviación estándar de 0,57 al 95% de confianza, es decir que cumple. La calidad de la panela depende de la concentración de azúcares reductores directos (ARD), influyendo en la consistencia del producto final, siendo la etapa moldeo un paso muy importante</w:t>
      </w:r>
      <w:r w:rsidR="006E1C41">
        <w:rPr>
          <w:rFonts w:ascii="Times New Roman" w:hAnsi="Times New Roman" w:cs="Times New Roman"/>
          <w:sz w:val="24"/>
          <w:szCs w:val="24"/>
        </w:rPr>
        <w:t xml:space="preserve"> </w:t>
      </w:r>
      <w:r w:rsidR="006E1C41">
        <w:rPr>
          <w:rFonts w:ascii="Times New Roman" w:hAnsi="Times New Roman" w:cs="Times New Roman"/>
          <w:sz w:val="24"/>
          <w:szCs w:val="24"/>
        </w:rPr>
        <w:fldChar w:fldCharType="begin" w:fldLock="1"/>
      </w:r>
      <w:r w:rsidR="002901C0">
        <w:rPr>
          <w:rFonts w:ascii="Times New Roman" w:hAnsi="Times New Roman" w:cs="Times New Roman"/>
          <w:sz w:val="24"/>
          <w:szCs w:val="24"/>
        </w:rPr>
        <w:instrText>ADDIN CSL_CITATION {"citationItems":[{"id":"ITEM-1","itemData":{"author":[{"dropping-particle":"","family":"Andrade","given":"M","non-dropping-particle":"","parse-names":false,"suffix":""}],"id":"ITEM-1","issued":{"date-parts":[["2008"]]},"publisher":"Universidad Simón Bolivar","title":"Evaluación de la funcionalidad de panelas artesanales como antioxidante y fuente de minerales","type":"thesis"},"uris":["http://www.mendeley.com/documents/?uuid=97c18738-47c8-4b39-88e7-d60054e67a92"]}],"mendeley":{"formattedCitation":"Andrade, (2008)","plainTextFormattedCitation":"Andrade, (2008)","previouslyFormattedCitation":"Andrade, (2008)"},"properties":{"noteIndex":0},"schema":"https://github.com/citation-style-language/schema/raw/master/csl-citation.json"}</w:instrText>
      </w:r>
      <w:r w:rsidR="006E1C41">
        <w:rPr>
          <w:rFonts w:ascii="Times New Roman" w:hAnsi="Times New Roman" w:cs="Times New Roman"/>
          <w:sz w:val="24"/>
          <w:szCs w:val="24"/>
        </w:rPr>
        <w:fldChar w:fldCharType="separate"/>
      </w:r>
      <w:r w:rsidR="006E1C41" w:rsidRPr="006E1C41">
        <w:rPr>
          <w:rFonts w:ascii="Times New Roman" w:hAnsi="Times New Roman" w:cs="Times New Roman"/>
          <w:noProof/>
          <w:sz w:val="24"/>
          <w:szCs w:val="24"/>
        </w:rPr>
        <w:t>Andrade, (2008)</w:t>
      </w:r>
      <w:r w:rsidR="006E1C41">
        <w:rPr>
          <w:rFonts w:ascii="Times New Roman" w:hAnsi="Times New Roman" w:cs="Times New Roman"/>
          <w:sz w:val="24"/>
          <w:szCs w:val="24"/>
        </w:rPr>
        <w:fldChar w:fldCharType="end"/>
      </w:r>
      <w:r w:rsidR="006E1C41">
        <w:rPr>
          <w:rFonts w:ascii="Times New Roman" w:hAnsi="Times New Roman" w:cs="Times New Roman"/>
          <w:sz w:val="24"/>
          <w:szCs w:val="24"/>
        </w:rPr>
        <w:t xml:space="preserve"> </w:t>
      </w:r>
      <w:r w:rsidRPr="00CF74C7">
        <w:rPr>
          <w:rFonts w:ascii="Times New Roman" w:hAnsi="Times New Roman" w:cs="Times New Roman"/>
          <w:sz w:val="24"/>
          <w:szCs w:val="24"/>
        </w:rPr>
        <w:t>incluyendo que las altas temperaturas durante el proceso desencadenan la reacción de Maillard, responsable del color y olor característico</w:t>
      </w:r>
      <w:r w:rsidR="00D74217">
        <w:rPr>
          <w:rFonts w:ascii="Times New Roman" w:hAnsi="Times New Roman" w:cs="Times New Roman"/>
          <w:sz w:val="24"/>
          <w:szCs w:val="24"/>
        </w:rPr>
        <w:t xml:space="preserve"> </w:t>
      </w:r>
      <w:r w:rsidR="002901C0">
        <w:rPr>
          <w:rFonts w:ascii="Times New Roman" w:hAnsi="Times New Roman" w:cs="Times New Roman"/>
          <w:sz w:val="24"/>
          <w:szCs w:val="24"/>
        </w:rPr>
        <w:fldChar w:fldCharType="begin" w:fldLock="1"/>
      </w:r>
      <w:r w:rsidR="00D8768F">
        <w:rPr>
          <w:rFonts w:ascii="Times New Roman" w:hAnsi="Times New Roman" w:cs="Times New Roman"/>
          <w:sz w:val="24"/>
          <w:szCs w:val="24"/>
        </w:rPr>
        <w:instrText>ADDIN CSL_CITATION {"citationItems":[{"id":"ITEM-1","itemData":{"author":[{"dropping-particle":"","family":"Fernández","given":"L. N.","non-dropping-particle":"","parse-names":false,"suffix":""}],"id":"ITEM-1","issued":{"date-parts":[["2003"]]},"publisher":"Universidad de San Carlos de Guatemala","title":"Estudio para la implementación de una planta de producción de panela","type":"thesis"},"uris":["http://www.mendeley.com/documents/?uuid=61060792-9f94-4dfc-ab75-99972e62cc62"]}],"mendeley":{"formattedCitation":"Fernández, (2003)","plainTextFormattedCitation":"Fernández, (2003)","previouslyFormattedCitation":"Fernández, (2003)"},"properties":{"noteIndex":0},"schema":"https://github.com/citation-style-language/schema/raw/master/csl-citation.json"}</w:instrText>
      </w:r>
      <w:r w:rsidR="002901C0">
        <w:rPr>
          <w:rFonts w:ascii="Times New Roman" w:hAnsi="Times New Roman" w:cs="Times New Roman"/>
          <w:sz w:val="24"/>
          <w:szCs w:val="24"/>
        </w:rPr>
        <w:fldChar w:fldCharType="separate"/>
      </w:r>
      <w:r w:rsidR="002901C0" w:rsidRPr="002901C0">
        <w:rPr>
          <w:rFonts w:ascii="Times New Roman" w:hAnsi="Times New Roman" w:cs="Times New Roman"/>
          <w:noProof/>
          <w:sz w:val="24"/>
          <w:szCs w:val="24"/>
        </w:rPr>
        <w:t>Fernández, (2003)</w:t>
      </w:r>
      <w:r w:rsidR="002901C0">
        <w:rPr>
          <w:rFonts w:ascii="Times New Roman" w:hAnsi="Times New Roman" w:cs="Times New Roman"/>
          <w:sz w:val="24"/>
          <w:szCs w:val="24"/>
        </w:rPr>
        <w:fldChar w:fldCharType="end"/>
      </w:r>
      <w:r w:rsidR="00E93C03">
        <w:rPr>
          <w:rFonts w:ascii="Times New Roman" w:hAnsi="Times New Roman" w:cs="Times New Roman"/>
          <w:sz w:val="24"/>
          <w:szCs w:val="24"/>
        </w:rPr>
        <w:t xml:space="preserve">. </w:t>
      </w:r>
      <w:r w:rsidRPr="00CF74C7">
        <w:rPr>
          <w:rFonts w:ascii="Times New Roman" w:hAnsi="Times New Roman" w:cs="Times New Roman"/>
          <w:sz w:val="24"/>
          <w:szCs w:val="24"/>
        </w:rPr>
        <w:t>El contenido de cenizas determinado (</w:t>
      </w:r>
      <w:r w:rsidR="006C5BA5">
        <w:rPr>
          <w:rFonts w:ascii="Times New Roman" w:hAnsi="Times New Roman" w:cs="Times New Roman"/>
          <w:sz w:val="24"/>
          <w:szCs w:val="24"/>
        </w:rPr>
        <w:t>Tabla</w:t>
      </w:r>
      <w:r w:rsidRPr="00CF74C7">
        <w:rPr>
          <w:rFonts w:ascii="Times New Roman" w:hAnsi="Times New Roman" w:cs="Times New Roman"/>
          <w:sz w:val="24"/>
          <w:szCs w:val="24"/>
        </w:rPr>
        <w:t xml:space="preserve"> 3) presenta un valor promedio de 0,59% que de acuerdo a la composición nutricional  presentada por</w:t>
      </w:r>
      <w:r w:rsidR="00D8768F">
        <w:rPr>
          <w:rFonts w:ascii="Times New Roman" w:hAnsi="Times New Roman" w:cs="Times New Roman"/>
          <w:sz w:val="24"/>
          <w:szCs w:val="24"/>
        </w:rPr>
        <w:t xml:space="preserve"> </w:t>
      </w:r>
      <w:r w:rsidR="00D8768F">
        <w:rPr>
          <w:rFonts w:ascii="Times New Roman" w:hAnsi="Times New Roman" w:cs="Times New Roman"/>
          <w:sz w:val="24"/>
          <w:szCs w:val="24"/>
        </w:rPr>
        <w:fldChar w:fldCharType="begin" w:fldLock="1"/>
      </w:r>
      <w:r w:rsidR="00641824">
        <w:rPr>
          <w:rFonts w:ascii="Times New Roman" w:hAnsi="Times New Roman" w:cs="Times New Roman"/>
          <w:sz w:val="24"/>
          <w:szCs w:val="24"/>
        </w:rPr>
        <w:instrText>ADDIN CSL_CITATION {"citationItems":[{"id":"ITEM-1","itemData":{"author":[{"dropping-particle":"","family":"Velásquez","given":"Héctor I","non-dropping-particle":"","parse-names":false,"suffix":""},{"dropping-particle":"","family":"Gutierrez","given":"Juan","non-dropping-particle":"","parse-names":false,"suffix":""},{"dropping-particle":"","family":"Oliveira","given":"Silvio","non-dropping-particle":"","parse-names":false,"suffix":""}],"container-title":"Proceedings of- ENCIT","id":"ITEM-1","issued":{"date-parts":[["2006"]]},"publisher-place":"Brazil","title":"THERMODYNAMIC AND THERMOECONOMIC ANALYSIS OF THE PRODUCTION OF UNREFINED SUGAR IN COLOMBIA","type":"paper-conference"},"uris":["http://www.mendeley.com/documents/?uuid=d192bf0a-c2e9-49c4-806c-32b025de611e"]}],"mendeley":{"formattedCitation":"Velásquez, Gutierrez, &amp; Oliveira, (2006)","plainTextFormattedCitation":"Velásquez, Gutierrez, &amp; Oliveira, (2006)","previouslyFormattedCitation":"Velásquez, Gutierrez, &amp; Oliveira, (2006)"},"properties":{"noteIndex":0},"schema":"https://github.com/citation-style-language/schema/raw/master/csl-citation.json"}</w:instrText>
      </w:r>
      <w:r w:rsidR="00D8768F">
        <w:rPr>
          <w:rFonts w:ascii="Times New Roman" w:hAnsi="Times New Roman" w:cs="Times New Roman"/>
          <w:sz w:val="24"/>
          <w:szCs w:val="24"/>
        </w:rPr>
        <w:fldChar w:fldCharType="separate"/>
      </w:r>
      <w:r w:rsidR="00D8768F" w:rsidRPr="00D8768F">
        <w:rPr>
          <w:rFonts w:ascii="Times New Roman" w:hAnsi="Times New Roman" w:cs="Times New Roman"/>
          <w:noProof/>
          <w:sz w:val="24"/>
          <w:szCs w:val="24"/>
        </w:rPr>
        <w:t>Velásquez, Gutierrez, &amp; Oliveira, (2006)</w:t>
      </w:r>
      <w:r w:rsidR="00D8768F">
        <w:rPr>
          <w:rFonts w:ascii="Times New Roman" w:hAnsi="Times New Roman" w:cs="Times New Roman"/>
          <w:sz w:val="24"/>
          <w:szCs w:val="24"/>
        </w:rPr>
        <w:fldChar w:fldCharType="end"/>
      </w:r>
      <w:r w:rsidR="00E93C03">
        <w:rPr>
          <w:rFonts w:ascii="Times New Roman" w:hAnsi="Times New Roman" w:cs="Times New Roman"/>
          <w:sz w:val="24"/>
          <w:szCs w:val="24"/>
        </w:rPr>
        <w:t xml:space="preserve"> </w:t>
      </w:r>
      <w:r w:rsidRPr="00CF74C7">
        <w:rPr>
          <w:rFonts w:ascii="Times New Roman" w:hAnsi="Times New Roman" w:cs="Times New Roman"/>
          <w:sz w:val="24"/>
          <w:szCs w:val="24"/>
        </w:rPr>
        <w:t>el contenido de cenizas representa el 0,5 % de minerales presentes en la panela como el Calcio, Potasio, Hierro entre otros, que son indispensables para la alimentación actual y tienen incidencia factores como la variedad de la caña, el tipo de suelo, edad del cultivo, características climáticas y proceso de producción (Obando, 2010)</w:t>
      </w:r>
    </w:p>
    <w:p w14:paraId="748D3CA0" w14:textId="24C9B46F" w:rsidR="005143FF" w:rsidRPr="005143FF" w:rsidRDefault="005143FF" w:rsidP="005143FF">
      <w:pPr>
        <w:pStyle w:val="Descripcin"/>
        <w:keepNext/>
        <w:rPr>
          <w:rFonts w:ascii="Times New Roman" w:hAnsi="Times New Roman" w:cs="Times New Roman"/>
          <w:color w:val="auto"/>
          <w:sz w:val="20"/>
          <w:szCs w:val="20"/>
        </w:rPr>
      </w:pPr>
      <w:r w:rsidRPr="005143FF">
        <w:rPr>
          <w:rFonts w:ascii="Times New Roman" w:hAnsi="Times New Roman" w:cs="Times New Roman"/>
          <w:color w:val="auto"/>
          <w:sz w:val="20"/>
          <w:szCs w:val="20"/>
        </w:rPr>
        <w:t xml:space="preserve">Tabla </w:t>
      </w:r>
      <w:r w:rsidRPr="005143FF">
        <w:rPr>
          <w:rFonts w:ascii="Times New Roman" w:hAnsi="Times New Roman" w:cs="Times New Roman"/>
          <w:color w:val="auto"/>
          <w:sz w:val="20"/>
          <w:szCs w:val="20"/>
        </w:rPr>
        <w:fldChar w:fldCharType="begin"/>
      </w:r>
      <w:r w:rsidRPr="005143FF">
        <w:rPr>
          <w:rFonts w:ascii="Times New Roman" w:hAnsi="Times New Roman" w:cs="Times New Roman"/>
          <w:color w:val="auto"/>
          <w:sz w:val="20"/>
          <w:szCs w:val="20"/>
        </w:rPr>
        <w:instrText xml:space="preserve"> SEQ Tabla \* ARABIC </w:instrText>
      </w:r>
      <w:r w:rsidRPr="005143FF">
        <w:rPr>
          <w:rFonts w:ascii="Times New Roman" w:hAnsi="Times New Roman" w:cs="Times New Roman"/>
          <w:color w:val="auto"/>
          <w:sz w:val="20"/>
          <w:szCs w:val="20"/>
        </w:rPr>
        <w:fldChar w:fldCharType="separate"/>
      </w:r>
      <w:r w:rsidRPr="005143FF">
        <w:rPr>
          <w:rFonts w:ascii="Times New Roman" w:hAnsi="Times New Roman" w:cs="Times New Roman"/>
          <w:noProof/>
          <w:color w:val="auto"/>
          <w:sz w:val="20"/>
          <w:szCs w:val="20"/>
        </w:rPr>
        <w:t>3</w:t>
      </w:r>
      <w:r w:rsidRPr="005143FF">
        <w:rPr>
          <w:rFonts w:ascii="Times New Roman" w:hAnsi="Times New Roman" w:cs="Times New Roman"/>
          <w:color w:val="auto"/>
          <w:sz w:val="20"/>
          <w:szCs w:val="20"/>
        </w:rPr>
        <w:fldChar w:fldCharType="end"/>
      </w:r>
      <w:r w:rsidRPr="005143FF">
        <w:rPr>
          <w:rFonts w:ascii="Times New Roman" w:hAnsi="Times New Roman" w:cs="Times New Roman"/>
          <w:color w:val="auto"/>
          <w:sz w:val="20"/>
          <w:szCs w:val="20"/>
        </w:rPr>
        <w:t xml:space="preserve">. </w:t>
      </w:r>
      <w:r w:rsidRPr="005143FF">
        <w:rPr>
          <w:rFonts w:ascii="Times New Roman" w:hAnsi="Times New Roman" w:cs="Times New Roman"/>
          <w:b/>
          <w:color w:val="auto"/>
          <w:sz w:val="20"/>
          <w:szCs w:val="20"/>
        </w:rPr>
        <w:t xml:space="preserve">Valores promedios de parámetros de calidad de la panela granulada. </w:t>
      </w:r>
      <w:r w:rsidRPr="005143FF">
        <w:rPr>
          <w:rFonts w:ascii="Times New Roman" w:hAnsi="Times New Roman" w:cs="Times New Roman"/>
          <w:b/>
          <w:color w:val="auto"/>
          <w:sz w:val="20"/>
          <w:szCs w:val="20"/>
        </w:rPr>
        <w:fldChar w:fldCharType="begin" w:fldLock="1"/>
      </w:r>
      <w:r w:rsidR="00220B08">
        <w:rPr>
          <w:rFonts w:ascii="Times New Roman" w:hAnsi="Times New Roman" w:cs="Times New Roman"/>
          <w:b/>
          <w:color w:val="auto"/>
          <w:sz w:val="20"/>
          <w:szCs w:val="20"/>
        </w:rPr>
        <w:instrText>ADDIN CSL_CITATION {"citationItems":[{"id":"ITEM-1","itemData":{"author":[{"dropping-particle":"","family":"Escobar","given":"Julia M","non-dropping-particle":"","parse-names":false,"suffix":""},{"dropping-particle":"","family":"Cerda","given":"Víctor R","non-dropping-particle":"","parse-names":false,"suffix":""},{"dropping-particle":"","family":"Tapuy","given":"Andrea S","non-dropping-particle":"","parse-names":false,"suffix":""}],"container-title":"MOL2NET, International Conference Series on Multidisciplinary Sciences","id":"ITEM-1","issued":{"date-parts":[["2018"]]},"page":"2-7","title":"Evaluation of the operation parameters and the process quality of the obtaining of granulated panela in the parish of Tarqui, in the panela industry “El Valle”","type":"paper-conference"},"uris":["http://www.mendeley.com/documents/?uuid=b28ccc3b-7e91-4be8-a67e-a829555d4493"]}],"mendeley":{"formattedCitation":"Escobar et al., (2018)","plainTextFormattedCitation":"Escobar et al., (2018)","previouslyFormattedCitation":"Escobar et al., (2018)"},"properties":{"noteIndex":0},"schema":"https://github.com/citation-style-language/schema/raw/master/csl-citation.json"}</w:instrText>
      </w:r>
      <w:r w:rsidRPr="005143FF">
        <w:rPr>
          <w:rFonts w:ascii="Times New Roman" w:hAnsi="Times New Roman" w:cs="Times New Roman"/>
          <w:b/>
          <w:color w:val="auto"/>
          <w:sz w:val="20"/>
          <w:szCs w:val="20"/>
        </w:rPr>
        <w:fldChar w:fldCharType="separate"/>
      </w:r>
      <w:r w:rsidRPr="005143FF">
        <w:rPr>
          <w:rFonts w:ascii="Times New Roman" w:hAnsi="Times New Roman" w:cs="Times New Roman"/>
          <w:i w:val="0"/>
          <w:noProof/>
          <w:color w:val="auto"/>
          <w:sz w:val="20"/>
          <w:szCs w:val="20"/>
        </w:rPr>
        <w:t>Escobar et al., (2018)</w:t>
      </w:r>
      <w:r w:rsidRPr="005143FF">
        <w:rPr>
          <w:rFonts w:ascii="Times New Roman" w:hAnsi="Times New Roman" w:cs="Times New Roman"/>
          <w:b/>
          <w:color w:val="auto"/>
          <w:sz w:val="20"/>
          <w:szCs w:val="20"/>
        </w:rPr>
        <w:fldChar w:fldCharType="end"/>
      </w:r>
    </w:p>
    <w:tbl>
      <w:tblPr>
        <w:tblW w:w="9040" w:type="dxa"/>
        <w:tblCellMar>
          <w:left w:w="70" w:type="dxa"/>
          <w:right w:w="70" w:type="dxa"/>
        </w:tblCellMar>
        <w:tblLook w:val="04A0" w:firstRow="1" w:lastRow="0" w:firstColumn="1" w:lastColumn="0" w:noHBand="0" w:noVBand="1"/>
      </w:tblPr>
      <w:tblGrid>
        <w:gridCol w:w="1780"/>
        <w:gridCol w:w="1200"/>
        <w:gridCol w:w="1220"/>
        <w:gridCol w:w="1200"/>
        <w:gridCol w:w="1220"/>
        <w:gridCol w:w="1200"/>
        <w:gridCol w:w="1220"/>
      </w:tblGrid>
      <w:tr w:rsidR="00CF74C7" w:rsidRPr="00CF74C7" w14:paraId="49C936B1" w14:textId="77777777" w:rsidTr="005143FF">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BBCBC"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bookmarkStart w:id="0" w:name="_GoBack"/>
            <w:r w:rsidRPr="00CF74C7">
              <w:rPr>
                <w:rFonts w:ascii="Times New Roman" w:eastAsia="Times New Roman" w:hAnsi="Times New Roman" w:cs="Times New Roman"/>
                <w:b/>
                <w:bCs/>
                <w:sz w:val="24"/>
                <w:szCs w:val="24"/>
                <w:lang w:val="es-EC" w:eastAsia="es-EC"/>
              </w:rPr>
              <w:t>PANELA GRANULADA</w:t>
            </w:r>
          </w:p>
        </w:tc>
        <w:tc>
          <w:tcPr>
            <w:tcW w:w="7260" w:type="dxa"/>
            <w:gridSpan w:val="6"/>
            <w:tcBorders>
              <w:top w:val="single" w:sz="4" w:space="0" w:color="auto"/>
              <w:left w:val="nil"/>
              <w:bottom w:val="single" w:sz="4" w:space="0" w:color="auto"/>
              <w:right w:val="single" w:sz="4" w:space="0" w:color="auto"/>
            </w:tcBorders>
            <w:shd w:val="clear" w:color="auto" w:fill="auto"/>
            <w:vAlign w:val="bottom"/>
            <w:hideMark/>
          </w:tcPr>
          <w:p w14:paraId="7F6466D0"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PARÁMETROS DE CALIDAD</w:t>
            </w:r>
          </w:p>
        </w:tc>
      </w:tr>
      <w:tr w:rsidR="00CF74C7" w:rsidRPr="00CF74C7" w14:paraId="6F2B5707" w14:textId="77777777" w:rsidTr="005143FF">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47440B54" w14:textId="77777777" w:rsidR="00C213AF" w:rsidRPr="00CF74C7" w:rsidRDefault="00C213AF" w:rsidP="002C7C82">
            <w:pPr>
              <w:spacing w:after="0" w:line="240" w:lineRule="auto"/>
              <w:rPr>
                <w:rFonts w:ascii="Times New Roman" w:eastAsia="Times New Roman" w:hAnsi="Times New Roman" w:cs="Times New Roman"/>
                <w:b/>
                <w:bCs/>
                <w:sz w:val="24"/>
                <w:szCs w:val="24"/>
                <w:lang w:val="es-EC" w:eastAsia="es-EC"/>
              </w:rPr>
            </w:pPr>
          </w:p>
        </w:tc>
        <w:tc>
          <w:tcPr>
            <w:tcW w:w="2420" w:type="dxa"/>
            <w:gridSpan w:val="2"/>
            <w:tcBorders>
              <w:top w:val="single" w:sz="4" w:space="0" w:color="auto"/>
              <w:left w:val="nil"/>
              <w:bottom w:val="single" w:sz="4" w:space="0" w:color="auto"/>
              <w:right w:val="single" w:sz="4" w:space="0" w:color="auto"/>
            </w:tcBorders>
            <w:shd w:val="clear" w:color="auto" w:fill="auto"/>
            <w:vAlign w:val="bottom"/>
            <w:hideMark/>
          </w:tcPr>
          <w:p w14:paraId="187365FE"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Humedad (%)</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14:paraId="1E1C77E6"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pH</w:t>
            </w:r>
          </w:p>
        </w:tc>
        <w:tc>
          <w:tcPr>
            <w:tcW w:w="2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3075FD"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Cenizas (%)</w:t>
            </w:r>
          </w:p>
        </w:tc>
      </w:tr>
      <w:tr w:rsidR="00CF74C7" w:rsidRPr="00CF74C7" w14:paraId="666714D2" w14:textId="77777777" w:rsidTr="005143FF">
        <w:trPr>
          <w:trHeight w:val="52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6CB6ABDD" w14:textId="77777777" w:rsidR="00C213AF" w:rsidRPr="00CF74C7" w:rsidRDefault="00C213AF" w:rsidP="002C7C82">
            <w:pPr>
              <w:spacing w:after="0" w:line="240" w:lineRule="auto"/>
              <w:rPr>
                <w:rFonts w:ascii="Times New Roman" w:eastAsia="Times New Roman" w:hAnsi="Times New Roman" w:cs="Times New Roman"/>
                <w:b/>
                <w:bCs/>
                <w:sz w:val="24"/>
                <w:szCs w:val="24"/>
                <w:lang w:val="es-EC" w:eastAsia="es-EC"/>
              </w:rPr>
            </w:pPr>
          </w:p>
        </w:tc>
        <w:tc>
          <w:tcPr>
            <w:tcW w:w="1200" w:type="dxa"/>
            <w:tcBorders>
              <w:top w:val="nil"/>
              <w:left w:val="nil"/>
              <w:bottom w:val="single" w:sz="4" w:space="0" w:color="auto"/>
              <w:right w:val="single" w:sz="4" w:space="0" w:color="auto"/>
            </w:tcBorders>
            <w:shd w:val="clear" w:color="auto" w:fill="auto"/>
            <w:vAlign w:val="bottom"/>
            <w:hideMark/>
          </w:tcPr>
          <w:p w14:paraId="36EC3519"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Valor Medio</w:t>
            </w:r>
          </w:p>
        </w:tc>
        <w:tc>
          <w:tcPr>
            <w:tcW w:w="1220" w:type="dxa"/>
            <w:tcBorders>
              <w:top w:val="nil"/>
              <w:left w:val="nil"/>
              <w:bottom w:val="single" w:sz="4" w:space="0" w:color="auto"/>
              <w:right w:val="single" w:sz="4" w:space="0" w:color="auto"/>
            </w:tcBorders>
            <w:shd w:val="clear" w:color="auto" w:fill="auto"/>
            <w:vAlign w:val="bottom"/>
            <w:hideMark/>
          </w:tcPr>
          <w:p w14:paraId="1EBDC4A5"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Desviación Estándar</w:t>
            </w:r>
          </w:p>
        </w:tc>
        <w:tc>
          <w:tcPr>
            <w:tcW w:w="1200" w:type="dxa"/>
            <w:tcBorders>
              <w:top w:val="nil"/>
              <w:left w:val="nil"/>
              <w:bottom w:val="single" w:sz="4" w:space="0" w:color="auto"/>
              <w:right w:val="single" w:sz="4" w:space="0" w:color="auto"/>
            </w:tcBorders>
            <w:shd w:val="clear" w:color="auto" w:fill="auto"/>
            <w:vAlign w:val="bottom"/>
            <w:hideMark/>
          </w:tcPr>
          <w:p w14:paraId="712DA922"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Valor Medio</w:t>
            </w:r>
          </w:p>
        </w:tc>
        <w:tc>
          <w:tcPr>
            <w:tcW w:w="1220" w:type="dxa"/>
            <w:tcBorders>
              <w:top w:val="nil"/>
              <w:left w:val="nil"/>
              <w:bottom w:val="single" w:sz="4" w:space="0" w:color="auto"/>
              <w:right w:val="single" w:sz="4" w:space="0" w:color="auto"/>
            </w:tcBorders>
            <w:shd w:val="clear" w:color="auto" w:fill="auto"/>
            <w:vAlign w:val="bottom"/>
            <w:hideMark/>
          </w:tcPr>
          <w:p w14:paraId="7FBE6A38"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Desviación Estándar</w:t>
            </w:r>
          </w:p>
        </w:tc>
        <w:tc>
          <w:tcPr>
            <w:tcW w:w="1200" w:type="dxa"/>
            <w:tcBorders>
              <w:top w:val="nil"/>
              <w:left w:val="nil"/>
              <w:bottom w:val="single" w:sz="4" w:space="0" w:color="auto"/>
              <w:right w:val="single" w:sz="4" w:space="0" w:color="auto"/>
            </w:tcBorders>
            <w:shd w:val="clear" w:color="auto" w:fill="auto"/>
            <w:vAlign w:val="bottom"/>
            <w:hideMark/>
          </w:tcPr>
          <w:p w14:paraId="46FDE3B3"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Valor Medio</w:t>
            </w:r>
          </w:p>
        </w:tc>
        <w:tc>
          <w:tcPr>
            <w:tcW w:w="1220" w:type="dxa"/>
            <w:tcBorders>
              <w:top w:val="nil"/>
              <w:left w:val="nil"/>
              <w:bottom w:val="single" w:sz="4" w:space="0" w:color="auto"/>
              <w:right w:val="single" w:sz="4" w:space="0" w:color="auto"/>
            </w:tcBorders>
            <w:shd w:val="clear" w:color="auto" w:fill="auto"/>
            <w:vAlign w:val="bottom"/>
            <w:hideMark/>
          </w:tcPr>
          <w:p w14:paraId="15151F86"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Desviación Estándar</w:t>
            </w:r>
          </w:p>
        </w:tc>
      </w:tr>
      <w:tr w:rsidR="00CF74C7" w:rsidRPr="00CF74C7" w14:paraId="4C9B2BDE" w14:textId="77777777" w:rsidTr="005143FF">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B969E86" w14:textId="77777777" w:rsidR="00C213AF" w:rsidRPr="00CF74C7" w:rsidRDefault="00C213AF" w:rsidP="002C7C82">
            <w:pPr>
              <w:spacing w:after="0" w:line="240" w:lineRule="auto"/>
              <w:jc w:val="center"/>
              <w:rPr>
                <w:rFonts w:ascii="Times New Roman" w:eastAsia="Times New Roman" w:hAnsi="Times New Roman" w:cs="Times New Roman"/>
                <w:b/>
                <w:bCs/>
                <w:sz w:val="24"/>
                <w:szCs w:val="24"/>
                <w:lang w:val="es-EC" w:eastAsia="es-EC"/>
              </w:rPr>
            </w:pPr>
            <w:r w:rsidRPr="00CF74C7">
              <w:rPr>
                <w:rFonts w:ascii="Times New Roman" w:eastAsia="Times New Roman" w:hAnsi="Times New Roman" w:cs="Times New Roman"/>
                <w:b/>
                <w:bCs/>
                <w:sz w:val="24"/>
                <w:szCs w:val="24"/>
                <w:lang w:val="es-EC" w:eastAsia="es-EC"/>
              </w:rPr>
              <w:t>Recepción</w:t>
            </w:r>
          </w:p>
        </w:tc>
        <w:tc>
          <w:tcPr>
            <w:tcW w:w="1200" w:type="dxa"/>
            <w:tcBorders>
              <w:top w:val="nil"/>
              <w:left w:val="nil"/>
              <w:bottom w:val="single" w:sz="4" w:space="0" w:color="auto"/>
              <w:right w:val="single" w:sz="4" w:space="0" w:color="auto"/>
            </w:tcBorders>
            <w:shd w:val="clear" w:color="auto" w:fill="auto"/>
            <w:noWrap/>
            <w:vAlign w:val="bottom"/>
            <w:hideMark/>
          </w:tcPr>
          <w:p w14:paraId="7C4C332C" w14:textId="5CBD923C"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2,4</w:t>
            </w:r>
            <w:r w:rsidR="006C5BA5">
              <w:rPr>
                <w:rFonts w:ascii="Times New Roman" w:eastAsia="Times New Roman" w:hAnsi="Times New Roman" w:cs="Times New Roman"/>
                <w:sz w:val="24"/>
                <w:szCs w:val="24"/>
                <w:lang w:val="es-EC" w:eastAsia="es-EC"/>
              </w:rPr>
              <w:t>0</w:t>
            </w:r>
          </w:p>
        </w:tc>
        <w:tc>
          <w:tcPr>
            <w:tcW w:w="1220" w:type="dxa"/>
            <w:tcBorders>
              <w:top w:val="nil"/>
              <w:left w:val="nil"/>
              <w:bottom w:val="single" w:sz="4" w:space="0" w:color="auto"/>
              <w:right w:val="single" w:sz="4" w:space="0" w:color="auto"/>
            </w:tcBorders>
            <w:shd w:val="clear" w:color="auto" w:fill="auto"/>
            <w:noWrap/>
            <w:vAlign w:val="bottom"/>
            <w:hideMark/>
          </w:tcPr>
          <w:p w14:paraId="12541D8B" w14:textId="6F9FFBB6"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0,6</w:t>
            </w:r>
            <w:r w:rsidR="006C5BA5">
              <w:rPr>
                <w:rFonts w:ascii="Times New Roman" w:eastAsia="Times New Roman" w:hAnsi="Times New Roman" w:cs="Times New Roman"/>
                <w:sz w:val="24"/>
                <w:szCs w:val="24"/>
                <w:lang w:val="es-EC" w:eastAsia="es-EC"/>
              </w:rPr>
              <w:t>0</w:t>
            </w:r>
          </w:p>
        </w:tc>
        <w:tc>
          <w:tcPr>
            <w:tcW w:w="1200" w:type="dxa"/>
            <w:tcBorders>
              <w:top w:val="nil"/>
              <w:left w:val="nil"/>
              <w:bottom w:val="single" w:sz="4" w:space="0" w:color="auto"/>
              <w:right w:val="single" w:sz="4" w:space="0" w:color="auto"/>
            </w:tcBorders>
            <w:shd w:val="clear" w:color="auto" w:fill="auto"/>
            <w:noWrap/>
            <w:vAlign w:val="bottom"/>
            <w:hideMark/>
          </w:tcPr>
          <w:p w14:paraId="3FFE0908"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5,98</w:t>
            </w:r>
          </w:p>
        </w:tc>
        <w:tc>
          <w:tcPr>
            <w:tcW w:w="1220" w:type="dxa"/>
            <w:tcBorders>
              <w:top w:val="nil"/>
              <w:left w:val="nil"/>
              <w:bottom w:val="single" w:sz="4" w:space="0" w:color="auto"/>
              <w:right w:val="single" w:sz="4" w:space="0" w:color="auto"/>
            </w:tcBorders>
            <w:shd w:val="clear" w:color="auto" w:fill="auto"/>
            <w:noWrap/>
            <w:vAlign w:val="bottom"/>
            <w:hideMark/>
          </w:tcPr>
          <w:p w14:paraId="0FAD3FD7" w14:textId="678865E2"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0,1</w:t>
            </w:r>
            <w:r w:rsidR="006C5BA5">
              <w:rPr>
                <w:rFonts w:ascii="Times New Roman" w:eastAsia="Times New Roman" w:hAnsi="Times New Roman" w:cs="Times New Roman"/>
                <w:sz w:val="24"/>
                <w:szCs w:val="24"/>
                <w:lang w:val="es-EC" w:eastAsia="es-EC"/>
              </w:rPr>
              <w:t>0</w:t>
            </w:r>
          </w:p>
        </w:tc>
        <w:tc>
          <w:tcPr>
            <w:tcW w:w="1200" w:type="dxa"/>
            <w:tcBorders>
              <w:top w:val="nil"/>
              <w:left w:val="nil"/>
              <w:bottom w:val="single" w:sz="4" w:space="0" w:color="auto"/>
              <w:right w:val="single" w:sz="4" w:space="0" w:color="auto"/>
            </w:tcBorders>
            <w:shd w:val="clear" w:color="auto" w:fill="auto"/>
            <w:noWrap/>
            <w:vAlign w:val="bottom"/>
            <w:hideMark/>
          </w:tcPr>
          <w:p w14:paraId="0476DCF9" w14:textId="77777777"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0,59</w:t>
            </w:r>
          </w:p>
        </w:tc>
        <w:tc>
          <w:tcPr>
            <w:tcW w:w="1220" w:type="dxa"/>
            <w:tcBorders>
              <w:top w:val="nil"/>
              <w:left w:val="nil"/>
              <w:bottom w:val="single" w:sz="4" w:space="0" w:color="auto"/>
              <w:right w:val="single" w:sz="4" w:space="0" w:color="auto"/>
            </w:tcBorders>
            <w:shd w:val="clear" w:color="auto" w:fill="auto"/>
            <w:noWrap/>
            <w:vAlign w:val="bottom"/>
            <w:hideMark/>
          </w:tcPr>
          <w:p w14:paraId="5F07E2F8" w14:textId="76B9772D" w:rsidR="00C213AF" w:rsidRPr="00CF74C7" w:rsidRDefault="00C213AF" w:rsidP="002C7C82">
            <w:pPr>
              <w:spacing w:after="0" w:line="240" w:lineRule="auto"/>
              <w:jc w:val="cente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0,4</w:t>
            </w:r>
            <w:r w:rsidR="006C5BA5">
              <w:rPr>
                <w:rFonts w:ascii="Times New Roman" w:eastAsia="Times New Roman" w:hAnsi="Times New Roman" w:cs="Times New Roman"/>
                <w:sz w:val="24"/>
                <w:szCs w:val="24"/>
                <w:lang w:val="es-EC" w:eastAsia="es-EC"/>
              </w:rPr>
              <w:t>0</w:t>
            </w:r>
          </w:p>
        </w:tc>
      </w:tr>
      <w:bookmarkEnd w:id="0"/>
    </w:tbl>
    <w:p w14:paraId="77EED370" w14:textId="77777777" w:rsidR="008C7A80" w:rsidRPr="00CF74C7" w:rsidRDefault="008C7A80" w:rsidP="008C7A80">
      <w:pPr>
        <w:spacing w:after="0" w:line="360" w:lineRule="auto"/>
        <w:jc w:val="both"/>
        <w:rPr>
          <w:rFonts w:ascii="Times New Roman" w:hAnsi="Times New Roman" w:cs="Times New Roman"/>
          <w:sz w:val="24"/>
          <w:szCs w:val="24"/>
        </w:rPr>
      </w:pPr>
    </w:p>
    <w:p w14:paraId="20327031" w14:textId="77777777" w:rsidR="007858DF" w:rsidRPr="00CF74C7" w:rsidRDefault="007858DF" w:rsidP="007858DF">
      <w:pPr>
        <w:autoSpaceDE w:val="0"/>
        <w:autoSpaceDN w:val="0"/>
        <w:adjustRightInd w:val="0"/>
        <w:spacing w:after="0" w:line="240" w:lineRule="auto"/>
        <w:jc w:val="both"/>
        <w:rPr>
          <w:rFonts w:ascii="Times New Roman" w:hAnsi="Times New Roman" w:cs="Times New Roman"/>
          <w:b/>
          <w:sz w:val="24"/>
          <w:szCs w:val="24"/>
        </w:rPr>
      </w:pPr>
      <w:r w:rsidRPr="00CF74C7">
        <w:rPr>
          <w:rFonts w:ascii="Times New Roman" w:hAnsi="Times New Roman" w:cs="Times New Roman"/>
          <w:b/>
          <w:sz w:val="24"/>
          <w:szCs w:val="24"/>
        </w:rPr>
        <w:t>Encuestas</w:t>
      </w:r>
    </w:p>
    <w:p w14:paraId="4A06CF0F" w14:textId="77777777" w:rsidR="007858DF" w:rsidRPr="00CF74C7" w:rsidRDefault="007858DF" w:rsidP="007858DF">
      <w:pPr>
        <w:autoSpaceDE w:val="0"/>
        <w:autoSpaceDN w:val="0"/>
        <w:adjustRightInd w:val="0"/>
        <w:spacing w:after="0" w:line="240" w:lineRule="auto"/>
        <w:jc w:val="both"/>
        <w:rPr>
          <w:rFonts w:ascii="Times New Roman" w:hAnsi="Times New Roman" w:cs="Times New Roman"/>
          <w:sz w:val="24"/>
          <w:szCs w:val="24"/>
        </w:rPr>
      </w:pPr>
    </w:p>
    <w:p w14:paraId="02424254" w14:textId="77777777" w:rsidR="007858DF" w:rsidRPr="00CF74C7" w:rsidRDefault="00B01B46" w:rsidP="007858D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Se presentan los resultados del diagnóstico de </w:t>
      </w:r>
      <w:r w:rsidR="00772A31" w:rsidRPr="00CF74C7">
        <w:rPr>
          <w:rFonts w:ascii="Times New Roman" w:hAnsi="Times New Roman" w:cs="Times New Roman"/>
          <w:sz w:val="24"/>
          <w:szCs w:val="24"/>
        </w:rPr>
        <w:t xml:space="preserve">trece </w:t>
      </w:r>
      <w:r w:rsidR="00121F2D" w:rsidRPr="00CF74C7">
        <w:rPr>
          <w:rFonts w:ascii="Times New Roman" w:hAnsi="Times New Roman" w:cs="Times New Roman"/>
          <w:sz w:val="24"/>
          <w:szCs w:val="24"/>
        </w:rPr>
        <w:t xml:space="preserve">paneleras </w:t>
      </w:r>
      <w:r w:rsidR="00772A31" w:rsidRPr="00CF74C7">
        <w:rPr>
          <w:rFonts w:ascii="Times New Roman" w:hAnsi="Times New Roman" w:cs="Times New Roman"/>
          <w:sz w:val="24"/>
          <w:szCs w:val="24"/>
        </w:rPr>
        <w:t>del cantón Puyo</w:t>
      </w:r>
      <w:r w:rsidRPr="00CF74C7">
        <w:rPr>
          <w:rFonts w:ascii="Times New Roman" w:hAnsi="Times New Roman" w:cs="Times New Roman"/>
          <w:sz w:val="24"/>
          <w:szCs w:val="24"/>
        </w:rPr>
        <w:t xml:space="preserve"> previo la intervención de la Universidad</w:t>
      </w:r>
      <w:r w:rsidR="006B78CD" w:rsidRPr="00CF74C7">
        <w:rPr>
          <w:rFonts w:ascii="Times New Roman" w:hAnsi="Times New Roman" w:cs="Times New Roman"/>
          <w:sz w:val="24"/>
          <w:szCs w:val="24"/>
        </w:rPr>
        <w:t xml:space="preserve">. Se selecciona la panelera que mejores condiciones presenta en la evaluación previa con el fin de </w:t>
      </w:r>
      <w:r w:rsidR="00866B64" w:rsidRPr="00CF74C7">
        <w:rPr>
          <w:rFonts w:ascii="Times New Roman" w:hAnsi="Times New Roman" w:cs="Times New Roman"/>
          <w:sz w:val="24"/>
          <w:szCs w:val="24"/>
        </w:rPr>
        <w:t xml:space="preserve">a través de los proyectos de investigación y </w:t>
      </w:r>
      <w:r w:rsidR="00866B64" w:rsidRPr="00CF74C7">
        <w:rPr>
          <w:rFonts w:ascii="Times New Roman" w:hAnsi="Times New Roman" w:cs="Times New Roman"/>
          <w:sz w:val="24"/>
          <w:szCs w:val="24"/>
        </w:rPr>
        <w:lastRenderedPageBreak/>
        <w:t xml:space="preserve">vinculación de la Universidad Estatal Amazónica intervenir tanto con docentes y estudiantes </w:t>
      </w:r>
      <w:r w:rsidR="00B9607E" w:rsidRPr="00CF74C7">
        <w:rPr>
          <w:rFonts w:ascii="Times New Roman" w:hAnsi="Times New Roman" w:cs="Times New Roman"/>
          <w:sz w:val="24"/>
          <w:szCs w:val="24"/>
        </w:rPr>
        <w:t>en el control de los parámetros operacionales y de calidad.</w:t>
      </w:r>
    </w:p>
    <w:p w14:paraId="42F735C1" w14:textId="05136DC3" w:rsidR="007858DF" w:rsidRPr="00CF74C7" w:rsidRDefault="007858DF" w:rsidP="007858D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Dispone de registro sanitario</w:t>
      </w:r>
      <w:r w:rsidR="00B9607E" w:rsidRPr="00CF74C7">
        <w:rPr>
          <w:rFonts w:ascii="Times New Roman" w:hAnsi="Times New Roman" w:cs="Times New Roman"/>
          <w:sz w:val="24"/>
          <w:szCs w:val="24"/>
        </w:rPr>
        <w:t xml:space="preserve">. </w:t>
      </w:r>
      <w:r w:rsidR="006D0279">
        <w:rPr>
          <w:rFonts w:ascii="Times New Roman" w:hAnsi="Times New Roman" w:cs="Times New Roman"/>
          <w:sz w:val="24"/>
          <w:szCs w:val="24"/>
        </w:rPr>
        <w:t xml:space="preserve"> </w:t>
      </w:r>
      <w:r w:rsidR="00B9607E" w:rsidRPr="00CF74C7">
        <w:rPr>
          <w:rFonts w:ascii="Times New Roman" w:hAnsi="Times New Roman" w:cs="Times New Roman"/>
          <w:sz w:val="24"/>
          <w:szCs w:val="24"/>
        </w:rPr>
        <w:br/>
        <w:t>De las trece empresas encuestadas</w:t>
      </w:r>
      <w:r w:rsidR="00816869" w:rsidRPr="00CF74C7">
        <w:rPr>
          <w:rFonts w:ascii="Times New Roman" w:hAnsi="Times New Roman" w:cs="Times New Roman"/>
          <w:sz w:val="24"/>
          <w:szCs w:val="24"/>
        </w:rPr>
        <w:t xml:space="preserve"> </w:t>
      </w:r>
      <w:r w:rsidR="00981B26">
        <w:rPr>
          <w:rFonts w:ascii="Times New Roman" w:hAnsi="Times New Roman" w:cs="Times New Roman"/>
          <w:sz w:val="24"/>
          <w:szCs w:val="24"/>
        </w:rPr>
        <w:t>(F</w:t>
      </w:r>
      <w:r w:rsidR="00816869" w:rsidRPr="00CF74C7">
        <w:rPr>
          <w:rFonts w:ascii="Times New Roman" w:hAnsi="Times New Roman" w:cs="Times New Roman"/>
          <w:sz w:val="24"/>
          <w:szCs w:val="24"/>
        </w:rPr>
        <w:t>igura</w:t>
      </w:r>
      <w:r w:rsidR="00981B26">
        <w:rPr>
          <w:rFonts w:ascii="Times New Roman" w:hAnsi="Times New Roman" w:cs="Times New Roman"/>
          <w:sz w:val="24"/>
          <w:szCs w:val="24"/>
        </w:rPr>
        <w:t xml:space="preserve"> </w:t>
      </w:r>
      <w:r w:rsidR="00816869" w:rsidRPr="00CF74C7">
        <w:rPr>
          <w:rFonts w:ascii="Times New Roman" w:hAnsi="Times New Roman" w:cs="Times New Roman"/>
          <w:sz w:val="24"/>
          <w:szCs w:val="24"/>
        </w:rPr>
        <w:t>1)</w:t>
      </w:r>
      <w:r w:rsidR="00B9607E" w:rsidRPr="00CF74C7">
        <w:rPr>
          <w:rFonts w:ascii="Times New Roman" w:hAnsi="Times New Roman" w:cs="Times New Roman"/>
          <w:sz w:val="24"/>
          <w:szCs w:val="24"/>
        </w:rPr>
        <w:t>, se constata que tan solo una dispone de notificación sanitaria vigente, las demás empresas no han gestionado</w:t>
      </w:r>
      <w:r w:rsidR="00816869" w:rsidRPr="00CF74C7">
        <w:rPr>
          <w:rFonts w:ascii="Times New Roman" w:hAnsi="Times New Roman" w:cs="Times New Roman"/>
          <w:sz w:val="24"/>
          <w:szCs w:val="24"/>
        </w:rPr>
        <w:t xml:space="preserve"> la certificación sanitaria.</w:t>
      </w:r>
    </w:p>
    <w:p w14:paraId="20D61186" w14:textId="77777777" w:rsidR="00121F2D" w:rsidRPr="00CF74C7" w:rsidRDefault="00B01B46" w:rsidP="00121F2D">
      <w:pPr>
        <w:keepNext/>
        <w:spacing w:after="0" w:line="360" w:lineRule="auto"/>
        <w:jc w:val="center"/>
        <w:rPr>
          <w:rFonts w:ascii="Times New Roman" w:hAnsi="Times New Roman" w:cs="Times New Roman"/>
          <w:sz w:val="24"/>
          <w:szCs w:val="24"/>
        </w:rPr>
      </w:pPr>
      <w:r w:rsidRPr="00CF74C7">
        <w:rPr>
          <w:rFonts w:ascii="Times New Roman" w:hAnsi="Times New Roman" w:cs="Times New Roman"/>
          <w:noProof/>
          <w:sz w:val="24"/>
          <w:szCs w:val="24"/>
          <w:lang w:val="es-EC" w:eastAsia="es-EC"/>
        </w:rPr>
        <w:drawing>
          <wp:inline distT="0" distB="0" distL="0" distR="0" wp14:anchorId="2BFB6A67" wp14:editId="672DB36D">
            <wp:extent cx="2636344" cy="158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6344" cy="1584000"/>
                    </a:xfrm>
                    <a:prstGeom prst="rect">
                      <a:avLst/>
                    </a:prstGeom>
                  </pic:spPr>
                </pic:pic>
              </a:graphicData>
            </a:graphic>
          </wp:inline>
        </w:drawing>
      </w:r>
    </w:p>
    <w:p w14:paraId="4F6AF514" w14:textId="77777777" w:rsidR="00B01B46" w:rsidRPr="00CF74C7" w:rsidRDefault="00121F2D" w:rsidP="00121F2D">
      <w:pPr>
        <w:pStyle w:val="Descripcin"/>
        <w:jc w:val="center"/>
        <w:rPr>
          <w:rFonts w:ascii="Times New Roman" w:hAnsi="Times New Roman" w:cs="Times New Roman"/>
          <w:color w:val="auto"/>
          <w:sz w:val="20"/>
          <w:szCs w:val="20"/>
        </w:rPr>
      </w:pPr>
      <w:r w:rsidRPr="00CF74C7">
        <w:rPr>
          <w:rFonts w:ascii="Times New Roman" w:hAnsi="Times New Roman" w:cs="Times New Roman"/>
          <w:color w:val="auto"/>
          <w:sz w:val="20"/>
          <w:szCs w:val="20"/>
        </w:rPr>
        <w:t xml:space="preserve">Figura </w:t>
      </w:r>
      <w:r w:rsidRPr="00CF74C7">
        <w:rPr>
          <w:rFonts w:ascii="Times New Roman" w:hAnsi="Times New Roman" w:cs="Times New Roman"/>
          <w:color w:val="auto"/>
          <w:sz w:val="20"/>
          <w:szCs w:val="20"/>
        </w:rPr>
        <w:fldChar w:fldCharType="begin"/>
      </w:r>
      <w:r w:rsidRPr="00CF74C7">
        <w:rPr>
          <w:rFonts w:ascii="Times New Roman" w:hAnsi="Times New Roman" w:cs="Times New Roman"/>
          <w:color w:val="auto"/>
          <w:sz w:val="20"/>
          <w:szCs w:val="20"/>
        </w:rPr>
        <w:instrText xml:space="preserve"> SEQ Figura \* ARABIC </w:instrText>
      </w:r>
      <w:r w:rsidRPr="00CF74C7">
        <w:rPr>
          <w:rFonts w:ascii="Times New Roman" w:hAnsi="Times New Roman" w:cs="Times New Roman"/>
          <w:color w:val="auto"/>
          <w:sz w:val="20"/>
          <w:szCs w:val="20"/>
        </w:rPr>
        <w:fldChar w:fldCharType="separate"/>
      </w:r>
      <w:r w:rsidR="006B78CD" w:rsidRPr="00CF74C7">
        <w:rPr>
          <w:rFonts w:ascii="Times New Roman" w:hAnsi="Times New Roman" w:cs="Times New Roman"/>
          <w:noProof/>
          <w:color w:val="auto"/>
          <w:sz w:val="20"/>
          <w:szCs w:val="20"/>
        </w:rPr>
        <w:t>1</w:t>
      </w:r>
      <w:r w:rsidRPr="00CF74C7">
        <w:rPr>
          <w:rFonts w:ascii="Times New Roman" w:hAnsi="Times New Roman" w:cs="Times New Roman"/>
          <w:color w:val="auto"/>
          <w:sz w:val="20"/>
          <w:szCs w:val="20"/>
        </w:rPr>
        <w:fldChar w:fldCharType="end"/>
      </w:r>
      <w:r w:rsidRPr="00CF74C7">
        <w:rPr>
          <w:rFonts w:ascii="Times New Roman" w:hAnsi="Times New Roman" w:cs="Times New Roman"/>
          <w:color w:val="auto"/>
          <w:sz w:val="20"/>
          <w:szCs w:val="20"/>
        </w:rPr>
        <w:t>. Número de empresas que cuentan con certificación sanitaria. Elaboración propia.</w:t>
      </w:r>
    </w:p>
    <w:p w14:paraId="5548F155" w14:textId="77777777" w:rsidR="007858DF" w:rsidRPr="00CF74C7" w:rsidRDefault="007858DF" w:rsidP="007858D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Precio de venta</w:t>
      </w:r>
      <w:r w:rsidR="00816869" w:rsidRPr="00CF74C7">
        <w:rPr>
          <w:rFonts w:ascii="Times New Roman" w:hAnsi="Times New Roman" w:cs="Times New Roman"/>
          <w:sz w:val="24"/>
          <w:szCs w:val="24"/>
        </w:rPr>
        <w:t>.</w:t>
      </w:r>
    </w:p>
    <w:p w14:paraId="6A5F2763" w14:textId="3FEDF16F" w:rsidR="00816869" w:rsidRDefault="00816869" w:rsidP="007858DF">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Las empresas comercializan el producto </w:t>
      </w:r>
      <w:r w:rsidR="00B216ED" w:rsidRPr="00CF74C7">
        <w:rPr>
          <w:rFonts w:ascii="Times New Roman" w:hAnsi="Times New Roman" w:cs="Times New Roman"/>
          <w:sz w:val="24"/>
          <w:szCs w:val="24"/>
        </w:rPr>
        <w:t xml:space="preserve">en los mercados de la localidad, solo una de ellas entrega </w:t>
      </w:r>
      <w:r w:rsidR="00F10C14" w:rsidRPr="00CF74C7">
        <w:rPr>
          <w:rFonts w:ascii="Times New Roman" w:hAnsi="Times New Roman" w:cs="Times New Roman"/>
          <w:sz w:val="24"/>
          <w:szCs w:val="24"/>
        </w:rPr>
        <w:t>la</w:t>
      </w:r>
      <w:r w:rsidR="00B216ED" w:rsidRPr="00CF74C7">
        <w:rPr>
          <w:rFonts w:ascii="Times New Roman" w:hAnsi="Times New Roman" w:cs="Times New Roman"/>
          <w:sz w:val="24"/>
          <w:szCs w:val="24"/>
        </w:rPr>
        <w:t xml:space="preserve"> producción </w:t>
      </w:r>
      <w:r w:rsidR="00F10C14" w:rsidRPr="00CF74C7">
        <w:rPr>
          <w:rFonts w:ascii="Times New Roman" w:hAnsi="Times New Roman" w:cs="Times New Roman"/>
          <w:sz w:val="24"/>
          <w:szCs w:val="24"/>
        </w:rPr>
        <w:t xml:space="preserve">total a una empresa distribuidora a nivel nacional, justamente corresponde a la que obtiene mejor precio por el producto </w:t>
      </w:r>
      <w:r w:rsidR="002C3850" w:rsidRPr="00CF74C7">
        <w:rPr>
          <w:rFonts w:ascii="Times New Roman" w:hAnsi="Times New Roman" w:cs="Times New Roman"/>
          <w:sz w:val="24"/>
          <w:szCs w:val="24"/>
        </w:rPr>
        <w:t>48 USD/qq figura (2)</w:t>
      </w:r>
      <w:r w:rsidR="00F10C14" w:rsidRPr="00CF74C7">
        <w:rPr>
          <w:rFonts w:ascii="Times New Roman" w:hAnsi="Times New Roman" w:cs="Times New Roman"/>
          <w:sz w:val="24"/>
          <w:szCs w:val="24"/>
        </w:rPr>
        <w:t>.</w:t>
      </w:r>
    </w:p>
    <w:p w14:paraId="26541395" w14:textId="19102DC7" w:rsidR="008D3202" w:rsidRPr="00CF74C7" w:rsidRDefault="008D3202" w:rsidP="008D3202">
      <w:pPr>
        <w:spacing w:after="0" w:line="360" w:lineRule="auto"/>
        <w:jc w:val="center"/>
        <w:rPr>
          <w:rFonts w:ascii="Times New Roman" w:hAnsi="Times New Roman" w:cs="Times New Roman"/>
          <w:sz w:val="24"/>
          <w:szCs w:val="24"/>
        </w:rPr>
      </w:pPr>
      <w:r w:rsidRPr="008D3202">
        <w:drawing>
          <wp:inline distT="0" distB="0" distL="0" distR="0" wp14:anchorId="1CB8DCD3" wp14:editId="61CC7E5F">
            <wp:extent cx="2645500" cy="158400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5500" cy="1584000"/>
                    </a:xfrm>
                    <a:prstGeom prst="rect">
                      <a:avLst/>
                    </a:prstGeom>
                  </pic:spPr>
                </pic:pic>
              </a:graphicData>
            </a:graphic>
          </wp:inline>
        </w:drawing>
      </w:r>
    </w:p>
    <w:p w14:paraId="71A8B4FB" w14:textId="77777777" w:rsidR="00BB79A3" w:rsidRPr="00CF74C7" w:rsidRDefault="001948F3" w:rsidP="001948F3">
      <w:pPr>
        <w:pStyle w:val="Descripcin"/>
        <w:jc w:val="center"/>
        <w:rPr>
          <w:rFonts w:ascii="Times New Roman" w:hAnsi="Times New Roman" w:cs="Times New Roman"/>
          <w:color w:val="auto"/>
          <w:sz w:val="20"/>
          <w:szCs w:val="20"/>
        </w:rPr>
      </w:pPr>
      <w:r w:rsidRPr="00CF74C7">
        <w:rPr>
          <w:rFonts w:ascii="Times New Roman" w:hAnsi="Times New Roman" w:cs="Times New Roman"/>
          <w:color w:val="auto"/>
          <w:sz w:val="20"/>
          <w:szCs w:val="20"/>
        </w:rPr>
        <w:t xml:space="preserve">Figura </w:t>
      </w:r>
      <w:r w:rsidRPr="00CF74C7">
        <w:rPr>
          <w:rFonts w:ascii="Times New Roman" w:hAnsi="Times New Roman" w:cs="Times New Roman"/>
          <w:color w:val="auto"/>
          <w:sz w:val="20"/>
          <w:szCs w:val="20"/>
        </w:rPr>
        <w:fldChar w:fldCharType="begin"/>
      </w:r>
      <w:r w:rsidRPr="00CF74C7">
        <w:rPr>
          <w:rFonts w:ascii="Times New Roman" w:hAnsi="Times New Roman" w:cs="Times New Roman"/>
          <w:color w:val="auto"/>
          <w:sz w:val="20"/>
          <w:szCs w:val="20"/>
        </w:rPr>
        <w:instrText xml:space="preserve"> SEQ Figura \* ARABIC </w:instrText>
      </w:r>
      <w:r w:rsidRPr="00CF74C7">
        <w:rPr>
          <w:rFonts w:ascii="Times New Roman" w:hAnsi="Times New Roman" w:cs="Times New Roman"/>
          <w:color w:val="auto"/>
          <w:sz w:val="20"/>
          <w:szCs w:val="20"/>
        </w:rPr>
        <w:fldChar w:fldCharType="separate"/>
      </w:r>
      <w:r w:rsidR="006B78CD" w:rsidRPr="00CF74C7">
        <w:rPr>
          <w:rFonts w:ascii="Times New Roman" w:hAnsi="Times New Roman" w:cs="Times New Roman"/>
          <w:noProof/>
          <w:color w:val="auto"/>
          <w:sz w:val="20"/>
          <w:szCs w:val="20"/>
        </w:rPr>
        <w:t>2</w:t>
      </w:r>
      <w:r w:rsidRPr="00CF74C7">
        <w:rPr>
          <w:rFonts w:ascii="Times New Roman" w:hAnsi="Times New Roman" w:cs="Times New Roman"/>
          <w:color w:val="auto"/>
          <w:sz w:val="20"/>
          <w:szCs w:val="20"/>
        </w:rPr>
        <w:fldChar w:fldCharType="end"/>
      </w:r>
      <w:r w:rsidRPr="00CF74C7">
        <w:rPr>
          <w:rFonts w:ascii="Times New Roman" w:hAnsi="Times New Roman" w:cs="Times New Roman"/>
          <w:color w:val="auto"/>
          <w:sz w:val="20"/>
          <w:szCs w:val="20"/>
        </w:rPr>
        <w:t xml:space="preserve">. </w:t>
      </w:r>
      <w:r w:rsidR="00C15215" w:rsidRPr="00CF74C7">
        <w:rPr>
          <w:rFonts w:ascii="Times New Roman" w:hAnsi="Times New Roman" w:cs="Times New Roman"/>
          <w:color w:val="auto"/>
          <w:sz w:val="20"/>
          <w:szCs w:val="20"/>
        </w:rPr>
        <w:t>Precio de venta de panela granulada. Elaboración propia.</w:t>
      </w:r>
    </w:p>
    <w:p w14:paraId="70340820" w14:textId="77777777" w:rsidR="00F10502" w:rsidRPr="00CF74C7" w:rsidRDefault="007858DF" w:rsidP="00F10502">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Se diagnostica infraestructura, condiciones del proceso</w:t>
      </w:r>
      <w:r w:rsidR="00F10502" w:rsidRPr="00CF74C7">
        <w:rPr>
          <w:rFonts w:ascii="Times New Roman" w:hAnsi="Times New Roman" w:cs="Times New Roman"/>
          <w:sz w:val="24"/>
          <w:szCs w:val="24"/>
        </w:rPr>
        <w:t xml:space="preserve"> y Normativas de calidad y su control.</w:t>
      </w:r>
    </w:p>
    <w:p w14:paraId="1728B913" w14:textId="77777777" w:rsidR="002C3850" w:rsidRPr="00CF74C7" w:rsidRDefault="002C3850" w:rsidP="00F10502">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En las trece paneleras se realiza un check list para verificar las condiciones mínimas de </w:t>
      </w:r>
      <w:r w:rsidR="00207C93" w:rsidRPr="00CF74C7">
        <w:rPr>
          <w:rFonts w:ascii="Times New Roman" w:hAnsi="Times New Roman" w:cs="Times New Roman"/>
          <w:sz w:val="24"/>
          <w:szCs w:val="24"/>
        </w:rPr>
        <w:t>la infraestructura, condiciones de proceso</w:t>
      </w:r>
      <w:r w:rsidR="00432F07" w:rsidRPr="00CF74C7">
        <w:rPr>
          <w:rFonts w:ascii="Times New Roman" w:hAnsi="Times New Roman" w:cs="Times New Roman"/>
          <w:sz w:val="24"/>
          <w:szCs w:val="24"/>
        </w:rPr>
        <w:t>, control de proceso,</w:t>
      </w:r>
      <w:r w:rsidR="00207C93" w:rsidRPr="00CF74C7">
        <w:rPr>
          <w:rFonts w:ascii="Times New Roman" w:hAnsi="Times New Roman" w:cs="Times New Roman"/>
          <w:sz w:val="24"/>
          <w:szCs w:val="24"/>
        </w:rPr>
        <w:t xml:space="preserve"> aplicación de normas de </w:t>
      </w:r>
      <w:r w:rsidR="00207C93" w:rsidRPr="00CF74C7">
        <w:rPr>
          <w:rFonts w:ascii="Times New Roman" w:hAnsi="Times New Roman" w:cs="Times New Roman"/>
          <w:sz w:val="24"/>
          <w:szCs w:val="24"/>
        </w:rPr>
        <w:lastRenderedPageBreak/>
        <w:t>calidad y control de calidad. En forma general se aprecia que las empresas artesanales no cumplen las condiciones mínimas, tampoco aplican normas de calidad ni realizan control de calidad</w:t>
      </w:r>
      <w:r w:rsidR="00432F07" w:rsidRPr="00CF74C7">
        <w:rPr>
          <w:rFonts w:ascii="Times New Roman" w:hAnsi="Times New Roman" w:cs="Times New Roman"/>
          <w:sz w:val="24"/>
          <w:szCs w:val="24"/>
        </w:rPr>
        <w:t xml:space="preserve"> Tabla (</w:t>
      </w:r>
      <w:r w:rsidR="005143FF">
        <w:rPr>
          <w:rFonts w:ascii="Times New Roman" w:hAnsi="Times New Roman" w:cs="Times New Roman"/>
          <w:sz w:val="24"/>
          <w:szCs w:val="24"/>
        </w:rPr>
        <w:t>4</w:t>
      </w:r>
      <w:r w:rsidR="00432F07" w:rsidRPr="00CF74C7">
        <w:rPr>
          <w:rFonts w:ascii="Times New Roman" w:hAnsi="Times New Roman" w:cs="Times New Roman"/>
          <w:sz w:val="24"/>
          <w:szCs w:val="24"/>
        </w:rPr>
        <w:t>).</w:t>
      </w:r>
    </w:p>
    <w:p w14:paraId="1050D4B6" w14:textId="77777777" w:rsidR="00204B93" w:rsidRPr="00CF74C7" w:rsidRDefault="00204B93" w:rsidP="00204B93">
      <w:pPr>
        <w:pStyle w:val="Descripcin"/>
        <w:keepNext/>
        <w:rPr>
          <w:rFonts w:ascii="Times New Roman" w:hAnsi="Times New Roman" w:cs="Times New Roman"/>
          <w:color w:val="auto"/>
          <w:sz w:val="20"/>
          <w:szCs w:val="20"/>
        </w:rPr>
      </w:pPr>
      <w:r w:rsidRPr="00CF74C7">
        <w:rPr>
          <w:rFonts w:ascii="Times New Roman" w:hAnsi="Times New Roman" w:cs="Times New Roman"/>
          <w:color w:val="auto"/>
          <w:sz w:val="20"/>
          <w:szCs w:val="20"/>
        </w:rPr>
        <w:t xml:space="preserve">Tabla </w:t>
      </w:r>
      <w:r w:rsidRPr="00CF74C7">
        <w:rPr>
          <w:rFonts w:ascii="Times New Roman" w:hAnsi="Times New Roman" w:cs="Times New Roman"/>
          <w:color w:val="auto"/>
          <w:sz w:val="20"/>
          <w:szCs w:val="20"/>
        </w:rPr>
        <w:fldChar w:fldCharType="begin"/>
      </w:r>
      <w:r w:rsidRPr="00CF74C7">
        <w:rPr>
          <w:rFonts w:ascii="Times New Roman" w:hAnsi="Times New Roman" w:cs="Times New Roman"/>
          <w:color w:val="auto"/>
          <w:sz w:val="20"/>
          <w:szCs w:val="20"/>
        </w:rPr>
        <w:instrText xml:space="preserve"> SEQ Tabla \* ARABIC </w:instrText>
      </w:r>
      <w:r w:rsidRPr="00CF74C7">
        <w:rPr>
          <w:rFonts w:ascii="Times New Roman" w:hAnsi="Times New Roman" w:cs="Times New Roman"/>
          <w:color w:val="auto"/>
          <w:sz w:val="20"/>
          <w:szCs w:val="20"/>
        </w:rPr>
        <w:fldChar w:fldCharType="separate"/>
      </w:r>
      <w:r w:rsidR="005143FF">
        <w:rPr>
          <w:rFonts w:ascii="Times New Roman" w:hAnsi="Times New Roman" w:cs="Times New Roman"/>
          <w:noProof/>
          <w:color w:val="auto"/>
          <w:sz w:val="20"/>
          <w:szCs w:val="20"/>
        </w:rPr>
        <w:t>4</w:t>
      </w:r>
      <w:r w:rsidRPr="00CF74C7">
        <w:rPr>
          <w:rFonts w:ascii="Times New Roman" w:hAnsi="Times New Roman" w:cs="Times New Roman"/>
          <w:color w:val="auto"/>
          <w:sz w:val="20"/>
          <w:szCs w:val="20"/>
        </w:rPr>
        <w:fldChar w:fldCharType="end"/>
      </w:r>
      <w:r w:rsidRPr="00CF74C7">
        <w:rPr>
          <w:rFonts w:ascii="Times New Roman" w:hAnsi="Times New Roman" w:cs="Times New Roman"/>
          <w:color w:val="auto"/>
          <w:sz w:val="20"/>
          <w:szCs w:val="20"/>
        </w:rPr>
        <w:t>. Diagnóstico de infraestructura y condiciones de proceso. Elaboración propia.</w:t>
      </w:r>
    </w:p>
    <w:tbl>
      <w:tblPr>
        <w:tblStyle w:val="Cuadrculadetablaclara"/>
        <w:tblW w:w="5000" w:type="pct"/>
        <w:tblLayout w:type="fixed"/>
        <w:tblLook w:val="04A0" w:firstRow="1" w:lastRow="0" w:firstColumn="1" w:lastColumn="0" w:noHBand="0" w:noVBand="1"/>
      </w:tblPr>
      <w:tblGrid>
        <w:gridCol w:w="899"/>
        <w:gridCol w:w="821"/>
        <w:gridCol w:w="1228"/>
        <w:gridCol w:w="817"/>
        <w:gridCol w:w="1430"/>
        <w:gridCol w:w="1101"/>
        <w:gridCol w:w="1101"/>
        <w:gridCol w:w="1097"/>
      </w:tblGrid>
      <w:tr w:rsidR="007C1A7F" w:rsidRPr="00CF74C7" w14:paraId="1E32B7D8" w14:textId="77777777" w:rsidTr="0072016D">
        <w:trPr>
          <w:trHeight w:val="501"/>
        </w:trPr>
        <w:tc>
          <w:tcPr>
            <w:tcW w:w="529" w:type="pct"/>
            <w:noWrap/>
            <w:vAlign w:val="center"/>
            <w:hideMark/>
          </w:tcPr>
          <w:p w14:paraId="07FD168C" w14:textId="77777777" w:rsidR="0072016D" w:rsidRPr="00CF74C7" w:rsidRDefault="0072016D" w:rsidP="00F4475E">
            <w:pPr>
              <w:jc w:val="both"/>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Paneleras</w:t>
            </w:r>
          </w:p>
        </w:tc>
        <w:tc>
          <w:tcPr>
            <w:tcW w:w="483" w:type="pct"/>
            <w:noWrap/>
            <w:vAlign w:val="center"/>
            <w:hideMark/>
          </w:tcPr>
          <w:p w14:paraId="1356B6D4" w14:textId="77777777" w:rsidR="0072016D" w:rsidRPr="00CF74C7" w:rsidRDefault="0072016D"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Áreas separadas</w:t>
            </w:r>
          </w:p>
        </w:tc>
        <w:tc>
          <w:tcPr>
            <w:tcW w:w="723" w:type="pct"/>
            <w:noWrap/>
            <w:vAlign w:val="center"/>
            <w:hideMark/>
          </w:tcPr>
          <w:p w14:paraId="00B09ED0" w14:textId="77777777" w:rsidR="0072016D" w:rsidRPr="00CF74C7" w:rsidRDefault="0072016D"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Zona de proceso cubierta</w:t>
            </w:r>
          </w:p>
        </w:tc>
        <w:tc>
          <w:tcPr>
            <w:tcW w:w="481" w:type="pct"/>
            <w:noWrap/>
            <w:vAlign w:val="center"/>
            <w:hideMark/>
          </w:tcPr>
          <w:p w14:paraId="12C94318" w14:textId="77777777" w:rsidR="0072016D" w:rsidRPr="00CF74C7" w:rsidRDefault="0072016D"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Señalética</w:t>
            </w:r>
          </w:p>
        </w:tc>
        <w:tc>
          <w:tcPr>
            <w:tcW w:w="842" w:type="pct"/>
            <w:noWrap/>
            <w:vAlign w:val="center"/>
            <w:hideMark/>
          </w:tcPr>
          <w:p w14:paraId="4E1FA5AB" w14:textId="77777777" w:rsidR="0072016D" w:rsidRPr="00CF74C7" w:rsidRDefault="0072016D"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Control de proceso</w:t>
            </w:r>
          </w:p>
        </w:tc>
        <w:tc>
          <w:tcPr>
            <w:tcW w:w="648" w:type="pct"/>
            <w:noWrap/>
            <w:vAlign w:val="center"/>
            <w:hideMark/>
          </w:tcPr>
          <w:p w14:paraId="2F236E12" w14:textId="77777777" w:rsidR="0072016D" w:rsidRPr="00CF74C7" w:rsidRDefault="0072016D"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Limpieza</w:t>
            </w:r>
          </w:p>
        </w:tc>
        <w:tc>
          <w:tcPr>
            <w:tcW w:w="648" w:type="pct"/>
          </w:tcPr>
          <w:p w14:paraId="7D427BB5" w14:textId="77777777" w:rsidR="0072016D" w:rsidRPr="00CF74C7" w:rsidRDefault="0072016D"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Tiene Normas de calidad</w:t>
            </w:r>
          </w:p>
        </w:tc>
        <w:tc>
          <w:tcPr>
            <w:tcW w:w="646" w:type="pct"/>
          </w:tcPr>
          <w:p w14:paraId="7A90C06B" w14:textId="77777777" w:rsidR="0072016D" w:rsidRPr="00CF74C7" w:rsidRDefault="00DF1D61" w:rsidP="00F4475E">
            <w:pPr>
              <w:rPr>
                <w:rFonts w:ascii="Times New Roman" w:eastAsia="Times New Roman" w:hAnsi="Times New Roman" w:cs="Times New Roman"/>
                <w:b/>
                <w:sz w:val="24"/>
                <w:szCs w:val="24"/>
                <w:lang w:val="es-EC" w:eastAsia="es-EC"/>
              </w:rPr>
            </w:pPr>
            <w:r w:rsidRPr="00CF74C7">
              <w:rPr>
                <w:rFonts w:ascii="Times New Roman" w:eastAsia="Times New Roman" w:hAnsi="Times New Roman" w:cs="Times New Roman"/>
                <w:b/>
                <w:sz w:val="24"/>
                <w:szCs w:val="24"/>
                <w:lang w:val="es-EC" w:eastAsia="es-EC"/>
              </w:rPr>
              <w:t>Realiza control de calidad</w:t>
            </w:r>
          </w:p>
        </w:tc>
      </w:tr>
      <w:tr w:rsidR="007C1A7F" w:rsidRPr="00CF74C7" w14:paraId="2241FB69" w14:textId="77777777" w:rsidTr="0072016D">
        <w:trPr>
          <w:trHeight w:val="501"/>
        </w:trPr>
        <w:tc>
          <w:tcPr>
            <w:tcW w:w="529" w:type="pct"/>
            <w:noWrap/>
            <w:hideMark/>
          </w:tcPr>
          <w:p w14:paraId="1AC38D66"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1</w:t>
            </w:r>
          </w:p>
        </w:tc>
        <w:tc>
          <w:tcPr>
            <w:tcW w:w="483" w:type="pct"/>
            <w:noWrap/>
            <w:hideMark/>
          </w:tcPr>
          <w:p w14:paraId="5B1430C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30A15C3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481" w:type="pct"/>
            <w:noWrap/>
            <w:hideMark/>
          </w:tcPr>
          <w:p w14:paraId="395BED8B"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16B4CA7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30C8BA7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648" w:type="pct"/>
          </w:tcPr>
          <w:p w14:paraId="1FA6ECC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61D778CB"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5F827C22" w14:textId="77777777" w:rsidTr="0072016D">
        <w:trPr>
          <w:trHeight w:val="501"/>
        </w:trPr>
        <w:tc>
          <w:tcPr>
            <w:tcW w:w="529" w:type="pct"/>
            <w:noWrap/>
            <w:hideMark/>
          </w:tcPr>
          <w:p w14:paraId="5856A1B1"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2</w:t>
            </w:r>
          </w:p>
        </w:tc>
        <w:tc>
          <w:tcPr>
            <w:tcW w:w="483" w:type="pct"/>
            <w:noWrap/>
            <w:hideMark/>
          </w:tcPr>
          <w:p w14:paraId="0E85E622"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41DA703B"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74106504"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340045A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097C495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00177C1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2000F34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7FD2422A" w14:textId="77777777" w:rsidTr="0072016D">
        <w:trPr>
          <w:trHeight w:val="501"/>
        </w:trPr>
        <w:tc>
          <w:tcPr>
            <w:tcW w:w="529" w:type="pct"/>
            <w:noWrap/>
            <w:hideMark/>
          </w:tcPr>
          <w:p w14:paraId="2BE0FD71"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3</w:t>
            </w:r>
          </w:p>
        </w:tc>
        <w:tc>
          <w:tcPr>
            <w:tcW w:w="483" w:type="pct"/>
            <w:noWrap/>
            <w:hideMark/>
          </w:tcPr>
          <w:p w14:paraId="7167B0C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31F52B7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2590589B"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2DA401E2"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07E9113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134579B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6B5A3C90"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2EE0D11C" w14:textId="77777777" w:rsidTr="0072016D">
        <w:trPr>
          <w:trHeight w:val="501"/>
        </w:trPr>
        <w:tc>
          <w:tcPr>
            <w:tcW w:w="529" w:type="pct"/>
            <w:noWrap/>
            <w:hideMark/>
          </w:tcPr>
          <w:p w14:paraId="40414E27"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4</w:t>
            </w:r>
          </w:p>
        </w:tc>
        <w:tc>
          <w:tcPr>
            <w:tcW w:w="483" w:type="pct"/>
            <w:noWrap/>
            <w:hideMark/>
          </w:tcPr>
          <w:p w14:paraId="2460029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12510FB7"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481" w:type="pct"/>
            <w:noWrap/>
            <w:hideMark/>
          </w:tcPr>
          <w:p w14:paraId="4AD4885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567E650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49F713C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648" w:type="pct"/>
          </w:tcPr>
          <w:p w14:paraId="26BE0598"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62E9655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305EDB1D" w14:textId="77777777" w:rsidTr="0072016D">
        <w:trPr>
          <w:trHeight w:val="501"/>
        </w:trPr>
        <w:tc>
          <w:tcPr>
            <w:tcW w:w="529" w:type="pct"/>
            <w:noWrap/>
            <w:hideMark/>
          </w:tcPr>
          <w:p w14:paraId="01C2DC3E"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5</w:t>
            </w:r>
          </w:p>
        </w:tc>
        <w:tc>
          <w:tcPr>
            <w:tcW w:w="483" w:type="pct"/>
            <w:noWrap/>
            <w:hideMark/>
          </w:tcPr>
          <w:p w14:paraId="2B87EB6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185F7138"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208739C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7EC139B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55D15124"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5A22BC8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01A84B56"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217C019A" w14:textId="77777777" w:rsidTr="0072016D">
        <w:trPr>
          <w:trHeight w:val="501"/>
        </w:trPr>
        <w:tc>
          <w:tcPr>
            <w:tcW w:w="529" w:type="pct"/>
            <w:noWrap/>
            <w:hideMark/>
          </w:tcPr>
          <w:p w14:paraId="4208BC35"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6</w:t>
            </w:r>
          </w:p>
        </w:tc>
        <w:tc>
          <w:tcPr>
            <w:tcW w:w="483" w:type="pct"/>
            <w:noWrap/>
            <w:hideMark/>
          </w:tcPr>
          <w:p w14:paraId="642905F8"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14D6F2FB"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481" w:type="pct"/>
            <w:noWrap/>
            <w:hideMark/>
          </w:tcPr>
          <w:p w14:paraId="153452A4"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13530DA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7440BD9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72B5A9C9"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3E3F67C0"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63AE4F5B" w14:textId="77777777" w:rsidTr="0072016D">
        <w:trPr>
          <w:trHeight w:val="501"/>
        </w:trPr>
        <w:tc>
          <w:tcPr>
            <w:tcW w:w="529" w:type="pct"/>
            <w:noWrap/>
            <w:hideMark/>
          </w:tcPr>
          <w:p w14:paraId="2D56240C"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7</w:t>
            </w:r>
          </w:p>
        </w:tc>
        <w:tc>
          <w:tcPr>
            <w:tcW w:w="483" w:type="pct"/>
            <w:noWrap/>
            <w:hideMark/>
          </w:tcPr>
          <w:p w14:paraId="5CB1B58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288ED038"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481" w:type="pct"/>
            <w:noWrap/>
            <w:hideMark/>
          </w:tcPr>
          <w:p w14:paraId="09D6C0B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0EAB4A07"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5C43AE75"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648" w:type="pct"/>
          </w:tcPr>
          <w:p w14:paraId="2B889606"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31F01DA7"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225D473C" w14:textId="77777777" w:rsidTr="0072016D">
        <w:trPr>
          <w:trHeight w:val="501"/>
        </w:trPr>
        <w:tc>
          <w:tcPr>
            <w:tcW w:w="529" w:type="pct"/>
            <w:noWrap/>
            <w:hideMark/>
          </w:tcPr>
          <w:p w14:paraId="31273F09"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8</w:t>
            </w:r>
          </w:p>
        </w:tc>
        <w:tc>
          <w:tcPr>
            <w:tcW w:w="483" w:type="pct"/>
            <w:noWrap/>
            <w:hideMark/>
          </w:tcPr>
          <w:p w14:paraId="49AA021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1A1F8460"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4626240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4041E402"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3AD50009"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186F34E9"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7D4D87B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49E1C744" w14:textId="77777777" w:rsidTr="0072016D">
        <w:trPr>
          <w:trHeight w:val="501"/>
        </w:trPr>
        <w:tc>
          <w:tcPr>
            <w:tcW w:w="529" w:type="pct"/>
            <w:noWrap/>
            <w:hideMark/>
          </w:tcPr>
          <w:p w14:paraId="6F82A016"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9</w:t>
            </w:r>
          </w:p>
        </w:tc>
        <w:tc>
          <w:tcPr>
            <w:tcW w:w="483" w:type="pct"/>
            <w:noWrap/>
            <w:hideMark/>
          </w:tcPr>
          <w:p w14:paraId="01445D4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36BB859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481" w:type="pct"/>
            <w:noWrap/>
            <w:hideMark/>
          </w:tcPr>
          <w:p w14:paraId="530019E4"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45EE1BB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5AA9234D"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25BC1E2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3CDEC96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3DFEAB20" w14:textId="77777777" w:rsidTr="0072016D">
        <w:trPr>
          <w:trHeight w:val="501"/>
        </w:trPr>
        <w:tc>
          <w:tcPr>
            <w:tcW w:w="529" w:type="pct"/>
            <w:noWrap/>
            <w:hideMark/>
          </w:tcPr>
          <w:p w14:paraId="75A65AC9"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10</w:t>
            </w:r>
          </w:p>
        </w:tc>
        <w:tc>
          <w:tcPr>
            <w:tcW w:w="483" w:type="pct"/>
            <w:noWrap/>
            <w:hideMark/>
          </w:tcPr>
          <w:p w14:paraId="09F5BE1E"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338B4A5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01B06D8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6865F60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2A9B8625"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2B75F4A3"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6736D7B8"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5A01CA4D" w14:textId="77777777" w:rsidTr="0072016D">
        <w:trPr>
          <w:trHeight w:val="501"/>
        </w:trPr>
        <w:tc>
          <w:tcPr>
            <w:tcW w:w="529" w:type="pct"/>
            <w:noWrap/>
            <w:hideMark/>
          </w:tcPr>
          <w:p w14:paraId="6DF7B913"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11</w:t>
            </w:r>
          </w:p>
        </w:tc>
        <w:tc>
          <w:tcPr>
            <w:tcW w:w="483" w:type="pct"/>
            <w:noWrap/>
            <w:hideMark/>
          </w:tcPr>
          <w:p w14:paraId="5383EE8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0763CA15"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1A4C2AD9"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7714888B"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69C721C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17687F2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1EE1DDA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4C93B4C0" w14:textId="77777777" w:rsidTr="0072016D">
        <w:trPr>
          <w:trHeight w:val="501"/>
        </w:trPr>
        <w:tc>
          <w:tcPr>
            <w:tcW w:w="529" w:type="pct"/>
            <w:noWrap/>
            <w:hideMark/>
          </w:tcPr>
          <w:p w14:paraId="11BADC5E"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12</w:t>
            </w:r>
          </w:p>
        </w:tc>
        <w:tc>
          <w:tcPr>
            <w:tcW w:w="483" w:type="pct"/>
            <w:noWrap/>
            <w:hideMark/>
          </w:tcPr>
          <w:p w14:paraId="48A4C74F"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747EEE46"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481" w:type="pct"/>
            <w:noWrap/>
            <w:hideMark/>
          </w:tcPr>
          <w:p w14:paraId="4487E5B2"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2C83B7A8"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54296147"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Si</w:t>
            </w:r>
          </w:p>
        </w:tc>
        <w:tc>
          <w:tcPr>
            <w:tcW w:w="648" w:type="pct"/>
          </w:tcPr>
          <w:p w14:paraId="5285B1F1"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6E083986"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r w:rsidR="007C1A7F" w:rsidRPr="00CF74C7" w14:paraId="5299BFC2" w14:textId="77777777" w:rsidTr="0072016D">
        <w:trPr>
          <w:trHeight w:val="501"/>
        </w:trPr>
        <w:tc>
          <w:tcPr>
            <w:tcW w:w="529" w:type="pct"/>
            <w:noWrap/>
            <w:hideMark/>
          </w:tcPr>
          <w:p w14:paraId="598A1951" w14:textId="77777777" w:rsidR="0072016D" w:rsidRPr="00CF74C7" w:rsidRDefault="0072016D" w:rsidP="0072016D">
            <w:pPr>
              <w:jc w:val="both"/>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Panelera 13</w:t>
            </w:r>
          </w:p>
        </w:tc>
        <w:tc>
          <w:tcPr>
            <w:tcW w:w="483" w:type="pct"/>
            <w:noWrap/>
            <w:hideMark/>
          </w:tcPr>
          <w:p w14:paraId="21FA2406"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723" w:type="pct"/>
            <w:noWrap/>
            <w:hideMark/>
          </w:tcPr>
          <w:p w14:paraId="1444CDB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481" w:type="pct"/>
            <w:noWrap/>
            <w:hideMark/>
          </w:tcPr>
          <w:p w14:paraId="2E95205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842" w:type="pct"/>
            <w:noWrap/>
            <w:hideMark/>
          </w:tcPr>
          <w:p w14:paraId="2A06F6FC"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noWrap/>
            <w:hideMark/>
          </w:tcPr>
          <w:p w14:paraId="683DF6AA"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8" w:type="pct"/>
          </w:tcPr>
          <w:p w14:paraId="2C2CBEC9"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c>
          <w:tcPr>
            <w:tcW w:w="646" w:type="pct"/>
          </w:tcPr>
          <w:p w14:paraId="4B9FF57E" w14:textId="77777777" w:rsidR="0072016D" w:rsidRPr="00CF74C7" w:rsidRDefault="0072016D" w:rsidP="0072016D">
            <w:pPr>
              <w:rPr>
                <w:rFonts w:ascii="Times New Roman" w:eastAsia="Times New Roman" w:hAnsi="Times New Roman" w:cs="Times New Roman"/>
                <w:sz w:val="24"/>
                <w:szCs w:val="24"/>
                <w:lang w:val="es-EC" w:eastAsia="es-EC"/>
              </w:rPr>
            </w:pPr>
            <w:r w:rsidRPr="00CF74C7">
              <w:rPr>
                <w:rFonts w:ascii="Times New Roman" w:eastAsia="Times New Roman" w:hAnsi="Times New Roman" w:cs="Times New Roman"/>
                <w:sz w:val="24"/>
                <w:szCs w:val="24"/>
                <w:lang w:val="es-EC" w:eastAsia="es-EC"/>
              </w:rPr>
              <w:t>No</w:t>
            </w:r>
          </w:p>
        </w:tc>
      </w:tr>
    </w:tbl>
    <w:p w14:paraId="6F5E5F46" w14:textId="77777777" w:rsidR="00CC3EBB" w:rsidRPr="00CF74C7" w:rsidRDefault="00CC3EBB" w:rsidP="007858DF">
      <w:pPr>
        <w:spacing w:after="0" w:line="360" w:lineRule="auto"/>
        <w:jc w:val="both"/>
        <w:rPr>
          <w:rFonts w:ascii="Times New Roman" w:hAnsi="Times New Roman" w:cs="Times New Roman"/>
          <w:sz w:val="24"/>
          <w:szCs w:val="24"/>
        </w:rPr>
      </w:pPr>
    </w:p>
    <w:p w14:paraId="1279EC8E" w14:textId="77777777" w:rsidR="006B78CD" w:rsidRPr="00CF74C7" w:rsidRDefault="006B78CD" w:rsidP="006B78C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Demanda del producto</w:t>
      </w:r>
    </w:p>
    <w:p w14:paraId="6A74BB41" w14:textId="77777777" w:rsidR="00432F07" w:rsidRPr="00CF74C7" w:rsidRDefault="00432F07" w:rsidP="006B78CD">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t xml:space="preserve">De las trece paneleras muestreadas, se seleccionó aquella que mejores condiciones tiene, además la empresa muestra interés debido a la exigencia del comprador respecto a </w:t>
      </w:r>
      <w:r w:rsidRPr="00CF74C7">
        <w:rPr>
          <w:rFonts w:ascii="Times New Roman" w:hAnsi="Times New Roman" w:cs="Times New Roman"/>
          <w:sz w:val="24"/>
          <w:szCs w:val="24"/>
        </w:rPr>
        <w:lastRenderedPageBreak/>
        <w:t xml:space="preserve">estandarizar la calidad con el fin de aumentar el cupo </w:t>
      </w:r>
      <w:r w:rsidR="00C6197E" w:rsidRPr="00CF74C7">
        <w:rPr>
          <w:rFonts w:ascii="Times New Roman" w:hAnsi="Times New Roman" w:cs="Times New Roman"/>
          <w:sz w:val="24"/>
          <w:szCs w:val="24"/>
        </w:rPr>
        <w:t>de venta. En la figura (3), se observa que luego de la intervención de la UEA en el control de parámetros operacionales y de calidad, la empresa aumentó la demanda en 100 qq/mes de panela granulada.</w:t>
      </w:r>
    </w:p>
    <w:p w14:paraId="1B40AB3F" w14:textId="77777777" w:rsidR="006B78CD" w:rsidRPr="00CF74C7" w:rsidRDefault="006B78CD" w:rsidP="00832696">
      <w:pPr>
        <w:keepNext/>
        <w:spacing w:after="0" w:line="360" w:lineRule="auto"/>
        <w:jc w:val="center"/>
        <w:rPr>
          <w:rFonts w:ascii="Times New Roman" w:hAnsi="Times New Roman" w:cs="Times New Roman"/>
          <w:sz w:val="24"/>
          <w:szCs w:val="24"/>
        </w:rPr>
      </w:pPr>
      <w:r w:rsidRPr="00CF74C7">
        <w:rPr>
          <w:rFonts w:ascii="Times New Roman" w:hAnsi="Times New Roman" w:cs="Times New Roman"/>
          <w:noProof/>
          <w:sz w:val="24"/>
          <w:szCs w:val="24"/>
          <w:lang w:val="es-EC" w:eastAsia="es-EC"/>
        </w:rPr>
        <w:drawing>
          <wp:inline distT="0" distB="0" distL="0" distR="0" wp14:anchorId="27782369" wp14:editId="6B05A649">
            <wp:extent cx="3607500" cy="2160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7500" cy="2160000"/>
                    </a:xfrm>
                    <a:prstGeom prst="rect">
                      <a:avLst/>
                    </a:prstGeom>
                  </pic:spPr>
                </pic:pic>
              </a:graphicData>
            </a:graphic>
          </wp:inline>
        </w:drawing>
      </w:r>
    </w:p>
    <w:p w14:paraId="1AF64251" w14:textId="77777777" w:rsidR="006B78CD" w:rsidRPr="00CF74C7" w:rsidRDefault="006B78CD" w:rsidP="006B78CD">
      <w:pPr>
        <w:pStyle w:val="Descripcin"/>
        <w:jc w:val="both"/>
        <w:rPr>
          <w:rFonts w:ascii="Times New Roman" w:hAnsi="Times New Roman" w:cs="Times New Roman"/>
          <w:color w:val="auto"/>
          <w:sz w:val="24"/>
          <w:szCs w:val="24"/>
        </w:rPr>
      </w:pPr>
      <w:r w:rsidRPr="00CF74C7">
        <w:rPr>
          <w:rFonts w:ascii="Times New Roman" w:hAnsi="Times New Roman" w:cs="Times New Roman"/>
          <w:color w:val="auto"/>
          <w:sz w:val="24"/>
          <w:szCs w:val="24"/>
        </w:rPr>
        <w:t xml:space="preserve">Figura </w:t>
      </w:r>
      <w:r w:rsidRPr="00CF74C7">
        <w:rPr>
          <w:rFonts w:ascii="Times New Roman" w:hAnsi="Times New Roman" w:cs="Times New Roman"/>
          <w:color w:val="auto"/>
          <w:sz w:val="24"/>
          <w:szCs w:val="24"/>
        </w:rPr>
        <w:fldChar w:fldCharType="begin"/>
      </w:r>
      <w:r w:rsidRPr="00CF74C7">
        <w:rPr>
          <w:rFonts w:ascii="Times New Roman" w:hAnsi="Times New Roman" w:cs="Times New Roman"/>
          <w:color w:val="auto"/>
          <w:sz w:val="24"/>
          <w:szCs w:val="24"/>
        </w:rPr>
        <w:instrText xml:space="preserve"> SEQ Figura \* ARABIC </w:instrText>
      </w:r>
      <w:r w:rsidRPr="00CF74C7">
        <w:rPr>
          <w:rFonts w:ascii="Times New Roman" w:hAnsi="Times New Roman" w:cs="Times New Roman"/>
          <w:color w:val="auto"/>
          <w:sz w:val="24"/>
          <w:szCs w:val="24"/>
        </w:rPr>
        <w:fldChar w:fldCharType="separate"/>
      </w:r>
      <w:r w:rsidRPr="00CF74C7">
        <w:rPr>
          <w:rFonts w:ascii="Times New Roman" w:hAnsi="Times New Roman" w:cs="Times New Roman"/>
          <w:noProof/>
          <w:color w:val="auto"/>
          <w:sz w:val="24"/>
          <w:szCs w:val="24"/>
        </w:rPr>
        <w:t>3</w:t>
      </w:r>
      <w:r w:rsidRPr="00CF74C7">
        <w:rPr>
          <w:rFonts w:ascii="Times New Roman" w:hAnsi="Times New Roman" w:cs="Times New Roman"/>
          <w:color w:val="auto"/>
          <w:sz w:val="24"/>
          <w:szCs w:val="24"/>
        </w:rPr>
        <w:fldChar w:fldCharType="end"/>
      </w:r>
      <w:r w:rsidRPr="00CF74C7">
        <w:rPr>
          <w:rFonts w:ascii="Times New Roman" w:hAnsi="Times New Roman" w:cs="Times New Roman"/>
          <w:color w:val="auto"/>
          <w:sz w:val="24"/>
          <w:szCs w:val="24"/>
        </w:rPr>
        <w:t>. Demanda de panela granulada, antes y después de la intervención de la Universidad. Elaboración propia.</w:t>
      </w:r>
    </w:p>
    <w:p w14:paraId="745ADA44" w14:textId="77777777" w:rsidR="00DF1D61" w:rsidRPr="00CF74C7" w:rsidRDefault="00DF1D61" w:rsidP="007858DF">
      <w:pPr>
        <w:spacing w:after="0" w:line="360" w:lineRule="auto"/>
        <w:jc w:val="both"/>
        <w:rPr>
          <w:rFonts w:ascii="Times New Roman" w:hAnsi="Times New Roman" w:cs="Times New Roman"/>
          <w:sz w:val="24"/>
          <w:szCs w:val="24"/>
        </w:rPr>
      </w:pPr>
    </w:p>
    <w:p w14:paraId="5C744F6C" w14:textId="77777777" w:rsidR="008C7A80" w:rsidRPr="00CF74C7" w:rsidRDefault="008C7A80" w:rsidP="008C7A80">
      <w:pPr>
        <w:spacing w:after="0" w:line="360" w:lineRule="auto"/>
        <w:jc w:val="both"/>
        <w:rPr>
          <w:rFonts w:ascii="Times New Roman" w:hAnsi="Times New Roman" w:cs="Times New Roman"/>
          <w:b/>
          <w:sz w:val="24"/>
          <w:szCs w:val="24"/>
        </w:rPr>
      </w:pPr>
      <w:r w:rsidRPr="00CF74C7">
        <w:rPr>
          <w:rFonts w:ascii="Times New Roman" w:hAnsi="Times New Roman" w:cs="Times New Roman"/>
          <w:b/>
          <w:sz w:val="24"/>
          <w:szCs w:val="24"/>
        </w:rPr>
        <w:t>4. Conclusiones</w:t>
      </w:r>
    </w:p>
    <w:p w14:paraId="0B890789" w14:textId="77777777" w:rsidR="00322E88" w:rsidRDefault="00C213AF" w:rsidP="0003762C">
      <w:pPr>
        <w:widowControl w:val="0"/>
        <w:spacing w:after="0" w:line="360" w:lineRule="auto"/>
        <w:ind w:left="102" w:right="-1"/>
        <w:jc w:val="both"/>
        <w:rPr>
          <w:rFonts w:ascii="Times New Roman" w:eastAsia="Times New Roman" w:hAnsi="Times New Roman" w:cs="Times New Roman"/>
          <w:sz w:val="24"/>
          <w:szCs w:val="24"/>
          <w:lang w:val="es-ES_tradnl"/>
        </w:rPr>
      </w:pPr>
      <w:r w:rsidRPr="00B92B78">
        <w:rPr>
          <w:rFonts w:ascii="Times New Roman" w:eastAsia="Times New Roman" w:hAnsi="Times New Roman" w:cs="Times New Roman"/>
          <w:sz w:val="24"/>
          <w:szCs w:val="24"/>
          <w:lang w:val="es-ES_tradnl"/>
        </w:rPr>
        <w:t xml:space="preserve">En la provincia de Pastaza la industria panelera se encuentra atravesando problemas de infraestructura obsoleta, inestabilidad del precio en el mercado, deficiencias en el control del proceso y de la calidad de panela. </w:t>
      </w:r>
      <w:r w:rsidR="003B1E81" w:rsidRPr="00B92B78">
        <w:rPr>
          <w:rFonts w:ascii="Times New Roman" w:eastAsia="Times New Roman" w:hAnsi="Times New Roman" w:cs="Times New Roman"/>
          <w:sz w:val="24"/>
          <w:szCs w:val="24"/>
          <w:lang w:val="es-ES_tradnl"/>
        </w:rPr>
        <w:t>La presente investigación demostró que</w:t>
      </w:r>
      <w:r w:rsidRPr="00B92B78">
        <w:rPr>
          <w:rFonts w:ascii="Times New Roman" w:eastAsia="Times New Roman" w:hAnsi="Times New Roman" w:cs="Times New Roman"/>
          <w:sz w:val="24"/>
          <w:szCs w:val="24"/>
          <w:lang w:val="es-ES_tradnl"/>
        </w:rPr>
        <w:t xml:space="preserve"> mediante la aplicación </w:t>
      </w:r>
      <w:r w:rsidR="002C7C82" w:rsidRPr="00B92B78">
        <w:rPr>
          <w:rFonts w:ascii="Times New Roman" w:eastAsia="Times New Roman" w:hAnsi="Times New Roman" w:cs="Times New Roman"/>
          <w:sz w:val="24"/>
          <w:szCs w:val="24"/>
          <w:lang w:val="es-ES_tradnl"/>
        </w:rPr>
        <w:t xml:space="preserve">de </w:t>
      </w:r>
      <w:r w:rsidRPr="00B92B78">
        <w:rPr>
          <w:rFonts w:ascii="Times New Roman" w:eastAsia="Times New Roman" w:hAnsi="Times New Roman" w:cs="Times New Roman"/>
          <w:sz w:val="24"/>
          <w:szCs w:val="24"/>
          <w:lang w:val="es-ES_tradnl"/>
        </w:rPr>
        <w:t>sistemas de control que garanticen productos de calidad y la capacitación de los operarios que son parte de un sector económicamente activo</w:t>
      </w:r>
      <w:r w:rsidR="002C7C82" w:rsidRPr="00B92B78">
        <w:rPr>
          <w:rFonts w:ascii="Times New Roman" w:eastAsia="Times New Roman" w:hAnsi="Times New Roman" w:cs="Times New Roman"/>
          <w:sz w:val="24"/>
          <w:szCs w:val="24"/>
          <w:lang w:val="es-ES_tradnl"/>
        </w:rPr>
        <w:t>, la demanda del producto puede aumentar</w:t>
      </w:r>
      <w:r w:rsidRPr="00B92B78">
        <w:rPr>
          <w:rFonts w:ascii="Times New Roman" w:eastAsia="Times New Roman" w:hAnsi="Times New Roman" w:cs="Times New Roman"/>
          <w:sz w:val="24"/>
          <w:szCs w:val="24"/>
          <w:lang w:val="es-ES_tradnl"/>
        </w:rPr>
        <w:t>.</w:t>
      </w:r>
    </w:p>
    <w:p w14:paraId="7517D1A6" w14:textId="41818253" w:rsidR="00C213AF" w:rsidRPr="00CF74C7" w:rsidRDefault="00C213AF" w:rsidP="0003762C">
      <w:pPr>
        <w:widowControl w:val="0"/>
        <w:spacing w:after="0" w:line="360" w:lineRule="auto"/>
        <w:ind w:left="102" w:right="-1"/>
        <w:jc w:val="both"/>
        <w:rPr>
          <w:rFonts w:ascii="Times New Roman" w:eastAsia="Times New Roman" w:hAnsi="Times New Roman" w:cs="Times New Roman"/>
          <w:sz w:val="24"/>
          <w:szCs w:val="24"/>
          <w:lang w:val="es-EC"/>
        </w:rPr>
      </w:pPr>
      <w:r w:rsidRPr="00B92B78">
        <w:rPr>
          <w:rFonts w:ascii="Times New Roman" w:eastAsia="Times New Roman" w:hAnsi="Times New Roman" w:cs="Times New Roman"/>
          <w:sz w:val="24"/>
          <w:szCs w:val="24"/>
          <w:lang w:val="es-ES_tradnl"/>
        </w:rPr>
        <w:t>En términos de productividad y eficiencia el sistema actual presenta pérdidas económicas para el pequeño producto</w:t>
      </w:r>
      <w:r w:rsidR="00322E88">
        <w:rPr>
          <w:rFonts w:ascii="Times New Roman" w:eastAsia="Times New Roman" w:hAnsi="Times New Roman" w:cs="Times New Roman"/>
          <w:sz w:val="24"/>
          <w:szCs w:val="24"/>
          <w:lang w:val="es-ES_tradnl"/>
        </w:rPr>
        <w:t>r</w:t>
      </w:r>
      <w:r w:rsidR="00EF1389">
        <w:rPr>
          <w:rFonts w:ascii="Times New Roman" w:eastAsia="Times New Roman" w:hAnsi="Times New Roman" w:cs="Times New Roman"/>
          <w:sz w:val="24"/>
          <w:szCs w:val="24"/>
          <w:lang w:val="es-ES_tradnl"/>
        </w:rPr>
        <w:t xml:space="preserve"> debido a la variabilidad de la calidad de la panela. </w:t>
      </w:r>
      <w:r w:rsidR="00925CBD">
        <w:rPr>
          <w:rFonts w:ascii="Times New Roman" w:eastAsia="Times New Roman" w:hAnsi="Times New Roman" w:cs="Times New Roman"/>
          <w:sz w:val="24"/>
          <w:szCs w:val="24"/>
          <w:lang w:val="es-ES_tradnl"/>
        </w:rPr>
        <w:t>La falta de control de los parámetros operacionales presenta</w:t>
      </w:r>
      <w:r w:rsidRPr="00B92B78">
        <w:rPr>
          <w:rFonts w:ascii="Times New Roman" w:eastAsia="Times New Roman" w:hAnsi="Times New Roman" w:cs="Times New Roman"/>
          <w:sz w:val="24"/>
          <w:szCs w:val="24"/>
          <w:lang w:val="es-ES_tradnl"/>
        </w:rPr>
        <w:t xml:space="preserve"> variabilidad del color y contenido de solidos solubles de la panela. </w:t>
      </w:r>
      <w:r w:rsidRPr="00CF74C7">
        <w:rPr>
          <w:rFonts w:ascii="Times New Roman" w:eastAsia="Times New Roman" w:hAnsi="Times New Roman" w:cs="Times New Roman"/>
          <w:sz w:val="24"/>
          <w:szCs w:val="24"/>
          <w:lang w:val="es-EC"/>
        </w:rPr>
        <w:t xml:space="preserve">Sin </w:t>
      </w:r>
      <w:r w:rsidR="00F57D8F" w:rsidRPr="00CF74C7">
        <w:rPr>
          <w:rFonts w:ascii="Times New Roman" w:eastAsia="Times New Roman" w:hAnsi="Times New Roman" w:cs="Times New Roman"/>
          <w:sz w:val="24"/>
          <w:szCs w:val="24"/>
          <w:lang w:val="es-EC"/>
        </w:rPr>
        <w:t>embargo,</w:t>
      </w:r>
      <w:r w:rsidRPr="00CF74C7">
        <w:rPr>
          <w:rFonts w:ascii="Times New Roman" w:eastAsia="Times New Roman" w:hAnsi="Times New Roman" w:cs="Times New Roman"/>
          <w:sz w:val="24"/>
          <w:szCs w:val="24"/>
          <w:lang w:val="es-EC"/>
        </w:rPr>
        <w:t xml:space="preserve"> la humedad y pH requeridos en la Norma Técnica Ecuatoriana INEN 2332:2002 de la calidad de panela granulada el producto cumple con las especificaciones, el porcentaje de minerales totales registrado junto a las propiedades organolépticas que ofrece el producto de la parroquia Tarqui es </w:t>
      </w:r>
      <w:r w:rsidRPr="00CF74C7">
        <w:rPr>
          <w:rFonts w:ascii="Times New Roman" w:eastAsia="Times New Roman" w:hAnsi="Times New Roman" w:cs="Times New Roman"/>
          <w:sz w:val="24"/>
          <w:szCs w:val="24"/>
          <w:lang w:val="es-EC"/>
        </w:rPr>
        <w:lastRenderedPageBreak/>
        <w:t>muy apreciado debido a que los cultivos se desarrollan en una zona geográfica que aporta</w:t>
      </w:r>
      <w:r w:rsidR="00CF74C7" w:rsidRPr="00CF74C7">
        <w:rPr>
          <w:rFonts w:ascii="Times New Roman" w:eastAsia="Times New Roman" w:hAnsi="Times New Roman" w:cs="Times New Roman"/>
          <w:sz w:val="24"/>
          <w:szCs w:val="24"/>
          <w:lang w:val="es-EC"/>
        </w:rPr>
        <w:t>n</w:t>
      </w:r>
      <w:r w:rsidRPr="00CF74C7">
        <w:rPr>
          <w:rFonts w:ascii="Times New Roman" w:eastAsia="Times New Roman" w:hAnsi="Times New Roman" w:cs="Times New Roman"/>
          <w:sz w:val="24"/>
          <w:szCs w:val="24"/>
          <w:lang w:val="es-EC"/>
        </w:rPr>
        <w:t xml:space="preserve"> dichas características.</w:t>
      </w:r>
    </w:p>
    <w:p w14:paraId="2DD2D154" w14:textId="77777777" w:rsidR="008C7A80" w:rsidRPr="00CF74C7" w:rsidRDefault="008C7A80" w:rsidP="008C7A80">
      <w:pPr>
        <w:spacing w:after="0" w:line="360" w:lineRule="auto"/>
        <w:jc w:val="both"/>
        <w:rPr>
          <w:rFonts w:ascii="Times New Roman" w:hAnsi="Times New Roman" w:cs="Times New Roman"/>
          <w:sz w:val="24"/>
          <w:szCs w:val="24"/>
        </w:rPr>
      </w:pPr>
    </w:p>
    <w:p w14:paraId="0BB55F75" w14:textId="77777777" w:rsidR="008C7A80" w:rsidRPr="00CF74C7" w:rsidRDefault="008C7A80" w:rsidP="008C7A80">
      <w:pPr>
        <w:spacing w:after="0" w:line="360" w:lineRule="auto"/>
        <w:jc w:val="both"/>
        <w:rPr>
          <w:rFonts w:ascii="Times New Roman" w:hAnsi="Times New Roman" w:cs="Times New Roman"/>
          <w:b/>
          <w:sz w:val="24"/>
          <w:szCs w:val="24"/>
        </w:rPr>
      </w:pPr>
      <w:r w:rsidRPr="00CF74C7">
        <w:rPr>
          <w:rFonts w:ascii="Times New Roman" w:hAnsi="Times New Roman" w:cs="Times New Roman"/>
          <w:b/>
          <w:sz w:val="24"/>
          <w:szCs w:val="24"/>
        </w:rPr>
        <w:t>5. Referencias bibliográficas</w:t>
      </w:r>
    </w:p>
    <w:p w14:paraId="3F28362E" w14:textId="3AE54CDB" w:rsidR="00641824" w:rsidRPr="00641824" w:rsidRDefault="00F25DD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F74C7">
        <w:rPr>
          <w:rFonts w:ascii="Times New Roman" w:hAnsi="Times New Roman" w:cs="Times New Roman"/>
          <w:sz w:val="24"/>
          <w:szCs w:val="24"/>
        </w:rPr>
        <w:fldChar w:fldCharType="begin" w:fldLock="1"/>
      </w:r>
      <w:r w:rsidRPr="00CF74C7">
        <w:rPr>
          <w:rFonts w:ascii="Times New Roman" w:hAnsi="Times New Roman" w:cs="Times New Roman"/>
          <w:sz w:val="24"/>
          <w:szCs w:val="24"/>
        </w:rPr>
        <w:instrText xml:space="preserve">ADDIN Mendeley Bibliography CSL_BIBLIOGRAPHY </w:instrText>
      </w:r>
      <w:r w:rsidRPr="00CF74C7">
        <w:rPr>
          <w:rFonts w:ascii="Times New Roman" w:hAnsi="Times New Roman" w:cs="Times New Roman"/>
          <w:sz w:val="24"/>
          <w:szCs w:val="24"/>
        </w:rPr>
        <w:fldChar w:fldCharType="separate"/>
      </w:r>
      <w:r w:rsidR="00641824" w:rsidRPr="00641824">
        <w:rPr>
          <w:rFonts w:ascii="Times New Roman" w:hAnsi="Times New Roman" w:cs="Times New Roman"/>
          <w:noProof/>
          <w:sz w:val="24"/>
          <w:szCs w:val="24"/>
        </w:rPr>
        <w:t xml:space="preserve">Andrade, M. (2008). </w:t>
      </w:r>
      <w:r w:rsidR="00641824" w:rsidRPr="00641824">
        <w:rPr>
          <w:rFonts w:ascii="Times New Roman" w:hAnsi="Times New Roman" w:cs="Times New Roman"/>
          <w:i/>
          <w:iCs/>
          <w:noProof/>
          <w:sz w:val="24"/>
          <w:szCs w:val="24"/>
        </w:rPr>
        <w:t>Evaluación de la funcionalidad de panelas artesanales como antioxidante y fuente de minerales</w:t>
      </w:r>
      <w:r w:rsidR="00641824" w:rsidRPr="00641824">
        <w:rPr>
          <w:rFonts w:ascii="Times New Roman" w:hAnsi="Times New Roman" w:cs="Times New Roman"/>
          <w:noProof/>
          <w:sz w:val="24"/>
          <w:szCs w:val="24"/>
        </w:rPr>
        <w:t>. Universidad Simón Bolivar.</w:t>
      </w:r>
    </w:p>
    <w:p w14:paraId="04B34DDE"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Carlosama, P. (2009). </w:t>
      </w:r>
      <w:r w:rsidRPr="00641824">
        <w:rPr>
          <w:rFonts w:ascii="Times New Roman" w:hAnsi="Times New Roman" w:cs="Times New Roman"/>
          <w:i/>
          <w:iCs/>
          <w:noProof/>
          <w:sz w:val="24"/>
          <w:szCs w:val="24"/>
        </w:rPr>
        <w:t>Diseño del plan y documentación para la implementación de buenas prácticas de manufactura para la elaboración de panela granulada para las unidades productivas paneleras de la COPROPAP de pacto</w:t>
      </w:r>
      <w:r w:rsidRPr="00641824">
        <w:rPr>
          <w:rFonts w:ascii="Times New Roman" w:hAnsi="Times New Roman" w:cs="Times New Roman"/>
          <w:noProof/>
          <w:sz w:val="24"/>
          <w:szCs w:val="24"/>
        </w:rPr>
        <w:t>. Escuela Politecnica Nacional.</w:t>
      </w:r>
    </w:p>
    <w:p w14:paraId="6DBEF83D"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Escobar, J. M., Cerda, V. R., &amp; Tapuy, A. S. (2018). Evaluation of the operation parameters and the process quality of the obtaining of granulated panela in the parish of Tarqui, in the panela industry “El Valle.” In </w:t>
      </w:r>
      <w:r w:rsidRPr="00641824">
        <w:rPr>
          <w:rFonts w:ascii="Times New Roman" w:hAnsi="Times New Roman" w:cs="Times New Roman"/>
          <w:i/>
          <w:iCs/>
          <w:noProof/>
          <w:sz w:val="24"/>
          <w:szCs w:val="24"/>
        </w:rPr>
        <w:t>MOL2NET, International Conference Series on Multidisciplinary Sciences</w:t>
      </w:r>
      <w:r w:rsidRPr="00641824">
        <w:rPr>
          <w:rFonts w:ascii="Times New Roman" w:hAnsi="Times New Roman" w:cs="Times New Roman"/>
          <w:noProof/>
          <w:sz w:val="24"/>
          <w:szCs w:val="24"/>
        </w:rPr>
        <w:t xml:space="preserve"> (pp. 2–7).</w:t>
      </w:r>
    </w:p>
    <w:p w14:paraId="52463E03"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ESPAC. (2017). </w:t>
      </w:r>
      <w:r w:rsidRPr="00641824">
        <w:rPr>
          <w:rFonts w:ascii="Times New Roman" w:hAnsi="Times New Roman" w:cs="Times New Roman"/>
          <w:i/>
          <w:iCs/>
          <w:noProof/>
          <w:sz w:val="24"/>
          <w:szCs w:val="24"/>
        </w:rPr>
        <w:t>Encuesta de Superficie y Producción Agropecuaria Continua</w:t>
      </w:r>
      <w:r w:rsidRPr="00641824">
        <w:rPr>
          <w:rFonts w:ascii="Times New Roman" w:hAnsi="Times New Roman" w:cs="Times New Roman"/>
          <w:noProof/>
          <w:sz w:val="24"/>
          <w:szCs w:val="24"/>
        </w:rPr>
        <w:t>. Ecuador. Retrieved from http://www.ecuadorencifras.gob.ec/documentos/web-inec/Estadisticas_agropecuarias/espac/espac_2017/Presentacion_Principales_Resultados_ESPAC_2017.pdf</w:t>
      </w:r>
    </w:p>
    <w:p w14:paraId="6BC5CAAF"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Fernández, L. N. (2003). </w:t>
      </w:r>
      <w:r w:rsidRPr="00641824">
        <w:rPr>
          <w:rFonts w:ascii="Times New Roman" w:hAnsi="Times New Roman" w:cs="Times New Roman"/>
          <w:i/>
          <w:iCs/>
          <w:noProof/>
          <w:sz w:val="24"/>
          <w:szCs w:val="24"/>
        </w:rPr>
        <w:t>Estudio para la implementación de una planta de producción de panela</w:t>
      </w:r>
      <w:r w:rsidRPr="00641824">
        <w:rPr>
          <w:rFonts w:ascii="Times New Roman" w:hAnsi="Times New Roman" w:cs="Times New Roman"/>
          <w:noProof/>
          <w:sz w:val="24"/>
          <w:szCs w:val="24"/>
        </w:rPr>
        <w:t>. Universidad de San Carlos de Guatemala.</w:t>
      </w:r>
    </w:p>
    <w:p w14:paraId="1DFD945C"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González-Suárez, E., Concepción Toledo, D., &amp; Miño-Valdés, J. (2018). </w:t>
      </w:r>
      <w:r w:rsidRPr="00641824">
        <w:rPr>
          <w:rFonts w:ascii="Times New Roman" w:hAnsi="Times New Roman" w:cs="Times New Roman"/>
          <w:i/>
          <w:iCs/>
          <w:noProof/>
          <w:sz w:val="24"/>
          <w:szCs w:val="24"/>
        </w:rPr>
        <w:t>Las Universidades como capital intangible para desarrollar la industria de procesos químicos y fermentativos</w:t>
      </w:r>
      <w:r w:rsidRPr="00641824">
        <w:rPr>
          <w:rFonts w:ascii="Times New Roman" w:hAnsi="Times New Roman" w:cs="Times New Roman"/>
          <w:noProof/>
          <w:sz w:val="24"/>
          <w:szCs w:val="24"/>
        </w:rPr>
        <w:t>. Argentina: Editorial Universitaria Universidad de Misiones.</w:t>
      </w:r>
    </w:p>
    <w:p w14:paraId="24315FC5"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Guevara, E. E. (2011). </w:t>
      </w:r>
      <w:r w:rsidRPr="00641824">
        <w:rPr>
          <w:rFonts w:ascii="Times New Roman" w:hAnsi="Times New Roman" w:cs="Times New Roman"/>
          <w:i/>
          <w:iCs/>
          <w:noProof/>
          <w:sz w:val="24"/>
          <w:szCs w:val="24"/>
        </w:rPr>
        <w:t>Inocuidad de la miel de caña aplicando buenas prácticas de manufactura</w:t>
      </w:r>
      <w:r w:rsidRPr="00641824">
        <w:rPr>
          <w:rFonts w:ascii="Times New Roman" w:hAnsi="Times New Roman" w:cs="Times New Roman"/>
          <w:noProof/>
          <w:sz w:val="24"/>
          <w:szCs w:val="24"/>
        </w:rPr>
        <w:t>. Universidad Estatal Amazónica. Retrieved from https://repositorio.uea.edu.ec/xmlui/handle/123456789/34</w:t>
      </w:r>
    </w:p>
    <w:p w14:paraId="1533D3F2"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Instituto Ecuatoriano de Normalización. PANELA GRANULADA. REQUISITOS </w:t>
      </w:r>
      <w:r w:rsidRPr="00641824">
        <w:rPr>
          <w:rFonts w:ascii="Times New Roman" w:hAnsi="Times New Roman" w:cs="Times New Roman"/>
          <w:noProof/>
          <w:sz w:val="24"/>
          <w:szCs w:val="24"/>
        </w:rPr>
        <w:lastRenderedPageBreak/>
        <w:t>INEN, Pub. L. No. NTE INEN 2 332, 8 (2002). Ecuador. Retrieved from http://181.112.149.204/buzon/normas/2332.pdf</w:t>
      </w:r>
    </w:p>
    <w:p w14:paraId="0056BA6B"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Instituto Ecuatoriano de Normalización. PANELA SÓLIDA. REQUISITOS INEN, Pub. L. No. NTE INEN 2 331, 8 (2002). Ecuador. Retrieved from http://181.112.149.204/buzon/normas/2331.pdf</w:t>
      </w:r>
    </w:p>
    <w:p w14:paraId="1A3A43A2"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Mamade-Toure, B., González-Suárez, E., Curbelo-Sánchez, A., Peralta-Suárez, L. ., &amp; Miño-Valdés, J. (2017). Herramientas de investigación para incrementar el impacto de la ciencia en la industria química. </w:t>
      </w:r>
      <w:r w:rsidRPr="00641824">
        <w:rPr>
          <w:rFonts w:ascii="Times New Roman" w:hAnsi="Times New Roman" w:cs="Times New Roman"/>
          <w:i/>
          <w:iCs/>
          <w:noProof/>
          <w:sz w:val="24"/>
          <w:szCs w:val="24"/>
        </w:rPr>
        <w:t>Revista Científica de La UCSA</w:t>
      </w:r>
      <w:r w:rsidRPr="00641824">
        <w:rPr>
          <w:rFonts w:ascii="Times New Roman" w:hAnsi="Times New Roman" w:cs="Times New Roman"/>
          <w:noProof/>
          <w:sz w:val="24"/>
          <w:szCs w:val="24"/>
        </w:rPr>
        <w:t xml:space="preserve">, </w:t>
      </w:r>
      <w:r w:rsidRPr="00641824">
        <w:rPr>
          <w:rFonts w:ascii="Times New Roman" w:hAnsi="Times New Roman" w:cs="Times New Roman"/>
          <w:i/>
          <w:iCs/>
          <w:noProof/>
          <w:sz w:val="24"/>
          <w:szCs w:val="24"/>
        </w:rPr>
        <w:t>4</w:t>
      </w:r>
      <w:r w:rsidRPr="00641824">
        <w:rPr>
          <w:rFonts w:ascii="Times New Roman" w:hAnsi="Times New Roman" w:cs="Times New Roman"/>
          <w:noProof/>
          <w:sz w:val="24"/>
          <w:szCs w:val="24"/>
        </w:rPr>
        <w:t>(02), 67–77. https://doi.org/10.18004/ucsa/2409-8752/2017.004(02)067-077</w:t>
      </w:r>
    </w:p>
    <w:p w14:paraId="48417080"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Palacios, W. (2012). </w:t>
      </w:r>
      <w:r w:rsidRPr="00641824">
        <w:rPr>
          <w:rFonts w:ascii="Times New Roman" w:hAnsi="Times New Roman" w:cs="Times New Roman"/>
          <w:i/>
          <w:iCs/>
          <w:noProof/>
          <w:sz w:val="24"/>
          <w:szCs w:val="24"/>
        </w:rPr>
        <w:t>Los desechos en el proceso productivo artesanal de la panela y sus efectos ambientales en la parroquia Tarqui de la provincia de Pastaza</w:t>
      </w:r>
      <w:r w:rsidRPr="00641824">
        <w:rPr>
          <w:rFonts w:ascii="Times New Roman" w:hAnsi="Times New Roman" w:cs="Times New Roman"/>
          <w:noProof/>
          <w:sz w:val="24"/>
          <w:szCs w:val="24"/>
        </w:rPr>
        <w:t>. Universidad Tecnológica Equinoccial.</w:t>
      </w:r>
    </w:p>
    <w:p w14:paraId="1185ADC2"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 xml:space="preserve">Quezada, W. (2007). </w:t>
      </w:r>
      <w:r w:rsidRPr="00641824">
        <w:rPr>
          <w:rFonts w:ascii="Times New Roman" w:hAnsi="Times New Roman" w:cs="Times New Roman"/>
          <w:i/>
          <w:iCs/>
          <w:noProof/>
          <w:sz w:val="24"/>
          <w:szCs w:val="24"/>
        </w:rPr>
        <w:t>Guía Técnica de Agroindustria Panelera</w:t>
      </w:r>
      <w:r w:rsidRPr="00641824">
        <w:rPr>
          <w:rFonts w:ascii="Times New Roman" w:hAnsi="Times New Roman" w:cs="Times New Roman"/>
          <w:noProof/>
          <w:sz w:val="24"/>
          <w:szCs w:val="24"/>
        </w:rPr>
        <w:t>. Retrieved from http://repositorio.utn.edu.ec/bitstream/123456789/934/1/Guía Técnica de Agroindustria Panelera.pdf</w:t>
      </w:r>
    </w:p>
    <w:p w14:paraId="5067AD90"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UEA. Estatuto Universidad Estatal Amazónica, Pub. L. No. RPC-SO-42-No.434-2013, 80 (2013). Ecuador: www.uea.edu.ec.</w:t>
      </w:r>
    </w:p>
    <w:p w14:paraId="347A4F18"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UEA. Proyecto de Rediseño Curricular para la carrera de agroindustria de la Universidad Estatal Amazónica, Pub. L. No. RPC-SO-42-1058-650721A01-No.01-563-2015 (2015). Ecuador.</w:t>
      </w:r>
    </w:p>
    <w:p w14:paraId="53392721"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41824">
        <w:rPr>
          <w:rFonts w:ascii="Times New Roman" w:hAnsi="Times New Roman" w:cs="Times New Roman"/>
          <w:noProof/>
          <w:sz w:val="24"/>
          <w:szCs w:val="24"/>
        </w:rPr>
        <w:t>UEA. Reglamento de Régimen Académico de la Universidad Estatal Amazónica, Pub. L. No. Consejo Universitario-21-02-2017, 52 (2017). www.uea.edu.ec.</w:t>
      </w:r>
    </w:p>
    <w:p w14:paraId="529F0DE8" w14:textId="77777777" w:rsidR="00641824" w:rsidRPr="00641824" w:rsidRDefault="00641824" w:rsidP="00641824">
      <w:pPr>
        <w:widowControl w:val="0"/>
        <w:autoSpaceDE w:val="0"/>
        <w:autoSpaceDN w:val="0"/>
        <w:adjustRightInd w:val="0"/>
        <w:spacing w:after="0" w:line="360" w:lineRule="auto"/>
        <w:ind w:left="480" w:hanging="480"/>
        <w:rPr>
          <w:rFonts w:ascii="Times New Roman" w:hAnsi="Times New Roman" w:cs="Times New Roman"/>
          <w:noProof/>
          <w:sz w:val="24"/>
        </w:rPr>
      </w:pPr>
      <w:r w:rsidRPr="00641824">
        <w:rPr>
          <w:rFonts w:ascii="Times New Roman" w:hAnsi="Times New Roman" w:cs="Times New Roman"/>
          <w:noProof/>
          <w:sz w:val="24"/>
          <w:szCs w:val="24"/>
        </w:rPr>
        <w:t xml:space="preserve">Velásquez, H. I., Gutierrez, J., &amp; Oliveira, S. (2006). THERMODYNAMIC AND THERMOECONOMIC ANALYSIS OF THE PRODUCTION OF UNREFINED SUGAR IN COLOMBIA. In </w:t>
      </w:r>
      <w:r w:rsidRPr="00641824">
        <w:rPr>
          <w:rFonts w:ascii="Times New Roman" w:hAnsi="Times New Roman" w:cs="Times New Roman"/>
          <w:i/>
          <w:iCs/>
          <w:noProof/>
          <w:sz w:val="24"/>
          <w:szCs w:val="24"/>
        </w:rPr>
        <w:t>Proceedings of- ENCIT</w:t>
      </w:r>
      <w:r w:rsidRPr="00641824">
        <w:rPr>
          <w:rFonts w:ascii="Times New Roman" w:hAnsi="Times New Roman" w:cs="Times New Roman"/>
          <w:noProof/>
          <w:sz w:val="24"/>
          <w:szCs w:val="24"/>
        </w:rPr>
        <w:t>. Brazil.</w:t>
      </w:r>
    </w:p>
    <w:p w14:paraId="1A859293" w14:textId="7CAA2C30" w:rsidR="00B116FF" w:rsidRPr="00CF74C7" w:rsidRDefault="00F25DD4" w:rsidP="00763C61">
      <w:pPr>
        <w:spacing w:after="0" w:line="360" w:lineRule="auto"/>
        <w:jc w:val="both"/>
        <w:rPr>
          <w:rFonts w:ascii="Times New Roman" w:hAnsi="Times New Roman" w:cs="Times New Roman"/>
          <w:sz w:val="24"/>
          <w:szCs w:val="24"/>
        </w:rPr>
      </w:pPr>
      <w:r w:rsidRPr="00CF74C7">
        <w:rPr>
          <w:rFonts w:ascii="Times New Roman" w:hAnsi="Times New Roman" w:cs="Times New Roman"/>
          <w:sz w:val="24"/>
          <w:szCs w:val="24"/>
        </w:rPr>
        <w:fldChar w:fldCharType="end"/>
      </w:r>
    </w:p>
    <w:sectPr w:rsidR="00B116FF" w:rsidRPr="00CF74C7"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6B518" w16cid:durableId="204112D8"/>
  <w16cid:commentId w16cid:paraId="02BE2E9E" w16cid:durableId="204112D9"/>
  <w16cid:commentId w16cid:paraId="3DC54E5F" w16cid:durableId="204112DA"/>
  <w16cid:commentId w16cid:paraId="555C5F03" w16cid:durableId="204112DB"/>
  <w16cid:commentId w16cid:paraId="03947101" w16cid:durableId="204112DC"/>
  <w16cid:commentId w16cid:paraId="0CCB3A7F" w16cid:durableId="204112DD"/>
  <w16cid:commentId w16cid:paraId="083A016A" w16cid:durableId="204112DE"/>
  <w16cid:commentId w16cid:paraId="3C956137" w16cid:durableId="204112DF"/>
  <w16cid:commentId w16cid:paraId="74F54FD2" w16cid:durableId="20411426"/>
  <w16cid:commentId w16cid:paraId="7ABBE9F0" w16cid:durableId="204113EC"/>
  <w16cid:commentId w16cid:paraId="45F4961B" w16cid:durableId="2041145A"/>
  <w16cid:commentId w16cid:paraId="3502EE4C" w16cid:durableId="20411462"/>
  <w16cid:commentId w16cid:paraId="09CC6A4B" w16cid:durableId="204114A7"/>
  <w16cid:commentId w16cid:paraId="69A4340D" w16cid:durableId="20411478"/>
  <w16cid:commentId w16cid:paraId="7273C8FE" w16cid:durableId="204114B0"/>
  <w16cid:commentId w16cid:paraId="4C66A4BC" w16cid:durableId="20411590"/>
  <w16cid:commentId w16cid:paraId="43C66E1D" w16cid:durableId="204116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0599" w14:textId="77777777" w:rsidR="00732B77" w:rsidRDefault="00732B77" w:rsidP="00C8585B">
      <w:pPr>
        <w:spacing w:after="0" w:line="240" w:lineRule="auto"/>
      </w:pPr>
      <w:r>
        <w:separator/>
      </w:r>
    </w:p>
  </w:endnote>
  <w:endnote w:type="continuationSeparator" w:id="0">
    <w:p w14:paraId="7FC535B0" w14:textId="77777777" w:rsidR="00732B77" w:rsidRDefault="00732B7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CD9C" w14:textId="77777777" w:rsidR="00220B08" w:rsidRDefault="00220B08" w:rsidP="005E2497">
    <w:pPr>
      <w:pStyle w:val="Piedepgina"/>
      <w:jc w:val="center"/>
      <w:rPr>
        <w:rFonts w:ascii="Times New Roman" w:hAnsi="Times New Roman" w:cs="Times New Roman"/>
        <w:sz w:val="24"/>
      </w:rPr>
    </w:pPr>
  </w:p>
  <w:p w14:paraId="7B5FC5F1" w14:textId="77777777" w:rsidR="00220B08" w:rsidRPr="007559FA" w:rsidRDefault="00220B08"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24399A73" w14:textId="77777777" w:rsidR="00220B08" w:rsidRPr="007559FA" w:rsidRDefault="00220B08"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50E6F6D5" w14:textId="77777777" w:rsidR="00220B08" w:rsidRPr="007559FA" w:rsidRDefault="00220B08"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EDAC" w14:textId="77777777" w:rsidR="00732B77" w:rsidRDefault="00732B77" w:rsidP="00C8585B">
      <w:pPr>
        <w:spacing w:after="0" w:line="240" w:lineRule="auto"/>
      </w:pPr>
      <w:r>
        <w:separator/>
      </w:r>
    </w:p>
  </w:footnote>
  <w:footnote w:type="continuationSeparator" w:id="0">
    <w:p w14:paraId="6A9EFD7E" w14:textId="77777777" w:rsidR="00732B77" w:rsidRDefault="00732B7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6EC0" w14:textId="77777777" w:rsidR="00220B08" w:rsidRPr="00640758" w:rsidRDefault="00220B0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EC" w:eastAsia="es-EC"/>
      </w:rPr>
      <w:drawing>
        <wp:anchor distT="0" distB="0" distL="114300" distR="114300" simplePos="0" relativeHeight="251658240" behindDoc="1" locked="0" layoutInCell="1" allowOverlap="1" wp14:anchorId="3517A444" wp14:editId="6705A60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14:paraId="31888016" w14:textId="77777777" w:rsidR="00220B08" w:rsidRDefault="00220B0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14:paraId="5CA698A4" w14:textId="77777777" w:rsidR="00220B08" w:rsidRDefault="00220B08"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14:paraId="7E3AC4CF" w14:textId="77777777" w:rsidR="00220B08" w:rsidRPr="00640758" w:rsidRDefault="00220B0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EC" w:eastAsia="es-EC"/>
      </w:rPr>
      <w:drawing>
        <wp:anchor distT="0" distB="0" distL="114300" distR="114300" simplePos="0" relativeHeight="251659264" behindDoc="1" locked="0" layoutInCell="1" allowOverlap="1" wp14:anchorId="5EBF7F3C" wp14:editId="73810413">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14:paraId="2F9D355B" w14:textId="77777777" w:rsidR="00220B08" w:rsidRDefault="00220B0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3D14BD26" w14:textId="77777777" w:rsidR="00220B08" w:rsidRDefault="00220B0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14:paraId="5FA93385" w14:textId="77777777" w:rsidR="00220B08" w:rsidRDefault="00220B08" w:rsidP="00E83573">
    <w:pPr>
      <w:pStyle w:val="Encabezado"/>
      <w:jc w:val="center"/>
      <w:rPr>
        <w:rFonts w:ascii="Times New Roman" w:hAnsi="Times New Roman" w:cs="Times New Roman"/>
        <w:b/>
        <w:sz w:val="24"/>
      </w:rPr>
    </w:pPr>
  </w:p>
  <w:p w14:paraId="792A518D" w14:textId="77777777" w:rsidR="00220B08" w:rsidRDefault="00220B08" w:rsidP="00E83573">
    <w:pPr>
      <w:pStyle w:val="Encabezado"/>
      <w:jc w:val="center"/>
      <w:rPr>
        <w:rFonts w:ascii="Times New Roman" w:hAnsi="Times New Roman" w:cs="Times New Roman"/>
        <w:b/>
        <w:sz w:val="24"/>
      </w:rPr>
    </w:pPr>
  </w:p>
  <w:p w14:paraId="67877F10" w14:textId="77777777" w:rsidR="00220B08" w:rsidRDefault="00220B0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0361"/>
    <w:rsid w:val="000356E4"/>
    <w:rsid w:val="0003762C"/>
    <w:rsid w:val="000406F1"/>
    <w:rsid w:val="00045C01"/>
    <w:rsid w:val="00046D2A"/>
    <w:rsid w:val="00046F14"/>
    <w:rsid w:val="00051C8F"/>
    <w:rsid w:val="00054DE4"/>
    <w:rsid w:val="00076BEC"/>
    <w:rsid w:val="00082383"/>
    <w:rsid w:val="000938E3"/>
    <w:rsid w:val="000C14DC"/>
    <w:rsid w:val="000C213C"/>
    <w:rsid w:val="000E49C2"/>
    <w:rsid w:val="000F5C90"/>
    <w:rsid w:val="000F6374"/>
    <w:rsid w:val="00114C82"/>
    <w:rsid w:val="00121F2D"/>
    <w:rsid w:val="001231BE"/>
    <w:rsid w:val="0012608A"/>
    <w:rsid w:val="00153C70"/>
    <w:rsid w:val="001549DC"/>
    <w:rsid w:val="0015547E"/>
    <w:rsid w:val="00161FF7"/>
    <w:rsid w:val="00162513"/>
    <w:rsid w:val="00174F4F"/>
    <w:rsid w:val="00180F41"/>
    <w:rsid w:val="001911C6"/>
    <w:rsid w:val="001934B2"/>
    <w:rsid w:val="001948F3"/>
    <w:rsid w:val="00197C9A"/>
    <w:rsid w:val="001A131D"/>
    <w:rsid w:val="001A6DF8"/>
    <w:rsid w:val="001B57F8"/>
    <w:rsid w:val="001C0A26"/>
    <w:rsid w:val="001C12DB"/>
    <w:rsid w:val="001D3C4B"/>
    <w:rsid w:val="001D4E1A"/>
    <w:rsid w:val="001E2CC9"/>
    <w:rsid w:val="001E44AB"/>
    <w:rsid w:val="00204B93"/>
    <w:rsid w:val="00207C93"/>
    <w:rsid w:val="002135BE"/>
    <w:rsid w:val="002162BC"/>
    <w:rsid w:val="00220B08"/>
    <w:rsid w:val="00231E9D"/>
    <w:rsid w:val="002334DF"/>
    <w:rsid w:val="00235EEB"/>
    <w:rsid w:val="00251B20"/>
    <w:rsid w:val="00261AA8"/>
    <w:rsid w:val="00273FAD"/>
    <w:rsid w:val="002901C0"/>
    <w:rsid w:val="002A37D3"/>
    <w:rsid w:val="002B7269"/>
    <w:rsid w:val="002C3850"/>
    <w:rsid w:val="002C4923"/>
    <w:rsid w:val="002C5A95"/>
    <w:rsid w:val="002C7C82"/>
    <w:rsid w:val="002E0882"/>
    <w:rsid w:val="002E272A"/>
    <w:rsid w:val="002E2D8F"/>
    <w:rsid w:val="002E3CC7"/>
    <w:rsid w:val="002F4981"/>
    <w:rsid w:val="00304AB4"/>
    <w:rsid w:val="003068F5"/>
    <w:rsid w:val="00310CE9"/>
    <w:rsid w:val="00322E88"/>
    <w:rsid w:val="00322F3E"/>
    <w:rsid w:val="00325115"/>
    <w:rsid w:val="00362E5F"/>
    <w:rsid w:val="00364135"/>
    <w:rsid w:val="00364E49"/>
    <w:rsid w:val="00390698"/>
    <w:rsid w:val="00392D1B"/>
    <w:rsid w:val="003A3A2E"/>
    <w:rsid w:val="003B1E81"/>
    <w:rsid w:val="003C1C3B"/>
    <w:rsid w:val="003D381E"/>
    <w:rsid w:val="003D77EE"/>
    <w:rsid w:val="003D7D64"/>
    <w:rsid w:val="003E6889"/>
    <w:rsid w:val="00403285"/>
    <w:rsid w:val="00432F07"/>
    <w:rsid w:val="004336BB"/>
    <w:rsid w:val="00434188"/>
    <w:rsid w:val="004378F2"/>
    <w:rsid w:val="00444243"/>
    <w:rsid w:val="00453AFB"/>
    <w:rsid w:val="00465529"/>
    <w:rsid w:val="00473E71"/>
    <w:rsid w:val="00494AE4"/>
    <w:rsid w:val="004A7168"/>
    <w:rsid w:val="004B52F3"/>
    <w:rsid w:val="004C60E3"/>
    <w:rsid w:val="004C6522"/>
    <w:rsid w:val="004D1465"/>
    <w:rsid w:val="004E1EFD"/>
    <w:rsid w:val="004E7312"/>
    <w:rsid w:val="004F2995"/>
    <w:rsid w:val="004F6728"/>
    <w:rsid w:val="005143FF"/>
    <w:rsid w:val="00574124"/>
    <w:rsid w:val="005754D8"/>
    <w:rsid w:val="005821EF"/>
    <w:rsid w:val="005A0618"/>
    <w:rsid w:val="005B444E"/>
    <w:rsid w:val="005C6C34"/>
    <w:rsid w:val="005C6CB6"/>
    <w:rsid w:val="005E1268"/>
    <w:rsid w:val="005E2497"/>
    <w:rsid w:val="005E421F"/>
    <w:rsid w:val="005F7CEA"/>
    <w:rsid w:val="00602A21"/>
    <w:rsid w:val="0062151A"/>
    <w:rsid w:val="00626181"/>
    <w:rsid w:val="006271E4"/>
    <w:rsid w:val="00631500"/>
    <w:rsid w:val="00640758"/>
    <w:rsid w:val="00641824"/>
    <w:rsid w:val="00641ACF"/>
    <w:rsid w:val="00641D7D"/>
    <w:rsid w:val="00647831"/>
    <w:rsid w:val="0065244A"/>
    <w:rsid w:val="00667F10"/>
    <w:rsid w:val="00673CE3"/>
    <w:rsid w:val="00675D0A"/>
    <w:rsid w:val="00680CE6"/>
    <w:rsid w:val="006B5C9F"/>
    <w:rsid w:val="006B78CD"/>
    <w:rsid w:val="006C20EE"/>
    <w:rsid w:val="006C5BA5"/>
    <w:rsid w:val="006D0279"/>
    <w:rsid w:val="006D0A38"/>
    <w:rsid w:val="006D4247"/>
    <w:rsid w:val="006E1C41"/>
    <w:rsid w:val="006F5FD9"/>
    <w:rsid w:val="00702DC7"/>
    <w:rsid w:val="00707FF1"/>
    <w:rsid w:val="00711DB9"/>
    <w:rsid w:val="00712A31"/>
    <w:rsid w:val="0072016D"/>
    <w:rsid w:val="00722FC9"/>
    <w:rsid w:val="00732B77"/>
    <w:rsid w:val="007416FC"/>
    <w:rsid w:val="00742F0A"/>
    <w:rsid w:val="007559FA"/>
    <w:rsid w:val="00755E22"/>
    <w:rsid w:val="00763C61"/>
    <w:rsid w:val="00772A31"/>
    <w:rsid w:val="007858DF"/>
    <w:rsid w:val="007C1A7F"/>
    <w:rsid w:val="007C1F7B"/>
    <w:rsid w:val="007D263D"/>
    <w:rsid w:val="007E43E9"/>
    <w:rsid w:val="00800EDF"/>
    <w:rsid w:val="00801AED"/>
    <w:rsid w:val="00804424"/>
    <w:rsid w:val="00812087"/>
    <w:rsid w:val="00816869"/>
    <w:rsid w:val="00832696"/>
    <w:rsid w:val="00856345"/>
    <w:rsid w:val="008610E6"/>
    <w:rsid w:val="00862E3E"/>
    <w:rsid w:val="00866B64"/>
    <w:rsid w:val="0088159E"/>
    <w:rsid w:val="00894F64"/>
    <w:rsid w:val="008A1C16"/>
    <w:rsid w:val="008A2E7E"/>
    <w:rsid w:val="008B06F8"/>
    <w:rsid w:val="008B5625"/>
    <w:rsid w:val="008B6897"/>
    <w:rsid w:val="008C45AD"/>
    <w:rsid w:val="008C7A80"/>
    <w:rsid w:val="008D3202"/>
    <w:rsid w:val="008D427D"/>
    <w:rsid w:val="00901498"/>
    <w:rsid w:val="009061A5"/>
    <w:rsid w:val="0091621C"/>
    <w:rsid w:val="00925CBD"/>
    <w:rsid w:val="009309E5"/>
    <w:rsid w:val="0093204D"/>
    <w:rsid w:val="00946110"/>
    <w:rsid w:val="00964A7E"/>
    <w:rsid w:val="00981B26"/>
    <w:rsid w:val="00982888"/>
    <w:rsid w:val="009837F1"/>
    <w:rsid w:val="00993BFB"/>
    <w:rsid w:val="009A4CB2"/>
    <w:rsid w:val="009A618D"/>
    <w:rsid w:val="009B1EF2"/>
    <w:rsid w:val="009B4FB4"/>
    <w:rsid w:val="009C388A"/>
    <w:rsid w:val="009D2713"/>
    <w:rsid w:val="009D5E02"/>
    <w:rsid w:val="009D67CD"/>
    <w:rsid w:val="009E2F0E"/>
    <w:rsid w:val="009E65C4"/>
    <w:rsid w:val="00A02BCE"/>
    <w:rsid w:val="00A156A5"/>
    <w:rsid w:val="00A15865"/>
    <w:rsid w:val="00A17258"/>
    <w:rsid w:val="00A21A1F"/>
    <w:rsid w:val="00A455C3"/>
    <w:rsid w:val="00A62A14"/>
    <w:rsid w:val="00A63DEB"/>
    <w:rsid w:val="00A7086D"/>
    <w:rsid w:val="00A844BA"/>
    <w:rsid w:val="00A95C6B"/>
    <w:rsid w:val="00AA223A"/>
    <w:rsid w:val="00AA5C3A"/>
    <w:rsid w:val="00AE0FFD"/>
    <w:rsid w:val="00AE372E"/>
    <w:rsid w:val="00B01B46"/>
    <w:rsid w:val="00B116FF"/>
    <w:rsid w:val="00B12BC6"/>
    <w:rsid w:val="00B1390F"/>
    <w:rsid w:val="00B2024E"/>
    <w:rsid w:val="00B216ED"/>
    <w:rsid w:val="00B2220B"/>
    <w:rsid w:val="00B233A6"/>
    <w:rsid w:val="00B80E97"/>
    <w:rsid w:val="00B82EDC"/>
    <w:rsid w:val="00B8499D"/>
    <w:rsid w:val="00B92B78"/>
    <w:rsid w:val="00B9607E"/>
    <w:rsid w:val="00BA5F12"/>
    <w:rsid w:val="00BB79A3"/>
    <w:rsid w:val="00BD092E"/>
    <w:rsid w:val="00BF107B"/>
    <w:rsid w:val="00C0354F"/>
    <w:rsid w:val="00C15215"/>
    <w:rsid w:val="00C213AF"/>
    <w:rsid w:val="00C21488"/>
    <w:rsid w:val="00C2191C"/>
    <w:rsid w:val="00C34591"/>
    <w:rsid w:val="00C43857"/>
    <w:rsid w:val="00C44361"/>
    <w:rsid w:val="00C47150"/>
    <w:rsid w:val="00C56288"/>
    <w:rsid w:val="00C6197E"/>
    <w:rsid w:val="00C6208A"/>
    <w:rsid w:val="00C76876"/>
    <w:rsid w:val="00C76FB1"/>
    <w:rsid w:val="00C8511E"/>
    <w:rsid w:val="00C8585B"/>
    <w:rsid w:val="00CC3807"/>
    <w:rsid w:val="00CC3EBB"/>
    <w:rsid w:val="00CD2BC3"/>
    <w:rsid w:val="00CD45CE"/>
    <w:rsid w:val="00CF6324"/>
    <w:rsid w:val="00CF74C7"/>
    <w:rsid w:val="00D05242"/>
    <w:rsid w:val="00D36D1C"/>
    <w:rsid w:val="00D73571"/>
    <w:rsid w:val="00D73DE9"/>
    <w:rsid w:val="00D74217"/>
    <w:rsid w:val="00D77246"/>
    <w:rsid w:val="00D77299"/>
    <w:rsid w:val="00D8768F"/>
    <w:rsid w:val="00D94FD9"/>
    <w:rsid w:val="00DE472D"/>
    <w:rsid w:val="00DE6BC9"/>
    <w:rsid w:val="00DE6EA5"/>
    <w:rsid w:val="00DF1D61"/>
    <w:rsid w:val="00E02271"/>
    <w:rsid w:val="00E263C2"/>
    <w:rsid w:val="00E26A87"/>
    <w:rsid w:val="00E31C02"/>
    <w:rsid w:val="00E5031C"/>
    <w:rsid w:val="00E53B24"/>
    <w:rsid w:val="00E60B85"/>
    <w:rsid w:val="00E63B76"/>
    <w:rsid w:val="00E66400"/>
    <w:rsid w:val="00E677E1"/>
    <w:rsid w:val="00E83573"/>
    <w:rsid w:val="00E912D0"/>
    <w:rsid w:val="00E93C03"/>
    <w:rsid w:val="00E95D07"/>
    <w:rsid w:val="00E97127"/>
    <w:rsid w:val="00EA1598"/>
    <w:rsid w:val="00EA7584"/>
    <w:rsid w:val="00EB36EB"/>
    <w:rsid w:val="00EB5979"/>
    <w:rsid w:val="00ED1EE7"/>
    <w:rsid w:val="00EE3FE3"/>
    <w:rsid w:val="00EF1389"/>
    <w:rsid w:val="00F052A3"/>
    <w:rsid w:val="00F0735E"/>
    <w:rsid w:val="00F10502"/>
    <w:rsid w:val="00F10C14"/>
    <w:rsid w:val="00F24DE1"/>
    <w:rsid w:val="00F25DD4"/>
    <w:rsid w:val="00F43F55"/>
    <w:rsid w:val="00F4475E"/>
    <w:rsid w:val="00F54DC5"/>
    <w:rsid w:val="00F57D8F"/>
    <w:rsid w:val="00F7413D"/>
    <w:rsid w:val="00F84117"/>
    <w:rsid w:val="00FB6B11"/>
    <w:rsid w:val="00FB72D9"/>
    <w:rsid w:val="00FB7478"/>
    <w:rsid w:val="00FE02DF"/>
    <w:rsid w:val="00FE4D72"/>
    <w:rsid w:val="00FF3346"/>
    <w:rsid w:val="00FF4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9F255"/>
  <w15:docId w15:val="{C007A2FC-FF00-432C-A4A3-BD6A66C3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9E65C4"/>
    <w:rPr>
      <w:sz w:val="16"/>
      <w:szCs w:val="16"/>
    </w:rPr>
  </w:style>
  <w:style w:type="paragraph" w:styleId="Textocomentario">
    <w:name w:val="annotation text"/>
    <w:basedOn w:val="Normal"/>
    <w:link w:val="TextocomentarioCar"/>
    <w:uiPriority w:val="99"/>
    <w:semiHidden/>
    <w:unhideWhenUsed/>
    <w:rsid w:val="009E65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5C4"/>
    <w:rPr>
      <w:sz w:val="20"/>
      <w:szCs w:val="20"/>
    </w:rPr>
  </w:style>
  <w:style w:type="paragraph" w:styleId="Asuntodelcomentario">
    <w:name w:val="annotation subject"/>
    <w:basedOn w:val="Textocomentario"/>
    <w:next w:val="Textocomentario"/>
    <w:link w:val="AsuntodelcomentarioCar"/>
    <w:uiPriority w:val="99"/>
    <w:semiHidden/>
    <w:unhideWhenUsed/>
    <w:rsid w:val="009E65C4"/>
    <w:rPr>
      <w:b/>
      <w:bCs/>
    </w:rPr>
  </w:style>
  <w:style w:type="character" w:customStyle="1" w:styleId="AsuntodelcomentarioCar">
    <w:name w:val="Asunto del comentario Car"/>
    <w:basedOn w:val="TextocomentarioCar"/>
    <w:link w:val="Asuntodelcomentario"/>
    <w:uiPriority w:val="99"/>
    <w:semiHidden/>
    <w:rsid w:val="009E65C4"/>
    <w:rPr>
      <w:b/>
      <w:bCs/>
      <w:sz w:val="20"/>
      <w:szCs w:val="20"/>
    </w:rPr>
  </w:style>
  <w:style w:type="character" w:styleId="Hipervnculovisitado">
    <w:name w:val="FollowedHyperlink"/>
    <w:basedOn w:val="Fuentedeprrafopredeter"/>
    <w:uiPriority w:val="99"/>
    <w:semiHidden/>
    <w:unhideWhenUsed/>
    <w:rsid w:val="00F25DD4"/>
    <w:rPr>
      <w:color w:val="800080" w:themeColor="followedHyperlink"/>
      <w:u w:val="single"/>
    </w:rPr>
  </w:style>
  <w:style w:type="paragraph" w:styleId="HTMLconformatoprevio">
    <w:name w:val="HTML Preformatted"/>
    <w:basedOn w:val="Normal"/>
    <w:link w:val="HTMLconformatoprevioCar"/>
    <w:uiPriority w:val="99"/>
    <w:unhideWhenUsed/>
    <w:rsid w:val="003D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D381E"/>
    <w:rPr>
      <w:rFonts w:ascii="Courier New" w:eastAsia="Times New Roman" w:hAnsi="Courier New" w:cs="Courier New"/>
      <w:sz w:val="20"/>
      <w:szCs w:val="20"/>
      <w:lang w:eastAsia="es-ES"/>
    </w:rPr>
  </w:style>
  <w:style w:type="character" w:customStyle="1" w:styleId="txtstd2w">
    <w:name w:val="txtstd2w"/>
    <w:basedOn w:val="Fuentedeprrafopredeter"/>
    <w:rsid w:val="003D381E"/>
  </w:style>
  <w:style w:type="paragraph" w:customStyle="1" w:styleId="EndNoteBibliography">
    <w:name w:val="EndNote Bibliography"/>
    <w:basedOn w:val="Normal"/>
    <w:link w:val="EndNoteBibliographyCar"/>
    <w:rsid w:val="00763C61"/>
    <w:pPr>
      <w:spacing w:after="160"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763C61"/>
    <w:rPr>
      <w:rFonts w:ascii="Calibri" w:hAnsi="Calibri" w:cs="Calibri"/>
      <w:noProof/>
      <w:lang w:val="en-US"/>
    </w:rPr>
  </w:style>
  <w:style w:type="paragraph" w:styleId="Sinespaciado">
    <w:name w:val="No Spacing"/>
    <w:uiPriority w:val="1"/>
    <w:qFormat/>
    <w:rsid w:val="00755E22"/>
    <w:pPr>
      <w:spacing w:after="0" w:line="240" w:lineRule="auto"/>
    </w:pPr>
  </w:style>
  <w:style w:type="paragraph" w:styleId="Descripcin">
    <w:name w:val="caption"/>
    <w:basedOn w:val="Normal"/>
    <w:next w:val="Normal"/>
    <w:uiPriority w:val="35"/>
    <w:unhideWhenUsed/>
    <w:qFormat/>
    <w:rsid w:val="00121F2D"/>
    <w:pPr>
      <w:spacing w:line="240" w:lineRule="auto"/>
    </w:pPr>
    <w:rPr>
      <w:i/>
      <w:iCs/>
      <w:color w:val="1F497D" w:themeColor="text2"/>
      <w:sz w:val="18"/>
      <w:szCs w:val="18"/>
    </w:rPr>
  </w:style>
  <w:style w:type="table" w:styleId="Cuadrculadetablaclara">
    <w:name w:val="Grid Table Light"/>
    <w:basedOn w:val="Tablanormal"/>
    <w:uiPriority w:val="40"/>
    <w:rsid w:val="00F44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next w:val="Normal"/>
    <w:link w:val="TtuloCar"/>
    <w:uiPriority w:val="10"/>
    <w:qFormat/>
    <w:rsid w:val="00B92B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2B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da@uea.edu.ec" TargetMode="External"/><Relationship Id="rId13" Type="http://schemas.openxmlformats.org/officeDocument/2006/relationships/hyperlink" Target="mailto:erenio@uclv.edu.c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anac@uclv.edu.c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cobar@uea.edu.ec"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estelagy70@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perez@uea.edu.ec" TargetMode="External"/><Relationship Id="rId14" Type="http://schemas.openxmlformats.org/officeDocument/2006/relationships/image" Target="media/image1.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CF80-ABCA-4AAB-BA20-DAD59DF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8520</Words>
  <Characters>46862</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Victor Cerda</cp:lastModifiedBy>
  <cp:revision>6</cp:revision>
  <cp:lastPrinted>2017-03-02T19:45:00Z</cp:lastPrinted>
  <dcterms:created xsi:type="dcterms:W3CDTF">2019-03-24T04:33:00Z</dcterms:created>
  <dcterms:modified xsi:type="dcterms:W3CDTF">2019-03-24T04:38:00Z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http://csl.mendeley.com/styles/130679451/apa-2-victor</vt:lpwstr>
  </property>
  <property fmtid="{D5CDD505-2E9C-101B-9397-08002B2CF9AE}" pid="7" name="Mendeley Recent Style Name 2_1">
    <vt:lpwstr>American Psychological Association 6th edition - Victor Cerda</vt:lpwstr>
  </property>
  <property fmtid="{D5CDD505-2E9C-101B-9397-08002B2CF9AE}" pid="8" name="Mendeley Recent Style Id 3_1">
    <vt:lpwstr>http://csl.mendeley.com/styles/130679451/aaaa</vt:lpwstr>
  </property>
  <property fmtid="{D5CDD505-2E9C-101B-9397-08002B2CF9AE}" pid="9" name="Mendeley Recent Style Name 3_1">
    <vt:lpwstr>American Psychological Association 6th edition - Victor Cerda</vt:lpwstr>
  </property>
  <property fmtid="{D5CDD505-2E9C-101B-9397-08002B2CF9AE}" pid="10" name="Mendeley Recent Style Id 4_1">
    <vt:lpwstr>http://csl.mendeley.com/styles/130679451/apa-2</vt:lpwstr>
  </property>
  <property fmtid="{D5CDD505-2E9C-101B-9397-08002B2CF9AE}" pid="11" name="Mendeley Recent Style Name 4_1">
    <vt:lpwstr>American Psychological Association 6th edition - Victor Cerda</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26885be7-3f2d-36fe-9626-3b12be23942b</vt:lpwstr>
  </property>
  <property fmtid="{D5CDD505-2E9C-101B-9397-08002B2CF9AE}" pid="24" name="Mendeley Citation Style_1">
    <vt:lpwstr>http://csl.mendeley.com/styles/130679451/aaaa</vt:lpwstr>
  </property>
</Properties>
</file>