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03" w:rsidRDefault="004E2A03">
      <w:pPr>
        <w:spacing w:before="5" w:after="0" w:line="120" w:lineRule="exact"/>
        <w:rPr>
          <w:sz w:val="12"/>
          <w:szCs w:val="12"/>
        </w:rPr>
      </w:pPr>
      <w:bookmarkStart w:id="0" w:name="_GoBack"/>
      <w:bookmarkEnd w:id="0"/>
    </w:p>
    <w:p w:rsidR="004B4336" w:rsidRPr="000C00FD" w:rsidRDefault="004B4336" w:rsidP="004B433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</w:pPr>
      <w:r w:rsidRPr="000C00FD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>SIQ Comisión I: XII Conferencia "La Ingeniería Química: Desarrollo, potencialidades y sus retos"</w:t>
      </w:r>
    </w:p>
    <w:p w:rsidR="004E2A03" w:rsidRPr="000C00FD" w:rsidRDefault="004E2A03">
      <w:pPr>
        <w:spacing w:before="5" w:after="0" w:line="120" w:lineRule="exact"/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</w:pPr>
    </w:p>
    <w:p w:rsidR="004E2A03" w:rsidRPr="00F743ED" w:rsidRDefault="004E2A03">
      <w:pPr>
        <w:spacing w:after="0" w:line="200" w:lineRule="exact"/>
        <w:rPr>
          <w:sz w:val="20"/>
          <w:szCs w:val="20"/>
          <w:lang w:val="es-MX"/>
        </w:rPr>
      </w:pPr>
    </w:p>
    <w:p w:rsidR="004E2A03" w:rsidRPr="00877310" w:rsidRDefault="00F743ED" w:rsidP="007613C3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877310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8773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í</w:t>
      </w:r>
      <w:r w:rsidRPr="00877310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8773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u</w:t>
      </w:r>
      <w:r w:rsidRPr="008773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l</w:t>
      </w:r>
      <w:r w:rsidRPr="00877310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</w:p>
    <w:p w:rsidR="00877310" w:rsidRDefault="00877310" w:rsidP="0087731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</w:pPr>
      <w:r w:rsidRPr="004758A1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 xml:space="preserve">Aplicación de la tecnología </w:t>
      </w:r>
      <w:r w:rsidRPr="004758A1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Water Pinch</w:t>
      </w:r>
      <w:r w:rsidRPr="004758A1">
        <w:rPr>
          <w:rFonts w:ascii="Times New Roman" w:hAnsi="Times New Roman" w:cs="Times New Roman"/>
          <w:b/>
          <w:bCs/>
          <w:iCs/>
          <w:sz w:val="28"/>
          <w:szCs w:val="28"/>
          <w:lang w:val="es-ES"/>
        </w:rPr>
        <w:t xml:space="preserve"> para minimizar aguas residuales sulfurosas en una refinería de petróleo.</w:t>
      </w:r>
    </w:p>
    <w:p w:rsidR="004E2A03" w:rsidRPr="00877310" w:rsidRDefault="004E2A03" w:rsidP="00877310">
      <w:pPr>
        <w:spacing w:before="6" w:after="0" w:line="160" w:lineRule="exact"/>
        <w:jc w:val="center"/>
        <w:rPr>
          <w:sz w:val="16"/>
          <w:szCs w:val="16"/>
          <w:lang w:val="es-ES"/>
        </w:rPr>
      </w:pPr>
    </w:p>
    <w:p w:rsidR="004E2A03" w:rsidRPr="00877310" w:rsidRDefault="004E2A03">
      <w:pPr>
        <w:spacing w:after="0" w:line="200" w:lineRule="exact"/>
        <w:rPr>
          <w:sz w:val="20"/>
          <w:szCs w:val="20"/>
          <w:lang w:val="es-ES"/>
        </w:rPr>
      </w:pPr>
    </w:p>
    <w:p w:rsidR="004E2A03" w:rsidRPr="00485B12" w:rsidRDefault="00F743ED" w:rsidP="007613C3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B12">
        <w:rPr>
          <w:rFonts w:ascii="Times New Roman" w:eastAsia="Times New Roman" w:hAnsi="Times New Roman" w:cs="Times New Roman"/>
          <w:b/>
          <w:bCs/>
          <w:sz w:val="28"/>
          <w:szCs w:val="28"/>
        </w:rPr>
        <w:t>Title</w:t>
      </w:r>
    </w:p>
    <w:p w:rsidR="00877310" w:rsidRPr="004758A1" w:rsidRDefault="00877310" w:rsidP="0087731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5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Water Pinch technology application to minimize sulphurous</w:t>
      </w:r>
    </w:p>
    <w:p w:rsidR="004E2A03" w:rsidRPr="004758A1" w:rsidRDefault="00877310" w:rsidP="0087731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4758A1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wastewater in an oil refinery</w:t>
      </w:r>
    </w:p>
    <w:p w:rsidR="004E2A03" w:rsidRPr="004758A1" w:rsidRDefault="004E2A03">
      <w:pPr>
        <w:spacing w:before="17" w:after="0" w:line="200" w:lineRule="exact"/>
        <w:rPr>
          <w:i/>
          <w:sz w:val="20"/>
          <w:szCs w:val="20"/>
          <w:lang w:val="es-ES"/>
        </w:rPr>
      </w:pPr>
    </w:p>
    <w:p w:rsidR="004E2A03" w:rsidRPr="00877310" w:rsidRDefault="004E2A03">
      <w:pPr>
        <w:spacing w:before="7" w:after="0" w:line="180" w:lineRule="exact"/>
        <w:rPr>
          <w:sz w:val="18"/>
          <w:szCs w:val="18"/>
          <w:lang w:val="es-ES"/>
        </w:rPr>
      </w:pPr>
    </w:p>
    <w:p w:rsidR="004E2A03" w:rsidRPr="004758A1" w:rsidRDefault="00877310" w:rsidP="000C00FD">
      <w:pPr>
        <w:spacing w:after="0" w:line="360" w:lineRule="auto"/>
        <w:ind w:left="142" w:right="12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Leidi</w:t>
      </w:r>
      <w:r w:rsidR="00F743ED"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Debora Mira</w:t>
      </w:r>
      <w:r w:rsidR="00F743ED" w:rsidRPr="004758A1">
        <w:rPr>
          <w:rFonts w:ascii="Times New Roman" w:eastAsia="Times New Roman" w:hAnsi="Times New Roman" w:cs="Times New Roman"/>
          <w:b/>
          <w:bCs/>
          <w:spacing w:val="1"/>
          <w:position w:val="11"/>
          <w:sz w:val="24"/>
          <w:szCs w:val="24"/>
          <w:lang w:val="es-ES"/>
        </w:rPr>
        <w:t>1</w:t>
      </w:r>
      <w:r w:rsidR="00F743ED"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Gabriel Orlando Lobelles Sardiñas</w:t>
      </w:r>
      <w:r w:rsidR="00F743ED" w:rsidRPr="004758A1">
        <w:rPr>
          <w:rFonts w:ascii="Times New Roman" w:eastAsia="Times New Roman" w:hAnsi="Times New Roman" w:cs="Times New Roman"/>
          <w:b/>
          <w:bCs/>
          <w:spacing w:val="1"/>
          <w:position w:val="11"/>
          <w:sz w:val="24"/>
          <w:szCs w:val="24"/>
          <w:lang w:val="es-ES"/>
        </w:rPr>
        <w:t>2</w:t>
      </w:r>
    </w:p>
    <w:p w:rsidR="000C00FD" w:rsidRDefault="000C00FD" w:rsidP="004758A1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E2A03" w:rsidRPr="004758A1" w:rsidRDefault="00F743ED" w:rsidP="004758A1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4758A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877310"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="004B4336" w:rsidRPr="004B4336">
        <w:rPr>
          <w:rFonts w:ascii="Times New Roman" w:eastAsia="Times New Roman" w:hAnsi="Times New Roman" w:cs="Times New Roman"/>
          <w:sz w:val="24"/>
          <w:szCs w:val="24"/>
          <w:lang w:val="es-ES"/>
        </w:rPr>
        <w:t>Leidis Debora Mira</w:t>
      </w:r>
      <w:r w:rsidR="004B43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877310"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Refinería de petróleo Cienfuegos S.A</w:t>
      </w:r>
      <w:r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877310"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Cuba</w:t>
      </w:r>
      <w:r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. E-mail:</w:t>
      </w:r>
      <w:r w:rsidR="00877310"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ldebora@refcfg.cu</w:t>
      </w:r>
    </w:p>
    <w:p w:rsidR="00877310" w:rsidRPr="004758A1" w:rsidRDefault="00F743ED" w:rsidP="004758A1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="004B433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- </w:t>
      </w:r>
      <w:r w:rsidR="004B4336" w:rsidRPr="004B4336">
        <w:rPr>
          <w:rFonts w:ascii="Times New Roman" w:eastAsia="Times New Roman" w:hAnsi="Times New Roman" w:cs="Times New Roman"/>
          <w:sz w:val="24"/>
          <w:szCs w:val="24"/>
          <w:lang w:val="es-ES"/>
        </w:rPr>
        <w:t>Gabriel Orlando Lobelles Sardiñas</w:t>
      </w:r>
      <w:r w:rsidR="004B4336"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77310" w:rsidRPr="004758A1">
        <w:rPr>
          <w:rFonts w:ascii="Times New Roman" w:eastAsia="Times New Roman" w:hAnsi="Times New Roman" w:cs="Times New Roman"/>
          <w:sz w:val="24"/>
          <w:szCs w:val="24"/>
          <w:lang w:val="es-ES"/>
        </w:rPr>
        <w:t>Refinería de petróleo Cienfuegos S.A, Cuba. E-mail: globelles@refcfg.cu</w:t>
      </w:r>
    </w:p>
    <w:p w:rsidR="00877310" w:rsidRPr="004758A1" w:rsidRDefault="00877310" w:rsidP="004758A1">
      <w:pPr>
        <w:spacing w:before="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E2A03" w:rsidRPr="004758A1" w:rsidRDefault="00F743ED" w:rsidP="007613C3">
      <w:pPr>
        <w:spacing w:after="0" w:line="360" w:lineRule="auto"/>
        <w:ind w:right="11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4758A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El elevado consumo de agua en la refinación de petróleo impacta los costos de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producción y el medio ambiente debido al vertimiento de sus residuales. Es conocido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que en los esquemas de refinación que se basan en el Hidrotratamiento, no existen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condiciones tecnológicas que permitan reutilizar las aguas industriales. El objetivo del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presente estudio es aplicar la metodología de integración de procesos, Water Pinch 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una unidad despojadora de aguas agrias como proceso unitario de una refinería de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petróleo, para minimizar la cantidad de aguas residuales sulfurosas y disminuir la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contaminación de la bahía que recibe estos residuales. La misma se aplica para evaluar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el volumen de aguas residuales sulfurosas generadas en la refinería de petróleo de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Cienfuegos. Esta tecnología permite identificar posibles vías de recuperación y</w:t>
      </w:r>
      <w:r w:rsid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reutilización del agua, sobre la base de los intervalos de concentración de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contaminantes. Para lograr este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propósito se evaluó la torre despojadora de aguas agrias con la ayuda del software </w:t>
      </w:r>
      <w:r w:rsidRPr="004758A1">
        <w:rPr>
          <w:rFonts w:ascii="Times New Roman" w:hAnsi="Times New Roman" w:cs="Times New Roman"/>
          <w:i/>
          <w:iCs/>
          <w:sz w:val="24"/>
          <w:szCs w:val="24"/>
          <w:lang w:val="es-ES"/>
        </w:rPr>
        <w:t>Water Pinch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, lo que aportó una red de distribución optimizada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como propuesta de mejora tecnológica. Esto facilitó recuperar y reutilizar 667 757,28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91317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 de agua al año, y se ahorró 1 035 023,78 CUC, al mismo tiempo se disminuyó la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cantidad de efluentes contaminantes en aproximadamente el 2 % del agua tratada no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reutilizable.</w:t>
      </w:r>
    </w:p>
    <w:p w:rsidR="004758A1" w:rsidRPr="004758A1" w:rsidRDefault="004758A1" w:rsidP="007613C3">
      <w:pPr>
        <w:spacing w:after="0" w:line="360" w:lineRule="auto"/>
        <w:ind w:right="11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Palabras claves: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agua residual, impacto ambiental, metodología, reutilización</w:t>
      </w:r>
    </w:p>
    <w:p w:rsidR="000C00FD" w:rsidRDefault="000C00FD" w:rsidP="007613C3">
      <w:pPr>
        <w:spacing w:after="0" w:line="360" w:lineRule="auto"/>
        <w:ind w:right="118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6B3F" w:rsidRPr="004758A1" w:rsidRDefault="00146B3F" w:rsidP="007613C3">
      <w:pPr>
        <w:spacing w:after="0" w:line="360" w:lineRule="auto"/>
        <w:ind w:right="1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4758A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4758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4758A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4758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146B3F" w:rsidRPr="004B4336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4336">
        <w:rPr>
          <w:rFonts w:ascii="Times New Roman" w:hAnsi="Times New Roman" w:cs="Times New Roman"/>
          <w:i/>
          <w:sz w:val="24"/>
          <w:szCs w:val="24"/>
        </w:rPr>
        <w:t>In oil refining industries there is a high water consumption, which influences the high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production costs and impacts the environment due to the discharge of their wastes. It is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known that there are no technological conditions for the reuse of industrial water at the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oil refineries, based on hydroskimming processes. The objective of this study is to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implement the process integration methodology, Water Pinch, to a sour water stripper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unit, as a unitary process of an oil refinery, to minimize the amount of sulphurous waste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water and reduce contamination of the bay that receives these wastes. The technology is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applied to evaluate the volume of sulphurous wastewater generated in the Cienfuegos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oil refinery. This technology allows identifying opportunities for recovery and reuse of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water, based on concentration ranges of contaminants. To achieve this purpose, a sour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water stripper tower was assessed with the help of Water Pinch software, which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 xml:space="preserve">provided an optimized distribution network, as a proposed technological </w:t>
      </w:r>
      <w:proofErr w:type="spellStart"/>
      <w:r w:rsidRPr="004B4336">
        <w:rPr>
          <w:rFonts w:ascii="Times New Roman" w:hAnsi="Times New Roman" w:cs="Times New Roman"/>
          <w:i/>
          <w:sz w:val="24"/>
          <w:szCs w:val="24"/>
        </w:rPr>
        <w:t>improvement.This</w:t>
      </w:r>
      <w:proofErr w:type="spellEnd"/>
      <w:r w:rsidRPr="004B4336">
        <w:rPr>
          <w:rFonts w:ascii="Times New Roman" w:hAnsi="Times New Roman" w:cs="Times New Roman"/>
          <w:i/>
          <w:sz w:val="24"/>
          <w:szCs w:val="24"/>
        </w:rPr>
        <w:t xml:space="preserve"> facilitated to recover and reuse 667 757, 28 m</w:t>
      </w:r>
      <w:r w:rsidRPr="004B4336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4B4336">
        <w:rPr>
          <w:rFonts w:ascii="Times New Roman" w:hAnsi="Times New Roman" w:cs="Times New Roman"/>
          <w:i/>
          <w:sz w:val="24"/>
          <w:szCs w:val="24"/>
        </w:rPr>
        <w:t xml:space="preserve"> of water per year, and 1 035 023,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78 CUC were saved, at the same time the amount of polluting effluents decreased in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336">
        <w:rPr>
          <w:rFonts w:ascii="Times New Roman" w:hAnsi="Times New Roman" w:cs="Times New Roman"/>
          <w:i/>
          <w:sz w:val="24"/>
          <w:szCs w:val="24"/>
        </w:rPr>
        <w:t>approximately 2 % of non-reusable treated water.</w:t>
      </w:r>
      <w:r w:rsidR="004758A1" w:rsidRPr="004B43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6B3F" w:rsidRPr="004B4336" w:rsidRDefault="004758A1" w:rsidP="000C00FD">
      <w:pPr>
        <w:spacing w:after="0" w:line="360" w:lineRule="auto"/>
        <w:ind w:right="11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3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Keywords: </w:t>
      </w:r>
      <w:r w:rsidRPr="004B4336">
        <w:rPr>
          <w:rFonts w:ascii="Times New Roman" w:hAnsi="Times New Roman" w:cs="Times New Roman"/>
          <w:i/>
          <w:sz w:val="24"/>
          <w:szCs w:val="24"/>
        </w:rPr>
        <w:t>wastewater, environmental impact, methodology, reuses</w:t>
      </w:r>
    </w:p>
    <w:p w:rsidR="000C00FD" w:rsidRDefault="000C00FD" w:rsidP="007613C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4758A1" w:rsidRPr="004758A1" w:rsidRDefault="004758A1" w:rsidP="007613C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1. I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</w:t>
      </w:r>
      <w:r w:rsidRPr="004758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r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du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cc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ón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De acuerdo con el Programa Mundial de Evaluación de los Recursos Hídricos (WWAP,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2009), el 25 % de las reservas de agua dulce del planeta se consume en los procesos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industriales cuyos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>residuales contaminan severamente las fuentes de abasto. Para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contrarrestar este tipo de impactos se han desarrollado nuevas tecnologías para la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descontaminación de los residuales, partiendo de factores fundamentales como la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naturaleza y las propiedades físico-químicas del sistema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18"/>
          <w:citation/>
        </w:sdtPr>
        <w:sdtContent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Far04 \l 3082 </w:instrText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(Fareso, 2004)</w:t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, la</w:t>
      </w:r>
      <w:r w:rsid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factibilidad de la reutilización</w:t>
      </w:r>
      <w:r w:rsidR="004B43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19"/>
          <w:citation/>
        </w:sdtPr>
        <w:sdtContent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For13 \l 3082 </w:instrText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(Forero, 2013)</w:t>
          </w:r>
          <w:r w:rsidR="004B433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, la economía y la eficiencia de los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0C82">
        <w:rPr>
          <w:rFonts w:ascii="Times New Roman" w:hAnsi="Times New Roman" w:cs="Times New Roman"/>
          <w:sz w:val="24"/>
          <w:szCs w:val="24"/>
          <w:lang w:val="es-ES"/>
        </w:rPr>
        <w:t xml:space="preserve">procesos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20"/>
          <w:citation/>
        </w:sdtPr>
        <w:sdtContent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Mar13 \l 3082  </w:instrTex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(Martínez, 2013)</w: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BA0C8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En los últimos años, la efectividad de esos procesos se ha visto seriamente limitada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principalmente debido a restricciones ambientales cada vez más severas</w:t>
      </w:r>
      <w:r w:rsidR="00BA0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28"/>
          <w:citation/>
        </w:sdtPr>
        <w:sdtContent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CIT09 \l 3082  </w:instrTex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(CITMA, Reglamento del proceso de evaluación de impacto ambienta, Res 132/2009)</w: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BA0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0"/>
          <w:citation/>
        </w:sdtPr>
        <w:sdtContent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CIT091 \l 3082  </w:instrTex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(CITMA, Reglamento para el manejo integral de desechos peligrosos, Res 136/2009)</w: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BA0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1"/>
          <w:citation/>
        </w:sdtPr>
        <w:sdtContent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Dec13 \l 3082 </w:instrTex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(Ley, No. 309/2013)</w:t>
          </w:r>
          <w:r w:rsidR="00BA0C82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y, pese a los esfuerzos realizados en aras de cumplir con esas restricciones,</w:t>
      </w:r>
      <w:r w:rsidR="004758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aún persisten problemas como:</w:t>
      </w:r>
    </w:p>
    <w:p w:rsidR="00877310" w:rsidRPr="001D566A" w:rsidRDefault="00877310" w:rsidP="001D566A">
      <w:pPr>
        <w:pStyle w:val="Prrafodelista"/>
        <w:widowControl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La implementación de nuevas unidades de proceso incrementa el consumo de</w:t>
      </w:r>
      <w:r w:rsidR="004758A1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agua potable generando mayor cantidad de residuales.</w:t>
      </w:r>
      <w:r w:rsidR="004758A1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77310" w:rsidRPr="001D566A" w:rsidRDefault="00877310" w:rsidP="001D566A">
      <w:pPr>
        <w:pStyle w:val="Prrafodelista"/>
        <w:widowControl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No se cuenta con una tecnología para tratar los residuales y posibilitar su</w:t>
      </w:r>
      <w:r w:rsidR="004758A1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reutilización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77310" w:rsidRPr="001D566A" w:rsidRDefault="00877310" w:rsidP="001D566A">
      <w:pPr>
        <w:pStyle w:val="Prrafodelista"/>
        <w:widowControl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La tendencia al aumento de los precios del agua y de la energía.</w:t>
      </w:r>
    </w:p>
    <w:p w:rsidR="004758A1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Una de las posibles soluciones a esta situación es integrar los procesos, con el uso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tecnologías que permitan identificar los objetivos de eficiencia previos a cualquier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actividad de desarrollo, así como usar estrategias viables para su aplicación</w:t>
      </w:r>
      <w:r w:rsidR="00BA0C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2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Dun01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(Dunn, 2001)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3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Dho00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(Dhole, 2000)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. De acuerdo con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4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Sav00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(Savelski, 2000)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0E0D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5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Alv07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(Alva-Argáez, 2007)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0E0D8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los objetivos de dichas estrategias son diversos, por ejemplo, minimizar los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requerimientos energéticos, la generación de residuales, o maximizar la eficiencia del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proceso, entre otros. Para ello, existen técnicas que integran los conceptos antes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mencionados.</w:t>
      </w:r>
    </w:p>
    <w:p w:rsidR="00877310" w:rsidRPr="004758A1" w:rsidRDefault="00F743ED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="00877310" w:rsidRPr="004758A1">
        <w:rPr>
          <w:rFonts w:ascii="Times New Roman" w:hAnsi="Times New Roman" w:cs="Times New Roman"/>
          <w:sz w:val="24"/>
          <w:szCs w:val="24"/>
          <w:lang w:val="es-ES"/>
        </w:rPr>
        <w:t>Esta investigación tiene como objetivo aplicar una de estas tecnologías, conocida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7310" w:rsidRPr="004758A1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0E0D87">
        <w:rPr>
          <w:rFonts w:ascii="Times New Roman" w:hAnsi="Times New Roman" w:cs="Times New Roman"/>
          <w:sz w:val="24"/>
          <w:szCs w:val="24"/>
          <w:lang w:val="es-ES"/>
        </w:rPr>
        <w:t xml:space="preserve">omercialmente como Water Pinch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6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Dho00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(Dhole, 2000)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0E0D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7310" w:rsidRPr="004758A1">
        <w:rPr>
          <w:rFonts w:ascii="Times New Roman" w:hAnsi="Times New Roman" w:cs="Times New Roman"/>
          <w:sz w:val="24"/>
          <w:szCs w:val="24"/>
          <w:lang w:val="es-ES"/>
        </w:rPr>
        <w:t>para minimizar las aguas residuales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7310" w:rsidRPr="004758A1">
        <w:rPr>
          <w:rFonts w:ascii="Times New Roman" w:hAnsi="Times New Roman" w:cs="Times New Roman"/>
          <w:sz w:val="24"/>
          <w:szCs w:val="24"/>
          <w:lang w:val="es-ES"/>
        </w:rPr>
        <w:t>sulfurosas de una refinería de petróleo y, disminuir la contaminación de la bahía.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77310" w:rsidRPr="004758A1" w:rsidRDefault="00877310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La tecnología antes señalada será aplicada a una torre despojadora de aguas agrias como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proceso unitario de la refinería y como material de estudio se asume el agua residual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sulfuros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>a</w:t>
      </w:r>
    </w:p>
    <w:p w:rsidR="004758A1" w:rsidRPr="004758A1" w:rsidRDefault="004758A1" w:rsidP="004758A1">
      <w:pPr>
        <w:tabs>
          <w:tab w:val="left" w:pos="820"/>
        </w:tabs>
        <w:spacing w:before="7" w:after="0" w:line="360" w:lineRule="auto"/>
        <w:ind w:left="46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758A1" w:rsidRPr="004758A1" w:rsidRDefault="004758A1" w:rsidP="007613C3">
      <w:pPr>
        <w:spacing w:after="0" w:line="360" w:lineRule="auto"/>
        <w:ind w:left="102" w:right="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2. 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todología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De acuerdo con el</w:t>
      </w:r>
      <w:r w:rsidR="004B4336">
        <w:rPr>
          <w:rFonts w:ascii="Times New Roman" w:hAnsi="Times New Roman" w:cs="Times New Roman"/>
          <w:sz w:val="24"/>
          <w:szCs w:val="24"/>
          <w:lang w:val="es-ES"/>
        </w:rPr>
        <w:t xml:space="preserve"> informe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7"/>
          <w:citation/>
        </w:sdtPr>
        <w:sdtContent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BRE13 \l 3082 </w:instrTex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(BREF., 2013)</w:t>
          </w:r>
          <w:r w:rsidR="000E0D87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0E0D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 la Comisión Europea, en las refinerías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petróleo, por cada millón de toneladas de crudo refinado se generan entre 0,1 – 5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millones de toneladas de agua residual. La elección de la refinería de petróleo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Cienfuegos como objeto de estudio radica en la gran generación de residuales y alto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consumo de agua (975 475 m</w:t>
      </w:r>
      <w:r w:rsidRPr="00E100D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/año) propio de estas industrias. El producto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seleccionado para el estudio es el agua residual sulfurosa, que se contamina con H</w:t>
      </w:r>
      <w:r w:rsidRPr="00E100D8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presente en la materia prima de la refinería. La utilización del Software Water Pinch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para el análisis de una torre despojadora de aguas agrias como proceso fundamental,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permite identificar qué parte del producto de fondo de la torre (agua despojada) puede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usarse y reutilizarse en el proceso. Esta técnica utiliza avanzados algoritmos para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identificar las mejores opciones de reutilización, redistribución y tratamiento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efluentes. La misma se compone de tres estrategias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8"/>
          <w:citation/>
        </w:sdtPr>
        <w:sdtContent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Wan94 \l 3082 </w:instrTex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(Wang, 1994)</w: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162C29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39"/>
          <w:citation/>
        </w:sdtPr>
        <w:sdtContent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Bye10 \l 3082 </w:instrTex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(Byers, 2010)</w: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(Byers et al.,</w:t>
      </w:r>
      <w:r w:rsidR="00E100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2010):</w:t>
      </w:r>
    </w:p>
    <w:p w:rsidR="00877310" w:rsidRPr="001D566A" w:rsidRDefault="00877310" w:rsidP="004758A1">
      <w:pPr>
        <w:pStyle w:val="Prrafodelista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Análisis: Identificar el consumo y generación mínima de agua fresca y residual,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respectivamente. (Determinación del punto Pinch). La estrategia consta de tres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pasos: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1. Diseñar un diagrama de flujo del sistema de agua, con todos los puntos donde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se utiliza el agua y donde se genera residual. El balance de agua de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instalación define los datos adecuados para el análisis Pinch y determina las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fuentes de agua y las demandas.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2. Seleccionar los contaminantes claves, partiendo de que contaminante es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cualquier propiedad que impida la reutilización directa de una corriente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aguas residuales. Se elige el diseño de concentraciones máximas permisibles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para las demandas y el mínimo práctico para las fuentes. Esto requiere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colaboración de expertos en las tecnologías pertinentes.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3. Desarrollar el análisis Pinch para determinar coincidencias óptimas entre las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fuentes y las demandas con el software apropiado. Se identifica el punto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Pinch y se consideran las</w:t>
      </w:r>
      <w:r w:rsidR="00E100D8">
        <w:rPr>
          <w:rFonts w:ascii="Times New Roman" w:hAnsi="Times New Roman" w:cs="Times New Roman"/>
          <w:sz w:val="24"/>
          <w:szCs w:val="24"/>
          <w:lang w:val="es-ES"/>
        </w:rPr>
        <w:t xml:space="preserve"> m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odificaciones del proceso regenerativo para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garantizar las condiciones óptimas de reutilización. Repetir el paso 3 hasta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que el diseño práctico haya evolucionado.</w:t>
      </w:r>
    </w:p>
    <w:p w:rsidR="00877310" w:rsidRPr="001D566A" w:rsidRDefault="00877310" w:rsidP="004758A1">
      <w:pPr>
        <w:pStyle w:val="Prrafodelista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Síntesis: Diseñar una red de agua industrial para los flujos mínimos de agua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fresca y residual, a través de la reutilización, regeneración y recirculación de las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aguas de proceso.</w:t>
      </w:r>
    </w:p>
    <w:p w:rsidR="00877310" w:rsidRPr="001D566A" w:rsidRDefault="00877310" w:rsidP="004758A1">
      <w:pPr>
        <w:pStyle w:val="Prrafodelista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lastRenderedPageBreak/>
        <w:t>Cambios en el proceso: Modificar la red de agua técnica existente para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maximizar su reutilización y minimizar la generación de residual.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Existen diferentes formas de desarrollar la metodología Water Pinch en una industria,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entre ellas el Perfil límite de agua establecido por</w:t>
      </w:r>
      <w:r w:rsidR="00162C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40"/>
          <w:citation/>
        </w:sdtPr>
        <w:sdtContent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Une98 \l 3082  </w:instrTex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(Uneptie.org, 1998)</w: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, que será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empleado en este estudio. Este es un método gráfico que propone una sola fuente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agua. El racionamiento consiste en que un proceso puede tener aguas efluentes que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suplan las necesidades de otro proceso.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La construcción de la única curva compuesta comienza caracterizando las corrientes,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cuyo proceso admita más carga de contaminantes (fuentes, en el caso de estudio) y las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corrientes que, por necesidades del proceso, necesiten deshacerse de las cargas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contaminantes (demandas, en el caso de estudio).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Después de caracterizar las corrientes, se calculan las cantidades de carga contaminante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que se transfiere de la corriente de demanda a la corriente fuente. Estos datos permiten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representar gráficamente todos los valores de masa transferida. Los ejes del gráfico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presentan: el nivel de pureza del agua en las abscisas y la cantidad de masa transferida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en las ordenadas. Se suman los tramos graficados, obteniéndose la única curva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compuesta. La única fuente de agua se representa con una línea recta debajo de la curva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compuesta, coincidiendo ambas en su origen. El punto de unión de las dos curvas se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denomina punto Pinch y permite identificar el consumo y generación mínima de agua y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residual respectivamente.</w:t>
      </w:r>
    </w:p>
    <w:p w:rsidR="00877310" w:rsidRPr="004758A1" w:rsidRDefault="00877310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La aplicación de la metodología de integración de procesos mediante el Software Water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Pinch a una torre despojadora de aguas agrias, en el caso de estudio, requirió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adaptaciones en sus enfoques. Los cambios se deben a que las aguas despojadas en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torre (salida), ya liberadas de sus contaminantes, según</w:t>
      </w:r>
      <w:r w:rsidR="00162C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41"/>
          <w:citation/>
        </w:sdtPr>
        <w:sdtContent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Mar08 \l 3082  </w:instrTex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(Martín-Juvier, 2008)</w: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representan las fuentes o sumideros, es decir admiten más carga de contaminantes. En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consecuencia representan las mayores oportunidades de ahorro de agua técnica, siempre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que sean reusadas para proceso en magnitud equivalente a las aguas que se dejan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importar desde las fuentes de abasto. Por otra parte, de acuerdo con</w:t>
      </w:r>
      <w:r w:rsidR="00162C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42"/>
          <w:citation/>
        </w:sdtPr>
        <w:sdtContent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Mar08 \l 3082 </w:instrTex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(Martín-Juvier, 2008)</w:t>
          </w:r>
          <w:r w:rsidR="00162C29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Pr="004758A1">
        <w:rPr>
          <w:rFonts w:ascii="Times New Roman" w:hAnsi="Times New Roman" w:cs="Times New Roman"/>
          <w:sz w:val="24"/>
          <w:szCs w:val="24"/>
          <w:lang w:val="es-ES"/>
        </w:rPr>
        <w:t>, las corrientes de agua que alimentan la torre despojadora, representan las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demandas, pues constituyen las aguas residuales de los demás procesos y tienen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mayor carga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>de contaminantes. Por ello, en la Tabla 1 las aguas despojadas aparecen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como corrientes de fuentes (F) y las corrientes de entrada del proceso aparecen como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corrientes de demandas (D).</w:t>
      </w:r>
    </w:p>
    <w:p w:rsidR="00877310" w:rsidRDefault="00877310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Los valores adoptados en el estudio acerca de los flujos y concentraciones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contaminantes que se utilizan en el mismo, se muestran en la Tabla 1 y corresponden 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lo reportado por </w:t>
      </w:r>
      <w:r w:rsidR="005C73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410743"/>
          <w:citation/>
        </w:sdtPr>
        <w:sdtContent>
          <w:r w:rsidR="005C738E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5C738E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CITATION Tec14 \l 3082  </w:instrText>
          </w:r>
          <w:r w:rsidR="005C738E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5C738E" w:rsidRPr="005C738E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(S.p.A, 2014)</w:t>
          </w:r>
          <w:r w:rsidR="005C738E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5C73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del balance de materiales para el diseño de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torre despojadora de aguas agrias.</w:t>
      </w:r>
      <w:r w:rsidR="00F743ED"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155035" w:rsidRDefault="00155035" w:rsidP="00ED72F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  <w:lang w:val="es-ES"/>
        </w:rPr>
      </w:pPr>
    </w:p>
    <w:p w:rsidR="005C738E" w:rsidRDefault="00146B3F" w:rsidP="00ED72F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D72F9">
        <w:rPr>
          <w:rFonts w:ascii="Times New Roman" w:hAnsi="Times New Roman" w:cs="Times New Roman"/>
          <w:b/>
          <w:bCs/>
          <w:sz w:val="20"/>
          <w:szCs w:val="24"/>
          <w:lang w:val="es-ES"/>
        </w:rPr>
        <w:t>Tabla 1.</w:t>
      </w: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 </w:t>
      </w:r>
      <w:r w:rsidR="00ED72F9">
        <w:rPr>
          <w:rFonts w:ascii="Times New Roman" w:hAnsi="Times New Roman" w:cs="Times New Roman"/>
          <w:lang w:val="es-ES"/>
        </w:rPr>
        <w:t>Corrientes de la curva compuesta de Fuentes y Demandas ordenadas en sentido creciente en función de la concentración.</w:t>
      </w:r>
    </w:p>
    <w:p w:rsidR="00155035" w:rsidRPr="00ED72F9" w:rsidRDefault="00155035" w:rsidP="00ED72F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384"/>
        <w:gridCol w:w="1724"/>
        <w:gridCol w:w="1718"/>
        <w:gridCol w:w="1803"/>
        <w:gridCol w:w="1429"/>
        <w:gridCol w:w="1562"/>
      </w:tblGrid>
      <w:tr w:rsidR="00E84CC7" w:rsidTr="00ED72F9">
        <w:trPr>
          <w:jc w:val="center"/>
        </w:trPr>
        <w:tc>
          <w:tcPr>
            <w:tcW w:w="138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Corrientes</w:t>
            </w:r>
          </w:p>
        </w:tc>
        <w:tc>
          <w:tcPr>
            <w:tcW w:w="1724" w:type="dxa"/>
          </w:tcPr>
          <w:p w:rsidR="00E84CC7" w:rsidRDefault="00E84CC7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Concentración</w:t>
            </w:r>
          </w:p>
          <w:p w:rsidR="00E84CC7" w:rsidRDefault="00E84CC7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Contaminantes</w:t>
            </w:r>
          </w:p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(ppm)</w:t>
            </w:r>
          </w:p>
        </w:tc>
        <w:tc>
          <w:tcPr>
            <w:tcW w:w="1718" w:type="dxa"/>
          </w:tcPr>
          <w:p w:rsidR="00E84CC7" w:rsidRDefault="00E84CC7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Flujo de</w:t>
            </w:r>
          </w:p>
          <w:p w:rsidR="00E84CC7" w:rsidRDefault="00ED72F9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A</w:t>
            </w:r>
            <w:r w:rsidR="00E84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gua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r w:rsidR="00E84C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(kg/h)</w:t>
            </w:r>
          </w:p>
        </w:tc>
        <w:tc>
          <w:tcPr>
            <w:tcW w:w="1803" w:type="dxa"/>
          </w:tcPr>
          <w:p w:rsidR="00E84CC7" w:rsidRPr="00E84CC7" w:rsidRDefault="00E84CC7" w:rsidP="00ED7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0848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Carga de contaminantes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0848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(kg/h)</w:t>
            </w:r>
          </w:p>
        </w:tc>
        <w:tc>
          <w:tcPr>
            <w:tcW w:w="1429" w:type="dxa"/>
          </w:tcPr>
          <w:p w:rsidR="00E84CC7" w:rsidRDefault="00E84CC7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Flujo</w:t>
            </w:r>
          </w:p>
          <w:p w:rsidR="00E84CC7" w:rsidRPr="00E84CC7" w:rsidRDefault="00E84CC7" w:rsidP="00ED7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Acumulado</w:t>
            </w:r>
          </w:p>
        </w:tc>
        <w:tc>
          <w:tcPr>
            <w:tcW w:w="1562" w:type="dxa"/>
          </w:tcPr>
          <w:p w:rsidR="00E84CC7" w:rsidRDefault="00E84CC7" w:rsidP="00ED72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Carga</w:t>
            </w:r>
          </w:p>
          <w:p w:rsidR="00E84CC7" w:rsidRPr="00E84CC7" w:rsidRDefault="00E84CC7" w:rsidP="00ED7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Acumulada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D1(UHTN)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7,96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7 450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59, 3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7 450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59,3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D2 (UDA)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9,99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9 162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91,6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16 612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150,9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D3 (UCC)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13,04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12 680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165,3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29 292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316,2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D4 (UDV)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14,31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14 490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207,3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43 782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523,5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D5 (URA)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14,72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16 000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235,5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59 782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759,0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D6 (UCR)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17,43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17 791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310,1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77 573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1 069,1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724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77 573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1 069,1</w:t>
            </w:r>
          </w:p>
        </w:tc>
        <w:tc>
          <w:tcPr>
            <w:tcW w:w="1429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62" w:type="dxa"/>
          </w:tcPr>
          <w:p w:rsidR="00E84CC7" w:rsidRDefault="00E84CC7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F1(UHTN)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0,15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7 350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1,1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7 350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1,1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F2 (UDA)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0,18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9 137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1,6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16 487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2,7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F3 (UCC)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0,18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12 100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2,2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28 587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4,9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F4 (UDV)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0,22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14 275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3,1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42 862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8,0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F5 (URA)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0,28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15 859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4,4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58 721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12,4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F6 (UCR)</w:t>
            </w:r>
          </w:p>
        </w:tc>
        <w:tc>
          <w:tcPr>
            <w:tcW w:w="1724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0,32</w:t>
            </w:r>
          </w:p>
        </w:tc>
        <w:tc>
          <w:tcPr>
            <w:tcW w:w="1718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17 507</w:t>
            </w:r>
          </w:p>
        </w:tc>
        <w:tc>
          <w:tcPr>
            <w:tcW w:w="1803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5,6</w:t>
            </w:r>
          </w:p>
        </w:tc>
        <w:tc>
          <w:tcPr>
            <w:tcW w:w="1429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76 228</w:t>
            </w:r>
          </w:p>
        </w:tc>
        <w:tc>
          <w:tcPr>
            <w:tcW w:w="1562" w:type="dxa"/>
          </w:tcPr>
          <w:p w:rsidR="00E84CC7" w:rsidRDefault="00ED72F9" w:rsidP="00ED72F9">
            <w:pPr>
              <w:spacing w:before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18,0</w:t>
            </w:r>
          </w:p>
        </w:tc>
      </w:tr>
      <w:tr w:rsidR="00E84CC7" w:rsidTr="00ED72F9">
        <w:trPr>
          <w:jc w:val="center"/>
        </w:trPr>
        <w:tc>
          <w:tcPr>
            <w:tcW w:w="1384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724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718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76 228</w:t>
            </w:r>
          </w:p>
        </w:tc>
        <w:tc>
          <w:tcPr>
            <w:tcW w:w="1803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18,0</w:t>
            </w:r>
          </w:p>
        </w:tc>
        <w:tc>
          <w:tcPr>
            <w:tcW w:w="1429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562" w:type="dxa"/>
          </w:tcPr>
          <w:p w:rsidR="00E84CC7" w:rsidRDefault="00ED72F9" w:rsidP="005E64A7">
            <w:pPr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</w:tr>
    </w:tbl>
    <w:p w:rsidR="00155035" w:rsidRDefault="00155035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55035" w:rsidRDefault="00155035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55035" w:rsidRDefault="00155035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>Leyenda: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Demandas: Corrientes de aguas contaminadas provenientes de las unidades de proceso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Fuentes: Corrientes de aguas despojadas de </w:t>
      </w:r>
      <w:proofErr w:type="spellStart"/>
      <w:r w:rsidRPr="004758A1">
        <w:rPr>
          <w:rFonts w:ascii="Times New Roman" w:hAnsi="Times New Roman" w:cs="Times New Roman"/>
          <w:sz w:val="24"/>
          <w:szCs w:val="24"/>
          <w:lang w:val="es-ES"/>
        </w:rPr>
        <w:t>reuso</w:t>
      </w:r>
      <w:proofErr w:type="spellEnd"/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 hacia de las unidades de proceso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UHTN: Unidad de Hidrotratamiento de Naftas…… UDA: Unidad de Destilación Atmosférica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UCC: Unidad de Craqueo Catalítico……………….... UDV: Unidad de Destilación al Vacío</w:t>
      </w:r>
    </w:p>
    <w:p w:rsidR="00146B3F" w:rsidRPr="004758A1" w:rsidRDefault="00146B3F" w:rsidP="001D566A">
      <w:pPr>
        <w:tabs>
          <w:tab w:val="left" w:pos="820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URA: Unidad de Recuperación de Azufre………... UCR: Unidad de </w:t>
      </w:r>
      <w:proofErr w:type="spellStart"/>
      <w:r w:rsidRPr="004758A1">
        <w:rPr>
          <w:rFonts w:ascii="Times New Roman" w:hAnsi="Times New Roman" w:cs="Times New Roman"/>
          <w:sz w:val="24"/>
          <w:szCs w:val="24"/>
          <w:lang w:val="es-ES"/>
        </w:rPr>
        <w:t>Coquificación</w:t>
      </w:r>
      <w:proofErr w:type="spellEnd"/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 Retardada</w:t>
      </w:r>
    </w:p>
    <w:p w:rsidR="00146B3F" w:rsidRPr="004758A1" w:rsidRDefault="00146B3F" w:rsidP="004758A1">
      <w:pPr>
        <w:spacing w:before="8"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758A1" w:rsidRPr="004758A1" w:rsidRDefault="004758A1" w:rsidP="007613C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3. R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ltados y 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d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iscu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Pr="004758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ó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Los valores mostrados en la Tabla 1 corresponden al balance de materiales de las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corrientes de entrada (demanda) y salida (fuente) de la torre despojadora de aguas. En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ella se aprecia una recuperación de 76 228 kg/h de agua despojada, que representa el 98,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27 % del agua total de entrada. Un análisis integral requiere conocer el comportamiento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 las corrientes según los intervalos de concentración de contaminantes, pues de ello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depende la selección de los flujos que se pueden reutilizar. Los requerimientos técnicos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 los procesos que demandan dichas aguas despojadas determinan sus estándares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calidad, los volúmenes y flujos que se reutilizarán.</w:t>
      </w:r>
    </w:p>
    <w:p w:rsidR="00146B3F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En el análisis se ordenaron las corrientes de Fuentes y Demandas en sentido creciente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del criterio de concentración de contaminantes, según la metodología de cálculo de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Unepdtie.org (1998), y se calcularon los flujos y cargas acumuladas, (Tabla 1).</w:t>
      </w:r>
    </w:p>
    <w:p w:rsidR="00155035" w:rsidRPr="004758A1" w:rsidRDefault="00155035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La información obtenida de las corrientes ordenadas en función de la concentración, se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incorporó al Software Water Pinch, obteniendo el punto Pinch en un valor de 8 ppm,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relacionado con la carga acumulada de 0,6 kg/h de contaminantes (Ver Figura 1).</w:t>
      </w:r>
    </w:p>
    <w:p w:rsidR="00146B3F" w:rsidRPr="004758A1" w:rsidRDefault="00146B3F" w:rsidP="004758A1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4758A1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135245" cy="2924175"/>
            <wp:effectExtent l="1905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3F" w:rsidRPr="001D566A" w:rsidRDefault="00146B3F" w:rsidP="001D566A">
      <w:pPr>
        <w:tabs>
          <w:tab w:val="left" w:pos="820"/>
        </w:tabs>
        <w:spacing w:after="0" w:line="360" w:lineRule="auto"/>
        <w:ind w:left="462" w:right="-20"/>
        <w:jc w:val="center"/>
        <w:rPr>
          <w:rFonts w:ascii="Times New Roman" w:hAnsi="Times New Roman" w:cs="Times New Roman"/>
          <w:sz w:val="20"/>
          <w:szCs w:val="24"/>
          <w:lang w:val="es-ES"/>
        </w:rPr>
      </w:pP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Figura 1.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 xml:space="preserve">Diagrama de determinación del punto Pinch. </w:t>
      </w: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Fuente: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>Software Water Pinch.</w:t>
      </w:r>
    </w:p>
    <w:p w:rsidR="00146B3F" w:rsidRPr="004758A1" w:rsidRDefault="00146B3F" w:rsidP="004758A1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6B3F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Del análisis de la Figura 1 se puede concluir que:</w:t>
      </w:r>
    </w:p>
    <w:p w:rsidR="000C00FD" w:rsidRPr="004758A1" w:rsidRDefault="000C00FD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Default="00146B3F" w:rsidP="001D566A">
      <w:pPr>
        <w:pStyle w:val="Prrafodelista"/>
        <w:widowControl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>La concentración media de contaminantes es de 13,94 ppm y la concentración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máxima permisible, según los resultados del software, se extiende hasta 17,40 ppm,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esto permite, de forma óptima, la reutilización mínima de 75,41 t/h de agua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despojada, que representa el 97,21 % del agua agria de entrada a la torre.</w:t>
      </w:r>
    </w:p>
    <w:p w:rsidR="000C00FD" w:rsidRPr="001D566A" w:rsidRDefault="000C00FD" w:rsidP="000C00FD">
      <w:pPr>
        <w:pStyle w:val="Prrafodelista"/>
        <w:widowControl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1D566A" w:rsidRDefault="00146B3F" w:rsidP="001D566A">
      <w:pPr>
        <w:pStyle w:val="Prrafodelista"/>
        <w:widowControl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Alrededor del punto </w:t>
      </w:r>
      <w:r w:rsidRPr="001D566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Pinch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y hasta la concentración media de 13,94 ppm, aparecen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las aguas recuperadas en la despojadora, con una carga acumulada de 0,96 kg/h, que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representan el flujo ideal que se puede reutilizar. A la derecha del punto </w:t>
      </w:r>
      <w:r w:rsidRPr="001D566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Pinch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y por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encima de 13,94 ppm, se localizan los residuales que aún se pueden recuperar hasta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la concentración máxima permisible de 17,40 ppm, según el software, con una carga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de 1,05 kg/h. Entonces el flujo para reutilizar sería de 60,40 t/h, que se refleja en la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Figura 2. Para cada intervalo de concentración, el software identifica la carga</w:t>
      </w:r>
      <w:r w:rsidR="001D566A" w:rsidRP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sz w:val="24"/>
          <w:szCs w:val="24"/>
          <w:lang w:val="es-ES"/>
        </w:rPr>
        <w:t>acumulada y en correspondencia calcula los flujos que pueden reusarse.</w:t>
      </w:r>
    </w:p>
    <w:p w:rsidR="00146B3F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>Sin embargo, según el criterio de expertos, es posible una reutilización adicional, pues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algunos procesos tecnológicos, con requerimientos de calidad de agua menos exigentes,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4758A1">
        <w:rPr>
          <w:rFonts w:ascii="Times New Roman" w:hAnsi="Times New Roman" w:cs="Times New Roman"/>
          <w:sz w:val="24"/>
          <w:szCs w:val="24"/>
          <w:lang w:val="es-ES"/>
        </w:rPr>
        <w:t>ej</w:t>
      </w:r>
      <w:proofErr w:type="spellEnd"/>
      <w:r w:rsidRPr="004758A1">
        <w:rPr>
          <w:rFonts w:ascii="Times New Roman" w:hAnsi="Times New Roman" w:cs="Times New Roman"/>
          <w:sz w:val="24"/>
          <w:szCs w:val="24"/>
          <w:lang w:val="es-ES"/>
        </w:rPr>
        <w:t>: el lavado y desalado del crudo) pueden reutilizar las aguas cuya concentración esté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comprendida entre 17,40 ppm y 18,00 ppm, (Figura 2).</w:t>
      </w:r>
    </w:p>
    <w:p w:rsidR="000C00FD" w:rsidRDefault="000C00FD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613C3" w:rsidRPr="004758A1" w:rsidRDefault="007613C3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1D566A">
      <w:pPr>
        <w:tabs>
          <w:tab w:val="left" w:pos="820"/>
        </w:tabs>
        <w:spacing w:after="0" w:line="360" w:lineRule="auto"/>
        <w:ind w:left="462" w:right="-20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657850" cy="40100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41" cy="401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3F" w:rsidRPr="001D566A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24"/>
          <w:lang w:val="es-ES"/>
        </w:rPr>
      </w:pP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Figura 2.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>Intervalos de concentración entre fuentes y demandas.</w:t>
      </w:r>
      <w:r w:rsidR="001D566A">
        <w:rPr>
          <w:rFonts w:ascii="Times New Roman" w:hAnsi="Times New Roman" w:cs="Times New Roman"/>
          <w:sz w:val="20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Fuente: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 xml:space="preserve">Software </w:t>
      </w:r>
      <w:r w:rsidRPr="001D566A">
        <w:rPr>
          <w:rFonts w:ascii="Times New Roman" w:hAnsi="Times New Roman" w:cs="Times New Roman"/>
          <w:i/>
          <w:iCs/>
          <w:sz w:val="20"/>
          <w:szCs w:val="24"/>
          <w:lang w:val="es-ES"/>
        </w:rPr>
        <w:t>Water Pinch</w:t>
      </w:r>
    </w:p>
    <w:p w:rsidR="00146B3F" w:rsidRPr="004758A1" w:rsidRDefault="00146B3F" w:rsidP="004758A1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146B3F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Como conclusión de la aplicación de esta herramienta se puede afirmar que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información suministrada por el software por intervalos de concentración permite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establecer una nueva red optimizada de distribución de agua recuperada (Figura 3), que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refleja las oportunidades de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lastRenderedPageBreak/>
        <w:t>reutilización de agua y la reducción de los efluentes, a partir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del análisis de la red inicial de distribución de agua recuperada mostrada en la Figura 4.</w:t>
      </w:r>
    </w:p>
    <w:p w:rsidR="007613C3" w:rsidRPr="004758A1" w:rsidRDefault="007613C3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7613C3">
      <w:pPr>
        <w:tabs>
          <w:tab w:val="left" w:pos="820"/>
        </w:tabs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inline distT="0" distB="0" distL="0" distR="0">
            <wp:extent cx="6061115" cy="4358244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36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3F" w:rsidRPr="007613C3" w:rsidRDefault="00146B3F" w:rsidP="007613C3">
      <w:pPr>
        <w:widowControl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4"/>
          <w:lang w:val="es-ES"/>
        </w:rPr>
      </w:pPr>
      <w:r w:rsidRPr="007613C3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Figura 3. </w:t>
      </w:r>
      <w:r w:rsidRPr="007613C3">
        <w:rPr>
          <w:rFonts w:ascii="Times New Roman" w:hAnsi="Times New Roman" w:cs="Times New Roman"/>
          <w:sz w:val="20"/>
          <w:szCs w:val="24"/>
          <w:lang w:val="es-ES"/>
        </w:rPr>
        <w:t>Diagrama optimizado de la red de distribución de agua recuperada</w:t>
      </w:r>
    </w:p>
    <w:p w:rsidR="00146B3F" w:rsidRPr="004758A1" w:rsidRDefault="00146B3F" w:rsidP="004758A1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4758A1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En la Figura 3 se puede observar la red de distribución simplificada (optimizada), con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distribución de los flujos óptimos que pueden ser reusados por las corrientes y se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simplifican las operaciones realizadas, según los intervalos de concentración y los flujos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de las mismas.</w:t>
      </w:r>
    </w:p>
    <w:p w:rsidR="00146B3F" w:rsidRPr="004758A1" w:rsidRDefault="00146B3F" w:rsidP="007613C3">
      <w:pPr>
        <w:tabs>
          <w:tab w:val="left" w:pos="820"/>
        </w:tabs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807034" cy="4107989"/>
            <wp:effectExtent l="19050" t="0" r="3216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686" cy="410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3F" w:rsidRPr="001D566A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4"/>
          <w:lang w:val="es-ES"/>
        </w:rPr>
      </w:pP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Figura 4.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>Diagrama inicial de la red de distribución de agua recuperada.</w:t>
      </w:r>
      <w:r w:rsidR="001D566A" w:rsidRPr="001D566A">
        <w:rPr>
          <w:rFonts w:ascii="Times New Roman" w:hAnsi="Times New Roman" w:cs="Times New Roman"/>
          <w:sz w:val="20"/>
          <w:szCs w:val="24"/>
          <w:lang w:val="es-ES"/>
        </w:rPr>
        <w:t xml:space="preserve"> </w:t>
      </w:r>
      <w:r w:rsidRPr="001D566A">
        <w:rPr>
          <w:rFonts w:ascii="Times New Roman" w:hAnsi="Times New Roman" w:cs="Times New Roman"/>
          <w:b/>
          <w:bCs/>
          <w:sz w:val="20"/>
          <w:szCs w:val="24"/>
          <w:lang w:val="es-ES"/>
        </w:rPr>
        <w:t xml:space="preserve">Fuente: 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 xml:space="preserve">Software </w:t>
      </w:r>
      <w:r w:rsidRPr="001D566A">
        <w:rPr>
          <w:rFonts w:ascii="Times New Roman" w:hAnsi="Times New Roman" w:cs="Times New Roman"/>
          <w:i/>
          <w:iCs/>
          <w:sz w:val="20"/>
          <w:szCs w:val="24"/>
          <w:lang w:val="es-ES"/>
        </w:rPr>
        <w:t>Water Pinch</w:t>
      </w:r>
      <w:r w:rsidRPr="001D566A">
        <w:rPr>
          <w:rFonts w:ascii="Times New Roman" w:hAnsi="Times New Roman" w:cs="Times New Roman"/>
          <w:sz w:val="20"/>
          <w:szCs w:val="24"/>
          <w:lang w:val="es-ES"/>
        </w:rPr>
        <w:t>.</w:t>
      </w:r>
    </w:p>
    <w:p w:rsidR="00146B3F" w:rsidRPr="004758A1" w:rsidRDefault="00146B3F" w:rsidP="004758A1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146B3F" w:rsidRPr="004758A1" w:rsidRDefault="00146B3F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4758A1">
        <w:rPr>
          <w:rFonts w:ascii="Times New Roman" w:hAnsi="Times New Roman" w:cs="Times New Roman"/>
          <w:sz w:val="24"/>
          <w:szCs w:val="24"/>
          <w:lang w:val="es-ES"/>
        </w:rPr>
        <w:t>La posible reutilización antes señalada, conlleva un flujo de 76 228 kg/h, es decir 98, 27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% de recuperación, por lo que coincide con en el balance de materiales de la Tabla 1.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Esta reutilización, para un año de trabajo de la torre despojadora, supone una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recuperación anual de 667 757, 28 m</w:t>
      </w:r>
      <w:r w:rsidRPr="00E100D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 de agua, equivalente a un ahorro de 1 035 023, 78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CUC, a razón de 1,55 CUC/m</w:t>
      </w:r>
      <w:r w:rsidRPr="00E100D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 xml:space="preserve"> de agua.</w:t>
      </w:r>
      <w:r w:rsid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Por consiguiente, para alcanzar otra recuperación adicional, que podría estar en el 1,73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% restante de residuales (lado derecho del punto Pinch y señalado por encima de la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línea de 18,00 ppm) conllevaría cambios en los parámetros operacionales de la torre,</w:t>
      </w:r>
      <w:r w:rsidR="001D56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758A1">
        <w:rPr>
          <w:rFonts w:ascii="Times New Roman" w:hAnsi="Times New Roman" w:cs="Times New Roman"/>
          <w:sz w:val="24"/>
          <w:szCs w:val="24"/>
          <w:lang w:val="es-ES"/>
        </w:rPr>
        <w:t>por lo que no es aconsejable.</w:t>
      </w:r>
    </w:p>
    <w:p w:rsidR="00146B3F" w:rsidRPr="004758A1" w:rsidRDefault="00146B3F" w:rsidP="004758A1">
      <w:pPr>
        <w:pStyle w:val="Prrafodelista"/>
        <w:tabs>
          <w:tab w:val="left" w:pos="820"/>
        </w:tabs>
        <w:spacing w:after="0" w:line="360" w:lineRule="auto"/>
        <w:ind w:left="118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D566A" w:rsidRPr="004758A1" w:rsidRDefault="001D566A" w:rsidP="007613C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4. Concl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sio</w:t>
      </w:r>
      <w:r w:rsidRPr="004758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4758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4758A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</w:p>
    <w:p w:rsidR="001D566A" w:rsidRDefault="001D566A" w:rsidP="001D56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6B3F" w:rsidRPr="007613C3" w:rsidRDefault="00146B3F" w:rsidP="007613C3">
      <w:pPr>
        <w:pStyle w:val="Prrafodelista"/>
        <w:widowControl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13C3">
        <w:rPr>
          <w:rFonts w:ascii="Times New Roman" w:hAnsi="Times New Roman" w:cs="Times New Roman"/>
          <w:sz w:val="24"/>
          <w:szCs w:val="24"/>
          <w:lang w:val="es-ES"/>
        </w:rPr>
        <w:t>La aplicación del método Water Pinch para el análisis técnico inicial permitió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identificar las mayores posibilidades de reutilización del agua técnica para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proceso, basado en los diferentes niveles de concentración de contaminantes,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que permitió hacer una propuesta de red de distribución optimizada.</w:t>
      </w:r>
    </w:p>
    <w:p w:rsidR="00146B3F" w:rsidRPr="007613C3" w:rsidRDefault="00146B3F" w:rsidP="007613C3">
      <w:pPr>
        <w:pStyle w:val="Prrafodelista"/>
        <w:widowControl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13C3">
        <w:rPr>
          <w:rFonts w:ascii="Times New Roman" w:hAnsi="Times New Roman" w:cs="Times New Roman"/>
          <w:sz w:val="24"/>
          <w:szCs w:val="24"/>
          <w:lang w:val="es-ES"/>
        </w:rPr>
        <w:t>El Software Water Pinch aplicado a una torre despojadora de aguas agrias, según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el análisis de los intervalos de concentración de contaminantes, permitió la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recuperación y reutilización de 667 757,28 m</w:t>
      </w:r>
      <w:r w:rsidRPr="00E100D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de agua anualmente, es decir, el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98,27 % del agua tratada, ahorrándose 1 035 023,78 CUC en costos de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producción de la refinería.</w:t>
      </w:r>
    </w:p>
    <w:p w:rsidR="00146B3F" w:rsidRPr="007613C3" w:rsidRDefault="00146B3F" w:rsidP="007613C3">
      <w:pPr>
        <w:pStyle w:val="Prrafodelista"/>
        <w:widowControl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13C3">
        <w:rPr>
          <w:rFonts w:ascii="Times New Roman" w:hAnsi="Times New Roman" w:cs="Times New Roman"/>
          <w:sz w:val="24"/>
          <w:szCs w:val="24"/>
          <w:lang w:val="es-ES"/>
        </w:rPr>
        <w:t>La red optimizada de distribución de agua obtenida para la unidad despojadora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de aguas agrias de la refinería de petróleo con el uso de la metodología del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Software Water Pinch, redujo aproximadamente al 2 % las emanaciones de</w:t>
      </w:r>
      <w:r w:rsidR="001D566A" w:rsidRPr="007613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13C3">
        <w:rPr>
          <w:rFonts w:ascii="Times New Roman" w:hAnsi="Times New Roman" w:cs="Times New Roman"/>
          <w:sz w:val="24"/>
          <w:szCs w:val="24"/>
          <w:lang w:val="es-ES"/>
        </w:rPr>
        <w:t>aguas residuales sulfurosas tratadas que no podrán ser reutilizadas.</w:t>
      </w:r>
    </w:p>
    <w:p w:rsidR="004E2A03" w:rsidRPr="004758A1" w:rsidRDefault="004E2A03" w:rsidP="004758A1">
      <w:pPr>
        <w:spacing w:before="4"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E2A03" w:rsidRDefault="00F743ED" w:rsidP="007613C3">
      <w:pPr>
        <w:pStyle w:val="Prrafodelista"/>
        <w:numPr>
          <w:ilvl w:val="0"/>
          <w:numId w:val="10"/>
        </w:numPr>
        <w:tabs>
          <w:tab w:val="left" w:pos="142"/>
          <w:tab w:val="left" w:pos="284"/>
          <w:tab w:val="left" w:pos="567"/>
        </w:tabs>
        <w:spacing w:after="0" w:line="360" w:lineRule="auto"/>
        <w:ind w:left="0" w:right="48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Referencias </w:t>
      </w:r>
      <w:r w:rsidRPr="007613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Pr="007613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</w:t>
      </w:r>
      <w:r w:rsidRPr="007613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i</w:t>
      </w: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og</w:t>
      </w:r>
      <w:r w:rsidRPr="007613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á</w:t>
      </w:r>
      <w:r w:rsidRPr="007613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f</w:t>
      </w:r>
      <w:r w:rsidRPr="007613C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icas</w:t>
      </w:r>
    </w:p>
    <w:p w:rsidR="00155035" w:rsidRPr="007613C3" w:rsidRDefault="00155035" w:rsidP="00155035">
      <w:pPr>
        <w:pStyle w:val="Prrafodelista"/>
        <w:tabs>
          <w:tab w:val="left" w:pos="142"/>
          <w:tab w:val="left" w:pos="284"/>
          <w:tab w:val="left" w:pos="567"/>
        </w:tabs>
        <w:spacing w:after="0" w:line="360" w:lineRule="auto"/>
        <w:ind w:left="0"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sdt>
      <w:sdtPr>
        <w:id w:val="1410744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id w:val="1410829"/>
            <w:docPartObj>
              <w:docPartGallery w:val="Bibliographie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  <w:lang w:val="es-ES"/>
            </w:rPr>
          </w:sdtEndPr>
          <w:sdtContent>
            <w:sdt>
              <w:sdtPr>
                <w:rPr>
                  <w:lang w:val="es-ES"/>
                </w:rPr>
                <w:id w:val="111145805"/>
                <w:bibliography/>
              </w:sdtPr>
              <w:sdtEndPr>
                <w:rPr>
                  <w:rFonts w:ascii="Times New Roman" w:hAnsi="Times New Roman" w:cs="Times New Roman"/>
                  <w:sz w:val="24"/>
                  <w:szCs w:val="24"/>
                </w:rPr>
              </w:sdtEndPr>
              <w:sdtContent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begin"/>
                  </w:r>
                  <w:r w:rsidRPr="005C738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BIBLIOGRAPHY </w:instrText>
                  </w:r>
                  <w:r w:rsidRPr="005C738E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separate"/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Alva-Argáez, A. (2007).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>The design of waterusing systems in petroleum refining using a waterpinch decomposition.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Chemical Engineering Journal.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BREF. (2013).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>Best available techniques Reference document (Documento de Referencia sobre Mejores Técnicas Disponibles)., Executive Summary - Refineries.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IPPC. European Integrated Pollution Prevention and Control Bureau.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Byers, W. G. (2010).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 xml:space="preserve">The Waste Minimization Opportunity Assessment Manual. 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(Vol. 625/7). (J. Engineering, Ed.) California, Pasadena, U.S: Environmental Protection Agency (EPA). 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Technology &amp; Engineering.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CITMA. (Res 132/2009).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Reglamento del proceso de evaluación de impacto ambienta.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La Habana, Cuba.: Ministerio de Ciencia, Tecnología y Medio Ambiente.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CITMA. (Res 136/2009).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Reglamento para el manejo integral de desechos peligrosos.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La 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lastRenderedPageBreak/>
                    <w:t>Habana, Cuba: Ministerio de Ciencia, Tecnología y Medio Ambiente.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Dhole, V. (2000).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La tecnología Water Pinch.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Recuperado el 2015, de http://webworld.unesco.org/water/wwap/wwdr/wwdr3/index_es.shtml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Dunn, R. a. (2001). Process Integration Design methods for water conservation and wastewater reduction in industry.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Clean Productions Processes, 3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, 307-318.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Fareso, S. (2004).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Guía de mejores técnicas disponibles en España del sector de refino de petróleo (Guía Ambiental).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(D. G. Ambiental, Ed.) Sevilla, España: Ministerio de Medio Ambiente. 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Forero, G. (2013).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Aplicación de procesos de oxidación avanzada como tratamiento de fenol en aguas residuales industriales de refinería (primero).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Consejo de Estado, Cuba., La Habana.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Ley, D. (No. 309/2013). Gaceta Oficial, de la seguridad química.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Edición ordinaria.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Martínez, E. L. (2013).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Proceso Fenton intensificado para la destrucción de contaminantes orgánicos., 18° Congreso Argentino de Saneamiento y Medio Ambiente.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Buenos Aires, Argentina.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Martín-Juvier. (2008).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Reducción del consumo de agua limpia en la empresa de producción de productos sanitarios PROSA. S.A, mediante la aplicación del método de integración de procesos Water Pinch.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Tesis presentada en opción al título académico de Ingeniero Quimico, Matanzas.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S.p.A, T. (2014).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>Engineering &amp; Contacting Solutions. Italian Sulphur Technology Provider. Heat &amp; Materials Balance for the Sour Water Stripper Unit, The Cienfuegos´s oil refinery Expansion Project.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Savelski, M. ( 2000).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>On the optimality conditions of water utilization systems in process plants with single contaminants.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Chemical Engineering Science.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Uneptie.org. (1998). Coastal Waters of the World. (I. Press, Ed.)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>Trends, Threats and Strategies.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5C738E" w:rsidRPr="005C738E" w:rsidRDefault="005C738E" w:rsidP="005C738E">
                  <w:pPr>
                    <w:pStyle w:val="Bibliografa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Wang, Y. a. (1994). </w:t>
                  </w:r>
                  <w:r w:rsidRPr="005C738E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t xml:space="preserve">Wastewater minimization </w:t>
                  </w:r>
                  <w:r w:rsidRPr="005C738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(Vol. 49). Chem. Eng. Science.</w:t>
                  </w:r>
                </w:p>
                <w:p w:rsidR="005C738E" w:rsidRPr="005C738E" w:rsidRDefault="005C738E" w:rsidP="005C738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5C738E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fldChar w:fldCharType="end"/>
                  </w:r>
                </w:p>
              </w:sdtContent>
            </w:sdt>
          </w:sdtContent>
        </w:sdt>
        <w:p w:rsidR="005C738E" w:rsidRPr="005C738E" w:rsidRDefault="005C738E" w:rsidP="005C738E">
          <w:pPr>
            <w:pStyle w:val="Bibliografa"/>
            <w:ind w:left="720" w:hanging="72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5C738E" w:rsidRPr="005C738E" w:rsidSect="007613C3">
      <w:headerReference w:type="default" r:id="rId12"/>
      <w:footerReference w:type="default" r:id="rId13"/>
      <w:pgSz w:w="12240" w:h="15840" w:code="1"/>
      <w:pgMar w:top="2897" w:right="1418" w:bottom="1639" w:left="1418" w:header="301" w:footer="144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1F" w:rsidRDefault="00F743ED">
      <w:pPr>
        <w:spacing w:after="0" w:line="240" w:lineRule="auto"/>
      </w:pPr>
      <w:r>
        <w:separator/>
      </w:r>
    </w:p>
  </w:endnote>
  <w:endnote w:type="continuationSeparator" w:id="0">
    <w:p w:rsidR="00AE791F" w:rsidRDefault="00F7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03" w:rsidRDefault="009C1694">
    <w:pPr>
      <w:spacing w:after="0" w:line="200" w:lineRule="exact"/>
      <w:rPr>
        <w:sz w:val="20"/>
        <w:szCs w:val="20"/>
      </w:rPr>
    </w:pPr>
    <w:r w:rsidRPr="009C1694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<v:textbox style="mso-next-textbox:#Text Box 1" inset="0,0,0,0">
            <w:txbxContent>
              <w:p w:rsidR="004E2A03" w:rsidRPr="00877310" w:rsidRDefault="00F743ED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8773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877310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8773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877310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877310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877310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877310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4E2A03" w:rsidRPr="00877310" w:rsidRDefault="009C1694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>
                  <w:fldChar w:fldCharType="begin"/>
                </w:r>
                <w:r w:rsidRPr="00485B12">
                  <w:rPr>
                    <w:lang w:val="es-ES"/>
                  </w:rPr>
                  <w:instrText>HYPERLINK "mailto:convencionuclv@uclv.cu" \h</w:instrText>
                </w:r>
                <w:r>
                  <w:fldChar w:fldCharType="separate"/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o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e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i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on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u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lv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@uc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l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.cu</w:t>
                </w:r>
                <w:r w:rsidR="00F743ED" w:rsidRPr="00877310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lang w:val="es-ES"/>
                  </w:rPr>
                  <w:t xml:space="preserve"> </w:t>
                </w:r>
                <w:r>
                  <w:fldChar w:fldCharType="end"/>
                </w:r>
                <w:hyperlink r:id="rId1"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F743ED" w:rsidRPr="00877310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1F" w:rsidRDefault="00F743ED">
      <w:pPr>
        <w:spacing w:after="0" w:line="240" w:lineRule="auto"/>
      </w:pPr>
      <w:r>
        <w:separator/>
      </w:r>
    </w:p>
  </w:footnote>
  <w:footnote w:type="continuationSeparator" w:id="0">
    <w:p w:rsidR="00AE791F" w:rsidRDefault="00F7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03" w:rsidRDefault="009C1694">
    <w:pPr>
      <w:spacing w:after="0" w:line="200" w:lineRule="exact"/>
      <w:rPr>
        <w:sz w:val="20"/>
        <w:szCs w:val="20"/>
      </w:rPr>
    </w:pPr>
    <w:r w:rsidRPr="009C1694">
      <w:rPr>
        <w:noProof/>
        <w:lang w:val="es-MX" w:eastAsia="es-MX"/>
      </w:rPr>
      <w:pict>
        <v:group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7" type="#_x0000_t75" style="position:absolute;left:10185;top:300;width:1125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h7BAAAA2gAAAA8AAABkcnMvZG93bnJldi54bWxEj82KwkAQhO8LvsPQgrd14s+KREcRlwXB&#10;g/jzAE2mTYKZnpBpTXx7RxD2WFTVV9Ry3blKPagJpWcDo2ECijjztuTcwOX89z0HFQTZYuWZDDwp&#10;wHrV+1pian3LR3qcJFcRwiFFA4VInWodsoIchqGviaN39Y1DibLJtW2wjXBX6XGSzLTDkuNCgTVt&#10;C8pup7szkE/K2bUTCbvn/jxqt5fp5vcwNWbQ7zYLUEKd/Ic/7Z018APvK/EG6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Tfh7BAAAA2gAAAA8AAAAAAAAAAAAAAAAAnwIA&#10;AGRycy9kb3ducmV2LnhtbFBLBQYAAAAABAAEAPcAAACNAwAAAAA=&#10;">
            <v:imagedata r:id="rId1" o:title=""/>
          </v:shape>
          <v:shape id="Picture 5" o:spid="_x0000_s1028" type="#_x0000_t75" style="position:absolute;left:10190;top:1617;width:1149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7jfCAAAA2gAAAA8AAABkcnMvZG93bnJldi54bWxEj8FqwzAQRO+F/oPYQm+13EDt4kQxwTRg&#10;KD046Qcs1sZ2Yq2MpCT231eFQo/DzLxhNuVsRnEj5wfLCl6TFARxa/XAnYLv4/7lHYQPyBpHy6Rg&#10;IQ/l9vFhg4W2d27odgidiBD2BSroQ5gKKX3bk0Gf2Ik4eifrDIYoXSe1w3uEm1Gu0jSTBgeOCz1O&#10;VPXUXg5Xo+Dr8uEwW/KlqT7J8Nu1bvKzVer5ad6tQQSaw3/4r11rBRn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e43wgAAANoAAAAPAAAAAAAAAAAAAAAAAJ8C&#10;AABkcnMvZG93bnJldi54bWxQSwUGAAAAAAQABAD3AAAAjgMAAAAA&#10;">
            <v:imagedata r:id="rId2" o:title=""/>
          </v:shape>
          <w10:wrap anchorx="page" anchory="page"/>
        </v:group>
      </w:pict>
    </w:r>
    <w:r w:rsidRPr="009C1694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1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<v:textbox style="mso-next-textbox:#Text Box 3" inset="0,0,0,0">
            <w:txbxContent>
              <w:p w:rsidR="004E2A03" w:rsidRPr="00877310" w:rsidRDefault="00F743ED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4E2A03" w:rsidRPr="00877310" w:rsidRDefault="00F743ED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4E2A03" w:rsidRPr="00877310" w:rsidRDefault="00F743ED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Pr="009C1694">
      <w:rPr>
        <w:noProof/>
        <w:lang w:val="es-MX" w:eastAsia="es-MX"/>
      </w:rPr>
      <w:pict>
        <v:shape id="Text Box 2" o:spid="_x0000_s1030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<v:textbox style="mso-next-textbox:#Text Box 2" inset="0,0,0,0">
            <w:txbxContent>
              <w:p w:rsidR="004E2A03" w:rsidRPr="00877310" w:rsidRDefault="00F743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4E2A03" w:rsidRPr="00877310" w:rsidRDefault="00F743ED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87731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A66"/>
    <w:multiLevelType w:val="hybridMultilevel"/>
    <w:tmpl w:val="07BE8778"/>
    <w:lvl w:ilvl="0" w:tplc="778CB570">
      <w:start w:val="1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2" w:hanging="360"/>
      </w:pPr>
    </w:lvl>
    <w:lvl w:ilvl="2" w:tplc="0C0A001B" w:tentative="1">
      <w:start w:val="1"/>
      <w:numFmt w:val="lowerRoman"/>
      <w:lvlText w:val="%3."/>
      <w:lvlJc w:val="right"/>
      <w:pPr>
        <w:ind w:left="2982" w:hanging="180"/>
      </w:pPr>
    </w:lvl>
    <w:lvl w:ilvl="3" w:tplc="0C0A000F" w:tentative="1">
      <w:start w:val="1"/>
      <w:numFmt w:val="decimal"/>
      <w:lvlText w:val="%4."/>
      <w:lvlJc w:val="left"/>
      <w:pPr>
        <w:ind w:left="3702" w:hanging="360"/>
      </w:pPr>
    </w:lvl>
    <w:lvl w:ilvl="4" w:tplc="0C0A0019" w:tentative="1">
      <w:start w:val="1"/>
      <w:numFmt w:val="lowerLetter"/>
      <w:lvlText w:val="%5."/>
      <w:lvlJc w:val="left"/>
      <w:pPr>
        <w:ind w:left="4422" w:hanging="360"/>
      </w:pPr>
    </w:lvl>
    <w:lvl w:ilvl="5" w:tplc="0C0A001B" w:tentative="1">
      <w:start w:val="1"/>
      <w:numFmt w:val="lowerRoman"/>
      <w:lvlText w:val="%6."/>
      <w:lvlJc w:val="right"/>
      <w:pPr>
        <w:ind w:left="5142" w:hanging="180"/>
      </w:pPr>
    </w:lvl>
    <w:lvl w:ilvl="6" w:tplc="0C0A000F" w:tentative="1">
      <w:start w:val="1"/>
      <w:numFmt w:val="decimal"/>
      <w:lvlText w:val="%7."/>
      <w:lvlJc w:val="left"/>
      <w:pPr>
        <w:ind w:left="5862" w:hanging="360"/>
      </w:pPr>
    </w:lvl>
    <w:lvl w:ilvl="7" w:tplc="0C0A0019" w:tentative="1">
      <w:start w:val="1"/>
      <w:numFmt w:val="lowerLetter"/>
      <w:lvlText w:val="%8."/>
      <w:lvlJc w:val="left"/>
      <w:pPr>
        <w:ind w:left="6582" w:hanging="360"/>
      </w:pPr>
    </w:lvl>
    <w:lvl w:ilvl="8" w:tplc="0C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">
    <w:nsid w:val="144A0B93"/>
    <w:multiLevelType w:val="hybridMultilevel"/>
    <w:tmpl w:val="511057F4"/>
    <w:lvl w:ilvl="0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>
    <w:nsid w:val="195A4AD7"/>
    <w:multiLevelType w:val="hybridMultilevel"/>
    <w:tmpl w:val="DC403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B2550"/>
    <w:multiLevelType w:val="hybridMultilevel"/>
    <w:tmpl w:val="46FCC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2791B"/>
    <w:multiLevelType w:val="hybridMultilevel"/>
    <w:tmpl w:val="7732457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530B3"/>
    <w:multiLevelType w:val="hybridMultilevel"/>
    <w:tmpl w:val="C638FCB0"/>
    <w:lvl w:ilvl="0" w:tplc="3018564A">
      <w:start w:val="4"/>
      <w:numFmt w:val="decimal"/>
      <w:lvlText w:val="%1."/>
      <w:lvlJc w:val="left"/>
      <w:pPr>
        <w:ind w:left="15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262" w:hanging="360"/>
      </w:pPr>
    </w:lvl>
    <w:lvl w:ilvl="2" w:tplc="0C0A001B" w:tentative="1">
      <w:start w:val="1"/>
      <w:numFmt w:val="lowerRoman"/>
      <w:lvlText w:val="%3."/>
      <w:lvlJc w:val="right"/>
      <w:pPr>
        <w:ind w:left="2982" w:hanging="180"/>
      </w:pPr>
    </w:lvl>
    <w:lvl w:ilvl="3" w:tplc="0C0A000F" w:tentative="1">
      <w:start w:val="1"/>
      <w:numFmt w:val="decimal"/>
      <w:lvlText w:val="%4."/>
      <w:lvlJc w:val="left"/>
      <w:pPr>
        <w:ind w:left="3702" w:hanging="360"/>
      </w:pPr>
    </w:lvl>
    <w:lvl w:ilvl="4" w:tplc="0C0A0019" w:tentative="1">
      <w:start w:val="1"/>
      <w:numFmt w:val="lowerLetter"/>
      <w:lvlText w:val="%5."/>
      <w:lvlJc w:val="left"/>
      <w:pPr>
        <w:ind w:left="4422" w:hanging="360"/>
      </w:pPr>
    </w:lvl>
    <w:lvl w:ilvl="5" w:tplc="0C0A001B" w:tentative="1">
      <w:start w:val="1"/>
      <w:numFmt w:val="lowerRoman"/>
      <w:lvlText w:val="%6."/>
      <w:lvlJc w:val="right"/>
      <w:pPr>
        <w:ind w:left="5142" w:hanging="180"/>
      </w:pPr>
    </w:lvl>
    <w:lvl w:ilvl="6" w:tplc="0C0A000F" w:tentative="1">
      <w:start w:val="1"/>
      <w:numFmt w:val="decimal"/>
      <w:lvlText w:val="%7."/>
      <w:lvlJc w:val="left"/>
      <w:pPr>
        <w:ind w:left="5862" w:hanging="360"/>
      </w:pPr>
    </w:lvl>
    <w:lvl w:ilvl="7" w:tplc="0C0A0019" w:tentative="1">
      <w:start w:val="1"/>
      <w:numFmt w:val="lowerLetter"/>
      <w:lvlText w:val="%8."/>
      <w:lvlJc w:val="left"/>
      <w:pPr>
        <w:ind w:left="6582" w:hanging="360"/>
      </w:pPr>
    </w:lvl>
    <w:lvl w:ilvl="8" w:tplc="0C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6">
    <w:nsid w:val="62400E84"/>
    <w:multiLevelType w:val="hybridMultilevel"/>
    <w:tmpl w:val="2FE013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D4D4A"/>
    <w:multiLevelType w:val="hybridMultilevel"/>
    <w:tmpl w:val="A0F43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C582A"/>
    <w:multiLevelType w:val="hybridMultilevel"/>
    <w:tmpl w:val="F1AE5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71C1"/>
    <w:multiLevelType w:val="hybridMultilevel"/>
    <w:tmpl w:val="B7F262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E2A03"/>
    <w:rsid w:val="000C00FD"/>
    <w:rsid w:val="000E0D87"/>
    <w:rsid w:val="00146B3F"/>
    <w:rsid w:val="00155035"/>
    <w:rsid w:val="00162C29"/>
    <w:rsid w:val="001D566A"/>
    <w:rsid w:val="004758A1"/>
    <w:rsid w:val="00485B12"/>
    <w:rsid w:val="004B4336"/>
    <w:rsid w:val="004E2A03"/>
    <w:rsid w:val="005C738E"/>
    <w:rsid w:val="007613C3"/>
    <w:rsid w:val="007E7BC6"/>
    <w:rsid w:val="00877310"/>
    <w:rsid w:val="00913178"/>
    <w:rsid w:val="009C1694"/>
    <w:rsid w:val="00AE791F"/>
    <w:rsid w:val="00BA0C82"/>
    <w:rsid w:val="00E100D8"/>
    <w:rsid w:val="00E84CC7"/>
    <w:rsid w:val="00ED72F9"/>
    <w:rsid w:val="00F7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7613C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B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75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8A1"/>
  </w:style>
  <w:style w:type="paragraph" w:styleId="Piedepgina">
    <w:name w:val="footer"/>
    <w:basedOn w:val="Normal"/>
    <w:link w:val="PiedepginaCar"/>
    <w:uiPriority w:val="99"/>
    <w:semiHidden/>
    <w:unhideWhenUsed/>
    <w:rsid w:val="00475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8A1"/>
  </w:style>
  <w:style w:type="character" w:customStyle="1" w:styleId="Ttulo1Car">
    <w:name w:val="Título 1 Car"/>
    <w:basedOn w:val="Fuentedeprrafopredeter"/>
    <w:link w:val="Ttulo1"/>
    <w:uiPriority w:val="9"/>
    <w:rsid w:val="00761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5C738E"/>
  </w:style>
  <w:style w:type="table" w:styleId="Tablaconcuadrcula8">
    <w:name w:val="Table Grid 8"/>
    <w:basedOn w:val="Tablanormal"/>
    <w:rsid w:val="005C738E"/>
    <w:pPr>
      <w:widowControl/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E84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Far04</b:Tag>
    <b:SourceType>Book</b:SourceType>
    <b:Guid>{8C23FB60-E3C2-4331-A62E-93FCC53ACE6F}</b:Guid>
    <b:LCID>0</b:LCID>
    <b:Author>
      <b:Author>
        <b:NameList>
          <b:Person>
            <b:Last>Fareso</b:Last>
            <b:First>S.A.</b:First>
          </b:Person>
        </b:NameList>
      </b:Author>
      <b:Editor>
        <b:NameList>
          <b:Person>
            <b:Last>Ambiental</b:Last>
            <b:First>Dirección</b:First>
            <b:Middle>General de Calidad y Evaluación</b:Middle>
          </b:Person>
        </b:NameList>
      </b:Editor>
    </b:Author>
    <b:Title>Guía de mejores técnicas disponibles en España del sector de refino de petróleo (Guía Ambiental)</b:Title>
    <b:Year>2004</b:Year>
    <b:City>Sevilla</b:City>
    <b:Publisher>Ministerio de Medio Ambiente. </b:Publisher>
    <b:CountryRegion>España</b:CountryRegion>
    <b:Pages>258-259</b:Pages>
    <b:RefOrder>1</b:RefOrder>
  </b:Source>
  <b:Source>
    <b:Tag>For13</b:Tag>
    <b:SourceType>Report</b:SourceType>
    <b:Guid>{C02E474E-4C1A-4107-ADB7-7BD8EF3D627D}</b:Guid>
    <b:LCID>0</b:LCID>
    <b:Author>
      <b:Author>
        <b:NameList>
          <b:Person>
            <b:Last>Forero</b:Last>
            <b:First>G.J.</b:First>
          </b:Person>
        </b:NameList>
      </b:Author>
    </b:Author>
    <b:Title>Aplicación de procesos de oxidación avanzada como tratamiento de fenol en aguas residuales industriales de refinería (primero)</b:Title>
    <b:Year>2013</b:Year>
    <b:City>La Habana</b:City>
    <b:Institution>Consejo de Estado, Cuba.</b:Institution>
    <b:Pages>10-22</b:Pages>
    <b:RefOrder>2</b:RefOrder>
  </b:Source>
  <b:Source>
    <b:Tag>Mar13</b:Tag>
    <b:SourceType>Report</b:SourceType>
    <b:Guid>{1C10718E-A90A-4001-B01A-496F156D9987}</b:Guid>
    <b:LCID>0</b:LCID>
    <b:Author>
      <b:Author>
        <b:NameList>
          <b:Person>
            <b:Last>Martínez</b:Last>
            <b:First>E.,</b:First>
            <b:Middle>López G.</b:Middle>
          </b:Person>
        </b:NameList>
      </b:Author>
    </b:Author>
    <b:Title>Proceso Fenton intensificado para la destrucción de contaminantes orgánicos., 18° Congreso Argentino de Saneamiento y Medio Ambiente.</b:Title>
    <b:Year>2013</b:Year>
    <b:City>Buenos Aires, Argentina</b:City>
    <b:RefOrder>3</b:RefOrder>
  </b:Source>
  <b:Source>
    <b:Tag>CIT09</b:Tag>
    <b:SourceType>Report</b:SourceType>
    <b:Guid>{47431190-28BC-4E83-8D7A-8B7A2A24DEF0}</b:Guid>
    <b:LCID>0</b:LCID>
    <b:Author>
      <b:Author>
        <b:NameList>
          <b:Person>
            <b:Last>CITMA</b:Last>
          </b:Person>
        </b:NameList>
      </b:Author>
    </b:Author>
    <b:Title>Reglamento del proceso de evaluación de impacto ambienta</b:Title>
    <b:Year>Res 132/2009</b:Year>
    <b:Publisher>Ministerio de Ciencia, Tecnología y Medio Ambiente</b:Publisher>
    <b:City>La Habana, Cuba.</b:City>
    <b:RefOrder>4</b:RefOrder>
  </b:Source>
  <b:Source>
    <b:Tag>CIT091</b:Tag>
    <b:SourceType>Report</b:SourceType>
    <b:Guid>{EF581880-EC78-4864-9E2A-178B1E63CF41}</b:Guid>
    <b:LCID>0</b:LCID>
    <b:Author>
      <b:Author>
        <b:NameList>
          <b:Person>
            <b:Last>CITMA</b:Last>
          </b:Person>
        </b:NameList>
      </b:Author>
    </b:Author>
    <b:Title>Reglamento para el manejo integral de desechos peligrosos</b:Title>
    <b:Year>Res 136/2009</b:Year>
    <b:Publisher>Ministerio de Ciencia, Tecnología y Medio Ambiente</b:Publisher>
    <b:City>La Habana, Cuba</b:City>
    <b:RefOrder>5</b:RefOrder>
  </b:Source>
  <b:Source>
    <b:Tag>Dec13</b:Tag>
    <b:SourceType>JournalArticle</b:SourceType>
    <b:Guid>{AFB251BC-4A59-41FD-A3FA-ABCB7ADB1024}</b:Guid>
    <b:LCID>0</b:LCID>
    <b:Author>
      <b:Author>
        <b:NameList>
          <b:Person>
            <b:Last>Ley</b:Last>
            <b:First>Decreto</b:First>
          </b:Person>
        </b:NameList>
      </b:Author>
    </b:Author>
    <b:Title>Gaceta Oficial, de la seguridad química.</b:Title>
    <b:Year>No. 309/2013</b:Year>
    <b:Volume>Edición ordinaria.</b:Volume>
    <b:RefOrder>6</b:RefOrder>
  </b:Source>
  <b:Source>
    <b:Tag>Dun01</b:Tag>
    <b:SourceType>JournalArticle</b:SourceType>
    <b:Guid>{1FF47438-363C-488A-A1B8-6C7F8259B6D2}</b:Guid>
    <b:LCID>0</b:LCID>
    <b:Author>
      <b:Author>
        <b:NameList>
          <b:Person>
            <b:Last>Dunn</b:Last>
            <b:First>R.,</b:First>
            <b:Middle>and Wensel, H., ,</b:Middle>
          </b:Person>
        </b:NameList>
      </b:Author>
    </b:Author>
    <b:Title>Process Integration Design methods for water conservation and wastewater reduction in industry</b:Title>
    <b:JournalName>Clean Productions Processes</b:JournalName>
    <b:Year>2001</b:Year>
    <b:Pages>307-318</b:Pages>
    <b:Volume> 3</b:Volume>
    <b:RefOrder>7</b:RefOrder>
  </b:Source>
  <b:Source>
    <b:Tag>Dho00</b:Tag>
    <b:SourceType>DocumentFromInternetSite</b:SourceType>
    <b:Guid>{03C1A0CE-BC38-459D-B617-D0990A38D0DF}</b:Guid>
    <b:LCID>0</b:LCID>
    <b:Author>
      <b:Author>
        <b:NameList>
          <b:Person>
            <b:Last>Dhole</b:Last>
            <b:First>V.R</b:First>
          </b:Person>
        </b:NameList>
      </b:Author>
    </b:Author>
    <b:Title>La tecnología Water Pinch</b:Title>
    <b:Year>2000</b:Year>
    <b:URL>http://webworld.unesco.org/water/wwap/wwdr/wwdr3/index_es.shtml</b:URL>
    <b:Publisher>Linnhoff de March Ltd. GB 95005229</b:Publisher>
    <b:City>Reino Unido</b:City>
    <b:YearAccessed>2015</b:YearAccessed>
    <b:RefOrder>8</b:RefOrder>
  </b:Source>
  <b:Source>
    <b:Tag>Sav00</b:Tag>
    <b:SourceType>Report</b:SourceType>
    <b:Guid>{753CA672-427C-4FB9-9EEA-BDA3498CEF81}</b:Guid>
    <b:LCID>0</b:LCID>
    <b:Author>
      <b:Author>
        <b:NameList>
          <b:Person>
            <b:Last>Savelski</b:Last>
            <b:First>M.</b:First>
          </b:Person>
        </b:NameList>
      </b:Author>
    </b:Author>
    <b:Title>On the optimality conditions of water utilization systems in process plants with single contaminants</b:Title>
    <b:Year> 2000</b:Year>
    <b:Publisher>Chemical Engineering Science</b:Publisher>
    <b:Pages>5035–5048</b:Pages>
    <b:RefOrder>9</b:RefOrder>
  </b:Source>
  <b:Source>
    <b:Tag>Alv07</b:Tag>
    <b:SourceType>Report</b:SourceType>
    <b:Guid>{1ED36239-5819-477B-84EA-96C346A38E7B}</b:Guid>
    <b:LCID>0</b:LCID>
    <b:Author>
      <b:Author>
        <b:NameList>
          <b:Person>
            <b:Last>Alva-Argáez</b:Last>
            <b:First>A</b:First>
          </b:Person>
        </b:NameList>
      </b:Author>
    </b:Author>
    <b:Title>The design of waterusing systems in petroleum refining using a waterpinch decomposition</b:Title>
    <b:Year>2007</b:Year>
    <b:Publisher>Chemical Engineering Journal</b:Publisher>
    <b:Pages>33–46.</b:Pages>
    <b:StandardNumber>No. 1</b:StandardNumber>
    <b:RefOrder>10</b:RefOrder>
  </b:Source>
  <b:Source>
    <b:Tag>BRE13</b:Tag>
    <b:SourceType>Report</b:SourceType>
    <b:Guid>{E2836C7F-AC2C-4F72-8394-474422D2CC01}</b:Guid>
    <b:LCID>0</b:LCID>
    <b:Author>
      <b:Author>
        <b:NameList>
          <b:Person>
            <b:Last>BREF.</b:Last>
          </b:Person>
        </b:NameList>
      </b:Author>
    </b:Author>
    <b:Title>Best available techniques Reference document (Documento de Referencia sobre Mejores Técnicas Disponibles)., Executive Summary - Refineries.</b:Title>
    <b:Year>2013</b:Year>
    <b:Publisher>IPPC. European Integrated Pollution Prevention and Control Bureau</b:Publisher>
    <b:Pages> 2-3</b:Pages>
    <b:RefOrder>11</b:RefOrder>
  </b:Source>
  <b:Source>
    <b:Tag>Wan94</b:Tag>
    <b:SourceType>Book</b:SourceType>
    <b:Guid>{87E5481E-F506-41F4-A0C0-53F67C948F26}</b:Guid>
    <b:LCID>0</b:LCID>
    <b:Author>
      <b:Author>
        <b:NameList>
          <b:Person>
            <b:Last>Wang</b:Last>
            <b:First>YP.</b:First>
            <b:Middle>and Smith, R.</b:Middle>
          </b:Person>
        </b:NameList>
      </b:Author>
    </b:Author>
    <b:Title>Wastewater minimization   </b:Title>
    <b:Year>1994</b:Year>
    <b:Publisher>Chem. Eng. Science</b:Publisher>
    <b:Volume> 49</b:Volume>
    <b:NumberVolumes>No. 7</b:NumberVolumes>
    <b:Pages>981-1006.</b:Pages>
    <b:RefOrder>12</b:RefOrder>
  </b:Source>
  <b:Source>
    <b:Tag>Bye10</b:Tag>
    <b:SourceType>Book</b:SourceType>
    <b:Guid>{A186DA31-36F7-4DC1-9040-B6E157B10433}</b:Guid>
    <b:LCID>0</b:LCID>
    <b:Author>
      <b:Author>
        <b:NameList>
          <b:Person>
            <b:Last>Byers</b:Last>
            <b:First>W.,</b:First>
            <b:Middle>Glen, L., Calvin, N.</b:Middle>
          </b:Person>
        </b:NameList>
      </b:Author>
      <b:Editor>
        <b:NameList>
          <b:Person>
            <b:Last>Engineering</b:Last>
            <b:First>Jacobs</b:First>
          </b:Person>
        </b:NameList>
      </b:Editor>
    </b:Author>
    <b:Title>The Waste Minimization Opportunity Assessment Manual.    </b:Title>
    <b:Year>2010</b:Year>
    <b:City> California</b:City>
    <b:Publisher>Environmental Protection Agency (EPA). Technology &amp; Engineering</b:Publisher>
    <b:StateProvince> Pasadena</b:StateProvince>
    <b:CountryRegion>U.S</b:CountryRegion>
    <b:Volume> 625/7</b:Volume>
    <b:Pages>12- 24</b:Pages>
    <b:RefOrder>13</b:RefOrder>
  </b:Source>
  <b:Source>
    <b:Tag>Une98</b:Tag>
    <b:SourceType>JournalArticle</b:SourceType>
    <b:Guid>{AC3E5E37-66D4-4100-A75A-94C263CB9EAD}</b:Guid>
    <b:LCID>0</b:LCID>
    <b:Author>
      <b:Author>
        <b:NameList>
          <b:Person>
            <b:Last>Uneptie.org</b:Last>
          </b:Person>
        </b:NameList>
      </b:Author>
      <b:Editor>
        <b:NameList>
          <b:Person>
            <b:Last>Press</b:Last>
            <b:First>Island</b:First>
          </b:Person>
        </b:NameList>
      </b:Editor>
    </b:Author>
    <b:Title>Coastal Waters of the World</b:Title>
    <b:Year>1998</b:Year>
    <b:City>Washington, D.C</b:City>
    <b:Publisher>http://www.uneptie.org/outreach/wssd/docs/TM/tm_notes_and_resources.pdf</b:Publisher>
    <b:JournalName>Trends, Threats and Strategies.</b:JournalName>
    <b:RefOrder>14</b:RefOrder>
  </b:Source>
  <b:Source>
    <b:Tag>Mar08</b:Tag>
    <b:SourceType>Report</b:SourceType>
    <b:Guid>{97B854B8-C346-4503-8826-5FE88F3B4F78}</b:Guid>
    <b:LCID>0</b:LCID>
    <b:Author>
      <b:Author>
        <b:NameList>
          <b:Person>
            <b:Last>Martín-Juvier</b:Last>
          </b:Person>
        </b:NameList>
      </b:Author>
    </b:Author>
    <b:Title>Reducción del consumo de agua limpia en la empresa de producción de productos sanitarios PROSA. S.A, mediante la aplicación del método de integración de procesos Water Pinch.</b:Title>
    <b:Year>2008</b:Year>
    <b:ThesisType>Tesis presentada en opción al título académico de Ingeniero Quimico</b:ThesisType>
    <b:City>Matanzas</b:City>
    <b:RefOrder>15</b:RefOrder>
  </b:Source>
  <b:Source>
    <b:Tag>Tec14</b:Tag>
    <b:SourceType>Report</b:SourceType>
    <b:Guid>{6BCDED4F-1744-402A-A46C-3D2A0DC4B02F}</b:Guid>
    <b:LCID>0</b:LCID>
    <b:Author>
      <b:Author>
        <b:NameList>
          <b:Person>
            <b:Last>S.p.A</b:Last>
            <b:First>Technip</b:First>
          </b:Person>
        </b:NameList>
      </b:Author>
    </b:Author>
    <b:Title>Engineering &amp; Contacting Solutions. Italian Sulphur Technology Provider. Heat &amp; Materials Balance for the Sour Water Stripper Unit, The Cienfuegos´s oil refinery Expansion Project</b:Title>
    <b:Year>2014</b:Year>
    <b:RefOrder>16</b:RefOrder>
  </b:Source>
</b:Sources>
</file>

<file path=customXml/itemProps1.xml><?xml version="1.0" encoding="utf-8"?>
<ds:datastoreItem xmlns:ds="http://schemas.openxmlformats.org/officeDocument/2006/customXml" ds:itemID="{CEE998DB-4CCE-4DB6-962E-C087FDD2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3151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ldebora</cp:lastModifiedBy>
  <cp:revision>8</cp:revision>
  <dcterms:created xsi:type="dcterms:W3CDTF">2019-03-11T20:03:00Z</dcterms:created>
  <dcterms:modified xsi:type="dcterms:W3CDTF">2019-03-19T02:28:00Z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