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61" w:rsidRPr="00A22673" w:rsidRDefault="00211B6A" w:rsidP="00A22673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22673">
        <w:rPr>
          <w:rFonts w:ascii="Times New Roman" w:hAnsi="Times New Roman" w:cs="Times New Roman"/>
          <w:b/>
          <w:sz w:val="24"/>
          <w:szCs w:val="24"/>
          <w:lang w:val="es-ES_tradnl"/>
        </w:rPr>
        <w:t>Nombre:</w:t>
      </w:r>
      <w:r w:rsidRPr="00A22673">
        <w:rPr>
          <w:rFonts w:ascii="Times New Roman" w:hAnsi="Times New Roman" w:cs="Times New Roman"/>
          <w:sz w:val="24"/>
          <w:szCs w:val="24"/>
          <w:lang w:val="es-ES_tradnl"/>
        </w:rPr>
        <w:t xml:space="preserve"> Yanier Adrian Rivero Malvárez.</w:t>
      </w:r>
    </w:p>
    <w:p w:rsidR="00211B6A" w:rsidRPr="00A22673" w:rsidRDefault="00211B6A" w:rsidP="00A22673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22673">
        <w:rPr>
          <w:rFonts w:ascii="Times New Roman" w:hAnsi="Times New Roman" w:cs="Times New Roman"/>
          <w:b/>
          <w:sz w:val="24"/>
          <w:szCs w:val="24"/>
          <w:lang w:val="es-ES_tradnl"/>
        </w:rPr>
        <w:t>Título académico:</w:t>
      </w:r>
      <w:r w:rsidRPr="00A22673">
        <w:rPr>
          <w:rFonts w:ascii="Times New Roman" w:hAnsi="Times New Roman" w:cs="Times New Roman"/>
          <w:sz w:val="24"/>
          <w:szCs w:val="24"/>
          <w:lang w:val="es-ES_tradnl"/>
        </w:rPr>
        <w:t xml:space="preserve"> Lic. Química.</w:t>
      </w:r>
    </w:p>
    <w:p w:rsidR="00211B6A" w:rsidRPr="00A22673" w:rsidRDefault="00211B6A" w:rsidP="00A22673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22673">
        <w:rPr>
          <w:rFonts w:ascii="Times New Roman" w:hAnsi="Times New Roman" w:cs="Times New Roman"/>
          <w:b/>
          <w:sz w:val="24"/>
          <w:szCs w:val="24"/>
          <w:lang w:val="es-ES_tradnl"/>
        </w:rPr>
        <w:t>Nombre de su institución:</w:t>
      </w:r>
      <w:r w:rsidRPr="00A22673">
        <w:rPr>
          <w:rFonts w:ascii="Times New Roman" w:hAnsi="Times New Roman" w:cs="Times New Roman"/>
          <w:sz w:val="24"/>
          <w:szCs w:val="24"/>
          <w:lang w:val="es-ES_tradnl"/>
        </w:rPr>
        <w:t xml:space="preserve"> Empresa de Laboratorios AICA. Grupo de Colirios y Carpules en la Unidad de Desarrollo, Investigaciones e Innovaciones.</w:t>
      </w:r>
    </w:p>
    <w:p w:rsidR="00211B6A" w:rsidRPr="00A22673" w:rsidRDefault="00211B6A" w:rsidP="00A22673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22673">
        <w:rPr>
          <w:rFonts w:ascii="Times New Roman" w:hAnsi="Times New Roman" w:cs="Times New Roman"/>
          <w:b/>
          <w:sz w:val="24"/>
          <w:szCs w:val="24"/>
          <w:lang w:val="es-ES_tradnl"/>
        </w:rPr>
        <w:t>País:</w:t>
      </w:r>
      <w:r w:rsidRPr="00A22673">
        <w:rPr>
          <w:rFonts w:ascii="Times New Roman" w:hAnsi="Times New Roman" w:cs="Times New Roman"/>
          <w:sz w:val="24"/>
          <w:szCs w:val="24"/>
          <w:lang w:val="es-ES_tradnl"/>
        </w:rPr>
        <w:t xml:space="preserve"> Cuba.</w:t>
      </w:r>
    </w:p>
    <w:p w:rsidR="00211B6A" w:rsidRPr="00A22673" w:rsidRDefault="00211B6A" w:rsidP="00A22673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22673">
        <w:rPr>
          <w:rFonts w:ascii="Times New Roman" w:hAnsi="Times New Roman" w:cs="Times New Roman"/>
          <w:b/>
          <w:sz w:val="24"/>
          <w:szCs w:val="24"/>
          <w:lang w:val="es-ES_tradnl"/>
        </w:rPr>
        <w:t>Teléfono personal:</w:t>
      </w:r>
      <w:r w:rsidRPr="00A22673">
        <w:rPr>
          <w:rFonts w:ascii="Times New Roman" w:hAnsi="Times New Roman" w:cs="Times New Roman"/>
          <w:sz w:val="24"/>
          <w:szCs w:val="24"/>
          <w:lang w:val="es-ES_tradnl"/>
        </w:rPr>
        <w:t xml:space="preserve"> 54262473.</w:t>
      </w:r>
    </w:p>
    <w:p w:rsidR="00211B6A" w:rsidRPr="00A22673" w:rsidRDefault="00211B6A" w:rsidP="00A22673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22673">
        <w:rPr>
          <w:rFonts w:ascii="Times New Roman" w:hAnsi="Times New Roman" w:cs="Times New Roman"/>
          <w:b/>
          <w:sz w:val="24"/>
          <w:szCs w:val="24"/>
          <w:lang w:val="es-ES_tradnl"/>
        </w:rPr>
        <w:t>Teléfono</w:t>
      </w:r>
      <w:r w:rsidRPr="00A22673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del centro de trabajo:</w:t>
      </w:r>
      <w:r w:rsidRPr="00A22673">
        <w:rPr>
          <w:rFonts w:ascii="Times New Roman" w:hAnsi="Times New Roman" w:cs="Times New Roman"/>
          <w:sz w:val="24"/>
          <w:szCs w:val="24"/>
          <w:lang w:val="es-ES_tradnl"/>
        </w:rPr>
        <w:t xml:space="preserve"> 72022581-83, ext 925.</w:t>
      </w:r>
    </w:p>
    <w:p w:rsidR="00211B6A" w:rsidRPr="00A22673" w:rsidRDefault="00211B6A" w:rsidP="00A22673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22673">
        <w:rPr>
          <w:rFonts w:ascii="Times New Roman" w:hAnsi="Times New Roman" w:cs="Times New Roman"/>
          <w:b/>
          <w:sz w:val="24"/>
          <w:szCs w:val="24"/>
          <w:lang w:val="es-ES_tradnl"/>
        </w:rPr>
        <w:t>Correo electrónico:</w:t>
      </w:r>
      <w:r w:rsidRPr="00A2267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hyperlink r:id="rId5" w:history="1">
        <w:r w:rsidR="00305D81" w:rsidRPr="00A22673">
          <w:rPr>
            <w:rStyle w:val="Hipervnculo"/>
            <w:rFonts w:ascii="Times New Roman" w:hAnsi="Times New Roman" w:cs="Times New Roman"/>
            <w:sz w:val="24"/>
            <w:szCs w:val="24"/>
            <w:lang w:val="es-ES_tradnl"/>
          </w:rPr>
          <w:t>yanierr@aica.cu</w:t>
        </w:r>
      </w:hyperlink>
    </w:p>
    <w:p w:rsidR="00305D81" w:rsidRPr="00A22673" w:rsidRDefault="00305D81" w:rsidP="00A22673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22673">
        <w:rPr>
          <w:rFonts w:ascii="Times New Roman" w:hAnsi="Times New Roman" w:cs="Times New Roman"/>
          <w:sz w:val="24"/>
          <w:szCs w:val="24"/>
          <w:lang w:val="es-ES_tradnl"/>
        </w:rPr>
        <w:t xml:space="preserve">Presentaré en la Comisión II: VII Conferencia "Ciencias Químicas" </w:t>
      </w:r>
      <w:r w:rsidRPr="00A22673">
        <w:rPr>
          <w:rFonts w:ascii="Times New Roman" w:hAnsi="Times New Roman" w:cs="Times New Roman"/>
          <w:sz w:val="24"/>
          <w:szCs w:val="24"/>
          <w:lang w:val="es-ES_tradnl"/>
        </w:rPr>
        <w:t>o en la</w:t>
      </w:r>
      <w:r w:rsidRPr="00A2267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A22673">
        <w:rPr>
          <w:rFonts w:ascii="Times New Roman" w:hAnsi="Times New Roman" w:cs="Times New Roman"/>
          <w:sz w:val="24"/>
          <w:szCs w:val="24"/>
          <w:lang w:val="es-ES_tradnl"/>
        </w:rPr>
        <w:t>Comisión III: IV Simposio Internacional “Seguridad Tecnológica y Ambiental”</w:t>
      </w:r>
      <w:r w:rsidRPr="00A22673">
        <w:rPr>
          <w:rFonts w:ascii="Times New Roman" w:hAnsi="Times New Roman" w:cs="Times New Roman"/>
          <w:sz w:val="24"/>
          <w:szCs w:val="24"/>
          <w:lang w:val="es-ES_tradnl"/>
        </w:rPr>
        <w:t>. En este aspecto agradecería que me ubiquen en la que por los temas a tratar sea más afín con mi trabajo; no estoy muy claro al elegir dado que no conozco del todo, que trabajos se abordan en cada una.</w:t>
      </w:r>
    </w:p>
    <w:p w:rsidR="00305D81" w:rsidRPr="00A22673" w:rsidRDefault="00305D81" w:rsidP="00A22673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22673">
        <w:rPr>
          <w:rFonts w:ascii="Times New Roman" w:hAnsi="Times New Roman" w:cs="Times New Roman"/>
          <w:b/>
          <w:sz w:val="24"/>
          <w:szCs w:val="24"/>
          <w:lang w:val="es-ES_tradnl"/>
        </w:rPr>
        <w:t>Forma de presentación:</w:t>
      </w:r>
      <w:r w:rsidRPr="00A22673">
        <w:rPr>
          <w:rFonts w:ascii="Times New Roman" w:hAnsi="Times New Roman" w:cs="Times New Roman"/>
          <w:sz w:val="24"/>
          <w:szCs w:val="24"/>
          <w:lang w:val="es-ES_tradnl"/>
        </w:rPr>
        <w:t xml:space="preserve"> Póster o cartel.</w:t>
      </w:r>
    </w:p>
    <w:p w:rsidR="00305D81" w:rsidRPr="00A22673" w:rsidRDefault="00A22673" w:rsidP="00A226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Tí</w:t>
      </w:r>
      <w:r w:rsidRPr="00A22673">
        <w:rPr>
          <w:rFonts w:ascii="Times New Roman" w:hAnsi="Times New Roman" w:cs="Times New Roman"/>
          <w:b/>
          <w:sz w:val="24"/>
          <w:szCs w:val="24"/>
        </w:rPr>
        <w:t>tulo</w:t>
      </w:r>
      <w:r w:rsidR="00305D81" w:rsidRPr="00A22673">
        <w:rPr>
          <w:rFonts w:ascii="Times New Roman" w:hAnsi="Times New Roman" w:cs="Times New Roman"/>
          <w:b/>
          <w:sz w:val="24"/>
          <w:szCs w:val="24"/>
        </w:rPr>
        <w:t xml:space="preserve"> de su trabajo:</w:t>
      </w:r>
      <w:r w:rsidR="00305D81" w:rsidRPr="00A22673">
        <w:rPr>
          <w:rFonts w:ascii="Times New Roman" w:hAnsi="Times New Roman" w:cs="Times New Roman"/>
          <w:sz w:val="24"/>
          <w:szCs w:val="24"/>
        </w:rPr>
        <w:t xml:space="preserve"> </w:t>
      </w:r>
      <w:r w:rsidR="00305D81" w:rsidRPr="00A22673">
        <w:rPr>
          <w:rFonts w:ascii="Times New Roman" w:hAnsi="Times New Roman" w:cs="Times New Roman"/>
          <w:sz w:val="24"/>
          <w:szCs w:val="24"/>
        </w:rPr>
        <w:t>Comportamiento espectrofotométrico UV-Vis del sistema de extracción de uranio a punto de nube, para su determinación por espectrometría alfa.</w:t>
      </w:r>
    </w:p>
    <w:p w:rsidR="00A22673" w:rsidRPr="00A22673" w:rsidRDefault="00305D81" w:rsidP="00A22673">
      <w:pPr>
        <w:jc w:val="both"/>
        <w:rPr>
          <w:rFonts w:ascii="Times New Roman" w:hAnsi="Times New Roman" w:cs="Times New Roman"/>
          <w:sz w:val="24"/>
          <w:szCs w:val="24"/>
        </w:rPr>
      </w:pPr>
      <w:r w:rsidRPr="00A22673">
        <w:rPr>
          <w:rFonts w:ascii="Times New Roman" w:hAnsi="Times New Roman" w:cs="Times New Roman"/>
          <w:b/>
          <w:sz w:val="24"/>
          <w:szCs w:val="24"/>
        </w:rPr>
        <w:t>Autor principal:</w:t>
      </w:r>
      <w:r w:rsidRPr="00A22673">
        <w:rPr>
          <w:rFonts w:ascii="Times New Roman" w:hAnsi="Times New Roman" w:cs="Times New Roman"/>
          <w:sz w:val="24"/>
          <w:szCs w:val="24"/>
        </w:rPr>
        <w:t xml:space="preserve"> </w:t>
      </w:r>
      <w:r w:rsidRPr="00A22673">
        <w:rPr>
          <w:rFonts w:ascii="Times New Roman" w:hAnsi="Times New Roman" w:cs="Times New Roman"/>
          <w:sz w:val="24"/>
          <w:szCs w:val="24"/>
        </w:rPr>
        <w:t>Yanier Adrián Rivero Malvárez</w:t>
      </w:r>
      <w:r w:rsidR="00A22673" w:rsidRPr="00A22673">
        <w:rPr>
          <w:rFonts w:ascii="Times New Roman" w:hAnsi="Times New Roman" w:cs="Times New Roman"/>
          <w:sz w:val="24"/>
          <w:szCs w:val="24"/>
        </w:rPr>
        <w:t xml:space="preserve">. </w:t>
      </w:r>
      <w:r w:rsidRPr="00A22673">
        <w:rPr>
          <w:rFonts w:ascii="Times New Roman" w:hAnsi="Times New Roman" w:cs="Times New Roman"/>
          <w:sz w:val="24"/>
          <w:szCs w:val="24"/>
        </w:rPr>
        <w:t>Tutores: D</w:t>
      </w:r>
      <w:r w:rsidR="00A22673" w:rsidRPr="00A22673">
        <w:rPr>
          <w:rFonts w:ascii="Times New Roman" w:hAnsi="Times New Roman" w:cs="Times New Roman"/>
          <w:sz w:val="24"/>
          <w:szCs w:val="24"/>
        </w:rPr>
        <w:t xml:space="preserve">ra. Patricia González Hernández, </w:t>
      </w:r>
      <w:r w:rsidRPr="00A22673">
        <w:rPr>
          <w:rFonts w:ascii="Times New Roman" w:hAnsi="Times New Roman" w:cs="Times New Roman"/>
          <w:sz w:val="24"/>
          <w:szCs w:val="24"/>
        </w:rPr>
        <w:t>MsC. Juan Jesús Piña Leyte-Vidal</w:t>
      </w:r>
      <w:r w:rsidRPr="00A22673">
        <w:rPr>
          <w:rFonts w:ascii="Times New Roman" w:hAnsi="Times New Roman" w:cs="Times New Roman"/>
          <w:sz w:val="24"/>
          <w:szCs w:val="24"/>
        </w:rPr>
        <w:t>.</w:t>
      </w:r>
      <w:bookmarkStart w:id="0" w:name="_Toc487543221"/>
    </w:p>
    <w:p w:rsidR="00A22673" w:rsidRPr="00A22673" w:rsidRDefault="00A22673" w:rsidP="00A226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673">
        <w:rPr>
          <w:rFonts w:ascii="Times New Roman" w:hAnsi="Times New Roman" w:cs="Times New Roman"/>
          <w:b/>
          <w:sz w:val="24"/>
          <w:szCs w:val="24"/>
          <w:lang w:eastAsia="ar-SA"/>
        </w:rPr>
        <w:t>Resumen</w:t>
      </w:r>
      <w:bookmarkEnd w:id="0"/>
      <w:r w:rsidRPr="00A22673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A22673" w:rsidRPr="00A22673" w:rsidRDefault="00A22673" w:rsidP="00A226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2267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El Uranio </w:t>
      </w:r>
      <w:r w:rsidR="002031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se</w:t>
      </w:r>
      <w:r w:rsidRPr="00A2267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enc</w:t>
      </w:r>
      <w:r w:rsidR="002031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ue</w:t>
      </w:r>
      <w:r w:rsidRPr="00A2267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ntra en la naturaleza como una mezcla de tres isótopos: </w:t>
      </w:r>
      <w:r w:rsidRPr="00A22673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234</w:t>
      </w:r>
      <w:r w:rsidRPr="00A2267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U, </w:t>
      </w:r>
      <w:r w:rsidRPr="00A22673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235</w:t>
      </w:r>
      <w:r w:rsidRPr="00A2267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U y </w:t>
      </w:r>
      <w:r w:rsidRPr="00A22673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238</w:t>
      </w:r>
      <w:r w:rsidR="002031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U; no</w:t>
      </w:r>
      <w:r w:rsidRPr="00A22673">
        <w:rPr>
          <w:rFonts w:ascii="Times New Roman" w:hAnsi="Times New Roman" w:cs="Times New Roman"/>
          <w:sz w:val="24"/>
          <w:szCs w:val="24"/>
          <w:lang w:eastAsia="ar-SA"/>
        </w:rPr>
        <w:t xml:space="preserve"> presenta una función m</w:t>
      </w:r>
      <w:r w:rsidR="002031D2">
        <w:rPr>
          <w:rFonts w:ascii="Times New Roman" w:hAnsi="Times New Roman" w:cs="Times New Roman"/>
          <w:sz w:val="24"/>
          <w:szCs w:val="24"/>
          <w:lang w:eastAsia="ar-SA"/>
        </w:rPr>
        <w:t>etabólica conocida en animales y</w:t>
      </w:r>
      <w:r w:rsidRPr="00A22673">
        <w:rPr>
          <w:rFonts w:ascii="Times New Roman" w:hAnsi="Times New Roman" w:cs="Times New Roman"/>
          <w:sz w:val="24"/>
          <w:szCs w:val="24"/>
          <w:lang w:eastAsia="ar-SA"/>
        </w:rPr>
        <w:t xml:space="preserve"> es considerado un metal no esencial. </w:t>
      </w:r>
      <w:r w:rsidR="002031D2">
        <w:rPr>
          <w:rFonts w:ascii="Times New Roman" w:hAnsi="Times New Roman" w:cs="Times New Roman"/>
          <w:sz w:val="24"/>
          <w:szCs w:val="24"/>
          <w:lang w:eastAsia="ar-SA"/>
        </w:rPr>
        <w:t>Al ser</w:t>
      </w:r>
      <w:r w:rsidRPr="00A22673">
        <w:rPr>
          <w:rFonts w:ascii="Times New Roman" w:hAnsi="Times New Roman" w:cs="Times New Roman"/>
          <w:sz w:val="24"/>
          <w:szCs w:val="24"/>
          <w:lang w:eastAsia="ar-SA"/>
        </w:rPr>
        <w:t xml:space="preserve"> inge</w:t>
      </w:r>
      <w:r w:rsidR="002031D2">
        <w:rPr>
          <w:rFonts w:ascii="Times New Roman" w:hAnsi="Times New Roman" w:cs="Times New Roman"/>
          <w:sz w:val="24"/>
          <w:szCs w:val="24"/>
          <w:lang w:eastAsia="ar-SA"/>
        </w:rPr>
        <w:t>rido,</w:t>
      </w:r>
      <w:r w:rsidRPr="00A22673">
        <w:rPr>
          <w:rFonts w:ascii="Times New Roman" w:hAnsi="Times New Roman" w:cs="Times New Roman"/>
          <w:sz w:val="24"/>
          <w:szCs w:val="24"/>
          <w:lang w:eastAsia="ar-SA"/>
        </w:rPr>
        <w:t xml:space="preserve"> pasa rápidamente al sistema circulatorio</w:t>
      </w:r>
      <w:r w:rsidR="002031D2">
        <w:rPr>
          <w:rFonts w:ascii="Times New Roman" w:hAnsi="Times New Roman" w:cs="Times New Roman"/>
          <w:sz w:val="24"/>
          <w:szCs w:val="24"/>
          <w:lang w:eastAsia="ar-SA"/>
        </w:rPr>
        <w:t xml:space="preserve">, pudiendo </w:t>
      </w:r>
      <w:r w:rsidRPr="00A22673">
        <w:rPr>
          <w:rFonts w:ascii="Times New Roman" w:hAnsi="Times New Roman" w:cs="Times New Roman"/>
          <w:sz w:val="24"/>
          <w:szCs w:val="24"/>
          <w:lang w:eastAsia="ar-SA"/>
        </w:rPr>
        <w:t>combinar</w:t>
      </w:r>
      <w:r w:rsidR="002031D2">
        <w:rPr>
          <w:rFonts w:ascii="Times New Roman" w:hAnsi="Times New Roman" w:cs="Times New Roman"/>
          <w:sz w:val="24"/>
          <w:szCs w:val="24"/>
          <w:lang w:eastAsia="ar-SA"/>
        </w:rPr>
        <w:t>s</w:t>
      </w:r>
      <w:r w:rsidR="002031D2" w:rsidRPr="00A22673">
        <w:rPr>
          <w:rFonts w:ascii="Times New Roman" w:hAnsi="Times New Roman" w:cs="Times New Roman"/>
          <w:sz w:val="24"/>
          <w:szCs w:val="24"/>
          <w:lang w:eastAsia="ar-SA"/>
        </w:rPr>
        <w:t>e</w:t>
      </w:r>
      <w:r w:rsidR="002031D2" w:rsidRPr="00A2267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22673">
        <w:rPr>
          <w:rFonts w:ascii="Times New Roman" w:hAnsi="Times New Roman" w:cs="Times New Roman"/>
          <w:sz w:val="24"/>
          <w:szCs w:val="24"/>
          <w:lang w:eastAsia="ar-SA"/>
        </w:rPr>
        <w:t>con proteínas y nucleótidos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A2267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031D2">
        <w:rPr>
          <w:rFonts w:ascii="Times New Roman" w:hAnsi="Times New Roman" w:cs="Times New Roman"/>
          <w:sz w:val="24"/>
          <w:szCs w:val="24"/>
          <w:lang w:eastAsia="ar-SA"/>
        </w:rPr>
        <w:t>formando</w:t>
      </w:r>
      <w:r w:rsidRPr="00A22673">
        <w:rPr>
          <w:rFonts w:ascii="Times New Roman" w:hAnsi="Times New Roman" w:cs="Times New Roman"/>
          <w:sz w:val="24"/>
          <w:szCs w:val="24"/>
          <w:lang w:eastAsia="ar-SA"/>
        </w:rPr>
        <w:t xml:space="preserve"> complejos estables debido a su afinidad </w:t>
      </w:r>
      <w:r w:rsidR="002031D2">
        <w:rPr>
          <w:rFonts w:ascii="Times New Roman" w:hAnsi="Times New Roman" w:cs="Times New Roman"/>
          <w:sz w:val="24"/>
          <w:szCs w:val="24"/>
          <w:lang w:eastAsia="ar-SA"/>
        </w:rPr>
        <w:t>con</w:t>
      </w:r>
      <w:r w:rsidRPr="00A22673">
        <w:rPr>
          <w:rFonts w:ascii="Times New Roman" w:hAnsi="Times New Roman" w:cs="Times New Roman"/>
          <w:sz w:val="24"/>
          <w:szCs w:val="24"/>
          <w:lang w:eastAsia="ar-SA"/>
        </w:rPr>
        <w:t xml:space="preserve"> los grupos fosfatos, hidroxilos y carboxilos.</w:t>
      </w:r>
    </w:p>
    <w:p w:rsidR="00A22673" w:rsidRPr="00A22673" w:rsidRDefault="00A22673" w:rsidP="00A22673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2267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Su determinación se reporta utilizando diversas técnicas, pero generalmente requiere de una preconcentración para alcanzar bajos límites de detección. El objetivo de </w:t>
      </w:r>
      <w:r w:rsidR="00BA52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esta</w:t>
      </w:r>
      <w:r w:rsidRPr="00A2267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investigación fue establecer el comportamiento espectrofotométrico UV-Vis del sistema de extracción a punto de nube, para cuantificar la concentración de Uranio en la fase rica en surfactante y establecer la eficiencia de la extracción del Uranio a punto de nube y de su electrodeposición por el método Hallstadius.</w:t>
      </w:r>
    </w:p>
    <w:p w:rsidR="00A22673" w:rsidRPr="00A22673" w:rsidRDefault="00A22673" w:rsidP="00A22673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2267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Los resultados obtenidos m</w:t>
      </w:r>
      <w:r w:rsidR="00BA52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ue</w:t>
      </w:r>
      <w:r w:rsidRPr="00A2267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stra</w:t>
      </w:r>
      <w:r w:rsidR="00BA52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 que:</w:t>
      </w:r>
      <w:r w:rsidRPr="00A2267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d</w:t>
      </w:r>
      <w:r w:rsidRPr="00A22673">
        <w:rPr>
          <w:rFonts w:ascii="Times New Roman" w:hAnsi="Times New Roman" w:cs="Times New Roman"/>
          <w:bCs/>
          <w:sz w:val="24"/>
          <w:szCs w:val="24"/>
          <w:lang w:eastAsia="ar-SA"/>
        </w:rPr>
        <w:t>e los componentes del sistema de extracción a punto de nube solo el PAN presenta un pico de máxima absorbancia bien definido, cuya intensidad y posición varían en presencia de buffer de pH 10, buffer de fuerza iónica, y surfactante, y no en presencia de Uranio a las concentraciones habituales en las a</w:t>
      </w:r>
      <w:r w:rsidR="00BA5283">
        <w:rPr>
          <w:rFonts w:ascii="Times New Roman" w:hAnsi="Times New Roman" w:cs="Times New Roman"/>
          <w:bCs/>
          <w:sz w:val="24"/>
          <w:szCs w:val="24"/>
          <w:lang w:eastAsia="ar-SA"/>
        </w:rPr>
        <w:t>guas naturales;</w:t>
      </w:r>
      <w:r w:rsidRPr="00A2267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el pico de máxima absorbancia correspondiente al complejo Uranio</w:t>
      </w:r>
      <w:r w:rsidRPr="00A22673">
        <w:rPr>
          <w:rFonts w:ascii="Times New Roman" w:hAnsi="Times New Roman" w:cs="Times New Roman"/>
          <w:bCs/>
          <w:sz w:val="24"/>
          <w:szCs w:val="24"/>
          <w:lang w:eastAsia="ar-SA"/>
        </w:rPr>
        <w:t>-</w:t>
      </w:r>
      <w:r w:rsidRPr="00A22673">
        <w:rPr>
          <w:rFonts w:ascii="Times New Roman" w:hAnsi="Times New Roman" w:cs="Times New Roman"/>
          <w:bCs/>
          <w:sz w:val="24"/>
          <w:szCs w:val="24"/>
          <w:lang w:eastAsia="ar-SA"/>
        </w:rPr>
        <w:t>PAN, no se observa cuando las concentraciones de Uranio son 10 veces las reportadas para las aguas naturales.</w:t>
      </w:r>
    </w:p>
    <w:p w:rsidR="00A22673" w:rsidRPr="00A22673" w:rsidRDefault="00A22673" w:rsidP="00A22673">
      <w:pPr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22673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 xml:space="preserve">El comportamiento espectrofotométrico de la fase rica en surfactante </w:t>
      </w:r>
      <w:r w:rsidR="00DE49BC">
        <w:rPr>
          <w:rFonts w:ascii="Times New Roman" w:hAnsi="Times New Roman" w:cs="Times New Roman"/>
          <w:bCs/>
          <w:sz w:val="24"/>
          <w:szCs w:val="24"/>
          <w:lang w:eastAsia="ar-SA"/>
        </w:rPr>
        <w:t>muestra que:</w:t>
      </w:r>
      <w:r w:rsidRPr="00A2267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la absorbancia del PAN (453 nm)</w:t>
      </w:r>
      <w:r w:rsidR="00DE49B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describe</w:t>
      </w:r>
      <w:r w:rsidRPr="00A2267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un intervalo lineal para concentraciones entre 150 y 350 </w:t>
      </w:r>
      <w:r w:rsidR="00DE49BC">
        <w:rPr>
          <w:rFonts w:ascii="Times New Roman" w:hAnsi="Times New Roman" w:cs="Times New Roman"/>
          <w:bCs/>
          <w:sz w:val="24"/>
          <w:szCs w:val="24"/>
          <w:lang w:eastAsia="ar-SA"/>
        </w:rPr>
        <w:t>µ</w:t>
      </w:r>
      <w:r w:rsidRPr="00A22673">
        <w:rPr>
          <w:rFonts w:ascii="Times New Roman" w:hAnsi="Times New Roman" w:cs="Times New Roman"/>
          <w:bCs/>
          <w:sz w:val="24"/>
          <w:szCs w:val="24"/>
          <w:lang w:eastAsia="ar-SA"/>
        </w:rPr>
        <w:t>gL</w:t>
      </w:r>
      <w:r w:rsidRPr="00A22673">
        <w:rPr>
          <w:rFonts w:ascii="Times New Roman" w:hAnsi="Times New Roman" w:cs="Times New Roman"/>
          <w:bCs/>
          <w:sz w:val="24"/>
          <w:szCs w:val="24"/>
          <w:vertAlign w:val="superscript"/>
          <w:lang w:eastAsia="ar-SA"/>
        </w:rPr>
        <w:t>-1</w:t>
      </w:r>
      <w:r w:rsidR="00DE49BC"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A2267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E49BC">
        <w:rPr>
          <w:rFonts w:ascii="Times New Roman" w:hAnsi="Times New Roman" w:cs="Times New Roman"/>
          <w:bCs/>
          <w:sz w:val="24"/>
          <w:szCs w:val="24"/>
          <w:lang w:eastAsia="ar-SA"/>
        </w:rPr>
        <w:t>l</w:t>
      </w:r>
      <w:r w:rsidRPr="00A22673">
        <w:rPr>
          <w:rFonts w:ascii="Times New Roman" w:hAnsi="Times New Roman" w:cs="Times New Roman"/>
          <w:bCs/>
          <w:sz w:val="24"/>
          <w:szCs w:val="24"/>
          <w:lang w:eastAsia="ar-SA"/>
        </w:rPr>
        <w:t>a eficiencia de la extracción por punto de nube es del orden 100% para el primer y último punto de la curva de calibración</w:t>
      </w:r>
      <w:r w:rsidR="00DE49B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y</w:t>
      </w:r>
      <w:r w:rsidRPr="00A2267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la eficiencia de la electrodeposición del último punto de la curva de calibración alcanzó un 97%. El aumento de los conteos, por la desintegración de </w:t>
      </w:r>
      <w:r w:rsidRPr="00A22673">
        <w:rPr>
          <w:rFonts w:ascii="Times New Roman" w:hAnsi="Times New Roman" w:cs="Times New Roman"/>
          <w:bCs/>
          <w:sz w:val="24"/>
          <w:szCs w:val="24"/>
          <w:vertAlign w:val="superscript"/>
          <w:lang w:eastAsia="ar-SA"/>
        </w:rPr>
        <w:t>238</w:t>
      </w:r>
      <w:r w:rsidRPr="00A22673">
        <w:rPr>
          <w:rFonts w:ascii="Times New Roman" w:hAnsi="Times New Roman" w:cs="Times New Roman"/>
          <w:bCs/>
          <w:sz w:val="24"/>
          <w:szCs w:val="24"/>
          <w:lang w:eastAsia="ar-SA"/>
        </w:rPr>
        <w:t>U, con la concentración de Uranio se ajusta a un modelo lineal, para concentraciones entre 150 y 350 µgL</w:t>
      </w:r>
      <w:r w:rsidRPr="00A22673">
        <w:rPr>
          <w:rFonts w:ascii="Times New Roman" w:hAnsi="Times New Roman" w:cs="Times New Roman"/>
          <w:bCs/>
          <w:sz w:val="24"/>
          <w:szCs w:val="24"/>
          <w:vertAlign w:val="superscript"/>
          <w:lang w:eastAsia="ar-SA"/>
        </w:rPr>
        <w:t>-1</w:t>
      </w:r>
      <w:r w:rsidRPr="00A22673">
        <w:rPr>
          <w:rFonts w:ascii="Times New Roman" w:hAnsi="Times New Roman" w:cs="Times New Roman"/>
          <w:bCs/>
          <w:sz w:val="24"/>
          <w:szCs w:val="24"/>
          <w:lang w:eastAsia="ar-SA"/>
        </w:rPr>
        <w:t>, obteniéndose, una curva de calibración para la determinación de Uranio por espectrometría alfa.</w:t>
      </w:r>
      <w:bookmarkStart w:id="1" w:name="_GoBack"/>
      <w:bookmarkEnd w:id="1"/>
    </w:p>
    <w:p w:rsidR="00305D81" w:rsidRPr="00A22673" w:rsidRDefault="00305D81" w:rsidP="00A226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5D81" w:rsidRPr="00A226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52323"/>
    <w:multiLevelType w:val="hybridMultilevel"/>
    <w:tmpl w:val="041859D0"/>
    <w:lvl w:ilvl="0" w:tplc="D7B0F55E">
      <w:start w:val="1"/>
      <w:numFmt w:val="upperRoman"/>
      <w:pStyle w:val="Captulos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6A"/>
    <w:rsid w:val="002031D2"/>
    <w:rsid w:val="00211B6A"/>
    <w:rsid w:val="00305D81"/>
    <w:rsid w:val="003E0561"/>
    <w:rsid w:val="00A22673"/>
    <w:rsid w:val="00BA5283"/>
    <w:rsid w:val="00DE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BAA615B-7AF5-4C7B-9B98-EF90BD6C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5D81"/>
    <w:rPr>
      <w:color w:val="0563C1" w:themeColor="hyperlink"/>
      <w:u w:val="single"/>
    </w:rPr>
  </w:style>
  <w:style w:type="paragraph" w:customStyle="1" w:styleId="Captulos">
    <w:name w:val="Capítulos"/>
    <w:basedOn w:val="Descripcin"/>
    <w:link w:val="CaptulosCar"/>
    <w:qFormat/>
    <w:rsid w:val="00A22673"/>
    <w:pPr>
      <w:numPr>
        <w:numId w:val="1"/>
      </w:numPr>
      <w:spacing w:before="120" w:line="360" w:lineRule="auto"/>
      <w:ind w:left="170" w:hanging="170"/>
      <w:jc w:val="both"/>
      <w:outlineLvl w:val="0"/>
    </w:pPr>
    <w:rPr>
      <w:rFonts w:ascii="Arial" w:eastAsia="Calibri" w:hAnsi="Arial" w:cs="Arial"/>
      <w:b/>
      <w:i w:val="0"/>
      <w:color w:val="333333"/>
      <w:sz w:val="24"/>
      <w:lang w:val="es-ES_tradnl"/>
    </w:rPr>
  </w:style>
  <w:style w:type="character" w:customStyle="1" w:styleId="CaptulosCar">
    <w:name w:val="Capítulos Car"/>
    <w:basedOn w:val="Fuentedeprrafopredeter"/>
    <w:link w:val="Captulos"/>
    <w:rsid w:val="00A22673"/>
    <w:rPr>
      <w:rFonts w:ascii="Arial" w:eastAsia="Calibri" w:hAnsi="Arial" w:cs="Arial"/>
      <w:b/>
      <w:iCs/>
      <w:color w:val="333333"/>
      <w:sz w:val="24"/>
      <w:szCs w:val="18"/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2267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ierr@aica.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Yanier Adrian Rivero Malvárez</dc:creator>
  <cp:keywords/>
  <dc:description/>
  <cp:lastModifiedBy>Yanier Adrian Rivero Malvárez</cp:lastModifiedBy>
  <cp:revision>3</cp:revision>
  <dcterms:created xsi:type="dcterms:W3CDTF">2019-02-22T15:35:00Z</dcterms:created>
  <dcterms:modified xsi:type="dcterms:W3CDTF">2019-02-22T16:29:00Z</dcterms:modified>
</cp:coreProperties>
</file>