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9A2" w:rsidRDefault="006069A2" w:rsidP="00A01B17">
      <w:pPr>
        <w:widowControl w:val="0"/>
        <w:autoSpaceDE w:val="0"/>
        <w:autoSpaceDN w:val="0"/>
        <w:adjustRightInd w:val="0"/>
        <w:spacing w:after="0" w:line="360" w:lineRule="auto"/>
        <w:ind w:right="102"/>
        <w:jc w:val="center"/>
        <w:rPr>
          <w:rFonts w:ascii="Times New Roman" w:hAnsi="Times New Roman"/>
          <w:b/>
          <w:bCs/>
          <w:sz w:val="28"/>
          <w:szCs w:val="28"/>
        </w:rPr>
      </w:pPr>
      <w:r w:rsidRPr="00B92025">
        <w:rPr>
          <w:rFonts w:ascii="Times New Roman" w:hAnsi="Times New Roman"/>
          <w:b/>
          <w:bCs/>
          <w:sz w:val="28"/>
          <w:szCs w:val="28"/>
        </w:rPr>
        <w:t>XI</w:t>
      </w:r>
      <w:r>
        <w:rPr>
          <w:rFonts w:ascii="Times New Roman" w:hAnsi="Times New Roman"/>
          <w:b/>
          <w:bCs/>
          <w:sz w:val="28"/>
          <w:szCs w:val="28"/>
        </w:rPr>
        <w:t>I</w:t>
      </w:r>
      <w:r w:rsidRPr="00B92025">
        <w:rPr>
          <w:rFonts w:ascii="Times New Roman" w:hAnsi="Times New Roman"/>
          <w:b/>
          <w:bCs/>
          <w:sz w:val="28"/>
          <w:szCs w:val="28"/>
        </w:rPr>
        <w:t xml:space="preserve"> CONFERENCIA INTERNACIONAL DE CIENCIAS EMPRESARIALES</w:t>
      </w:r>
      <w:r>
        <w:rPr>
          <w:rFonts w:ascii="Times New Roman" w:hAnsi="Times New Roman"/>
          <w:b/>
          <w:bCs/>
          <w:sz w:val="28"/>
          <w:szCs w:val="28"/>
        </w:rPr>
        <w:t xml:space="preserve"> (CICE)</w:t>
      </w:r>
    </w:p>
    <w:p w:rsidR="006069A2" w:rsidRDefault="006069A2" w:rsidP="00A01B17">
      <w:pPr>
        <w:widowControl w:val="0"/>
        <w:autoSpaceDE w:val="0"/>
        <w:autoSpaceDN w:val="0"/>
        <w:adjustRightInd w:val="0"/>
        <w:spacing w:after="0" w:line="360" w:lineRule="auto"/>
        <w:ind w:left="85" w:right="102" w:hanging="85"/>
        <w:jc w:val="center"/>
        <w:rPr>
          <w:rFonts w:ascii="Times New Roman" w:hAnsi="Times New Roman"/>
          <w:b/>
          <w:bCs/>
          <w:sz w:val="28"/>
          <w:szCs w:val="28"/>
        </w:rPr>
      </w:pPr>
      <w:r w:rsidRPr="00E24FAF">
        <w:rPr>
          <w:rFonts w:ascii="Times New Roman" w:hAnsi="Times New Roman"/>
          <w:b/>
          <w:bCs/>
          <w:sz w:val="28"/>
          <w:szCs w:val="28"/>
        </w:rPr>
        <w:t>VI</w:t>
      </w:r>
      <w:r>
        <w:rPr>
          <w:rFonts w:ascii="Times New Roman" w:hAnsi="Times New Roman"/>
          <w:b/>
          <w:bCs/>
          <w:sz w:val="28"/>
          <w:szCs w:val="28"/>
        </w:rPr>
        <w:t>I</w:t>
      </w:r>
      <w:r w:rsidRPr="00E24FAF">
        <w:rPr>
          <w:rFonts w:ascii="Times New Roman" w:hAnsi="Times New Roman"/>
          <w:b/>
          <w:bCs/>
          <w:sz w:val="28"/>
          <w:szCs w:val="28"/>
        </w:rPr>
        <w:t xml:space="preserve"> SIMPOSIO DE CONTADURÍA, FINANZAS Y AUDITORÍA</w:t>
      </w:r>
    </w:p>
    <w:p w:rsidR="00596416" w:rsidRDefault="00596416" w:rsidP="00A01B17">
      <w:pPr>
        <w:spacing w:after="0"/>
        <w:jc w:val="center"/>
        <w:rPr>
          <w:rFonts w:ascii="Times New Roman" w:hAnsi="Times New Roman" w:cs="Times New Roman"/>
          <w:b/>
          <w:sz w:val="28"/>
          <w:szCs w:val="28"/>
        </w:rPr>
      </w:pPr>
    </w:p>
    <w:p w:rsidR="00637A82" w:rsidRDefault="00970997" w:rsidP="0033307C">
      <w:pPr>
        <w:spacing w:before="120" w:after="12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w:t>
      </w:r>
      <w:r w:rsidR="00637A82">
        <w:rPr>
          <w:rFonts w:ascii="Times New Roman" w:hAnsi="Times New Roman" w:cs="Times New Roman"/>
          <w:b/>
          <w:sz w:val="28"/>
          <w:szCs w:val="28"/>
        </w:rPr>
        <w:t>Propiedad Intelectual y</w:t>
      </w:r>
      <w:r w:rsidR="00637A82" w:rsidRPr="00637A82">
        <w:rPr>
          <w:rFonts w:ascii="Times New Roman" w:hAnsi="Times New Roman" w:cs="Times New Roman"/>
          <w:b/>
          <w:sz w:val="28"/>
          <w:szCs w:val="28"/>
        </w:rPr>
        <w:t xml:space="preserve"> Contabilidad en la conformación del patrimonio intangible de la empresa estatal cubana</w:t>
      </w:r>
      <w:r>
        <w:rPr>
          <w:rFonts w:ascii="Times New Roman" w:hAnsi="Times New Roman" w:cs="Times New Roman"/>
          <w:b/>
          <w:sz w:val="28"/>
          <w:szCs w:val="28"/>
        </w:rPr>
        <w:t>»</w:t>
      </w:r>
    </w:p>
    <w:p w:rsidR="00970997" w:rsidRPr="00C713BD" w:rsidRDefault="00970997" w:rsidP="00593F06">
      <w:pPr>
        <w:spacing w:after="0" w:line="360" w:lineRule="auto"/>
        <w:jc w:val="center"/>
        <w:rPr>
          <w:rFonts w:ascii="Times New Roman" w:hAnsi="Times New Roman" w:cs="Times New Roman"/>
          <w:b/>
          <w:i/>
          <w:sz w:val="28"/>
          <w:szCs w:val="28"/>
          <w:lang w:val="en-US"/>
        </w:rPr>
      </w:pPr>
      <w:r w:rsidRPr="00C713BD">
        <w:rPr>
          <w:rFonts w:ascii="Times New Roman" w:hAnsi="Times New Roman" w:cs="Times New Roman"/>
          <w:b/>
          <w:i/>
          <w:sz w:val="28"/>
          <w:szCs w:val="28"/>
          <w:lang w:val="en-US"/>
        </w:rPr>
        <w:t xml:space="preserve">«Intellectual Property and Accounting in the conformation of the intangible heritage of the </w:t>
      </w:r>
      <w:proofErr w:type="spellStart"/>
      <w:r w:rsidRPr="00C713BD">
        <w:rPr>
          <w:rFonts w:ascii="Times New Roman" w:hAnsi="Times New Roman" w:cs="Times New Roman"/>
          <w:b/>
          <w:i/>
          <w:sz w:val="28"/>
          <w:szCs w:val="28"/>
          <w:lang w:val="en-US"/>
        </w:rPr>
        <w:t>cuban</w:t>
      </w:r>
      <w:proofErr w:type="spellEnd"/>
      <w:r w:rsidRPr="00C713BD">
        <w:rPr>
          <w:rFonts w:ascii="Times New Roman" w:hAnsi="Times New Roman" w:cs="Times New Roman"/>
          <w:b/>
          <w:i/>
          <w:sz w:val="28"/>
          <w:szCs w:val="28"/>
          <w:lang w:val="en-US"/>
        </w:rPr>
        <w:t xml:space="preserve"> state enterprise»</w:t>
      </w:r>
    </w:p>
    <w:p w:rsidR="008649FD" w:rsidRPr="00C713BD" w:rsidRDefault="008649FD" w:rsidP="00593F06">
      <w:pPr>
        <w:spacing w:after="0" w:line="360" w:lineRule="auto"/>
        <w:jc w:val="center"/>
        <w:rPr>
          <w:rFonts w:ascii="Times New Roman" w:hAnsi="Times New Roman" w:cs="Times New Roman"/>
          <w:b/>
          <w:i/>
          <w:sz w:val="28"/>
          <w:szCs w:val="28"/>
          <w:lang w:val="en-US"/>
        </w:rPr>
      </w:pPr>
    </w:p>
    <w:p w:rsidR="009D5E02" w:rsidRDefault="001316AE" w:rsidP="00593F06">
      <w:pPr>
        <w:spacing w:after="0" w:line="360" w:lineRule="auto"/>
        <w:jc w:val="both"/>
        <w:rPr>
          <w:rFonts w:ascii="Times New Roman" w:hAnsi="Times New Roman" w:cs="Times New Roman"/>
          <w:b/>
          <w:sz w:val="24"/>
          <w:szCs w:val="24"/>
          <w:vertAlign w:val="superscript"/>
        </w:rPr>
      </w:pPr>
      <w:proofErr w:type="spellStart"/>
      <w:r>
        <w:rPr>
          <w:rFonts w:ascii="Times New Roman" w:hAnsi="Times New Roman" w:cs="Times New Roman"/>
          <w:b/>
          <w:sz w:val="24"/>
          <w:szCs w:val="24"/>
        </w:rPr>
        <w:t>MSc</w:t>
      </w:r>
      <w:r w:rsidR="00B836BA">
        <w:rPr>
          <w:rFonts w:ascii="Times New Roman" w:hAnsi="Times New Roman" w:cs="Times New Roman"/>
          <w:b/>
          <w:sz w:val="24"/>
          <w:szCs w:val="24"/>
        </w:rPr>
        <w:t>.</w:t>
      </w:r>
      <w:proofErr w:type="spellEnd"/>
      <w:r w:rsidR="00B836BA">
        <w:rPr>
          <w:rFonts w:ascii="Times New Roman" w:hAnsi="Times New Roman" w:cs="Times New Roman"/>
          <w:b/>
          <w:sz w:val="24"/>
          <w:szCs w:val="24"/>
        </w:rPr>
        <w:t xml:space="preserve"> </w:t>
      </w:r>
      <w:r w:rsidR="00970997">
        <w:rPr>
          <w:rFonts w:ascii="Times New Roman" w:hAnsi="Times New Roman" w:cs="Times New Roman"/>
          <w:b/>
          <w:sz w:val="24"/>
          <w:szCs w:val="24"/>
        </w:rPr>
        <w:t>Dulce María Contreras Villavicencio</w:t>
      </w:r>
      <w:r w:rsidR="00955541">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sidR="00063AE6">
        <w:rPr>
          <w:rFonts w:ascii="Times New Roman" w:hAnsi="Times New Roman" w:cs="Times New Roman"/>
          <w:b/>
          <w:sz w:val="24"/>
          <w:szCs w:val="24"/>
        </w:rPr>
        <w:t>Dr. C</w:t>
      </w:r>
      <w:r w:rsidR="0012684D">
        <w:rPr>
          <w:rFonts w:ascii="Times New Roman" w:hAnsi="Times New Roman" w:cs="Times New Roman"/>
          <w:b/>
          <w:sz w:val="24"/>
          <w:szCs w:val="24"/>
        </w:rPr>
        <w:t>.</w:t>
      </w:r>
      <w:r w:rsidR="00063AE6" w:rsidRPr="00165D6C">
        <w:rPr>
          <w:rFonts w:ascii="Times New Roman" w:hAnsi="Times New Roman" w:cs="Times New Roman"/>
          <w:b/>
          <w:sz w:val="24"/>
          <w:szCs w:val="24"/>
        </w:rPr>
        <w:t xml:space="preserve"> </w:t>
      </w:r>
      <w:r w:rsidR="00063AE6">
        <w:rPr>
          <w:rFonts w:ascii="Times New Roman" w:hAnsi="Times New Roman" w:cs="Times New Roman"/>
          <w:b/>
          <w:sz w:val="24"/>
          <w:szCs w:val="24"/>
        </w:rPr>
        <w:t>Evelio Suárez Gutiérrez</w:t>
      </w:r>
      <w:r w:rsidR="002E2590">
        <w:rPr>
          <w:rFonts w:ascii="Times New Roman" w:hAnsi="Times New Roman" w:cs="Times New Roman"/>
          <w:b/>
          <w:sz w:val="24"/>
          <w:szCs w:val="24"/>
          <w:vertAlign w:val="superscript"/>
        </w:rPr>
        <w:t>2</w:t>
      </w:r>
      <w:r w:rsidR="002E2590" w:rsidRPr="002E2590">
        <w:rPr>
          <w:rFonts w:ascii="Times New Roman" w:hAnsi="Times New Roman" w:cs="Times New Roman"/>
          <w:b/>
          <w:sz w:val="24"/>
          <w:szCs w:val="24"/>
        </w:rPr>
        <w:t>,</w:t>
      </w:r>
      <w:r w:rsidR="008462E5">
        <w:rPr>
          <w:rFonts w:ascii="Times New Roman" w:hAnsi="Times New Roman" w:cs="Times New Roman"/>
          <w:b/>
          <w:sz w:val="24"/>
          <w:szCs w:val="24"/>
          <w:vertAlign w:val="superscript"/>
        </w:rPr>
        <w:t xml:space="preserve"> </w:t>
      </w:r>
      <w:r w:rsidR="002E2590">
        <w:rPr>
          <w:rFonts w:ascii="Times New Roman" w:hAnsi="Times New Roman" w:cs="Times New Roman"/>
          <w:b/>
          <w:sz w:val="24"/>
          <w:szCs w:val="24"/>
          <w:vertAlign w:val="superscript"/>
        </w:rPr>
        <w:t xml:space="preserve">      </w:t>
      </w:r>
      <w:r>
        <w:rPr>
          <w:rFonts w:ascii="Times New Roman" w:hAnsi="Times New Roman" w:cs="Times New Roman"/>
          <w:b/>
          <w:sz w:val="24"/>
          <w:szCs w:val="24"/>
        </w:rPr>
        <w:t>Dra. C.</w:t>
      </w:r>
      <w:r w:rsidRPr="00165D6C">
        <w:rPr>
          <w:rFonts w:ascii="Times New Roman" w:hAnsi="Times New Roman" w:cs="Times New Roman"/>
          <w:b/>
          <w:sz w:val="24"/>
          <w:szCs w:val="24"/>
        </w:rPr>
        <w:t xml:space="preserve"> </w:t>
      </w:r>
      <w:proofErr w:type="spellStart"/>
      <w:r w:rsidR="00970997" w:rsidRPr="00970997">
        <w:rPr>
          <w:rFonts w:ascii="Times New Roman" w:hAnsi="Times New Roman" w:cs="Times New Roman"/>
          <w:b/>
          <w:sz w:val="24"/>
          <w:szCs w:val="24"/>
        </w:rPr>
        <w:t>Liudmila</w:t>
      </w:r>
      <w:proofErr w:type="spellEnd"/>
      <w:r w:rsidR="00970997" w:rsidRPr="00970997">
        <w:rPr>
          <w:rFonts w:ascii="Times New Roman" w:hAnsi="Times New Roman" w:cs="Times New Roman"/>
          <w:b/>
          <w:sz w:val="24"/>
          <w:szCs w:val="24"/>
        </w:rPr>
        <w:t xml:space="preserve"> Morán Martínez</w:t>
      </w:r>
      <w:r w:rsidR="00063AE6">
        <w:rPr>
          <w:rFonts w:ascii="Times New Roman" w:hAnsi="Times New Roman" w:cs="Times New Roman"/>
          <w:b/>
          <w:sz w:val="24"/>
          <w:szCs w:val="24"/>
          <w:vertAlign w:val="superscript"/>
        </w:rPr>
        <w:t>3</w:t>
      </w:r>
      <w:r w:rsidR="008462E5">
        <w:rPr>
          <w:rFonts w:ascii="Times New Roman" w:hAnsi="Times New Roman" w:cs="Times New Roman"/>
          <w:b/>
          <w:sz w:val="24"/>
          <w:szCs w:val="24"/>
        </w:rPr>
        <w:t>,</w:t>
      </w:r>
      <w:r w:rsidR="00C6777F" w:rsidRPr="00165D6C">
        <w:rPr>
          <w:rFonts w:ascii="Times New Roman" w:hAnsi="Times New Roman" w:cs="Times New Roman"/>
          <w:b/>
          <w:sz w:val="24"/>
          <w:szCs w:val="24"/>
        </w:rPr>
        <w:t xml:space="preserve"> </w:t>
      </w:r>
      <w:r w:rsidR="002E2590">
        <w:rPr>
          <w:rFonts w:ascii="Times New Roman" w:hAnsi="Times New Roman" w:cs="Times New Roman"/>
          <w:b/>
          <w:sz w:val="24"/>
          <w:szCs w:val="24"/>
        </w:rPr>
        <w:t>Dr. C</w:t>
      </w:r>
      <w:r w:rsidR="0012684D">
        <w:rPr>
          <w:rFonts w:ascii="Times New Roman" w:hAnsi="Times New Roman" w:cs="Times New Roman"/>
          <w:b/>
          <w:sz w:val="24"/>
          <w:szCs w:val="24"/>
        </w:rPr>
        <w:t>.</w:t>
      </w:r>
      <w:r w:rsidR="002475E0" w:rsidRPr="00165D6C">
        <w:rPr>
          <w:rFonts w:ascii="Times New Roman" w:hAnsi="Times New Roman" w:cs="Times New Roman"/>
          <w:b/>
          <w:sz w:val="24"/>
          <w:szCs w:val="24"/>
        </w:rPr>
        <w:t xml:space="preserve"> </w:t>
      </w:r>
      <w:proofErr w:type="spellStart"/>
      <w:r w:rsidR="002475E0">
        <w:rPr>
          <w:rFonts w:ascii="Times New Roman" w:hAnsi="Times New Roman" w:cs="Times New Roman"/>
          <w:b/>
          <w:sz w:val="24"/>
          <w:szCs w:val="24"/>
        </w:rPr>
        <w:t>Berto</w:t>
      </w:r>
      <w:proofErr w:type="spellEnd"/>
      <w:r w:rsidR="002475E0">
        <w:rPr>
          <w:rFonts w:ascii="Times New Roman" w:hAnsi="Times New Roman" w:cs="Times New Roman"/>
          <w:b/>
          <w:sz w:val="24"/>
          <w:szCs w:val="24"/>
        </w:rPr>
        <w:t xml:space="preserve"> M Nazco Franquiz</w:t>
      </w:r>
      <w:r w:rsidR="00776FE9">
        <w:rPr>
          <w:rFonts w:ascii="Times New Roman" w:hAnsi="Times New Roman" w:cs="Times New Roman"/>
          <w:b/>
          <w:sz w:val="24"/>
          <w:szCs w:val="24"/>
          <w:vertAlign w:val="superscript"/>
        </w:rPr>
        <w:t>4</w:t>
      </w:r>
      <w:r w:rsidR="00176497">
        <w:rPr>
          <w:rFonts w:ascii="Times New Roman" w:hAnsi="Times New Roman" w:cs="Times New Roman"/>
          <w:b/>
          <w:sz w:val="24"/>
          <w:szCs w:val="24"/>
          <w:vertAlign w:val="superscript"/>
        </w:rPr>
        <w:t xml:space="preserve"> </w:t>
      </w:r>
      <w:r w:rsidR="00176497">
        <w:rPr>
          <w:rFonts w:ascii="Times New Roman" w:hAnsi="Times New Roman" w:cs="Times New Roman"/>
          <w:b/>
          <w:sz w:val="24"/>
          <w:szCs w:val="24"/>
        </w:rPr>
        <w:t>y</w:t>
      </w:r>
      <w:r w:rsidR="00176497" w:rsidRPr="00176497">
        <w:rPr>
          <w:rFonts w:ascii="Times New Roman" w:hAnsi="Times New Roman" w:cs="Times New Roman"/>
          <w:b/>
          <w:sz w:val="24"/>
          <w:szCs w:val="24"/>
        </w:rPr>
        <w:t xml:space="preserve"> </w:t>
      </w:r>
      <w:r w:rsidR="002475E0">
        <w:rPr>
          <w:rFonts w:ascii="Times New Roman" w:hAnsi="Times New Roman" w:cs="Times New Roman"/>
          <w:b/>
          <w:sz w:val="24"/>
          <w:szCs w:val="24"/>
        </w:rPr>
        <w:t>Dr. C</w:t>
      </w:r>
      <w:r w:rsidR="0012684D">
        <w:rPr>
          <w:rFonts w:ascii="Times New Roman" w:hAnsi="Times New Roman" w:cs="Times New Roman"/>
          <w:b/>
          <w:sz w:val="24"/>
          <w:szCs w:val="24"/>
        </w:rPr>
        <w:t>.</w:t>
      </w:r>
      <w:r w:rsidR="002475E0" w:rsidRPr="00165D6C">
        <w:rPr>
          <w:rFonts w:ascii="Times New Roman" w:hAnsi="Times New Roman" w:cs="Times New Roman"/>
          <w:b/>
          <w:sz w:val="24"/>
          <w:szCs w:val="24"/>
        </w:rPr>
        <w:t xml:space="preserve"> </w:t>
      </w:r>
      <w:r w:rsidR="002475E0">
        <w:rPr>
          <w:rFonts w:ascii="Times New Roman" w:hAnsi="Times New Roman" w:cs="Times New Roman"/>
          <w:b/>
          <w:sz w:val="24"/>
          <w:szCs w:val="24"/>
        </w:rPr>
        <w:t xml:space="preserve">Abel </w:t>
      </w:r>
      <w:proofErr w:type="spellStart"/>
      <w:r w:rsidR="002475E0">
        <w:rPr>
          <w:rFonts w:ascii="Times New Roman" w:hAnsi="Times New Roman" w:cs="Times New Roman"/>
          <w:b/>
          <w:sz w:val="24"/>
          <w:szCs w:val="24"/>
        </w:rPr>
        <w:t>Sarduy</w:t>
      </w:r>
      <w:proofErr w:type="spellEnd"/>
      <w:r w:rsidR="002475E0">
        <w:rPr>
          <w:rFonts w:ascii="Times New Roman" w:hAnsi="Times New Roman" w:cs="Times New Roman"/>
          <w:b/>
          <w:sz w:val="24"/>
          <w:szCs w:val="24"/>
        </w:rPr>
        <w:t xml:space="preserve"> Quintanilla</w:t>
      </w:r>
      <w:r w:rsidR="002E2590">
        <w:rPr>
          <w:rFonts w:ascii="Times New Roman" w:hAnsi="Times New Roman" w:cs="Times New Roman"/>
          <w:b/>
          <w:sz w:val="24"/>
          <w:szCs w:val="24"/>
          <w:vertAlign w:val="superscript"/>
        </w:rPr>
        <w:t>5</w:t>
      </w:r>
      <w:r w:rsidR="002E2590">
        <w:rPr>
          <w:rFonts w:ascii="Times New Roman" w:hAnsi="Times New Roman" w:cs="Times New Roman"/>
          <w:b/>
          <w:sz w:val="24"/>
          <w:szCs w:val="24"/>
        </w:rPr>
        <w:t>.</w:t>
      </w:r>
    </w:p>
    <w:p w:rsidR="0054227B" w:rsidRPr="0054227B" w:rsidRDefault="0054227B" w:rsidP="00EC5337">
      <w:pPr>
        <w:spacing w:after="0" w:line="360" w:lineRule="auto"/>
        <w:jc w:val="center"/>
        <w:rPr>
          <w:rFonts w:ascii="Times New Roman" w:hAnsi="Times New Roman" w:cs="Times New Roman"/>
          <w:sz w:val="16"/>
          <w:szCs w:val="16"/>
        </w:rPr>
      </w:pPr>
    </w:p>
    <w:p w:rsidR="00E912D0" w:rsidRPr="00892051" w:rsidRDefault="00C63F3E" w:rsidP="00EC5337">
      <w:pPr>
        <w:pStyle w:val="Prrafodelista"/>
        <w:numPr>
          <w:ilvl w:val="0"/>
          <w:numId w:val="3"/>
        </w:numPr>
        <w:tabs>
          <w:tab w:val="left" w:pos="284"/>
        </w:tabs>
        <w:spacing w:after="0" w:line="360" w:lineRule="auto"/>
        <w:ind w:left="0" w:firstLine="0"/>
        <w:contextualSpacing w:val="0"/>
        <w:jc w:val="both"/>
        <w:rPr>
          <w:rFonts w:ascii="Times New Roman" w:hAnsi="Times New Roman" w:cs="Times New Roman"/>
          <w:sz w:val="24"/>
          <w:szCs w:val="24"/>
        </w:rPr>
      </w:pPr>
      <w:r w:rsidRPr="00892051">
        <w:rPr>
          <w:rFonts w:ascii="Times New Roman" w:hAnsi="Times New Roman" w:cs="Times New Roman"/>
          <w:sz w:val="24"/>
          <w:szCs w:val="24"/>
        </w:rPr>
        <w:t>Empre</w:t>
      </w:r>
      <w:r w:rsidR="004C7DB9" w:rsidRPr="00892051">
        <w:rPr>
          <w:rFonts w:ascii="Times New Roman" w:hAnsi="Times New Roman" w:cs="Times New Roman"/>
          <w:sz w:val="24"/>
          <w:szCs w:val="24"/>
        </w:rPr>
        <w:t>sa de Investigaciones y Proyectos Hidráulicos de</w:t>
      </w:r>
      <w:r w:rsidRPr="00892051">
        <w:rPr>
          <w:rFonts w:ascii="Times New Roman" w:hAnsi="Times New Roman" w:cs="Times New Roman"/>
          <w:sz w:val="24"/>
          <w:szCs w:val="24"/>
        </w:rPr>
        <w:t xml:space="preserve"> V</w:t>
      </w:r>
      <w:r w:rsidR="004C7DB9" w:rsidRPr="00892051">
        <w:rPr>
          <w:rFonts w:ascii="Times New Roman" w:hAnsi="Times New Roman" w:cs="Times New Roman"/>
          <w:sz w:val="24"/>
          <w:szCs w:val="24"/>
        </w:rPr>
        <w:t xml:space="preserve">illa </w:t>
      </w:r>
      <w:r w:rsidRPr="00892051">
        <w:rPr>
          <w:rFonts w:ascii="Times New Roman" w:hAnsi="Times New Roman" w:cs="Times New Roman"/>
          <w:sz w:val="24"/>
          <w:szCs w:val="24"/>
        </w:rPr>
        <w:t>C</w:t>
      </w:r>
      <w:r w:rsidR="004C7DB9" w:rsidRPr="00892051">
        <w:rPr>
          <w:rFonts w:ascii="Times New Roman" w:hAnsi="Times New Roman" w:cs="Times New Roman"/>
          <w:sz w:val="24"/>
          <w:szCs w:val="24"/>
        </w:rPr>
        <w:t>lara</w:t>
      </w:r>
      <w:r w:rsidRPr="00892051">
        <w:rPr>
          <w:rFonts w:ascii="Times New Roman" w:hAnsi="Times New Roman" w:cs="Times New Roman"/>
          <w:sz w:val="24"/>
          <w:szCs w:val="24"/>
        </w:rPr>
        <w:t>,</w:t>
      </w:r>
      <w:r w:rsidR="004D1A84" w:rsidRPr="00892051">
        <w:rPr>
          <w:rFonts w:ascii="Times New Roman" w:hAnsi="Times New Roman" w:cs="Times New Roman"/>
          <w:sz w:val="24"/>
          <w:szCs w:val="24"/>
        </w:rPr>
        <w:t xml:space="preserve"> </w:t>
      </w:r>
      <w:r w:rsidR="00EA7C5E" w:rsidRPr="00892051">
        <w:rPr>
          <w:rFonts w:ascii="Times New Roman" w:hAnsi="Times New Roman" w:cs="Times New Roman"/>
          <w:sz w:val="24"/>
          <w:szCs w:val="24"/>
        </w:rPr>
        <w:t>Cuba</w:t>
      </w:r>
      <w:r w:rsidR="00A01B17" w:rsidRPr="00892051">
        <w:rPr>
          <w:rFonts w:ascii="Times New Roman" w:hAnsi="Times New Roman" w:cs="Times New Roman"/>
          <w:sz w:val="24"/>
          <w:szCs w:val="24"/>
        </w:rPr>
        <w:t>.</w:t>
      </w:r>
      <w:r w:rsidR="00776FE9" w:rsidRPr="00892051">
        <w:rPr>
          <w:rFonts w:ascii="Times New Roman" w:hAnsi="Times New Roman" w:cs="Times New Roman"/>
          <w:sz w:val="24"/>
          <w:szCs w:val="24"/>
        </w:rPr>
        <w:t xml:space="preserve"> </w:t>
      </w:r>
      <w:hyperlink r:id="rId8" w:history="1">
        <w:r w:rsidR="004C7DB9" w:rsidRPr="00892051">
          <w:rPr>
            <w:rStyle w:val="Hipervnculo"/>
            <w:rFonts w:ascii="Times New Roman" w:hAnsi="Times New Roman" w:cs="Times New Roman"/>
            <w:sz w:val="24"/>
            <w:szCs w:val="24"/>
          </w:rPr>
          <w:t>dulcemaria@vc.hidro.cu</w:t>
        </w:r>
      </w:hyperlink>
    </w:p>
    <w:p w:rsidR="00063AE6" w:rsidRPr="00892051" w:rsidRDefault="00063AE6" w:rsidP="00EC5337">
      <w:pPr>
        <w:pStyle w:val="Prrafodelista"/>
        <w:numPr>
          <w:ilvl w:val="0"/>
          <w:numId w:val="3"/>
        </w:numPr>
        <w:tabs>
          <w:tab w:val="left" w:pos="284"/>
        </w:tabs>
        <w:spacing w:after="0" w:line="360" w:lineRule="auto"/>
        <w:ind w:left="0" w:firstLine="0"/>
        <w:contextualSpacing w:val="0"/>
        <w:rPr>
          <w:rFonts w:ascii="Times New Roman" w:hAnsi="Times New Roman" w:cs="Times New Roman"/>
          <w:sz w:val="24"/>
          <w:szCs w:val="24"/>
        </w:rPr>
      </w:pPr>
      <w:r w:rsidRPr="00892051">
        <w:rPr>
          <w:rFonts w:ascii="Times New Roman" w:hAnsi="Times New Roman" w:cs="Times New Roman"/>
          <w:sz w:val="24"/>
          <w:szCs w:val="24"/>
        </w:rPr>
        <w:t xml:space="preserve">Empresa de Aprovechamiento Hidráulico </w:t>
      </w:r>
      <w:r w:rsidR="00904747">
        <w:rPr>
          <w:rFonts w:ascii="Times New Roman" w:hAnsi="Times New Roman" w:cs="Times New Roman"/>
          <w:sz w:val="24"/>
          <w:szCs w:val="24"/>
        </w:rPr>
        <w:t xml:space="preserve">de </w:t>
      </w:r>
      <w:r w:rsidRPr="00892051">
        <w:rPr>
          <w:rFonts w:ascii="Times New Roman" w:hAnsi="Times New Roman" w:cs="Times New Roman"/>
          <w:sz w:val="24"/>
          <w:szCs w:val="24"/>
        </w:rPr>
        <w:t>V</w:t>
      </w:r>
      <w:r w:rsidR="00904747">
        <w:rPr>
          <w:rFonts w:ascii="Times New Roman" w:hAnsi="Times New Roman" w:cs="Times New Roman"/>
          <w:sz w:val="24"/>
          <w:szCs w:val="24"/>
        </w:rPr>
        <w:t xml:space="preserve">illa </w:t>
      </w:r>
      <w:r w:rsidRPr="00892051">
        <w:rPr>
          <w:rFonts w:ascii="Times New Roman" w:hAnsi="Times New Roman" w:cs="Times New Roman"/>
          <w:sz w:val="24"/>
          <w:szCs w:val="24"/>
        </w:rPr>
        <w:t>C</w:t>
      </w:r>
      <w:r w:rsidR="00904747">
        <w:rPr>
          <w:rFonts w:ascii="Times New Roman" w:hAnsi="Times New Roman" w:cs="Times New Roman"/>
          <w:sz w:val="24"/>
          <w:szCs w:val="24"/>
        </w:rPr>
        <w:t>lara</w:t>
      </w:r>
      <w:r w:rsidRPr="00892051">
        <w:rPr>
          <w:rFonts w:ascii="Times New Roman" w:hAnsi="Times New Roman" w:cs="Times New Roman"/>
          <w:sz w:val="24"/>
          <w:szCs w:val="24"/>
        </w:rPr>
        <w:t xml:space="preserve">, Cuba. </w:t>
      </w:r>
      <w:hyperlink r:id="rId9" w:history="1">
        <w:r w:rsidRPr="00892051">
          <w:rPr>
            <w:rStyle w:val="Hipervnculo"/>
            <w:rFonts w:ascii="Times New Roman" w:hAnsi="Times New Roman" w:cs="Times New Roman"/>
            <w:sz w:val="24"/>
            <w:szCs w:val="24"/>
          </w:rPr>
          <w:t>evelio@vc.hidro.cu</w:t>
        </w:r>
      </w:hyperlink>
    </w:p>
    <w:p w:rsidR="004C7DB9" w:rsidRPr="00892051" w:rsidRDefault="003E00A4" w:rsidP="00EC5337">
      <w:pPr>
        <w:pStyle w:val="Prrafodelista"/>
        <w:numPr>
          <w:ilvl w:val="0"/>
          <w:numId w:val="3"/>
        </w:numPr>
        <w:tabs>
          <w:tab w:val="left" w:pos="284"/>
        </w:tabs>
        <w:spacing w:after="0" w:line="360" w:lineRule="auto"/>
        <w:ind w:left="0" w:firstLine="0"/>
        <w:contextualSpacing w:val="0"/>
        <w:jc w:val="both"/>
        <w:rPr>
          <w:rFonts w:ascii="Times New Roman" w:hAnsi="Times New Roman" w:cs="Times New Roman"/>
          <w:sz w:val="24"/>
          <w:szCs w:val="24"/>
        </w:rPr>
      </w:pPr>
      <w:r w:rsidRPr="00892051">
        <w:rPr>
          <w:rFonts w:ascii="Times New Roman" w:hAnsi="Times New Roman" w:cs="Times New Roman"/>
          <w:sz w:val="24"/>
          <w:szCs w:val="24"/>
        </w:rPr>
        <w:t>Universidad de La Habana</w:t>
      </w:r>
      <w:r w:rsidR="00C63F3E" w:rsidRPr="00892051">
        <w:rPr>
          <w:rFonts w:ascii="Times New Roman" w:hAnsi="Times New Roman" w:cs="Times New Roman"/>
          <w:sz w:val="24"/>
          <w:szCs w:val="24"/>
        </w:rPr>
        <w:t>, Cuba</w:t>
      </w:r>
      <w:r w:rsidR="00D23076" w:rsidRPr="00892051">
        <w:rPr>
          <w:rFonts w:ascii="Times New Roman" w:hAnsi="Times New Roman" w:cs="Times New Roman"/>
          <w:sz w:val="24"/>
          <w:szCs w:val="24"/>
        </w:rPr>
        <w:t xml:space="preserve">. </w:t>
      </w:r>
      <w:hyperlink r:id="rId10" w:history="1">
        <w:r w:rsidR="004C7DB9" w:rsidRPr="00892051">
          <w:rPr>
            <w:rStyle w:val="Hipervnculo"/>
            <w:rFonts w:ascii="Times New Roman" w:hAnsi="Times New Roman" w:cs="Times New Roman"/>
            <w:color w:val="0000FF"/>
            <w:sz w:val="24"/>
            <w:szCs w:val="24"/>
            <w:lang w:val="fr-FR"/>
          </w:rPr>
          <w:t>liudmila.moran@gmail.com</w:t>
        </w:r>
      </w:hyperlink>
      <w:r w:rsidR="004C7DB9" w:rsidRPr="00892051">
        <w:rPr>
          <w:rFonts w:ascii="Times New Roman" w:hAnsi="Times New Roman" w:cs="Times New Roman"/>
          <w:sz w:val="24"/>
          <w:szCs w:val="24"/>
        </w:rPr>
        <w:t xml:space="preserve"> </w:t>
      </w:r>
      <w:hyperlink r:id="rId11" w:history="1">
        <w:r w:rsidR="004C7DB9" w:rsidRPr="00892051">
          <w:rPr>
            <w:rStyle w:val="Hipervnculo"/>
            <w:rFonts w:ascii="Times New Roman" w:hAnsi="Times New Roman" w:cs="Times New Roman"/>
            <w:color w:val="0000FF"/>
            <w:sz w:val="24"/>
            <w:szCs w:val="24"/>
          </w:rPr>
          <w:t>liudmila@lex.uh.cu.</w:t>
        </w:r>
      </w:hyperlink>
    </w:p>
    <w:p w:rsidR="00892051" w:rsidRPr="00892051" w:rsidRDefault="004C7DB9" w:rsidP="00EC5337">
      <w:pPr>
        <w:pStyle w:val="Prrafodelista"/>
        <w:numPr>
          <w:ilvl w:val="0"/>
          <w:numId w:val="3"/>
        </w:numPr>
        <w:tabs>
          <w:tab w:val="left" w:pos="284"/>
        </w:tabs>
        <w:spacing w:after="0" w:line="360" w:lineRule="auto"/>
        <w:ind w:left="0" w:firstLine="0"/>
        <w:contextualSpacing w:val="0"/>
        <w:rPr>
          <w:rFonts w:ascii="Times New Roman" w:hAnsi="Times New Roman" w:cs="Times New Roman"/>
          <w:sz w:val="24"/>
          <w:szCs w:val="24"/>
        </w:rPr>
      </w:pPr>
      <w:r w:rsidRPr="00892051">
        <w:rPr>
          <w:rFonts w:ascii="Times New Roman" w:hAnsi="Times New Roman" w:cs="Times New Roman"/>
          <w:sz w:val="24"/>
          <w:szCs w:val="24"/>
        </w:rPr>
        <w:t>Universidad Central «Marta Abreu» de Las Villas</w:t>
      </w:r>
      <w:r w:rsidR="00176497" w:rsidRPr="00892051">
        <w:rPr>
          <w:rFonts w:ascii="Times New Roman" w:hAnsi="Times New Roman" w:cs="Times New Roman"/>
          <w:sz w:val="24"/>
          <w:szCs w:val="24"/>
        </w:rPr>
        <w:t xml:space="preserve">, Cuba. </w:t>
      </w:r>
      <w:hyperlink r:id="rId12" w:history="1">
        <w:r w:rsidR="00892051" w:rsidRPr="00892051">
          <w:rPr>
            <w:rStyle w:val="Hipervnculo"/>
            <w:rFonts w:ascii="Times New Roman" w:hAnsi="Times New Roman" w:cs="Times New Roman"/>
            <w:sz w:val="24"/>
            <w:szCs w:val="24"/>
          </w:rPr>
          <w:t>nazco@uclv.edu.cu</w:t>
        </w:r>
      </w:hyperlink>
    </w:p>
    <w:p w:rsidR="00892051" w:rsidRPr="00EC5337" w:rsidRDefault="00A26E4C" w:rsidP="00EC5337">
      <w:pPr>
        <w:pStyle w:val="Prrafodelista"/>
        <w:numPr>
          <w:ilvl w:val="0"/>
          <w:numId w:val="3"/>
        </w:numPr>
        <w:tabs>
          <w:tab w:val="left" w:pos="284"/>
        </w:tabs>
        <w:spacing w:after="0" w:line="360" w:lineRule="auto"/>
        <w:ind w:left="0" w:firstLine="0"/>
        <w:contextualSpacing w:val="0"/>
        <w:jc w:val="both"/>
        <w:rPr>
          <w:rFonts w:ascii="Times New Roman" w:hAnsi="Times New Roman" w:cs="Times New Roman"/>
          <w:sz w:val="24"/>
          <w:szCs w:val="24"/>
        </w:rPr>
      </w:pPr>
      <w:r w:rsidRPr="00892051">
        <w:rPr>
          <w:rFonts w:ascii="Times New Roman" w:hAnsi="Times New Roman" w:cs="Times New Roman"/>
          <w:sz w:val="24"/>
          <w:szCs w:val="24"/>
        </w:rPr>
        <w:t>Universidad Central «Marta Abreu» de Las Villas, Cuba</w:t>
      </w:r>
      <w:r w:rsidR="00176497" w:rsidRPr="00892051">
        <w:rPr>
          <w:rFonts w:ascii="Times New Roman" w:hAnsi="Times New Roman" w:cs="Times New Roman"/>
          <w:sz w:val="24"/>
          <w:szCs w:val="24"/>
        </w:rPr>
        <w:t>.</w:t>
      </w:r>
      <w:r w:rsidR="00C63F3E" w:rsidRPr="00892051">
        <w:rPr>
          <w:rFonts w:ascii="Times New Roman" w:hAnsi="Times New Roman" w:cs="Times New Roman"/>
          <w:sz w:val="24"/>
          <w:szCs w:val="24"/>
        </w:rPr>
        <w:t xml:space="preserve"> </w:t>
      </w:r>
      <w:hyperlink r:id="rId13" w:history="1">
        <w:r w:rsidR="00892051" w:rsidRPr="00BD1133">
          <w:rPr>
            <w:rStyle w:val="Hipervnculo"/>
            <w:rFonts w:ascii="Times New Roman" w:hAnsi="Times New Roman" w:cs="Times New Roman"/>
            <w:sz w:val="24"/>
            <w:szCs w:val="24"/>
          </w:rPr>
          <w:t>abelsq@uclv.edu.cu</w:t>
        </w:r>
      </w:hyperlink>
    </w:p>
    <w:p w:rsidR="00EC5337" w:rsidRPr="00EC5337" w:rsidRDefault="00EC5337" w:rsidP="00EC5337">
      <w:pPr>
        <w:pStyle w:val="Prrafodelista"/>
        <w:tabs>
          <w:tab w:val="left" w:pos="284"/>
        </w:tabs>
        <w:spacing w:after="0" w:line="360" w:lineRule="auto"/>
        <w:ind w:left="0"/>
        <w:contextualSpacing w:val="0"/>
        <w:jc w:val="both"/>
        <w:rPr>
          <w:rFonts w:ascii="Times New Roman" w:hAnsi="Times New Roman" w:cs="Times New Roman"/>
          <w:sz w:val="16"/>
          <w:szCs w:val="16"/>
        </w:rPr>
      </w:pPr>
    </w:p>
    <w:p w:rsidR="00001176" w:rsidRDefault="008A1C16" w:rsidP="00E238D3">
      <w:pPr>
        <w:pStyle w:val="Prrafodelista"/>
        <w:tabs>
          <w:tab w:val="left" w:pos="284"/>
        </w:tabs>
        <w:spacing w:before="120" w:after="120" w:line="360" w:lineRule="auto"/>
        <w:ind w:left="0"/>
        <w:contextualSpacing w:val="0"/>
        <w:jc w:val="both"/>
        <w:rPr>
          <w:rFonts w:ascii="Times New Roman" w:hAnsi="Times New Roman" w:cs="Times New Roman"/>
          <w:sz w:val="24"/>
          <w:szCs w:val="24"/>
        </w:rPr>
      </w:pPr>
      <w:r w:rsidRPr="00892051">
        <w:rPr>
          <w:rFonts w:ascii="Times New Roman" w:hAnsi="Times New Roman" w:cs="Times New Roman"/>
          <w:b/>
          <w:sz w:val="24"/>
          <w:szCs w:val="24"/>
        </w:rPr>
        <w:t>Resumen:</w:t>
      </w:r>
      <w:r w:rsidR="009061A5" w:rsidRPr="00892051">
        <w:rPr>
          <w:rFonts w:ascii="Times New Roman" w:hAnsi="Times New Roman" w:cs="Times New Roman"/>
          <w:sz w:val="24"/>
          <w:szCs w:val="24"/>
        </w:rPr>
        <w:t xml:space="preserve"> </w:t>
      </w:r>
      <w:r w:rsidR="00FD514C">
        <w:rPr>
          <w:rFonts w:ascii="Times New Roman" w:hAnsi="Times New Roman" w:cs="Times New Roman"/>
          <w:sz w:val="24"/>
          <w:szCs w:val="24"/>
        </w:rPr>
        <w:t>La ponencia</w:t>
      </w:r>
      <w:r w:rsidR="00001176" w:rsidRPr="00001176">
        <w:rPr>
          <w:rFonts w:ascii="Times New Roman" w:hAnsi="Times New Roman" w:cs="Times New Roman"/>
          <w:sz w:val="24"/>
          <w:szCs w:val="24"/>
        </w:rPr>
        <w:t xml:space="preserve"> integra resultados de dos investigaciones científicas sobre Propiedad Intelectual, una desde las perspectivas del Derecho y otra de la Contabilidad para la creación de bienes del patrimonio intangible en empresas estatales cubanas. Mediante fundamentos teórico-jurídicos y contable-financieros se explicitan las categorías patrimonio, activo fijo intangible y empresa estatal. Importantes en el ejercicio del derecho constitucional de los creadores y titulares de bienes producidos en el régimen laboral y el establecimiento de la cultura necesaria para lograr empresas estatales eficientes en Cuba sobre la base de la gestión de investigación, desarrollo e innovación. Se evidencia un procedimiento contable que requiere en su estructura del registro legal para la conformación de dicho patrimonio en procesos </w:t>
      </w:r>
      <w:proofErr w:type="spellStart"/>
      <w:r w:rsidR="00001176" w:rsidRPr="00001176">
        <w:rPr>
          <w:rFonts w:ascii="Times New Roman" w:hAnsi="Times New Roman" w:cs="Times New Roman"/>
          <w:sz w:val="24"/>
          <w:szCs w:val="24"/>
        </w:rPr>
        <w:t>innovativos</w:t>
      </w:r>
      <w:proofErr w:type="spellEnd"/>
      <w:r w:rsidR="00001176" w:rsidRPr="00001176">
        <w:rPr>
          <w:rFonts w:ascii="Times New Roman" w:hAnsi="Times New Roman" w:cs="Times New Roman"/>
          <w:sz w:val="24"/>
          <w:szCs w:val="24"/>
        </w:rPr>
        <w:t>.</w:t>
      </w:r>
    </w:p>
    <w:p w:rsidR="00D94B4C" w:rsidRPr="00C713BD" w:rsidRDefault="009061A5" w:rsidP="005B17F7">
      <w:pPr>
        <w:spacing w:before="120" w:after="120" w:line="360" w:lineRule="auto"/>
        <w:jc w:val="both"/>
        <w:rPr>
          <w:rFonts w:ascii="Times New Roman" w:hAnsi="Times New Roman" w:cs="Times New Roman"/>
          <w:sz w:val="24"/>
          <w:szCs w:val="24"/>
          <w:lang w:val="en-US"/>
        </w:rPr>
      </w:pPr>
      <w:r w:rsidRPr="00C713BD">
        <w:rPr>
          <w:rFonts w:ascii="Times New Roman" w:hAnsi="Times New Roman" w:cs="Times New Roman"/>
          <w:b/>
          <w:i/>
          <w:sz w:val="24"/>
          <w:szCs w:val="24"/>
          <w:lang w:val="en-US"/>
        </w:rPr>
        <w:lastRenderedPageBreak/>
        <w:t>Abstract:</w:t>
      </w:r>
      <w:r w:rsidRPr="00C713BD">
        <w:rPr>
          <w:rFonts w:ascii="Times New Roman" w:hAnsi="Times New Roman" w:cs="Times New Roman"/>
          <w:sz w:val="24"/>
          <w:szCs w:val="24"/>
          <w:lang w:val="en-US"/>
        </w:rPr>
        <w:t xml:space="preserve"> </w:t>
      </w:r>
      <w:r w:rsidR="00001176" w:rsidRPr="00C713BD">
        <w:rPr>
          <w:rFonts w:ascii="Times New Roman" w:hAnsi="Times New Roman" w:cs="Times New Roman"/>
          <w:i/>
          <w:sz w:val="24"/>
          <w:szCs w:val="24"/>
          <w:lang w:val="en-US"/>
        </w:rPr>
        <w:t>The paper mix two scientific investigations results on Intellectual Property, one from the perspectives of law and another from accounting creation of intangible heritage assets in Cuban’s state companies. Through theoretical-legal and accounting-financial foundations, the categories equity, intangible fixed assets and state-owned companies are specified. Important in the exercise of constitutional right for creators and holders of goods produced in labor regime and the necessary culture establishment to achieve efficient state enterprises in Cuba, based on the management of research, development and innovation. There’s evidence of an accounting procedure that requires in its structure the legal register form creation of said patrimony in innovative processes.</w:t>
      </w:r>
    </w:p>
    <w:p w:rsidR="009061A5" w:rsidRDefault="009061A5" w:rsidP="001974C2">
      <w:pPr>
        <w:spacing w:before="120" w:after="12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8F5A46">
        <w:rPr>
          <w:rFonts w:ascii="Times New Roman" w:hAnsi="Times New Roman" w:cs="Times New Roman"/>
          <w:sz w:val="24"/>
          <w:szCs w:val="24"/>
        </w:rPr>
        <w:t xml:space="preserve"> </w:t>
      </w:r>
      <w:r w:rsidR="00D94B4C">
        <w:rPr>
          <w:rFonts w:ascii="Times New Roman" w:hAnsi="Times New Roman" w:cs="Times New Roman"/>
          <w:sz w:val="24"/>
          <w:szCs w:val="24"/>
        </w:rPr>
        <w:t>Empresa; intangible; patrimonio;</w:t>
      </w:r>
      <w:r w:rsidR="00D94B4C" w:rsidRPr="00D94B4C">
        <w:rPr>
          <w:rFonts w:ascii="Times New Roman" w:hAnsi="Times New Roman" w:cs="Times New Roman"/>
          <w:sz w:val="24"/>
          <w:szCs w:val="24"/>
        </w:rPr>
        <w:t xml:space="preserve"> Propiedad Intelectual.</w:t>
      </w:r>
    </w:p>
    <w:p w:rsidR="00D124E1" w:rsidRPr="00C713BD" w:rsidRDefault="009061A5" w:rsidP="001974C2">
      <w:pPr>
        <w:spacing w:before="120" w:after="120" w:line="360" w:lineRule="auto"/>
        <w:jc w:val="both"/>
        <w:rPr>
          <w:rFonts w:ascii="Times New Roman" w:hAnsi="Times New Roman" w:cs="Times New Roman"/>
          <w:i/>
          <w:sz w:val="24"/>
          <w:szCs w:val="24"/>
          <w:lang w:val="en-US"/>
        </w:rPr>
      </w:pPr>
      <w:r w:rsidRPr="00C713BD">
        <w:rPr>
          <w:rFonts w:ascii="Times New Roman" w:hAnsi="Times New Roman" w:cs="Times New Roman"/>
          <w:b/>
          <w:i/>
          <w:sz w:val="24"/>
          <w:szCs w:val="24"/>
          <w:lang w:val="en-US"/>
        </w:rPr>
        <w:t>Keywords:</w:t>
      </w:r>
      <w:r w:rsidR="00D94B4C" w:rsidRPr="00C713BD">
        <w:rPr>
          <w:rFonts w:ascii="Times New Roman" w:hAnsi="Times New Roman" w:cs="Times New Roman"/>
          <w:sz w:val="24"/>
          <w:szCs w:val="24"/>
          <w:lang w:val="en-US"/>
        </w:rPr>
        <w:t xml:space="preserve"> </w:t>
      </w:r>
      <w:r w:rsidR="00D94B4C" w:rsidRPr="00C713BD">
        <w:rPr>
          <w:rFonts w:ascii="Times New Roman" w:hAnsi="Times New Roman" w:cs="Times New Roman"/>
          <w:i/>
          <w:sz w:val="24"/>
          <w:szCs w:val="24"/>
          <w:lang w:val="en-US"/>
        </w:rPr>
        <w:t>Enterprise; intangible; heritage; Intellectual property.</w:t>
      </w:r>
    </w:p>
    <w:p w:rsidR="009061A5" w:rsidRPr="00DA1BF1" w:rsidRDefault="00BE78C6" w:rsidP="00BE78C6">
      <w:pPr>
        <w:pStyle w:val="Prrafodelista"/>
        <w:numPr>
          <w:ilvl w:val="0"/>
          <w:numId w:val="4"/>
        </w:numPr>
        <w:tabs>
          <w:tab w:val="left" w:pos="284"/>
        </w:tabs>
        <w:spacing w:before="120" w:after="120" w:line="360" w:lineRule="auto"/>
        <w:ind w:left="0" w:firstLine="0"/>
        <w:contextualSpacing w:val="0"/>
        <w:jc w:val="both"/>
        <w:outlineLvl w:val="0"/>
        <w:rPr>
          <w:rFonts w:ascii="Times New Roman" w:hAnsi="Times New Roman" w:cs="Times New Roman"/>
          <w:b/>
          <w:sz w:val="24"/>
          <w:szCs w:val="24"/>
        </w:rPr>
      </w:pPr>
      <w:r w:rsidRPr="00DA1BF1">
        <w:rPr>
          <w:rFonts w:ascii="Times New Roman" w:hAnsi="Times New Roman" w:cs="Times New Roman"/>
          <w:b/>
          <w:sz w:val="24"/>
          <w:szCs w:val="24"/>
        </w:rPr>
        <w:t>Introducción</w:t>
      </w:r>
      <w:r w:rsidR="00011F04" w:rsidRPr="00DA1BF1">
        <w:rPr>
          <w:rFonts w:ascii="Times New Roman" w:hAnsi="Times New Roman" w:cs="Times New Roman"/>
          <w:b/>
          <w:sz w:val="24"/>
          <w:szCs w:val="24"/>
        </w:rPr>
        <w:t xml:space="preserve"> </w:t>
      </w:r>
    </w:p>
    <w:p w:rsidR="00F06656" w:rsidRPr="00DA1BF1" w:rsidRDefault="004D37F4"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A la Propiedad Intelectual</w:t>
      </w:r>
      <w:r w:rsidR="00533221" w:rsidRPr="00DA1BF1">
        <w:rPr>
          <w:rFonts w:ascii="Times New Roman" w:hAnsi="Times New Roman" w:cs="Times New Roman"/>
          <w:sz w:val="24"/>
          <w:szCs w:val="24"/>
        </w:rPr>
        <w:fldChar w:fldCharType="begin"/>
      </w:r>
      <w:r w:rsidR="005A628D" w:rsidRPr="00DA1BF1">
        <w:rPr>
          <w:rFonts w:ascii="Times New Roman" w:hAnsi="Times New Roman" w:cs="Times New Roman"/>
          <w:sz w:val="24"/>
          <w:szCs w:val="24"/>
        </w:rPr>
        <w:instrText xml:space="preserve"> ADDIN EN.CITE &lt;EndNote&gt;&lt;Cite ExcludeAuth="1" ExcludeYear="1"&gt;&lt;Author&gt;ANPP&lt;/Author&gt;&lt;Year&gt;2014&lt;/Year&gt;&lt;RecNum&gt;203&lt;/RecNum&gt;&lt;record&gt;&lt;rec-number&gt;203&lt;/rec-number&gt;&lt;foreign-keys&gt;&lt;key app="EN" db-id="5x2rzfvvuw9228e2t9m5tsv7ptsvza9dsv2d"&gt;203&lt;/key&gt;&lt;/foreign-keys&gt;&lt;ref-type name="Normativa corporativa o institucional online"&gt;44&lt;/ref-type&gt;&lt;contributors&gt;&lt;authors&gt;&lt;author&gt;ANPP&lt;/author&gt;&lt;/authors&gt;&lt;/contributors&gt;&lt;titles&gt;&lt;title&gt;Ley 118/14, De la Inversión Extranjera&lt;/title&gt;&lt;secondary-title&gt;Asamblea Nacional del Poder Popular&lt;/secondary-title&gt;&lt;/titles&gt;&lt;number&gt;20 &lt;/number&gt;&lt;edition&gt;Extraordinaria&lt;/edition&gt;&lt;dates&gt;&lt;year&gt;2014&lt;/year&gt;&lt;pub-dates&gt;&lt;date&gt;15/01/2015&lt;/date&gt;&lt;/pub-dates&gt;&lt;/dates&gt;&lt;pub-location&gt;La Habana, Cuba&lt;/pub-location&gt;&lt;publisher&gt;Gaceta Oficial de la República de Cuba&lt;/publisher&gt;&lt;urls&gt;&lt;related-urls&gt;&lt;url&gt;https://www.gacetaoficial.gob.cu/&lt;/url&gt;&lt;/related-urls&gt;&lt;pdf-urls&gt;&lt;url&gt;file://D:\Evelio\TESIS DOCTORAL\Bibliografia Tesis\6 LEYES Y NORMATIVAS\GO_X_20_2014 Ley 118 Invers Extranj.pdf&lt;/url&gt;&lt;/pdf-urls&gt;&lt;/urls&gt;&lt;custom1&gt;introducc  1.3.4.   &lt;/custom1&gt;&lt;language&gt;Español&lt;/language&gt;&lt;/record&gt;&lt;/Cite&gt;&lt;/EndNote&gt;</w:instrTex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 xml:space="preserve"> (PI) como disciplina del Derecho le </w:t>
      </w:r>
      <w:r w:rsidR="0012684D" w:rsidRPr="00DA1BF1">
        <w:rPr>
          <w:rFonts w:ascii="Times New Roman" w:hAnsi="Times New Roman" w:cs="Times New Roman"/>
          <w:sz w:val="24"/>
          <w:szCs w:val="24"/>
        </w:rPr>
        <w:t>concierne</w:t>
      </w:r>
      <w:r w:rsidRPr="00DA1BF1">
        <w:rPr>
          <w:rFonts w:ascii="Times New Roman" w:hAnsi="Times New Roman" w:cs="Times New Roman"/>
          <w:sz w:val="24"/>
          <w:szCs w:val="24"/>
        </w:rPr>
        <w:t xml:space="preserve"> garantizar el orden legal y administrativo en los procesos de creación </w:t>
      </w:r>
      <w:r w:rsidR="00E53589" w:rsidRPr="00DA1BF1">
        <w:rPr>
          <w:rFonts w:ascii="Times New Roman" w:hAnsi="Times New Roman" w:cs="Times New Roman"/>
          <w:sz w:val="24"/>
          <w:szCs w:val="24"/>
        </w:rPr>
        <w:t xml:space="preserve">científica </w:t>
      </w:r>
      <w:r w:rsidRPr="00DA1BF1">
        <w:rPr>
          <w:rFonts w:ascii="Times New Roman" w:hAnsi="Times New Roman" w:cs="Times New Roman"/>
          <w:sz w:val="24"/>
          <w:szCs w:val="24"/>
        </w:rPr>
        <w:t xml:space="preserve">en las empresas para beneficiar a </w:t>
      </w:r>
      <w:r w:rsidR="0021356C" w:rsidRPr="00DA1BF1">
        <w:rPr>
          <w:rFonts w:ascii="Times New Roman" w:hAnsi="Times New Roman" w:cs="Times New Roman"/>
          <w:sz w:val="24"/>
          <w:szCs w:val="24"/>
        </w:rPr>
        <w:t xml:space="preserve">los </w:t>
      </w:r>
      <w:r w:rsidRPr="00DA1BF1">
        <w:rPr>
          <w:rFonts w:ascii="Times New Roman" w:hAnsi="Times New Roman" w:cs="Times New Roman"/>
          <w:sz w:val="24"/>
          <w:szCs w:val="24"/>
        </w:rPr>
        <w:t>titulares y limitar a terceros el uso y disfrute de realizaciones o resultados</w:t>
      </w:r>
      <w:r w:rsidR="00744213" w:rsidRPr="00DA1BF1">
        <w:rPr>
          <w:rFonts w:ascii="Times New Roman" w:hAnsi="Times New Roman" w:cs="Times New Roman"/>
          <w:sz w:val="24"/>
          <w:szCs w:val="24"/>
        </w:rPr>
        <w:t xml:space="preserve"> </w:t>
      </w:r>
      <w:r w:rsidRPr="00DA1BF1">
        <w:rPr>
          <w:rFonts w:ascii="Times New Roman" w:hAnsi="Times New Roman" w:cs="Times New Roman"/>
          <w:sz w:val="24"/>
          <w:szCs w:val="24"/>
        </w:rPr>
        <w:t xml:space="preserve">sin la </w:t>
      </w:r>
      <w:r w:rsidR="00EE4080" w:rsidRPr="00DA1BF1">
        <w:rPr>
          <w:rFonts w:ascii="Times New Roman" w:hAnsi="Times New Roman" w:cs="Times New Roman"/>
          <w:sz w:val="24"/>
          <w:szCs w:val="24"/>
        </w:rPr>
        <w:t xml:space="preserve">correcta </w:t>
      </w:r>
      <w:r w:rsidRPr="00DA1BF1">
        <w:rPr>
          <w:rFonts w:ascii="Times New Roman" w:hAnsi="Times New Roman" w:cs="Times New Roman"/>
          <w:sz w:val="24"/>
          <w:szCs w:val="24"/>
        </w:rPr>
        <w:t xml:space="preserve">autorización </w:t>
      </w:r>
      <w:r w:rsidR="00533221" w:rsidRPr="00DA1BF1">
        <w:rPr>
          <w:rFonts w:ascii="Times New Roman" w:hAnsi="Times New Roman" w:cs="Times New Roman"/>
          <w:sz w:val="24"/>
          <w:szCs w:val="24"/>
        </w:rPr>
        <w:fldChar w:fldCharType="begin"/>
      </w:r>
      <w:r w:rsidR="00F06656" w:rsidRPr="00DA1BF1">
        <w:rPr>
          <w:rFonts w:ascii="Times New Roman" w:hAnsi="Times New Roman" w:cs="Times New Roman"/>
          <w:sz w:val="24"/>
          <w:szCs w:val="24"/>
        </w:rPr>
        <w:instrText xml:space="preserve"> ADDIN EN.CITE &lt;EndNote&gt;&lt;Cite&gt;&lt;Author&gt;Kalanje&lt;/Author&gt;&lt;Year&gt;2015&lt;/Year&gt;&lt;RecNum&gt;995&lt;/RecNum&gt;&lt;DisplayText&gt;&lt;style size="10"&gt;(Kalanje, 2015)&lt;/style&gt;&lt;/DisplayText&gt;&lt;record&gt;&lt;rec-number&gt;995&lt;/rec-number&gt;&lt;foreign-keys&gt;&lt;key app="EN" db-id="5x2rzfvvuw9228e2t9m5tsv7ptsvza9dsv2d"&gt;995&lt;/key&gt;&lt;/foreign-keys&gt;&lt;ref-type name="Artículo disponible en Web institucional"&gt;34&lt;/ref-type&gt;&lt;contributors&gt;&lt;authors&gt;&lt;author&gt;Kalanje,Christopher M&lt;/author&gt;&lt;/authors&gt;&lt;/contributors&gt;&lt;titles&gt;&lt;title&gt;El papel de la propiedad intelectual en la innovación y el desarrollo de nuevos productos&lt;/title&gt;&lt;/titles&gt;&lt;edition&gt;Formato Digital&lt;/edition&gt;&lt;dates&gt;&lt;year&gt;2015&lt;/year&gt;&lt;pub-dates&gt;&lt;date&gt;15/01/2016&lt;/date&gt;&lt;/pub-dates&gt;&lt;/dates&gt;&lt;pub-location&gt;Ginebra, Suiza&lt;/pub-location&gt;&lt;publisher&gt;Organización Mundial de la Propiedad Intelectual (OMPI)&lt;/publisher&gt;&lt;urls&gt;&lt;related-urls&gt;&lt;url&gt;http://www.wipo.int/export/sites/www/sme/es/documents/pdf/ip_innovation_development.pdf&lt;/url&gt;&lt;/related-urls&gt;&lt;pdf-urls&gt;&lt;url&gt;file://D:\Dulce PI\Bibliografía PI esta\000Biblio nueva Dulce\ip_innovation_development.pdf&lt;/url&gt;&lt;/pdf-urls&gt;&lt;/urls&gt;&lt;custom1&gt;Eve&lt;/custom1&gt;&lt;/record&gt;&lt;/Cite&gt;&lt;/EndNote&gt;</w:instrText>
      </w:r>
      <w:r w:rsidR="00533221" w:rsidRPr="00DA1BF1">
        <w:rPr>
          <w:rFonts w:ascii="Times New Roman" w:hAnsi="Times New Roman" w:cs="Times New Roman"/>
          <w:sz w:val="24"/>
          <w:szCs w:val="24"/>
        </w:rPr>
        <w:fldChar w:fldCharType="separate"/>
      </w:r>
      <w:r w:rsidR="00F06656" w:rsidRPr="00DA1BF1">
        <w:rPr>
          <w:rFonts w:ascii="Times New Roman" w:hAnsi="Times New Roman" w:cs="Times New Roman"/>
          <w:noProof/>
          <w:sz w:val="24"/>
          <w:szCs w:val="24"/>
        </w:rPr>
        <w:t>(</w:t>
      </w:r>
      <w:hyperlink w:anchor="_ENREF_13" w:tooltip="Kalanje, 2015 #995" w:history="1">
        <w:r w:rsidR="00790FE3" w:rsidRPr="00DA1BF1">
          <w:rPr>
            <w:rFonts w:ascii="Times New Roman" w:hAnsi="Times New Roman" w:cs="Times New Roman"/>
            <w:noProof/>
            <w:sz w:val="24"/>
            <w:szCs w:val="24"/>
          </w:rPr>
          <w:t>Kalanje, 2015</w:t>
        </w:r>
      </w:hyperlink>
      <w:r w:rsidR="00F06656"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00EE4080" w:rsidRPr="00DA1BF1">
        <w:rPr>
          <w:rFonts w:ascii="Times New Roman" w:hAnsi="Times New Roman" w:cs="Times New Roman"/>
          <w:sz w:val="24"/>
          <w:szCs w:val="24"/>
        </w:rPr>
        <w:t xml:space="preserve"> y </w:t>
      </w:r>
      <w:r w:rsidR="00E74274" w:rsidRPr="00DA1BF1">
        <w:rPr>
          <w:rFonts w:ascii="Times New Roman" w:hAnsi="Times New Roman" w:cs="Times New Roman"/>
          <w:sz w:val="24"/>
          <w:szCs w:val="24"/>
        </w:rPr>
        <w:t xml:space="preserve">a </w:t>
      </w:r>
      <w:r w:rsidRPr="00DA1BF1">
        <w:rPr>
          <w:rFonts w:ascii="Times New Roman" w:hAnsi="Times New Roman" w:cs="Times New Roman"/>
          <w:sz w:val="24"/>
          <w:szCs w:val="24"/>
        </w:rPr>
        <w:t xml:space="preserve">la Contabilidad </w:t>
      </w:r>
      <w:r w:rsidR="00E74274" w:rsidRPr="00DA1BF1">
        <w:rPr>
          <w:rFonts w:ascii="Times New Roman" w:hAnsi="Times New Roman" w:cs="Times New Roman"/>
          <w:sz w:val="24"/>
          <w:szCs w:val="24"/>
        </w:rPr>
        <w:t>le corresponde</w:t>
      </w:r>
      <w:r w:rsidRPr="00DA1BF1">
        <w:rPr>
          <w:rFonts w:ascii="Times New Roman" w:hAnsi="Times New Roman" w:cs="Times New Roman"/>
          <w:sz w:val="24"/>
          <w:szCs w:val="24"/>
        </w:rPr>
        <w:t xml:space="preserve"> informar cualquier acontecimiento que pudiera afectar el patrimonio empresarial en función de que se adopten decisiones eficientes</w:t>
      </w:r>
      <w:r w:rsidR="00B41D3F" w:rsidRPr="00DA1BF1">
        <w:rPr>
          <w:rFonts w:ascii="Times New Roman" w:hAnsi="Times New Roman" w:cs="Times New Roman"/>
          <w:sz w:val="24"/>
          <w:szCs w:val="24"/>
        </w:rPr>
        <w:t xml:space="preserve"> en las entidades</w:t>
      </w:r>
      <w:r w:rsidR="005F4A13" w:rsidRPr="00DA1BF1">
        <w:rPr>
          <w:rFonts w:ascii="Times New Roman" w:hAnsi="Times New Roman" w:cs="Times New Roman"/>
          <w:sz w:val="24"/>
          <w:szCs w:val="24"/>
        </w:rPr>
        <w:t xml:space="preserve"> </w:t>
      </w:r>
      <w:r w:rsidR="00533221" w:rsidRPr="00DA1BF1">
        <w:rPr>
          <w:rFonts w:ascii="Times New Roman" w:hAnsi="Times New Roman" w:cs="Times New Roman"/>
          <w:sz w:val="24"/>
          <w:szCs w:val="24"/>
        </w:rPr>
        <w:fldChar w:fldCharType="begin"/>
      </w:r>
      <w:r w:rsidR="005F4A13" w:rsidRPr="00DA1BF1">
        <w:rPr>
          <w:rFonts w:ascii="Times New Roman" w:hAnsi="Times New Roman" w:cs="Times New Roman"/>
          <w:sz w:val="24"/>
          <w:szCs w:val="24"/>
        </w:rPr>
        <w:instrText xml:space="preserve"> ADDIN EN.CITE &lt;EndNote&gt;&lt;Cite&gt;&lt;Author&gt;Del Toro&lt;/Author&gt;&lt;Year&gt;2017&lt;/Year&gt;&lt;RecNum&gt;912&lt;/RecNum&gt;&lt;DisplayText&gt;&lt;style size="10"&gt;(Del Toro, 2017)&lt;/style&gt;&lt;/DisplayText&gt;&lt;record&gt;&lt;rec-number&gt;912&lt;/rec-number&gt;&lt;foreign-keys&gt;&lt;key app="EN" db-id="5x2rzfvvuw9228e2t9m5tsv7ptsvza9dsv2d"&gt;912&lt;/key&gt;&lt;/foreign-keys&gt;&lt;ref-type name="Publicación de evento o congreso impresos/electrónicos"&gt;10&lt;/ref-type&gt;&lt;contributors&gt;&lt;authors&gt;&lt;author&gt;Del Toro,José Carlos&lt;/author&gt;&lt;/authors&gt;&lt;/contributors&gt;&lt;titles&gt;&lt;title&gt;La Contabilidad en el proceso de Actualización del Modelo Económico Cubano&lt;/title&gt;&lt;secondary-title&gt;XI Encuentro Internacional de Contabilidad, Auditoría y Finanzas&lt;/secondary-title&gt;&lt;tertiary-title&gt;Palacio de Convenciones&lt;/tertiary-title&gt;&lt;/titles&gt;&lt;dates&gt;&lt;year&gt;2017&lt;/year&gt;&lt;/dates&gt;&lt;pub-location&gt;La Habana, Cuba&lt;/pub-location&gt;&lt;publisher&gt;Asociación Nacional de Economistas y Contadores de Cuba&lt;/publisher&gt;&lt;urls&gt;&lt;/urls&gt;&lt;custom1&gt;nooo Contabilidad&lt;/custom1&gt;&lt;/record&gt;&lt;/Cite&gt;&lt;/EndNote&gt;</w:instrText>
      </w:r>
      <w:r w:rsidR="00533221" w:rsidRPr="00DA1BF1">
        <w:rPr>
          <w:rFonts w:ascii="Times New Roman" w:hAnsi="Times New Roman" w:cs="Times New Roman"/>
          <w:sz w:val="24"/>
          <w:szCs w:val="24"/>
        </w:rPr>
        <w:fldChar w:fldCharType="separate"/>
      </w:r>
      <w:r w:rsidR="005F4A13" w:rsidRPr="00DA1BF1">
        <w:rPr>
          <w:rFonts w:ascii="Times New Roman" w:hAnsi="Times New Roman" w:cs="Times New Roman"/>
          <w:noProof/>
          <w:sz w:val="24"/>
          <w:szCs w:val="24"/>
        </w:rPr>
        <w:t>(</w:t>
      </w:r>
      <w:hyperlink w:anchor="_ENREF_9" w:tooltip="Del Toro, 2017 #912" w:history="1">
        <w:r w:rsidR="00790FE3" w:rsidRPr="00DA1BF1">
          <w:rPr>
            <w:rFonts w:ascii="Times New Roman" w:hAnsi="Times New Roman" w:cs="Times New Roman"/>
            <w:noProof/>
            <w:sz w:val="24"/>
            <w:szCs w:val="24"/>
          </w:rPr>
          <w:t>Del Toro, 2017</w:t>
        </w:r>
      </w:hyperlink>
      <w:r w:rsidR="005F4A13"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 Juntas materializan la creación de activos fijos intangibles de (AFI) de PI que conforman el patrimonio intangible empresarial</w:t>
      </w:r>
      <w:r w:rsidR="00F06656" w:rsidRPr="00DA1BF1">
        <w:rPr>
          <w:rFonts w:ascii="Times New Roman" w:hAnsi="Times New Roman" w:cs="Times New Roman"/>
          <w:sz w:val="24"/>
          <w:szCs w:val="24"/>
        </w:rPr>
        <w:t xml:space="preserve"> </w:t>
      </w:r>
      <w:r w:rsidR="00533221" w:rsidRPr="00DA1BF1">
        <w:rPr>
          <w:rFonts w:ascii="Times New Roman" w:hAnsi="Times New Roman" w:cs="Times New Roman"/>
          <w:color w:val="000000" w:themeColor="text1"/>
          <w:sz w:val="24"/>
          <w:szCs w:val="24"/>
        </w:rPr>
        <w:fldChar w:fldCharType="begin"/>
      </w:r>
      <w:r w:rsidR="00AA3525" w:rsidRPr="00DA1BF1">
        <w:rPr>
          <w:rFonts w:ascii="Times New Roman" w:hAnsi="Times New Roman" w:cs="Times New Roman"/>
          <w:color w:val="000000" w:themeColor="text1"/>
          <w:sz w:val="24"/>
          <w:szCs w:val="24"/>
        </w:rPr>
        <w:instrText xml:space="preserve"> ADDIN EN.CITE &lt;EndNote&gt;&lt;Cite&gt;&lt;Author&gt;Suárez Gutiérrez&lt;/Author&gt;&lt;Year&gt;2016&lt;/Year&gt;&lt;RecNum&gt;466&lt;/RecNum&gt;&lt;DisplayText&gt;&lt;style size="10"&gt;(Suárez Gutiérrez y Contreras Villavicencio, 2016)&lt;/style&gt;&lt;/DisplayText&gt;&lt;record&gt;&lt;rec-number&gt;466&lt;/rec-number&gt;&lt;foreign-keys&gt;&lt;key app="EN" db-id="5x2rzfvvuw9228e2t9m5tsv7ptsvza9dsv2d"&gt;466&lt;/key&gt;&lt;/foreign-keys&gt;&lt;ref-type name="Libro o folleto impresos/electrónicos"&gt;51&lt;/ref-type&gt;&lt;contributors&gt;&lt;authors&gt;&lt;author&gt;Suárez Gutiérrez, Evelio&lt;/author&gt;&lt;author&gt;Contreras Villavicencio, Dulce María&lt;/author&gt;&lt;/authors&gt;&lt;/contributors&gt;&lt;titles&gt;&lt;title&gt;Contabilidad  de activos intangibles de propiedad intelectual. Necesidad en la Empresa Estatal Socialista Cubana&lt;/title&gt;&lt;/titles&gt;&lt;edition&gt;Copyright © OmniScriptum GmbH &amp;amp; Co. KG&lt;/edition&gt;&lt;dates&gt;&lt;year&gt;2016&lt;/year&gt;&lt;/dates&gt;&lt;pub-location&gt;http://www.eae-publishing.com&lt;/pub-location&gt;&lt;publisher&gt;Editorial Académica Española (eae). ISBN 978-3-639-78606-4&lt;/publisher&gt;&lt;urls&gt;&lt;pdf-urls&gt;&lt;url&gt;file://D:\Una de Todos\2 ARTÍCULOS DULCE Y EVELIO\Eventos Y Publicaciones\Libro eve dulce\978-3-639-78606-4_.pdf&lt;/url&gt;&lt;url&gt;file://D:\Una de Todos\2 ARTÍCULOS DULCE Y EVELIO\Eventos Y Publicaciones\Libro eve dulce\Evelio_ Dulce María 01 .pdf&lt;/url&gt;&lt;url&gt;file://D:\Una de Todos\2 ARTÍCULOS DULCE Y EVELIO\Eventos Y Publicaciones\Libro eve dulce\Evelio_ Dulce María 01 .docx&lt;/url&gt;&lt;/pdf-urls&gt;&lt;/urls&gt;&lt;custom1&gt;Introducc  empresa gestión integral&lt;/custom1&gt;&lt;/record&gt;&lt;/Cite&gt;&lt;/EndNote&gt;</w:instrText>
      </w:r>
      <w:r w:rsidR="00533221" w:rsidRPr="00DA1BF1">
        <w:rPr>
          <w:rFonts w:ascii="Times New Roman" w:hAnsi="Times New Roman" w:cs="Times New Roman"/>
          <w:color w:val="000000" w:themeColor="text1"/>
          <w:sz w:val="24"/>
          <w:szCs w:val="24"/>
        </w:rPr>
        <w:fldChar w:fldCharType="separate"/>
      </w:r>
      <w:r w:rsidR="00AA3525" w:rsidRPr="00DA1BF1">
        <w:rPr>
          <w:rFonts w:ascii="Times New Roman" w:hAnsi="Times New Roman" w:cs="Times New Roman"/>
          <w:noProof/>
          <w:color w:val="000000" w:themeColor="text1"/>
          <w:sz w:val="24"/>
          <w:szCs w:val="24"/>
        </w:rPr>
        <w:t>(</w:t>
      </w:r>
      <w:hyperlink w:anchor="_ENREF_25" w:tooltip="Suárez Gutiérrez, 2016 #466" w:history="1">
        <w:r w:rsidR="00790FE3" w:rsidRPr="00DA1BF1">
          <w:rPr>
            <w:rFonts w:ascii="Times New Roman" w:hAnsi="Times New Roman" w:cs="Times New Roman"/>
            <w:noProof/>
            <w:color w:val="000000" w:themeColor="text1"/>
            <w:sz w:val="24"/>
            <w:szCs w:val="24"/>
          </w:rPr>
          <w:t xml:space="preserve">Suárez </w:t>
        </w:r>
        <w:r w:rsidR="00CD427A">
          <w:rPr>
            <w:rFonts w:ascii="Times New Roman" w:hAnsi="Times New Roman" w:cs="Times New Roman"/>
            <w:noProof/>
            <w:color w:val="000000" w:themeColor="text1"/>
            <w:sz w:val="24"/>
            <w:szCs w:val="24"/>
          </w:rPr>
          <w:t>y Contreras</w:t>
        </w:r>
        <w:r w:rsidR="00790FE3" w:rsidRPr="00DA1BF1">
          <w:rPr>
            <w:rFonts w:ascii="Times New Roman" w:hAnsi="Times New Roman" w:cs="Times New Roman"/>
            <w:noProof/>
            <w:color w:val="000000" w:themeColor="text1"/>
            <w:sz w:val="24"/>
            <w:szCs w:val="24"/>
          </w:rPr>
          <w:t>, 2016</w:t>
        </w:r>
      </w:hyperlink>
      <w:r w:rsidR="00AA3525" w:rsidRPr="00DA1BF1">
        <w:rPr>
          <w:rFonts w:ascii="Times New Roman" w:hAnsi="Times New Roman" w:cs="Times New Roman"/>
          <w:noProof/>
          <w:color w:val="000000" w:themeColor="text1"/>
          <w:sz w:val="24"/>
          <w:szCs w:val="24"/>
        </w:rPr>
        <w:t>)</w:t>
      </w:r>
      <w:r w:rsidR="00533221" w:rsidRPr="00DA1BF1">
        <w:rPr>
          <w:rFonts w:ascii="Times New Roman" w:hAnsi="Times New Roman" w:cs="Times New Roman"/>
          <w:color w:val="000000" w:themeColor="text1"/>
          <w:sz w:val="24"/>
          <w:szCs w:val="24"/>
        </w:rPr>
        <w:fldChar w:fldCharType="end"/>
      </w:r>
      <w:r w:rsidR="00F06656" w:rsidRPr="00DA1BF1">
        <w:rPr>
          <w:rFonts w:ascii="Times New Roman" w:hAnsi="Times New Roman" w:cs="Times New Roman"/>
          <w:color w:val="000000" w:themeColor="text1"/>
          <w:sz w:val="24"/>
          <w:szCs w:val="24"/>
        </w:rPr>
        <w:t>.</w:t>
      </w:r>
    </w:p>
    <w:p w:rsidR="004D37F4" w:rsidRPr="00DA1BF1" w:rsidRDefault="004D37F4" w:rsidP="0033307C">
      <w:pPr>
        <w:spacing w:before="120" w:after="120" w:line="360" w:lineRule="auto"/>
        <w:jc w:val="both"/>
        <w:rPr>
          <w:rFonts w:ascii="Times New Roman" w:hAnsi="Times New Roman" w:cs="Times New Roman"/>
          <w:color w:val="000000" w:themeColor="text1"/>
          <w:sz w:val="24"/>
          <w:szCs w:val="24"/>
        </w:rPr>
      </w:pPr>
      <w:r w:rsidRPr="00DA1BF1">
        <w:rPr>
          <w:rFonts w:ascii="Times New Roman" w:hAnsi="Times New Roman" w:cs="Times New Roman"/>
          <w:sz w:val="24"/>
          <w:szCs w:val="24"/>
        </w:rPr>
        <w:t>La apertura a la inversión extranjera y la voluntad del Estado cubano de diversificar las exportaciones</w:t>
      </w:r>
      <w:r w:rsidR="00B41D3F" w:rsidRPr="00DA1BF1">
        <w:rPr>
          <w:rFonts w:ascii="Times New Roman" w:hAnsi="Times New Roman" w:cs="Times New Roman"/>
          <w:sz w:val="24"/>
          <w:szCs w:val="24"/>
        </w:rPr>
        <w:t xml:space="preserve"> en función del desarrollo</w:t>
      </w:r>
      <w:r w:rsidR="00193448" w:rsidRPr="00DA1BF1">
        <w:rPr>
          <w:rFonts w:ascii="Times New Roman" w:hAnsi="Times New Roman" w:cs="Times New Roman"/>
          <w:sz w:val="24"/>
          <w:szCs w:val="24"/>
        </w:rPr>
        <w:t xml:space="preserve"> </w:t>
      </w:r>
      <w:r w:rsidR="00533221" w:rsidRPr="00DA1BF1">
        <w:rPr>
          <w:rFonts w:ascii="Times New Roman" w:hAnsi="Times New Roman" w:cs="Times New Roman"/>
          <w:sz w:val="24"/>
          <w:szCs w:val="24"/>
        </w:rPr>
        <w:fldChar w:fldCharType="begin"/>
      </w:r>
      <w:r w:rsidR="00790FE3" w:rsidRPr="00DA1BF1">
        <w:rPr>
          <w:rFonts w:ascii="Times New Roman" w:hAnsi="Times New Roman" w:cs="Times New Roman"/>
          <w:sz w:val="24"/>
          <w:szCs w:val="24"/>
        </w:rPr>
        <w:instrText xml:space="preserve"> ADDIN EN.CITE &lt;EndNote&gt;&lt;Cite&gt;&lt;Author&gt;PCC&lt;/Author&gt;&lt;Year&gt;2017&lt;/Year&gt;&lt;RecNum&gt;625&lt;/RecNum&gt;&lt;DisplayText&gt;&lt;style size="10"&gt;(PCC, 2017)&lt;/style&gt;&lt;/DisplayText&gt;&lt;record&gt;&lt;rec-number&gt;625&lt;/rec-number&gt;&lt;foreign-keys&gt;&lt;key app="EN" db-id="5x2rzfvvuw9228e2t9m5tsv7ptsvza9dsv2d"&gt;625&lt;/key&gt;&lt;/foreign-keys&gt;&lt;ref-type name="Normativa corporativa o institucional impresa/electrónica"&gt;2&lt;/ref-type&gt;&lt;contributors&gt;&lt;authors&gt;&lt;author&gt;PCC&lt;/author&gt;&lt;/authors&gt;&lt;/contributors&gt;&lt;titles&gt;&lt;title&gt;Plan Nacional de Desarrollo Económico y Social hasta 2030: Visión de la nación, ejes y sectores estratégicos&lt;/title&gt;&lt;secondary-title&gt;Partido Comunista de Cuba&lt;/secondary-title&gt;&lt;/titles&gt;&lt;edition&gt;Especial Impresa&lt;/edition&gt;&lt;dates&gt;&lt;year&gt;2017&lt;/year&gt;&lt;pub-dates&gt;&lt;date&gt;22/12/2016&lt;/date&gt;&lt;/pub-dates&gt;&lt;/dates&gt;&lt;pub-location&gt;La Habana, Cuba&lt;/pub-location&gt;&lt;publisher&gt;&lt;style face="normal" font="default" size="100%"&gt;Tabloides I y II Documentos del 7&lt;/style&gt;&lt;style face="superscript" font="default" size="100%"&gt;mo&lt;/style&gt;&lt;style face="normal" font="default" size="100%"&gt; Congreso del Partido&lt;/style&gt;&lt;/publisher&gt;&lt;urls&gt;&lt;/urls&gt;&lt;custom1&gt;Introducc 1.3.2.   Empresa estrategias&lt;/custom1&gt;&lt;language&gt;Español&lt;/language&gt;&lt;/record&gt;&lt;/Cite&gt;&lt;/EndNote&gt;</w:instrText>
      </w:r>
      <w:r w:rsidR="00533221" w:rsidRPr="00DA1BF1">
        <w:rPr>
          <w:rFonts w:ascii="Times New Roman" w:hAnsi="Times New Roman" w:cs="Times New Roman"/>
          <w:sz w:val="24"/>
          <w:szCs w:val="24"/>
        </w:rPr>
        <w:fldChar w:fldCharType="separate"/>
      </w:r>
      <w:r w:rsidR="00193448" w:rsidRPr="00DA1BF1">
        <w:rPr>
          <w:rFonts w:ascii="Times New Roman" w:hAnsi="Times New Roman" w:cs="Times New Roman"/>
          <w:noProof/>
          <w:sz w:val="24"/>
          <w:szCs w:val="24"/>
        </w:rPr>
        <w:t>(</w:t>
      </w:r>
      <w:hyperlink w:anchor="_ENREF_21" w:tooltip="PCC, 2017 #625" w:history="1">
        <w:r w:rsidR="00790FE3" w:rsidRPr="00DA1BF1">
          <w:rPr>
            <w:rFonts w:ascii="Times New Roman" w:hAnsi="Times New Roman" w:cs="Times New Roman"/>
            <w:noProof/>
            <w:sz w:val="24"/>
            <w:szCs w:val="24"/>
          </w:rPr>
          <w:t>PCC, 2017</w:t>
        </w:r>
      </w:hyperlink>
      <w:r w:rsidR="00193448"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 xml:space="preserve"> revelan la importancia de la PI y el patrimonio intangible en la legitimidad de bienes y servicios con valor agregado</w:t>
      </w:r>
      <w:r w:rsidR="00C40B39" w:rsidRPr="00DA1BF1">
        <w:rPr>
          <w:rFonts w:ascii="Times New Roman" w:hAnsi="Times New Roman" w:cs="Times New Roman"/>
          <w:sz w:val="24"/>
          <w:szCs w:val="24"/>
        </w:rPr>
        <w:t xml:space="preserve"> </w:t>
      </w:r>
      <w:r w:rsidR="00533221" w:rsidRPr="00DA1BF1">
        <w:rPr>
          <w:rFonts w:ascii="Times New Roman" w:hAnsi="Times New Roman" w:cs="Times New Roman"/>
          <w:sz w:val="24"/>
          <w:szCs w:val="24"/>
        </w:rPr>
        <w:fldChar w:fldCharType="begin"/>
      </w:r>
      <w:r w:rsidR="00AA3525" w:rsidRPr="00DA1BF1">
        <w:rPr>
          <w:rFonts w:ascii="Times New Roman" w:hAnsi="Times New Roman" w:cs="Times New Roman"/>
          <w:sz w:val="24"/>
          <w:szCs w:val="24"/>
        </w:rPr>
        <w:instrText xml:space="preserve"> ADDIN EN.CITE &lt;EndNote&gt;&lt;Cite&gt;&lt;Author&gt;Moreno Cruz&lt;/Author&gt;&lt;Year&gt;2017&lt;/Year&gt;&lt;RecNum&gt;1008&lt;/RecNum&gt;&lt;DisplayText&gt;&lt;style size="10"&gt;(Moreno Cruz, 2017)&lt;/style&gt;&lt;/DisplayText&gt;&lt;record&gt;&lt;rec-number&gt;1008&lt;/rec-number&gt;&lt;foreign-keys&gt;&lt;key app="EN" db-id="5x2rzfvvuw9228e2t9m5tsv7ptsvza9dsv2d"&gt;1008&lt;/key&gt;&lt;/foreign-keys&gt;&lt;ref-type name="Artículo de versión online de revista impresa"&gt;43&lt;/ref-type&gt;&lt;contributors&gt;&lt;authors&gt;&lt;author&gt;Moreno Cruz, Marta&lt;/author&gt;&lt;/authors&gt;&lt;/contributors&gt;&lt;titles&gt;&lt;title&gt;Garantías del Sistema Jurídico Cubano para la Promoción y Protección de la Inversión Extranjera&lt;/title&gt;&lt;secondary-title&gt;Florida Journal of International Law&lt;/secondary-title&gt;&lt;/titles&gt;&lt;periodical&gt;&lt;full-title&gt;Florida Journal of International Law&lt;/full-title&gt;&lt;/periodical&gt;&lt;volume&gt; 29&lt;/volume&gt;&lt;number&gt;1&lt;/number&gt;&lt;dates&gt;&lt;year&gt;2017&lt;/year&gt;&lt;pub-dates&gt;&lt;date&gt;21/04/2018&lt;/date&gt;&lt;/pub-dates&gt;&lt;/dates&gt;&lt;urls&gt;&lt;related-urls&gt;&lt;url&gt;http://scholarship.law.ufl.edu/fjil/vol29/iss1/27&lt;/url&gt;&lt;/related-urls&gt;&lt;/urls&gt;&lt;/record&gt;&lt;/Cite&gt;&lt;/EndNote&gt;</w:instrText>
      </w:r>
      <w:r w:rsidR="00533221" w:rsidRPr="00DA1BF1">
        <w:rPr>
          <w:rFonts w:ascii="Times New Roman" w:hAnsi="Times New Roman" w:cs="Times New Roman"/>
          <w:sz w:val="24"/>
          <w:szCs w:val="24"/>
        </w:rPr>
        <w:fldChar w:fldCharType="separate"/>
      </w:r>
      <w:r w:rsidR="00AA3525" w:rsidRPr="00DA1BF1">
        <w:rPr>
          <w:rFonts w:ascii="Times New Roman" w:hAnsi="Times New Roman" w:cs="Times New Roman"/>
          <w:noProof/>
          <w:sz w:val="24"/>
          <w:szCs w:val="24"/>
        </w:rPr>
        <w:t>(</w:t>
      </w:r>
      <w:hyperlink w:anchor="_ENREF_19" w:tooltip="Moreno Cruz, 2017 #1008" w:history="1">
        <w:r w:rsidR="00CD427A">
          <w:rPr>
            <w:rFonts w:ascii="Times New Roman" w:hAnsi="Times New Roman" w:cs="Times New Roman"/>
            <w:noProof/>
            <w:sz w:val="24"/>
            <w:szCs w:val="24"/>
          </w:rPr>
          <w:t>Moreno</w:t>
        </w:r>
        <w:r w:rsidR="00790FE3" w:rsidRPr="00DA1BF1">
          <w:rPr>
            <w:rFonts w:ascii="Times New Roman" w:hAnsi="Times New Roman" w:cs="Times New Roman"/>
            <w:noProof/>
            <w:sz w:val="24"/>
            <w:szCs w:val="24"/>
          </w:rPr>
          <w:t>, 2017</w:t>
        </w:r>
      </w:hyperlink>
      <w:r w:rsidR="00AA3525"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 xml:space="preserve">, sin embargo, la exigua concepción teórica-jurídica de la disciplina, sin vínculo con </w:t>
      </w:r>
      <w:r w:rsidR="007D3CBD" w:rsidRPr="00DA1BF1">
        <w:rPr>
          <w:rFonts w:ascii="Times New Roman" w:hAnsi="Times New Roman" w:cs="Times New Roman"/>
          <w:sz w:val="24"/>
          <w:szCs w:val="24"/>
        </w:rPr>
        <w:t xml:space="preserve">el proceso contable </w:t>
      </w:r>
      <w:r w:rsidRPr="00DA1BF1">
        <w:rPr>
          <w:rFonts w:ascii="Times New Roman" w:hAnsi="Times New Roman" w:cs="Times New Roman"/>
          <w:color w:val="000000" w:themeColor="text1"/>
          <w:sz w:val="24"/>
          <w:szCs w:val="24"/>
        </w:rPr>
        <w:t>y, la necesidad de valorar y reconocer en los estados financieros</w:t>
      </w:r>
      <w:r w:rsidRPr="00DA1BF1">
        <w:rPr>
          <w:rFonts w:ascii="Times New Roman" w:hAnsi="Times New Roman" w:cs="Times New Roman"/>
          <w:sz w:val="24"/>
          <w:szCs w:val="24"/>
        </w:rPr>
        <w:t xml:space="preserve"> AFI de PI </w:t>
      </w:r>
      <w:r w:rsidRPr="00DA1BF1">
        <w:rPr>
          <w:rFonts w:ascii="Times New Roman" w:hAnsi="Times New Roman" w:cs="Times New Roman"/>
          <w:color w:val="000000" w:themeColor="text1"/>
          <w:sz w:val="24"/>
          <w:szCs w:val="24"/>
        </w:rPr>
        <w:t>creados en la empresa estatal, limitan</w:t>
      </w:r>
      <w:r w:rsidR="000539BD" w:rsidRPr="00DA1BF1">
        <w:rPr>
          <w:rFonts w:ascii="Times New Roman" w:hAnsi="Times New Roman" w:cs="Times New Roman"/>
          <w:color w:val="000000" w:themeColor="text1"/>
          <w:sz w:val="24"/>
          <w:szCs w:val="24"/>
        </w:rPr>
        <w:t xml:space="preserve"> </w:t>
      </w:r>
      <w:r w:rsidR="00193448" w:rsidRPr="00DA1BF1">
        <w:rPr>
          <w:rFonts w:ascii="Times New Roman" w:hAnsi="Times New Roman" w:cs="Times New Roman"/>
          <w:color w:val="000000" w:themeColor="text1"/>
          <w:sz w:val="24"/>
          <w:szCs w:val="24"/>
        </w:rPr>
        <w:t>aprovechar</w:t>
      </w:r>
      <w:r w:rsidR="000539BD" w:rsidRPr="00DA1BF1">
        <w:rPr>
          <w:rFonts w:ascii="Times New Roman" w:hAnsi="Times New Roman" w:cs="Times New Roman"/>
          <w:color w:val="000000" w:themeColor="text1"/>
          <w:sz w:val="24"/>
          <w:szCs w:val="24"/>
        </w:rPr>
        <w:t xml:space="preserve"> </w:t>
      </w:r>
      <w:r w:rsidRPr="00DA1BF1">
        <w:rPr>
          <w:rFonts w:ascii="Times New Roman" w:hAnsi="Times New Roman" w:cs="Times New Roman"/>
          <w:color w:val="000000" w:themeColor="text1"/>
          <w:sz w:val="24"/>
          <w:szCs w:val="24"/>
        </w:rPr>
        <w:t>los beneficios económicos que generan estos derechos</w:t>
      </w:r>
      <w:r w:rsidR="00AC7ACD">
        <w:rPr>
          <w:rFonts w:ascii="Times New Roman" w:hAnsi="Times New Roman" w:cs="Times New Roman"/>
          <w:color w:val="000000" w:themeColor="text1"/>
          <w:sz w:val="24"/>
          <w:szCs w:val="24"/>
        </w:rPr>
        <w:t xml:space="preserve"> </w:t>
      </w:r>
      <w:r w:rsidR="00533221" w:rsidRPr="00DA1BF1">
        <w:rPr>
          <w:rFonts w:ascii="Times New Roman" w:hAnsi="Times New Roman" w:cs="Times New Roman"/>
          <w:color w:val="000000" w:themeColor="text1"/>
          <w:sz w:val="24"/>
          <w:szCs w:val="24"/>
        </w:rPr>
        <w:fldChar w:fldCharType="begin"/>
      </w:r>
      <w:r w:rsidR="00790FE3" w:rsidRPr="00DA1BF1">
        <w:rPr>
          <w:rFonts w:ascii="Times New Roman" w:hAnsi="Times New Roman" w:cs="Times New Roman"/>
          <w:color w:val="000000" w:themeColor="text1"/>
          <w:sz w:val="24"/>
          <w:szCs w:val="24"/>
        </w:rPr>
        <w:instrText xml:space="preserve"> ADDIN EN.CITE &lt;EndNote&gt;&lt;Cite&gt;&lt;Author&gt;Suárez Gutiérrez&lt;/Author&gt;&lt;Year&gt;2018&lt;/Year&gt;&lt;RecNum&gt;776&lt;/RecNum&gt;&lt;DisplayText&gt;&lt;style size="10"&gt;(Suárez Gutiérrez, 2018)&lt;/style&gt;&lt;/DisplayText&gt;&lt;record&gt;&lt;rec-number&gt;776&lt;/rec-number&gt;&lt;foreign-keys&gt;&lt;key app="EN" db-id="5x2rzfvvuw9228e2t9m5tsv7ptsvza9dsv2d"&gt;776&lt;/key&gt;&lt;/foreign-keys&gt;&lt;ref-type name="Tesis impresa/electrónica"&gt;32&lt;/ref-type&gt;&lt;contributors&gt;&lt;authors&gt;&lt;author&gt;Suárez Gutiérrez, Evelio&lt;/author&gt;&lt;/authors&gt;&lt;/contributors&gt;&lt;titles&gt;&lt;title&gt;Procedimiento contable para la valoración y reconocimiento de activos fijos intangibles de propiedad intelectual en empresas estatales cubanas&lt;/title&gt;&lt;secondary-title&gt;Doctor en Ciencias Económicas, Especialidad Contabilidad&lt;/secondary-title&gt;&lt;/titles&gt;&lt;dates&gt;&lt;year&gt;2018&lt;/year&gt;&lt;/dates&gt;&lt;pub-location&gt;La Habana, Cuba&lt;/pub-location&gt;&lt;publisher&gt;Universidad Central «Marta Abreu» de Las Villas, Facultad de Ciencias Económicas, Departamento de Contabilidad y Finanzas&lt;/publisher&gt;&lt;urls&gt;&lt;pdf-urls&gt;&lt;url&gt;file://D:\Dulce PI\Bibliografía PI esta\00 Tesis UH Dpto Juridico\Tesis Doctoral Evelio Suárez Gutiérrez.pdf&lt;/url&gt;&lt;/pdf-urls&gt;&lt;/urls&gt;&lt;custom1&gt;1.2.3.  Empresa&lt;/custom1&gt;&lt;language&gt;Español&lt;/language&gt;&lt;/record&gt;&lt;/Cite&gt;&lt;/EndNote&gt;</w:instrText>
      </w:r>
      <w:r w:rsidR="00533221" w:rsidRPr="00DA1BF1">
        <w:rPr>
          <w:rFonts w:ascii="Times New Roman" w:hAnsi="Times New Roman" w:cs="Times New Roman"/>
          <w:color w:val="000000" w:themeColor="text1"/>
          <w:sz w:val="24"/>
          <w:szCs w:val="24"/>
        </w:rPr>
        <w:fldChar w:fldCharType="separate"/>
      </w:r>
      <w:r w:rsidR="00790FE3" w:rsidRPr="00DA1BF1">
        <w:rPr>
          <w:rFonts w:ascii="Times New Roman" w:hAnsi="Times New Roman" w:cs="Times New Roman"/>
          <w:noProof/>
          <w:color w:val="000000" w:themeColor="text1"/>
          <w:sz w:val="24"/>
          <w:szCs w:val="24"/>
        </w:rPr>
        <w:t>(</w:t>
      </w:r>
      <w:hyperlink w:anchor="_ENREF_24" w:tooltip="Suárez Gutiérrez, 2018 #776" w:history="1">
        <w:r w:rsidR="00CD427A">
          <w:rPr>
            <w:rFonts w:ascii="Times New Roman" w:hAnsi="Times New Roman" w:cs="Times New Roman"/>
            <w:noProof/>
            <w:color w:val="000000" w:themeColor="text1"/>
            <w:sz w:val="24"/>
            <w:szCs w:val="24"/>
          </w:rPr>
          <w:t>Suárez</w:t>
        </w:r>
        <w:r w:rsidR="00790FE3" w:rsidRPr="00DA1BF1">
          <w:rPr>
            <w:rFonts w:ascii="Times New Roman" w:hAnsi="Times New Roman" w:cs="Times New Roman"/>
            <w:noProof/>
            <w:color w:val="000000" w:themeColor="text1"/>
            <w:sz w:val="24"/>
            <w:szCs w:val="24"/>
          </w:rPr>
          <w:t>, 2018</w:t>
        </w:r>
      </w:hyperlink>
      <w:r w:rsidR="00790FE3" w:rsidRPr="00DA1BF1">
        <w:rPr>
          <w:rFonts w:ascii="Times New Roman" w:hAnsi="Times New Roman" w:cs="Times New Roman"/>
          <w:noProof/>
          <w:color w:val="000000" w:themeColor="text1"/>
          <w:sz w:val="24"/>
          <w:szCs w:val="24"/>
        </w:rPr>
        <w:t>)</w:t>
      </w:r>
      <w:r w:rsidR="00533221" w:rsidRPr="00DA1BF1">
        <w:rPr>
          <w:rFonts w:ascii="Times New Roman" w:hAnsi="Times New Roman" w:cs="Times New Roman"/>
          <w:color w:val="000000" w:themeColor="text1"/>
          <w:sz w:val="24"/>
          <w:szCs w:val="24"/>
        </w:rPr>
        <w:fldChar w:fldCharType="end"/>
      </w:r>
      <w:r w:rsidR="00F06656" w:rsidRPr="00DA1BF1">
        <w:rPr>
          <w:rFonts w:ascii="Times New Roman" w:hAnsi="Times New Roman" w:cs="Times New Roman"/>
          <w:sz w:val="24"/>
          <w:szCs w:val="24"/>
        </w:rPr>
        <w:t xml:space="preserve">. </w:t>
      </w:r>
      <w:r w:rsidR="000B0F78" w:rsidRPr="00DA1BF1">
        <w:rPr>
          <w:rFonts w:ascii="Times New Roman" w:hAnsi="Times New Roman" w:cs="Times New Roman"/>
          <w:color w:val="000000" w:themeColor="text1"/>
          <w:sz w:val="24"/>
          <w:szCs w:val="24"/>
        </w:rPr>
        <w:t xml:space="preserve"> </w:t>
      </w:r>
    </w:p>
    <w:p w:rsidR="004D37F4" w:rsidRPr="00DA1BF1" w:rsidRDefault="004D37F4" w:rsidP="0033307C">
      <w:pPr>
        <w:spacing w:before="120" w:after="120" w:line="360" w:lineRule="auto"/>
        <w:jc w:val="both"/>
        <w:rPr>
          <w:rFonts w:ascii="Times New Roman" w:hAnsi="Times New Roman" w:cs="Times New Roman"/>
          <w:noProof/>
          <w:sz w:val="24"/>
          <w:szCs w:val="24"/>
        </w:rPr>
      </w:pPr>
      <w:r w:rsidRPr="00DA1BF1">
        <w:rPr>
          <w:rFonts w:ascii="Times New Roman" w:hAnsi="Times New Roman" w:cs="Times New Roman"/>
          <w:sz w:val="24"/>
          <w:szCs w:val="24"/>
        </w:rPr>
        <w:t xml:space="preserve">Dada la situación descrita, los objetivos de la </w:t>
      </w:r>
      <w:r w:rsidR="00BF2404" w:rsidRPr="00DA1BF1">
        <w:rPr>
          <w:rFonts w:ascii="Times New Roman" w:hAnsi="Times New Roman" w:cs="Times New Roman"/>
          <w:sz w:val="24"/>
          <w:szCs w:val="24"/>
        </w:rPr>
        <w:t>ponencia</w:t>
      </w:r>
      <w:r w:rsidRPr="00DA1BF1">
        <w:rPr>
          <w:rFonts w:ascii="Times New Roman" w:hAnsi="Times New Roman" w:cs="Times New Roman"/>
          <w:sz w:val="24"/>
          <w:szCs w:val="24"/>
        </w:rPr>
        <w:t xml:space="preserve"> se orientan a fundamentar teorías-jurídicas y económicas de adecuación de la PI y su relación con el patrimonio </w:t>
      </w:r>
      <w:r w:rsidRPr="00DA1BF1">
        <w:rPr>
          <w:rFonts w:ascii="Times New Roman" w:hAnsi="Times New Roman" w:cs="Times New Roman"/>
          <w:sz w:val="24"/>
          <w:szCs w:val="24"/>
        </w:rPr>
        <w:lastRenderedPageBreak/>
        <w:t xml:space="preserve">intangible de la empresa estatal </w:t>
      </w:r>
      <w:r w:rsidR="00FC06CF" w:rsidRPr="00DA1BF1">
        <w:rPr>
          <w:rFonts w:ascii="Times New Roman" w:hAnsi="Times New Roman" w:cs="Times New Roman"/>
          <w:sz w:val="24"/>
          <w:szCs w:val="24"/>
        </w:rPr>
        <w:t xml:space="preserve">integradas con la contabilidad </w:t>
      </w:r>
      <w:r w:rsidRPr="00DA1BF1">
        <w:rPr>
          <w:rFonts w:ascii="Times New Roman" w:hAnsi="Times New Roman" w:cs="Times New Roman"/>
          <w:sz w:val="24"/>
          <w:szCs w:val="24"/>
        </w:rPr>
        <w:t xml:space="preserve">y proponer un procedimiento contable para el registro y valoración de AFI como patrimonio empresarial, que permita la </w:t>
      </w:r>
      <w:r w:rsidRPr="00DA1BF1">
        <w:rPr>
          <w:rFonts w:ascii="Times New Roman" w:hAnsi="Times New Roman" w:cs="Times New Roman"/>
          <w:noProof/>
          <w:sz w:val="24"/>
          <w:szCs w:val="24"/>
        </w:rPr>
        <w:t>utilización de este tipo de recurso a través de su valor monetario en las negociaciones nacionales e internacionales en igualdad de condiciones.</w:t>
      </w:r>
    </w:p>
    <w:p w:rsidR="00FF7333" w:rsidRPr="00DA1BF1" w:rsidRDefault="00FF7333"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La PI es necesaria en Cuba como sostén de la innovación por ser sus resultados derechos sobre bienes inmateriales, servicios y formas distintivas de</w:t>
      </w:r>
      <w:r w:rsidR="007A185C" w:rsidRPr="00DA1BF1">
        <w:rPr>
          <w:rFonts w:ascii="Times New Roman" w:hAnsi="Times New Roman" w:cs="Times New Roman"/>
          <w:sz w:val="24"/>
          <w:szCs w:val="24"/>
        </w:rPr>
        <w:t xml:space="preserve"> </w:t>
      </w:r>
      <w:r w:rsidRPr="00DA1BF1">
        <w:rPr>
          <w:rFonts w:ascii="Times New Roman" w:hAnsi="Times New Roman" w:cs="Times New Roman"/>
          <w:sz w:val="24"/>
          <w:szCs w:val="24"/>
        </w:rPr>
        <w:t>l</w:t>
      </w:r>
      <w:r w:rsidR="007A185C" w:rsidRPr="00DA1BF1">
        <w:rPr>
          <w:rFonts w:ascii="Times New Roman" w:hAnsi="Times New Roman" w:cs="Times New Roman"/>
          <w:sz w:val="24"/>
          <w:szCs w:val="24"/>
        </w:rPr>
        <w:t>os</w:t>
      </w:r>
      <w:r w:rsidRPr="00DA1BF1">
        <w:rPr>
          <w:rFonts w:ascii="Times New Roman" w:hAnsi="Times New Roman" w:cs="Times New Roman"/>
          <w:sz w:val="24"/>
          <w:szCs w:val="24"/>
        </w:rPr>
        <w:t xml:space="preserve"> negocio</w:t>
      </w:r>
      <w:r w:rsidR="00670CDB" w:rsidRPr="00DA1BF1">
        <w:rPr>
          <w:rFonts w:ascii="Times New Roman" w:hAnsi="Times New Roman" w:cs="Times New Roman"/>
          <w:sz w:val="24"/>
          <w:szCs w:val="24"/>
        </w:rPr>
        <w:t xml:space="preserve">s, </w:t>
      </w:r>
      <w:r w:rsidRPr="00DA1BF1">
        <w:rPr>
          <w:rFonts w:ascii="Times New Roman" w:hAnsi="Times New Roman" w:cs="Times New Roman"/>
          <w:sz w:val="24"/>
          <w:szCs w:val="24"/>
        </w:rPr>
        <w:t>es útil en las relaciones comerciales</w:t>
      </w:r>
      <w:r w:rsidR="00BF2404" w:rsidRPr="00DA1BF1">
        <w:rPr>
          <w:rFonts w:ascii="Times New Roman" w:hAnsi="Times New Roman" w:cs="Times New Roman"/>
          <w:sz w:val="24"/>
          <w:szCs w:val="24"/>
        </w:rPr>
        <w:t xml:space="preserve"> </w:t>
      </w:r>
      <w:r w:rsidRPr="00DA1BF1">
        <w:rPr>
          <w:rFonts w:ascii="Times New Roman" w:hAnsi="Times New Roman" w:cs="Times New Roman"/>
          <w:sz w:val="24"/>
          <w:szCs w:val="24"/>
        </w:rPr>
        <w:t>y aunque tienen en su base a la propiedad privada y la exclusiv</w:t>
      </w:r>
      <w:r w:rsidR="00670CDB" w:rsidRPr="00DA1BF1">
        <w:rPr>
          <w:rFonts w:ascii="Times New Roman" w:hAnsi="Times New Roman" w:cs="Times New Roman"/>
          <w:sz w:val="24"/>
          <w:szCs w:val="24"/>
        </w:rPr>
        <w:t>idad monopólica, los Estados la</w:t>
      </w:r>
      <w:r w:rsidRPr="00DA1BF1">
        <w:rPr>
          <w:rFonts w:ascii="Times New Roman" w:hAnsi="Times New Roman" w:cs="Times New Roman"/>
          <w:sz w:val="24"/>
          <w:szCs w:val="24"/>
        </w:rPr>
        <w:t xml:space="preserve"> adecuan a sus sistemas jurídicos</w:t>
      </w:r>
      <w:r w:rsidR="00C73C45" w:rsidRPr="00DA1BF1">
        <w:rPr>
          <w:rFonts w:ascii="Times New Roman" w:hAnsi="Times New Roman" w:cs="Times New Roman"/>
          <w:sz w:val="24"/>
          <w:szCs w:val="24"/>
        </w:rPr>
        <w:t xml:space="preserve"> </w:t>
      </w:r>
      <w:r w:rsidR="00533221" w:rsidRPr="00DA1BF1">
        <w:rPr>
          <w:rFonts w:ascii="Times New Roman" w:hAnsi="Times New Roman" w:cs="Times New Roman"/>
          <w:sz w:val="24"/>
          <w:szCs w:val="24"/>
        </w:rPr>
        <w:fldChar w:fldCharType="begin"/>
      </w:r>
      <w:r w:rsidR="006826A8" w:rsidRPr="00DA1BF1">
        <w:rPr>
          <w:rFonts w:ascii="Times New Roman" w:hAnsi="Times New Roman" w:cs="Times New Roman"/>
          <w:sz w:val="24"/>
          <w:szCs w:val="24"/>
        </w:rPr>
        <w:instrText xml:space="preserve"> ADDIN EN.CITE &lt;EndNote&gt;&lt;Cite&gt;&lt;Author&gt;CM&lt;/Author&gt;&lt;Year&gt;2018&lt;/Year&gt;&lt;RecNum&gt;878&lt;/RecNum&gt;&lt;DisplayText&gt;&lt;style size="10"&gt;(CM, 2018a)&lt;/style&gt;&lt;/DisplayText&gt;&lt;record&gt;&lt;rec-number&gt;878&lt;/rec-number&gt;&lt;foreign-keys&gt;&lt;key app="EN" db-id="5x2rzfvvuw9228e2t9m5tsv7ptsvza9dsv2d"&gt;878&lt;/key&gt;&lt;/foreign-keys&gt;&lt;ref-type name="Normativa corporativa o institucional online"&gt;44&lt;/ref-type&gt;&lt;contributors&gt;&lt;authors&gt;&lt;author&gt;CM&lt;/author&gt;&lt;/authors&gt;&lt;/contributors&gt;&lt;titles&gt;&lt;title&gt;Decreto No. 342/2018, Reglamento del Decreto-Ley No. 290 De las invenciones y dibujos y modelos industriales&lt;/title&gt;&lt;secondary-title&gt;Consejo de Ministros&lt;/secondary-title&gt;&lt;/titles&gt;&lt;number&gt;40&lt;/number&gt;&lt;edition&gt;Extraordinaria&lt;/edition&gt;&lt;dates&gt;&lt;year&gt;2018&lt;/year&gt;&lt;pub-dates&gt;&lt;date&gt;08/09/2018&lt;/date&gt;&lt;/pub-dates&gt;&lt;/dates&gt;&lt;pub-location&gt;La Habana, Cuba&lt;/pub-location&gt;&lt;publisher&gt;Gaceta Oficial de la República de Cuba, Ministerio de Justicia&lt;/publisher&gt;&lt;urls&gt;&lt;related-urls&gt;&lt;url&gt;https://www.gacetaoficial.gob.cu/&lt;/url&gt;&lt;/related-urls&gt;&lt;/urls&gt;&lt;custom1&gt;1.3.4.  Creaciones Laborales&lt;/custom1&gt;&lt;/record&gt;&lt;/Cite&gt;&lt;Cite ExcludeAuth="1"&gt;&lt;Author&gt;CM&lt;/Author&gt;&lt;Year&gt;2018&lt;/Year&gt;&lt;RecNum&gt;878&lt;/RecNum&gt;&lt;record&gt;&lt;rec-number&gt;878&lt;/rec-number&gt;&lt;foreign-keys&gt;&lt;key app="EN" db-id="5x2rzfvvuw9228e2t9m5tsv7ptsvza9dsv2d"&gt;878&lt;/key&gt;&lt;/foreign-keys&gt;&lt;ref-type name="Normativa corporativa o institucional online"&gt;44&lt;/ref-type&gt;&lt;contributors&gt;&lt;authors&gt;&lt;author&gt;CM&lt;/author&gt;&lt;/authors&gt;&lt;/contributors&gt;&lt;titles&gt;&lt;title&gt;Decreto No. 342/2018, Reglamento del Decreto-Ley No. 290 De las invenciones y dibujos y modelos industriales&lt;/title&gt;&lt;secondary-title&gt;Consejo de Ministros&lt;/secondary-title&gt;&lt;/titles&gt;&lt;number&gt;40&lt;/number&gt;&lt;edition&gt;Extraordinaria&lt;/edition&gt;&lt;dates&gt;&lt;year&gt;2018&lt;/year&gt;&lt;pub-dates&gt;&lt;date&gt;08/09/2018&lt;/date&gt;&lt;/pub-dates&gt;&lt;/dates&gt;&lt;pub-location&gt;La Habana, Cuba&lt;/pub-location&gt;&lt;publisher&gt;Gaceta Oficial de la República de Cuba, Ministerio de Justicia&lt;/publisher&gt;&lt;urls&gt;&lt;related-urls&gt;&lt;url&gt;https://www.gacetaoficial.gob.cu/&lt;/url&gt;&lt;/related-urls&gt;&lt;/urls&gt;&lt;custom1&gt;1.3.4.  Creaciones Laborales&lt;/custom1&gt;&lt;/record&gt;&lt;/Cite&gt;&lt;/EndNote&gt;</w:instrText>
      </w:r>
      <w:r w:rsidR="00533221" w:rsidRPr="00DA1BF1">
        <w:rPr>
          <w:rFonts w:ascii="Times New Roman" w:hAnsi="Times New Roman" w:cs="Times New Roman"/>
          <w:sz w:val="24"/>
          <w:szCs w:val="24"/>
        </w:rPr>
        <w:fldChar w:fldCharType="separate"/>
      </w:r>
      <w:r w:rsidR="006826A8" w:rsidRPr="00DA1BF1">
        <w:rPr>
          <w:rFonts w:ascii="Times New Roman" w:hAnsi="Times New Roman" w:cs="Times New Roman"/>
          <w:noProof/>
          <w:sz w:val="24"/>
          <w:szCs w:val="24"/>
        </w:rPr>
        <w:t>(</w:t>
      </w:r>
      <w:hyperlink w:anchor="_ENREF_6" w:tooltip="CM, 2018 #878" w:history="1">
        <w:r w:rsidR="00790FE3" w:rsidRPr="00DA1BF1">
          <w:rPr>
            <w:rFonts w:ascii="Times New Roman" w:hAnsi="Times New Roman" w:cs="Times New Roman"/>
            <w:noProof/>
            <w:sz w:val="24"/>
            <w:szCs w:val="24"/>
          </w:rPr>
          <w:t>CM, 2018a</w:t>
        </w:r>
      </w:hyperlink>
      <w:r w:rsidR="006826A8"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w:t>
      </w:r>
    </w:p>
    <w:p w:rsidR="00FF7333" w:rsidRPr="00DA1BF1" w:rsidRDefault="00FF7333"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La búsqueda de antecedentes sobre los derechos de propiedad intelectual (DPI) en la doctrina reveló la existencia de diversas corrientes de pensamiento; autores que</w:t>
      </w:r>
      <w:r w:rsidR="00670CDB" w:rsidRPr="00DA1BF1">
        <w:rPr>
          <w:rFonts w:ascii="Times New Roman" w:hAnsi="Times New Roman" w:cs="Times New Roman"/>
          <w:sz w:val="24"/>
          <w:szCs w:val="24"/>
        </w:rPr>
        <w:t xml:space="preserve"> resaltaron</w:t>
      </w:r>
      <w:r w:rsidR="00BF2404" w:rsidRPr="00DA1BF1">
        <w:rPr>
          <w:rFonts w:ascii="Times New Roman" w:hAnsi="Times New Roman" w:cs="Times New Roman"/>
          <w:sz w:val="24"/>
          <w:szCs w:val="24"/>
        </w:rPr>
        <w:t xml:space="preserve"> su carácter clasista y</w:t>
      </w:r>
      <w:r w:rsidRPr="00DA1BF1">
        <w:rPr>
          <w:rFonts w:ascii="Times New Roman" w:hAnsi="Times New Roman" w:cs="Times New Roman"/>
          <w:sz w:val="24"/>
          <w:szCs w:val="24"/>
        </w:rPr>
        <w:t xml:space="preserve"> </w:t>
      </w:r>
      <w:r w:rsidR="00BF2404" w:rsidRPr="00DA1BF1">
        <w:rPr>
          <w:rFonts w:ascii="Times New Roman" w:hAnsi="Times New Roman" w:cs="Times New Roman"/>
          <w:sz w:val="24"/>
          <w:szCs w:val="24"/>
        </w:rPr>
        <w:t>o</w:t>
      </w:r>
      <w:r w:rsidRPr="00DA1BF1">
        <w:rPr>
          <w:rFonts w:ascii="Times New Roman" w:hAnsi="Times New Roman" w:cs="Times New Roman"/>
          <w:sz w:val="24"/>
          <w:szCs w:val="24"/>
        </w:rPr>
        <w:t xml:space="preserve">tros </w:t>
      </w:r>
      <w:r w:rsidR="00A369B6" w:rsidRPr="00DA1BF1">
        <w:rPr>
          <w:rFonts w:ascii="Times New Roman" w:hAnsi="Times New Roman" w:cs="Times New Roman"/>
          <w:sz w:val="24"/>
          <w:szCs w:val="24"/>
        </w:rPr>
        <w:t xml:space="preserve">que </w:t>
      </w:r>
      <w:r w:rsidRPr="00DA1BF1">
        <w:rPr>
          <w:rFonts w:ascii="Times New Roman" w:hAnsi="Times New Roman" w:cs="Times New Roman"/>
          <w:sz w:val="24"/>
          <w:szCs w:val="24"/>
        </w:rPr>
        <w:t xml:space="preserve">particularizaron </w:t>
      </w:r>
      <w:r w:rsidR="00826164" w:rsidRPr="00DA1BF1">
        <w:rPr>
          <w:rFonts w:ascii="Times New Roman" w:hAnsi="Times New Roman" w:cs="Times New Roman"/>
          <w:sz w:val="24"/>
          <w:szCs w:val="24"/>
        </w:rPr>
        <w:t xml:space="preserve">las </w:t>
      </w:r>
      <w:r w:rsidRPr="00DA1BF1">
        <w:rPr>
          <w:rFonts w:ascii="Times New Roman" w:hAnsi="Times New Roman" w:cs="Times New Roman"/>
          <w:sz w:val="24"/>
          <w:szCs w:val="24"/>
        </w:rPr>
        <w:t xml:space="preserve">modalidades y prácticas </w:t>
      </w:r>
      <w:r w:rsidR="00BF2404" w:rsidRPr="00DA1BF1">
        <w:rPr>
          <w:rFonts w:ascii="Times New Roman" w:hAnsi="Times New Roman" w:cs="Times New Roman"/>
          <w:sz w:val="24"/>
          <w:szCs w:val="24"/>
        </w:rPr>
        <w:t>en el</w:t>
      </w:r>
      <w:r w:rsidRPr="00DA1BF1">
        <w:rPr>
          <w:rFonts w:ascii="Times New Roman" w:hAnsi="Times New Roman" w:cs="Times New Roman"/>
          <w:sz w:val="24"/>
          <w:szCs w:val="24"/>
        </w:rPr>
        <w:t xml:space="preserve"> </w:t>
      </w:r>
      <w:r w:rsidR="00826164" w:rsidRPr="00DA1BF1">
        <w:rPr>
          <w:rFonts w:ascii="Times New Roman" w:hAnsi="Times New Roman" w:cs="Times New Roman"/>
          <w:sz w:val="24"/>
          <w:szCs w:val="24"/>
        </w:rPr>
        <w:t>comercio</w:t>
      </w:r>
      <w:r w:rsidR="00E9487C" w:rsidRPr="00DA1BF1">
        <w:rPr>
          <w:rFonts w:ascii="Times New Roman" w:hAnsi="Times New Roman" w:cs="Times New Roman"/>
          <w:sz w:val="24"/>
          <w:szCs w:val="24"/>
        </w:rPr>
        <w:t xml:space="preserve">, </w:t>
      </w:r>
      <w:r w:rsidR="00826164" w:rsidRPr="00DA1BF1">
        <w:rPr>
          <w:rFonts w:ascii="Times New Roman" w:hAnsi="Times New Roman" w:cs="Times New Roman"/>
          <w:sz w:val="24"/>
          <w:szCs w:val="24"/>
        </w:rPr>
        <w:t xml:space="preserve">la </w:t>
      </w:r>
      <w:r w:rsidR="00E9487C" w:rsidRPr="00DA1BF1">
        <w:rPr>
          <w:rFonts w:ascii="Times New Roman" w:hAnsi="Times New Roman" w:cs="Times New Roman"/>
          <w:sz w:val="24"/>
          <w:szCs w:val="24"/>
        </w:rPr>
        <w:t xml:space="preserve">transferencia </w:t>
      </w:r>
      <w:r w:rsidRPr="00DA1BF1">
        <w:rPr>
          <w:rFonts w:ascii="Times New Roman" w:hAnsi="Times New Roman" w:cs="Times New Roman"/>
          <w:sz w:val="24"/>
          <w:szCs w:val="24"/>
        </w:rPr>
        <w:t>de tecnología</w:t>
      </w:r>
      <w:r w:rsidR="00826164" w:rsidRPr="00DA1BF1">
        <w:rPr>
          <w:rFonts w:ascii="Times New Roman" w:hAnsi="Times New Roman" w:cs="Times New Roman"/>
          <w:sz w:val="24"/>
          <w:szCs w:val="24"/>
        </w:rPr>
        <w:t>s</w:t>
      </w:r>
      <w:r w:rsidRPr="00DA1BF1">
        <w:rPr>
          <w:rFonts w:ascii="Times New Roman" w:hAnsi="Times New Roman" w:cs="Times New Roman"/>
          <w:sz w:val="24"/>
          <w:szCs w:val="24"/>
        </w:rPr>
        <w:t xml:space="preserve">, </w:t>
      </w:r>
      <w:r w:rsidR="000C5837" w:rsidRPr="00DA1BF1">
        <w:rPr>
          <w:rFonts w:ascii="Times New Roman" w:hAnsi="Times New Roman" w:cs="Times New Roman"/>
          <w:sz w:val="24"/>
          <w:szCs w:val="24"/>
        </w:rPr>
        <w:t>y</w:t>
      </w:r>
      <w:r w:rsidR="00F612B1" w:rsidRPr="00DA1BF1">
        <w:rPr>
          <w:rFonts w:ascii="Times New Roman" w:hAnsi="Times New Roman" w:cs="Times New Roman"/>
          <w:sz w:val="24"/>
          <w:szCs w:val="24"/>
        </w:rPr>
        <w:t xml:space="preserve"> en la gestión </w:t>
      </w:r>
      <w:r w:rsidRPr="00DA1BF1">
        <w:rPr>
          <w:rFonts w:ascii="Times New Roman" w:hAnsi="Times New Roman" w:cs="Times New Roman"/>
          <w:sz w:val="24"/>
          <w:szCs w:val="24"/>
        </w:rPr>
        <w:t>de ciencia, tecnología, innovac</w:t>
      </w:r>
      <w:r w:rsidR="00BF2404" w:rsidRPr="00DA1BF1">
        <w:rPr>
          <w:rFonts w:ascii="Times New Roman" w:hAnsi="Times New Roman" w:cs="Times New Roman"/>
          <w:sz w:val="24"/>
          <w:szCs w:val="24"/>
        </w:rPr>
        <w:t xml:space="preserve">ión e inteligencia empresarial </w:t>
      </w:r>
      <w:r w:rsidR="00826164" w:rsidRPr="00DA1BF1">
        <w:rPr>
          <w:rFonts w:ascii="Times New Roman" w:hAnsi="Times New Roman" w:cs="Times New Roman"/>
          <w:sz w:val="24"/>
          <w:szCs w:val="24"/>
        </w:rPr>
        <w:t>considerándose</w:t>
      </w:r>
      <w:r w:rsidR="00BF2404" w:rsidRPr="00DA1BF1">
        <w:rPr>
          <w:rFonts w:ascii="Times New Roman" w:hAnsi="Times New Roman" w:cs="Times New Roman"/>
          <w:sz w:val="24"/>
          <w:szCs w:val="24"/>
        </w:rPr>
        <w:t xml:space="preserve"> </w:t>
      </w:r>
      <w:r w:rsidR="00826164" w:rsidRPr="00DA1BF1">
        <w:rPr>
          <w:rFonts w:ascii="Times New Roman" w:hAnsi="Times New Roman" w:cs="Times New Roman"/>
          <w:sz w:val="24"/>
          <w:szCs w:val="24"/>
        </w:rPr>
        <w:t>también</w:t>
      </w:r>
      <w:r w:rsidR="00BF2404" w:rsidRPr="00DA1BF1">
        <w:rPr>
          <w:rFonts w:ascii="Times New Roman" w:hAnsi="Times New Roman" w:cs="Times New Roman"/>
          <w:sz w:val="24"/>
          <w:szCs w:val="24"/>
        </w:rPr>
        <w:t xml:space="preserve"> </w:t>
      </w:r>
      <w:r w:rsidRPr="00DA1BF1">
        <w:rPr>
          <w:rFonts w:ascii="Times New Roman" w:hAnsi="Times New Roman" w:cs="Times New Roman"/>
          <w:sz w:val="24"/>
          <w:szCs w:val="24"/>
        </w:rPr>
        <w:t xml:space="preserve">como </w:t>
      </w:r>
      <w:r w:rsidR="00A369B6" w:rsidRPr="00DA1BF1">
        <w:rPr>
          <w:rFonts w:ascii="Times New Roman" w:hAnsi="Times New Roman" w:cs="Times New Roman"/>
          <w:sz w:val="24"/>
          <w:szCs w:val="24"/>
        </w:rPr>
        <w:t xml:space="preserve">proveedora de </w:t>
      </w:r>
      <w:r w:rsidR="001D01BE" w:rsidRPr="00DA1BF1">
        <w:rPr>
          <w:rFonts w:ascii="Times New Roman" w:hAnsi="Times New Roman" w:cs="Times New Roman"/>
          <w:sz w:val="24"/>
          <w:szCs w:val="24"/>
        </w:rPr>
        <w:t>AFI</w:t>
      </w:r>
      <w:r w:rsidR="00A369B6" w:rsidRPr="00DA1BF1">
        <w:rPr>
          <w:rFonts w:ascii="Times New Roman" w:hAnsi="Times New Roman" w:cs="Times New Roman"/>
          <w:sz w:val="24"/>
          <w:szCs w:val="24"/>
        </w:rPr>
        <w:t xml:space="preserve"> </w:t>
      </w:r>
      <w:r w:rsidR="006B6118" w:rsidRPr="00DA1BF1">
        <w:rPr>
          <w:rFonts w:ascii="Times New Roman" w:hAnsi="Times New Roman" w:cs="Times New Roman"/>
          <w:sz w:val="24"/>
          <w:szCs w:val="24"/>
        </w:rPr>
        <w:t xml:space="preserve">a valorizarse y controlarse por </w:t>
      </w:r>
      <w:r w:rsidRPr="00DA1BF1">
        <w:rPr>
          <w:rFonts w:ascii="Times New Roman" w:hAnsi="Times New Roman" w:cs="Times New Roman"/>
          <w:sz w:val="24"/>
          <w:szCs w:val="24"/>
        </w:rPr>
        <w:t>la Contabilidad</w:t>
      </w:r>
      <w:r w:rsidR="00EB66AA" w:rsidRPr="00DA1BF1">
        <w:rPr>
          <w:rFonts w:ascii="Times New Roman" w:hAnsi="Times New Roman" w:cs="Times New Roman"/>
          <w:sz w:val="24"/>
          <w:szCs w:val="24"/>
        </w:rPr>
        <w:t xml:space="preserve"> </w:t>
      </w:r>
      <w:r w:rsidR="00533221" w:rsidRPr="00DA1BF1">
        <w:rPr>
          <w:rFonts w:ascii="Times New Roman" w:hAnsi="Times New Roman" w:cs="Times New Roman"/>
          <w:sz w:val="24"/>
          <w:szCs w:val="24"/>
        </w:rPr>
        <w:fldChar w:fldCharType="begin"/>
      </w:r>
      <w:r w:rsidR="00790FE3" w:rsidRPr="00DA1BF1">
        <w:rPr>
          <w:rFonts w:ascii="Times New Roman" w:hAnsi="Times New Roman" w:cs="Times New Roman"/>
          <w:sz w:val="24"/>
          <w:szCs w:val="24"/>
        </w:rPr>
        <w:instrText xml:space="preserve"> ADDIN EN.CITE &lt;EndNote&gt;&lt;Cite&gt;&lt;Author&gt;Contreras Villavicencio&lt;/Author&gt;&lt;Year&gt;2017&lt;/Year&gt;&lt;RecNum&gt;703&lt;/RecNum&gt;&lt;DisplayText&gt;&lt;style size="10"&gt;(Contreras Villavicencio&lt;/style&gt;&lt;style face="italic" size="10"&gt; et al.&lt;/style&gt;&lt;style size="10"&gt;, 2017)&lt;/style&gt;&lt;/DisplayText&gt;&lt;record&gt;&lt;rec-number&gt;703&lt;/rec-number&gt;&lt;foreign-keys&gt;&lt;key app="EN" db-id="5x2rzfvvuw9228e2t9m5tsv7ptsvza9dsv2d"&gt;703&lt;/key&gt;&lt;/foreign-keys&gt;&lt;ref-type name="Artículo de versión online de revista impresa"&gt;43&lt;/ref-type&gt;&lt;contributors&gt;&lt;authors&gt;&lt;author&gt;Contreras Villavicencio, Dulce María&lt;/author&gt;&lt;author&gt;Suárez Gutiérrez, Evelio&lt;/author&gt;&lt;author&gt;Moreno Cruz, Marta  Milagros&lt;/author&gt;&lt;author&gt;Correa Álvarez, Pascual&lt;/author&gt;&lt;/authors&gt;&lt;/contributors&gt;&lt;titles&gt;&lt;title&gt;Propiedad industrial para la gestión de ciencia, tecnología e innovación en empresas estatales cubanas&lt;/title&gt;&lt;secondary-title&gt;Revista La Propiedad Inmaterial, Universidad Externado de Colombia&lt;/secondary-title&gt;&lt;/titles&gt;&lt;periodical&gt;&lt;full-title&gt;Revista La Propiedad Inmaterial, Universidad Externado de Colombia&lt;/full-title&gt;&lt;/periodical&gt;&lt;volume&gt;enero-junio&lt;/volume&gt;&lt;number&gt;23&lt;/number&gt;&lt;dates&gt;&lt;year&gt;2017&lt;/year&gt;&lt;pub-dates&gt;&lt;date&gt;22/06/2017&lt;/date&gt;&lt;/pub-dates&gt;&lt;/dates&gt;&lt;urls&gt;&lt;related-urls&gt;&lt;url&gt;http://revistas.uexternado.edu.co/index.php/propin/article/view/4980/5968  https://doi.org/10.18601/16571959.n23.06&lt;/url&gt;&lt;/related-urls&gt;&lt;pdf-urls&gt;&lt;url&gt;file://D:\Dulce PI\Bibliografía PI esta\000Biblio nueva Dulce\4980-22815-1-PB_2.pdf&lt;/url&gt;&lt;/pdf-urls&gt;&lt;/urls&gt;&lt;custom1&gt;Introducc 1.3.3.  Resultados dulce pilar&lt;/custom1&gt;&lt;language&gt;español&lt;/language&gt;&lt;/record&gt;&lt;/Cite&gt;&lt;/EndNote&gt;</w:instrText>
      </w:r>
      <w:r w:rsidR="00533221" w:rsidRPr="00DA1BF1">
        <w:rPr>
          <w:rFonts w:ascii="Times New Roman" w:hAnsi="Times New Roman" w:cs="Times New Roman"/>
          <w:sz w:val="24"/>
          <w:szCs w:val="24"/>
        </w:rPr>
        <w:fldChar w:fldCharType="separate"/>
      </w:r>
      <w:r w:rsidR="00AA3525" w:rsidRPr="00DA1BF1">
        <w:rPr>
          <w:rFonts w:ascii="Times New Roman" w:hAnsi="Times New Roman" w:cs="Times New Roman"/>
          <w:noProof/>
          <w:sz w:val="24"/>
          <w:szCs w:val="24"/>
        </w:rPr>
        <w:t>(</w:t>
      </w:r>
      <w:hyperlink w:anchor="_ENREF_8" w:tooltip="Contreras Villavicencio, 2017 #703" w:history="1">
        <w:r w:rsidR="00CD427A">
          <w:rPr>
            <w:rFonts w:ascii="Times New Roman" w:hAnsi="Times New Roman" w:cs="Times New Roman"/>
            <w:noProof/>
            <w:sz w:val="24"/>
            <w:szCs w:val="24"/>
          </w:rPr>
          <w:t>Contreras</w:t>
        </w:r>
        <w:r w:rsidR="00790FE3" w:rsidRPr="00DA1BF1">
          <w:rPr>
            <w:rFonts w:ascii="Times New Roman" w:hAnsi="Times New Roman" w:cs="Times New Roman"/>
            <w:i/>
            <w:noProof/>
            <w:sz w:val="24"/>
            <w:szCs w:val="24"/>
          </w:rPr>
          <w:t xml:space="preserve"> et al.</w:t>
        </w:r>
        <w:r w:rsidR="00790FE3" w:rsidRPr="00DA1BF1">
          <w:rPr>
            <w:rFonts w:ascii="Times New Roman" w:hAnsi="Times New Roman" w:cs="Times New Roman"/>
            <w:noProof/>
            <w:sz w:val="24"/>
            <w:szCs w:val="24"/>
          </w:rPr>
          <w:t>, 2017</w:t>
        </w:r>
      </w:hyperlink>
      <w:r w:rsidR="00AA3525"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w:t>
      </w:r>
    </w:p>
    <w:p w:rsidR="00FF7333" w:rsidRPr="00DA1BF1" w:rsidRDefault="00FF7333"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La afirmación de que la PI es la rama del Derecho de mayor acercamiento</w:t>
      </w:r>
      <w:r w:rsidR="00E9487C" w:rsidRPr="00DA1BF1">
        <w:rPr>
          <w:rFonts w:ascii="Times New Roman" w:hAnsi="Times New Roman" w:cs="Times New Roman"/>
          <w:sz w:val="24"/>
          <w:szCs w:val="24"/>
        </w:rPr>
        <w:t xml:space="preserve"> a la ciencia y la tecnología</w:t>
      </w:r>
      <w:r w:rsidRPr="00DA1BF1">
        <w:rPr>
          <w:rFonts w:ascii="Times New Roman" w:hAnsi="Times New Roman" w:cs="Times New Roman"/>
          <w:sz w:val="24"/>
          <w:szCs w:val="24"/>
        </w:rPr>
        <w:t xml:space="preserve"> es relevante si se considera </w:t>
      </w:r>
      <w:r w:rsidR="00E9487C" w:rsidRPr="00DA1BF1">
        <w:rPr>
          <w:rFonts w:ascii="Times New Roman" w:hAnsi="Times New Roman" w:cs="Times New Roman"/>
          <w:sz w:val="24"/>
          <w:szCs w:val="24"/>
        </w:rPr>
        <w:t xml:space="preserve">que a nivel mundial se utiliza </w:t>
      </w:r>
      <w:r w:rsidRPr="00DA1BF1">
        <w:rPr>
          <w:rFonts w:ascii="Times New Roman" w:hAnsi="Times New Roman" w:cs="Times New Roman"/>
          <w:sz w:val="24"/>
          <w:szCs w:val="24"/>
        </w:rPr>
        <w:t xml:space="preserve">en sectores claves de la economía, </w:t>
      </w:r>
      <w:r w:rsidR="008A3535" w:rsidRPr="00DA1BF1">
        <w:rPr>
          <w:rFonts w:ascii="Times New Roman" w:hAnsi="Times New Roman" w:cs="Times New Roman"/>
          <w:sz w:val="24"/>
          <w:szCs w:val="24"/>
        </w:rPr>
        <w:t xml:space="preserve">la </w:t>
      </w:r>
      <w:r w:rsidRPr="00DA1BF1">
        <w:rPr>
          <w:rFonts w:ascii="Times New Roman" w:hAnsi="Times New Roman" w:cs="Times New Roman"/>
          <w:sz w:val="24"/>
          <w:szCs w:val="24"/>
        </w:rPr>
        <w:t xml:space="preserve">transferencia de </w:t>
      </w:r>
      <w:r w:rsidR="008A3535" w:rsidRPr="00DA1BF1">
        <w:rPr>
          <w:rFonts w:ascii="Times New Roman" w:hAnsi="Times New Roman" w:cs="Times New Roman"/>
          <w:sz w:val="24"/>
          <w:szCs w:val="24"/>
        </w:rPr>
        <w:t>tecnologías sistemática</w:t>
      </w:r>
      <w:r w:rsidRPr="00DA1BF1">
        <w:rPr>
          <w:rFonts w:ascii="Times New Roman" w:hAnsi="Times New Roman" w:cs="Times New Roman"/>
          <w:sz w:val="24"/>
          <w:szCs w:val="24"/>
        </w:rPr>
        <w:t xml:space="preserve"> para la obtención de producto</w:t>
      </w:r>
      <w:r w:rsidR="008A3535" w:rsidRPr="00DA1BF1">
        <w:rPr>
          <w:rFonts w:ascii="Times New Roman" w:hAnsi="Times New Roman" w:cs="Times New Roman"/>
          <w:sz w:val="24"/>
          <w:szCs w:val="24"/>
        </w:rPr>
        <w:t>s</w:t>
      </w:r>
      <w:r w:rsidR="00BA2B34" w:rsidRPr="00DA1BF1">
        <w:rPr>
          <w:rFonts w:ascii="Times New Roman" w:hAnsi="Times New Roman" w:cs="Times New Roman"/>
          <w:sz w:val="24"/>
          <w:szCs w:val="24"/>
        </w:rPr>
        <w:t xml:space="preserve"> y</w:t>
      </w:r>
      <w:r w:rsidRPr="00DA1BF1">
        <w:rPr>
          <w:rFonts w:ascii="Times New Roman" w:hAnsi="Times New Roman" w:cs="Times New Roman"/>
          <w:sz w:val="24"/>
          <w:szCs w:val="24"/>
        </w:rPr>
        <w:t xml:space="preserve"> la aplicación </w:t>
      </w:r>
      <w:r w:rsidR="00BA2B34" w:rsidRPr="00DA1BF1">
        <w:rPr>
          <w:rFonts w:ascii="Times New Roman" w:hAnsi="Times New Roman" w:cs="Times New Roman"/>
          <w:sz w:val="24"/>
          <w:szCs w:val="24"/>
        </w:rPr>
        <w:t xml:space="preserve">en </w:t>
      </w:r>
      <w:r w:rsidRPr="00DA1BF1">
        <w:rPr>
          <w:rFonts w:ascii="Times New Roman" w:hAnsi="Times New Roman" w:cs="Times New Roman"/>
          <w:sz w:val="24"/>
          <w:szCs w:val="24"/>
        </w:rPr>
        <w:t>proceso</w:t>
      </w:r>
      <w:r w:rsidR="000D41C0" w:rsidRPr="00DA1BF1">
        <w:rPr>
          <w:rFonts w:ascii="Times New Roman" w:hAnsi="Times New Roman" w:cs="Times New Roman"/>
          <w:sz w:val="24"/>
          <w:szCs w:val="24"/>
        </w:rPr>
        <w:t>s</w:t>
      </w:r>
      <w:r w:rsidRPr="00DA1BF1">
        <w:rPr>
          <w:rFonts w:ascii="Times New Roman" w:hAnsi="Times New Roman" w:cs="Times New Roman"/>
          <w:sz w:val="24"/>
          <w:szCs w:val="24"/>
        </w:rPr>
        <w:t xml:space="preserve"> o la prestación de servicio</w:t>
      </w:r>
      <w:r w:rsidR="008368D7" w:rsidRPr="00DA1BF1">
        <w:rPr>
          <w:rFonts w:ascii="Times New Roman" w:hAnsi="Times New Roman" w:cs="Times New Roman"/>
          <w:sz w:val="24"/>
          <w:szCs w:val="24"/>
        </w:rPr>
        <w:t>s</w:t>
      </w:r>
      <w:r w:rsidR="00C40B39" w:rsidRPr="00DA1BF1">
        <w:rPr>
          <w:rFonts w:ascii="Times New Roman" w:hAnsi="Times New Roman" w:cs="Times New Roman"/>
          <w:sz w:val="24"/>
          <w:szCs w:val="24"/>
        </w:rPr>
        <w:t xml:space="preserve"> </w:t>
      </w:r>
      <w:r w:rsidR="00533221" w:rsidRPr="00DA1BF1">
        <w:rPr>
          <w:rFonts w:ascii="Times New Roman" w:hAnsi="Times New Roman" w:cs="Times New Roman"/>
          <w:sz w:val="24"/>
          <w:szCs w:val="24"/>
        </w:rPr>
        <w:fldChar w:fldCharType="begin"/>
      </w:r>
      <w:r w:rsidR="00790FE3" w:rsidRPr="00DA1BF1">
        <w:rPr>
          <w:rFonts w:ascii="Times New Roman" w:hAnsi="Times New Roman" w:cs="Times New Roman"/>
          <w:sz w:val="24"/>
          <w:szCs w:val="24"/>
        </w:rPr>
        <w:instrText xml:space="preserve"> ADDIN EN.CITE &lt;EndNote&gt;&lt;Cite&gt;&lt;Author&gt;Astudillo Gómez&lt;/Author&gt;&lt;Year&gt;2015&lt;/Year&gt;&lt;RecNum&gt;884&lt;/RecNum&gt;&lt;DisplayText&gt;&lt;style size="10"&gt;(Astudillo Gómez, 2015)&lt;/style&gt;&lt;/DisplayText&gt;&lt;record&gt;&lt;rec-number&gt;884&lt;/rec-number&gt;&lt;foreign-keys&gt;&lt;key app="EN" db-id="5x2rzfvvuw9228e2t9m5tsv7ptsvza9dsv2d"&gt;884&lt;/key&gt;&lt;/foreign-keys&gt;&lt;ref-type name="Artículo de versión online de revista impresa"&gt;43&lt;/ref-type&gt;&lt;contributors&gt;&lt;authors&gt;&lt;author&gt;Astudillo Gómez,Francisco&lt;/author&gt;&lt;/authors&gt;&lt;/contributors&gt;&lt;titles&gt;&lt;title&gt;Palabras Intangibles&lt;/title&gt;&lt;secondary-title&gt;Revista Propiedad Intelectual, Mérida-Venezuela&lt;/secondary-title&gt;&lt;/titles&gt;&lt;periodical&gt;&lt;full-title&gt;Revista Propiedad Intelectual, Mérida-Venezuela&lt;/full-title&gt;&lt;/periodical&gt;&lt;volume&gt;año XIII&lt;/volume&gt;&lt;number&gt;18&lt;/number&gt;&lt;dates&gt;&lt;year&gt;2015&lt;/year&gt;&lt;pub-dates&gt;&lt;date&gt;19/01/2016&lt;/date&gt;&lt;/pub-dates&gt;&lt;/dates&gt;&lt;urls&gt;&lt;related-urls&gt;&lt;url&gt;http://www.saber.ula.ve/bitstream/123456789/41677/1/art1.pdf&lt;/url&gt;&lt;/related-urls&gt;&lt;/urls&gt;&lt;custom1&gt;1.1.3. PI  i+d Venezuela&lt;/custom1&gt;&lt;/record&gt;&lt;/Cite&gt;&lt;/EndNote&gt;</w:instrText>
      </w:r>
      <w:r w:rsidR="00533221" w:rsidRPr="00DA1BF1">
        <w:rPr>
          <w:rFonts w:ascii="Times New Roman" w:hAnsi="Times New Roman" w:cs="Times New Roman"/>
          <w:sz w:val="24"/>
          <w:szCs w:val="24"/>
        </w:rPr>
        <w:fldChar w:fldCharType="separate"/>
      </w:r>
      <w:r w:rsidR="00AA3525" w:rsidRPr="00DA1BF1">
        <w:rPr>
          <w:rFonts w:ascii="Times New Roman" w:hAnsi="Times New Roman" w:cs="Times New Roman"/>
          <w:noProof/>
          <w:sz w:val="24"/>
          <w:szCs w:val="24"/>
        </w:rPr>
        <w:t>(</w:t>
      </w:r>
      <w:hyperlink w:anchor="_ENREF_2" w:tooltip="Astudillo Gómez, 2015 #884" w:history="1">
        <w:r w:rsidR="00CD427A">
          <w:rPr>
            <w:rFonts w:ascii="Times New Roman" w:hAnsi="Times New Roman" w:cs="Times New Roman"/>
            <w:noProof/>
            <w:sz w:val="24"/>
            <w:szCs w:val="24"/>
          </w:rPr>
          <w:t>Astudillo</w:t>
        </w:r>
        <w:r w:rsidR="00790FE3" w:rsidRPr="00DA1BF1">
          <w:rPr>
            <w:rFonts w:ascii="Times New Roman" w:hAnsi="Times New Roman" w:cs="Times New Roman"/>
            <w:noProof/>
            <w:sz w:val="24"/>
            <w:szCs w:val="24"/>
          </w:rPr>
          <w:t>, 2015</w:t>
        </w:r>
      </w:hyperlink>
      <w:r w:rsidR="00AA3525"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w:t>
      </w:r>
    </w:p>
    <w:p w:rsidR="008368D7" w:rsidRPr="00DA1BF1" w:rsidRDefault="008368D7" w:rsidP="008368D7">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Al debatir sobre la esencia de la Contabilidad como ciencia económica</w:t>
      </w:r>
      <w:r w:rsidR="00895474" w:rsidRPr="00DA1BF1">
        <w:rPr>
          <w:rFonts w:ascii="Times New Roman" w:hAnsi="Times New Roman" w:cs="Times New Roman"/>
          <w:sz w:val="24"/>
          <w:szCs w:val="24"/>
        </w:rPr>
        <w:t>,</w:t>
      </w:r>
      <w:r w:rsidRPr="00DA1BF1">
        <w:rPr>
          <w:rFonts w:ascii="Times New Roman" w:hAnsi="Times New Roman" w:cs="Times New Roman"/>
          <w:sz w:val="24"/>
          <w:szCs w:val="24"/>
        </w:rPr>
        <w:t xml:space="preserve"> resulta neces</w:t>
      </w:r>
      <w:r w:rsidR="00953E66" w:rsidRPr="00DA1BF1">
        <w:rPr>
          <w:rFonts w:ascii="Times New Roman" w:hAnsi="Times New Roman" w:cs="Times New Roman"/>
          <w:sz w:val="24"/>
          <w:szCs w:val="24"/>
        </w:rPr>
        <w:t xml:space="preserve">ario referenciar a Marx </w:t>
      </w:r>
      <w:r w:rsidR="00533221" w:rsidRPr="00DA1BF1">
        <w:rPr>
          <w:rFonts w:ascii="Times New Roman" w:hAnsi="Times New Roman" w:cs="Times New Roman"/>
          <w:sz w:val="24"/>
          <w:szCs w:val="24"/>
        </w:rPr>
        <w:fldChar w:fldCharType="begin"/>
      </w:r>
      <w:r w:rsidR="00734FF2" w:rsidRPr="00DA1BF1">
        <w:rPr>
          <w:rFonts w:ascii="Times New Roman" w:hAnsi="Times New Roman" w:cs="Times New Roman"/>
          <w:sz w:val="24"/>
          <w:szCs w:val="24"/>
        </w:rPr>
        <w:instrText xml:space="preserve"> ADDIN EN.CITE &lt;EndNote&gt;&lt;Cite ExcludeAuth="1"&gt;&lt;Author&gt;Marx&lt;/Author&gt;&lt;Year&gt;1973&lt;/Year&gt;&lt;RecNum&gt;919&lt;/RecNum&gt;&lt;DisplayText&gt;&lt;style size="10"&gt;(1973)&lt;/style&gt;&lt;/DisplayText&gt;&lt;record&gt;&lt;rec-number&gt;919&lt;/rec-number&gt;&lt;foreign-keys&gt;&lt;key app="EN" db-id="5x2rzfvvuw9228e2t9m5tsv7ptsvza9dsv2d"&gt;919&lt;/key&gt;&lt;/foreign-keys&gt;&lt;ref-type name="Libro o folleto impresos/electrónicos"&gt;51&lt;/ref-type&gt;&lt;contributors&gt;&lt;authors&gt;&lt;author&gt;Marx, Carlos&lt;/author&gt;&lt;/authors&gt;&lt;/contributors&gt;&lt;titles&gt;&lt;title&gt;El Capital. Crítica de la Economía Política.Tomo II. Libro Segundo. El proceso de circulación del capital&lt;/title&gt;&lt;/titles&gt;&lt;edition&gt;Impresa&lt;/edition&gt;&lt;dates&gt;&lt;year&gt;1973&lt;/year&gt;&lt;/dates&gt;&lt;pub-location&gt;La Habana, Cuba&lt;/pub-location&gt;&lt;publisher&gt;Editorial de Ciencias Sociales, Instituto Cubano del Libro&lt;/publisher&gt;&lt;urls&gt;&lt;pdf-urls&gt;&lt;url&gt;file://D:\Evelio\TESIS DOCTORAL\Bibliografia Tesis\7 OTROS\capitaL_2.pdf&lt;/url&gt;&lt;/pdf-urls&gt;&lt;/urls&gt;&lt;custom1&gt;Consultada Valoracion&lt;/custom1&gt;&lt;language&gt;Español&lt;/language&gt;&lt;/record&gt;&lt;/Cite&gt;&lt;/EndNote&gt;</w:instrText>
      </w:r>
      <w:r w:rsidR="00533221" w:rsidRPr="00DA1BF1">
        <w:rPr>
          <w:rFonts w:ascii="Times New Roman" w:hAnsi="Times New Roman" w:cs="Times New Roman"/>
          <w:sz w:val="24"/>
          <w:szCs w:val="24"/>
        </w:rPr>
        <w:fldChar w:fldCharType="separate"/>
      </w:r>
      <w:r w:rsidR="00734FF2" w:rsidRPr="00DA1BF1">
        <w:rPr>
          <w:rFonts w:ascii="Times New Roman" w:hAnsi="Times New Roman" w:cs="Times New Roman"/>
          <w:noProof/>
          <w:sz w:val="24"/>
          <w:szCs w:val="24"/>
        </w:rPr>
        <w:t>(</w:t>
      </w:r>
      <w:hyperlink w:anchor="_ENREF_15" w:tooltip="Marx, 1973 #919" w:history="1">
        <w:r w:rsidR="00790FE3" w:rsidRPr="00DA1BF1">
          <w:rPr>
            <w:rFonts w:ascii="Times New Roman" w:hAnsi="Times New Roman" w:cs="Times New Roman"/>
            <w:noProof/>
            <w:sz w:val="24"/>
            <w:szCs w:val="24"/>
          </w:rPr>
          <w:t>1973</w:t>
        </w:r>
      </w:hyperlink>
      <w:r w:rsidR="00734FF2"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00734FF2" w:rsidRPr="00DA1BF1">
        <w:rPr>
          <w:rFonts w:ascii="Times New Roman" w:hAnsi="Times New Roman" w:cs="Times New Roman"/>
          <w:sz w:val="24"/>
          <w:szCs w:val="24"/>
        </w:rPr>
        <w:t xml:space="preserve"> </w:t>
      </w:r>
      <w:r w:rsidRPr="00DA1BF1">
        <w:rPr>
          <w:rFonts w:ascii="Times New Roman" w:hAnsi="Times New Roman" w:cs="Times New Roman"/>
          <w:sz w:val="24"/>
          <w:szCs w:val="24"/>
        </w:rPr>
        <w:t xml:space="preserve">quien expresó que a esta disciplina, aparte de fijar y calcular los precios de las mercancías, le corresponde establecer y controlar ese movimiento, la producción y, sobre todo, la valoración en que las mercancías solo figuran como exponentes de valor y cuya existencia ideal se fija en dinero aritmético. </w:t>
      </w:r>
      <w:r w:rsidR="00BA2B34" w:rsidRPr="00DA1BF1">
        <w:rPr>
          <w:rFonts w:ascii="Times New Roman" w:hAnsi="Times New Roman" w:cs="Times New Roman"/>
          <w:sz w:val="24"/>
          <w:szCs w:val="24"/>
        </w:rPr>
        <w:t>El autor s</w:t>
      </w:r>
      <w:r w:rsidRPr="00DA1BF1">
        <w:rPr>
          <w:rFonts w:ascii="Times New Roman" w:hAnsi="Times New Roman" w:cs="Times New Roman"/>
          <w:sz w:val="24"/>
          <w:szCs w:val="24"/>
        </w:rPr>
        <w:t>e refirió al costo históric</w:t>
      </w:r>
      <w:r w:rsidR="00953E66" w:rsidRPr="00DA1BF1">
        <w:rPr>
          <w:rFonts w:ascii="Times New Roman" w:hAnsi="Times New Roman" w:cs="Times New Roman"/>
          <w:sz w:val="24"/>
          <w:szCs w:val="24"/>
        </w:rPr>
        <w:t xml:space="preserve">o sin distinguir </w:t>
      </w:r>
      <w:r w:rsidR="00895474" w:rsidRPr="00DA1BF1">
        <w:rPr>
          <w:rFonts w:ascii="Times New Roman" w:hAnsi="Times New Roman" w:cs="Times New Roman"/>
          <w:sz w:val="24"/>
          <w:szCs w:val="24"/>
        </w:rPr>
        <w:t>la</w:t>
      </w:r>
      <w:r w:rsidR="00953E66" w:rsidRPr="00DA1BF1">
        <w:rPr>
          <w:rFonts w:ascii="Times New Roman" w:hAnsi="Times New Roman" w:cs="Times New Roman"/>
          <w:sz w:val="24"/>
          <w:szCs w:val="24"/>
        </w:rPr>
        <w:t xml:space="preserve"> materialidad</w:t>
      </w:r>
      <w:r w:rsidRPr="00DA1BF1">
        <w:rPr>
          <w:rFonts w:ascii="Times New Roman" w:hAnsi="Times New Roman" w:cs="Times New Roman"/>
          <w:sz w:val="24"/>
          <w:szCs w:val="24"/>
        </w:rPr>
        <w:t>.</w:t>
      </w:r>
    </w:p>
    <w:p w:rsidR="008368D7" w:rsidRPr="00DA1BF1" w:rsidRDefault="008368D7" w:rsidP="008368D7">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 xml:space="preserve">Marx </w:t>
      </w:r>
      <w:r w:rsidR="00533221" w:rsidRPr="00DA1BF1">
        <w:rPr>
          <w:rFonts w:ascii="Times New Roman" w:hAnsi="Times New Roman" w:cs="Times New Roman"/>
          <w:sz w:val="24"/>
          <w:szCs w:val="24"/>
        </w:rPr>
        <w:fldChar w:fldCharType="begin"/>
      </w:r>
      <w:r w:rsidR="00734FF2" w:rsidRPr="00DA1BF1">
        <w:rPr>
          <w:rFonts w:ascii="Times New Roman" w:hAnsi="Times New Roman" w:cs="Times New Roman"/>
          <w:sz w:val="24"/>
          <w:szCs w:val="24"/>
        </w:rPr>
        <w:instrText xml:space="preserve"> ADDIN EN.CITE &lt;EndNote&gt;&lt;Cite ExcludeAuth="1"&gt;&lt;Author&gt;Marx&lt;/Author&gt;&lt;Year&gt;1965&lt;/Year&gt;&lt;RecNum&gt;1&lt;/RecNum&gt;&lt;DisplayText&gt;&lt;style size="10"&gt;(1965)&lt;/style&gt;&lt;/DisplayText&gt;&lt;record&gt;&lt;rec-number&gt;1&lt;/rec-number&gt;&lt;foreign-keys&gt;&lt;key app="EN" db-id="5x2rzfvvuw9228e2t9m5tsv7ptsvza9dsv2d"&gt;1&lt;/key&gt;&lt;/foreign-keys&gt;&lt;ref-type name="Libro o folleto impresos/electrónicos"&gt;51&lt;/ref-type&gt;&lt;contributors&gt;&lt;authors&gt;&lt;author&gt;Marx, Carlos&lt;/author&gt;&lt;/authors&gt;&lt;secondary-authors&gt;&lt;author&gt;Bruhlinski, Vladimir&lt;/author&gt;&lt;author&gt;Preis, Ilya&lt;/author&gt;&lt;/secondary-authors&gt;&lt;/contributors&gt;&lt;titles&gt;&lt;title&gt;El Capital.Tomo IV. Historia crítica de la teoría de la plusvalía&lt;/title&gt;&lt;/titles&gt;&lt;pages&gt;223-224&lt;/pages&gt;&lt;edition&gt;Formato impreso&lt;/edition&gt;&lt;keywords&gt;&lt;keyword&gt;En la producción inmaterial, aún cuando tenga como finalidad exclusiva el cambio y produzca por tanto mercancías, caben dos hipótesis distintas: 1) Puede ocurrir que se traduzca en mercancías, en valores de uso que revistan una forma personal, distinta &lt;/keyword&gt;&lt;/keywords&gt;&lt;dates&gt;&lt;year&gt;1965&lt;/year&gt;&lt;/dates&gt;&lt;pub-location&gt;La Habana, Cuba&lt;/pub-location&gt;&lt;publisher&gt;Venceremos.Volumen I, tomado de la versión de Editorial Cartago. SRL, Buenos Aires, Argentina,1956&lt;/publisher&gt;&lt;urls&gt;&lt;pdf-urls&gt;&lt;url&gt;file://D:\Evelio\TESIS DOCTORAL\Bibliografia Tesis\1 ACTIVOS INTANGIBLES\Cuarto Tomo del Capital.doc&lt;/url&gt;&lt;/pdf-urls&gt;&lt;/urls&gt;&lt;custom1&gt;1.1.1. propiedad evol &lt;/custom1&gt;&lt;/record&gt;&lt;/Cite&gt;&lt;/EndNote&gt;</w:instrText>
      </w:r>
      <w:r w:rsidR="00533221" w:rsidRPr="00DA1BF1">
        <w:rPr>
          <w:rFonts w:ascii="Times New Roman" w:hAnsi="Times New Roman" w:cs="Times New Roman"/>
          <w:sz w:val="24"/>
          <w:szCs w:val="24"/>
        </w:rPr>
        <w:fldChar w:fldCharType="separate"/>
      </w:r>
      <w:r w:rsidR="00734FF2" w:rsidRPr="00DA1BF1">
        <w:rPr>
          <w:rFonts w:ascii="Times New Roman" w:hAnsi="Times New Roman" w:cs="Times New Roman"/>
          <w:noProof/>
          <w:sz w:val="24"/>
          <w:szCs w:val="24"/>
        </w:rPr>
        <w:t>(</w:t>
      </w:r>
      <w:hyperlink w:anchor="_ENREF_14" w:tooltip="Marx, 1965 #1" w:history="1">
        <w:r w:rsidR="00790FE3" w:rsidRPr="00DA1BF1">
          <w:rPr>
            <w:rFonts w:ascii="Times New Roman" w:hAnsi="Times New Roman" w:cs="Times New Roman"/>
            <w:noProof/>
            <w:sz w:val="24"/>
            <w:szCs w:val="24"/>
          </w:rPr>
          <w:t>1965</w:t>
        </w:r>
      </w:hyperlink>
      <w:r w:rsidR="00734FF2"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00734FF2" w:rsidRPr="00DA1BF1">
        <w:rPr>
          <w:rFonts w:ascii="Times New Roman" w:hAnsi="Times New Roman" w:cs="Times New Roman"/>
          <w:sz w:val="24"/>
          <w:szCs w:val="24"/>
        </w:rPr>
        <w:t xml:space="preserve"> </w:t>
      </w:r>
      <w:r w:rsidRPr="00DA1BF1">
        <w:rPr>
          <w:rFonts w:ascii="Times New Roman" w:hAnsi="Times New Roman" w:cs="Times New Roman"/>
          <w:sz w:val="24"/>
          <w:szCs w:val="24"/>
        </w:rPr>
        <w:t xml:space="preserve">al definir el trabajo productivo; descubrió una segunda característica de dicha actividad, a la cual le llamó secundaria, distinta de la más importante de su tiempo: la producción </w:t>
      </w:r>
      <w:r w:rsidR="00953E66" w:rsidRPr="00DA1BF1">
        <w:rPr>
          <w:rFonts w:ascii="Times New Roman" w:hAnsi="Times New Roman" w:cs="Times New Roman"/>
          <w:sz w:val="24"/>
          <w:szCs w:val="24"/>
        </w:rPr>
        <w:t xml:space="preserve">inmaterial. </w:t>
      </w:r>
      <w:r w:rsidRPr="00DA1BF1">
        <w:rPr>
          <w:rFonts w:ascii="Times New Roman" w:hAnsi="Times New Roman" w:cs="Times New Roman"/>
          <w:sz w:val="24"/>
          <w:szCs w:val="24"/>
        </w:rPr>
        <w:t>El autor señaló que aun cuando tuviera como finalidad exclusiva el cambio y produjera por tanto mercancías, cabían dos hipótesis distintas. La primera, que se traduje</w:t>
      </w:r>
      <w:r w:rsidR="00953E66" w:rsidRPr="00DA1BF1">
        <w:rPr>
          <w:rFonts w:ascii="Times New Roman" w:hAnsi="Times New Roman" w:cs="Times New Roman"/>
          <w:sz w:val="24"/>
          <w:szCs w:val="24"/>
        </w:rPr>
        <w:t>ran en valores de uso (bienes),</w:t>
      </w:r>
      <w:r w:rsidRPr="00DA1BF1">
        <w:rPr>
          <w:rFonts w:ascii="Times New Roman" w:hAnsi="Times New Roman" w:cs="Times New Roman"/>
          <w:sz w:val="24"/>
          <w:szCs w:val="24"/>
        </w:rPr>
        <w:t xml:space="preserve"> y revistieran una forma distinta del productor y del consumidor y, por consiguiente, podían existir en el intervalo que </w:t>
      </w:r>
      <w:r w:rsidRPr="00DA1BF1">
        <w:rPr>
          <w:rFonts w:ascii="Times New Roman" w:hAnsi="Times New Roman" w:cs="Times New Roman"/>
          <w:sz w:val="24"/>
          <w:szCs w:val="24"/>
        </w:rPr>
        <w:lastRenderedPageBreak/>
        <w:t>separa la producción del consumo, circular y realizarse sin desvincularse del acto de creación como ocurre con las obras de arte.</w:t>
      </w:r>
    </w:p>
    <w:p w:rsidR="008368D7" w:rsidRPr="00DA1BF1" w:rsidRDefault="008368D7" w:rsidP="008368D7">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La segunda hipótesis, Marx la condicionó a otro tipo de mercancías en la que no pueden separarse los intangibles del acto de creación, como ocurre en determinadas profesiones y ramas de la economía; docencia, funciones de teatro, gastronomía y abogacía, son ejemplos que citó (servicios) .</w:t>
      </w:r>
    </w:p>
    <w:p w:rsidR="008368D7" w:rsidRPr="00DA1BF1" w:rsidRDefault="008368D7" w:rsidP="008368D7">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 xml:space="preserve">La Contabilidad a través de diversas formas de exámenes, mide, conserva y procesa información de negocios convirtiéndola en informes denominados Estados Financieros donde comunica hallazgos en términos monetarios a los encargados de tomar decisiones, registra en forma metodológica operaciones </w:t>
      </w:r>
      <w:r w:rsidR="00AD2F10" w:rsidRPr="00DA1BF1">
        <w:rPr>
          <w:rFonts w:ascii="Times New Roman" w:hAnsi="Times New Roman" w:cs="Times New Roman"/>
          <w:sz w:val="24"/>
          <w:szCs w:val="24"/>
        </w:rPr>
        <w:t>económico-financieras</w:t>
      </w:r>
      <w:r w:rsidRPr="00DA1BF1">
        <w:rPr>
          <w:rFonts w:ascii="Times New Roman" w:hAnsi="Times New Roman" w:cs="Times New Roman"/>
          <w:sz w:val="24"/>
          <w:szCs w:val="24"/>
        </w:rPr>
        <w:t xml:space="preserve"> que ocurren en los negocios y suministra información clara y precisa acerca de la situación financiera de los mismos en un momento </w:t>
      </w:r>
      <w:r w:rsidR="009D0CD7" w:rsidRPr="00DA1BF1">
        <w:rPr>
          <w:rFonts w:ascii="Times New Roman" w:hAnsi="Times New Roman" w:cs="Times New Roman"/>
          <w:sz w:val="24"/>
          <w:szCs w:val="24"/>
        </w:rPr>
        <w:t>dado</w:t>
      </w:r>
      <w:r w:rsidR="0064055F" w:rsidRPr="00DA1BF1">
        <w:rPr>
          <w:rFonts w:ascii="Times New Roman" w:hAnsi="Times New Roman" w:cs="Times New Roman"/>
          <w:sz w:val="24"/>
          <w:szCs w:val="24"/>
        </w:rPr>
        <w:t xml:space="preserve"> </w:t>
      </w:r>
      <w:r w:rsidR="00533221" w:rsidRPr="00DA1BF1">
        <w:rPr>
          <w:rFonts w:ascii="Times New Roman" w:hAnsi="Times New Roman" w:cs="Times New Roman"/>
          <w:sz w:val="24"/>
          <w:szCs w:val="24"/>
        </w:rPr>
        <w:fldChar w:fldCharType="begin">
          <w:fldData xml:space="preserve">PEVuZE5vdGU+PENpdGU+PEF1dGhvcj5JbmZhbnRlPC9BdXRob3I+PFllYXI+MjAxMTwvWWVhcj48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</w:fldData>
        </w:fldChar>
      </w:r>
      <w:r w:rsidR="00AA3525" w:rsidRPr="00DA1BF1">
        <w:rPr>
          <w:rFonts w:ascii="Times New Roman" w:hAnsi="Times New Roman" w:cs="Times New Roman"/>
          <w:sz w:val="24"/>
          <w:szCs w:val="24"/>
        </w:rPr>
        <w:instrText xml:space="preserve"> ADDIN EN.CITE </w:instrText>
      </w:r>
      <w:r w:rsidR="00533221" w:rsidRPr="00DA1BF1">
        <w:rPr>
          <w:rFonts w:ascii="Times New Roman" w:hAnsi="Times New Roman" w:cs="Times New Roman"/>
          <w:sz w:val="24"/>
          <w:szCs w:val="24"/>
        </w:rPr>
        <w:fldChar w:fldCharType="begin">
          <w:fldData xml:space="preserve">PEVuZE5vdGU+PENpdGU+PEF1dGhvcj5JbmZhbnRlPC9BdXRob3I+PFllYXI+MjAxMTwvWWVhcj48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</w:fldData>
        </w:fldChar>
      </w:r>
      <w:r w:rsidR="00AA3525" w:rsidRPr="00DA1BF1">
        <w:rPr>
          <w:rFonts w:ascii="Times New Roman" w:hAnsi="Times New Roman" w:cs="Times New Roman"/>
          <w:sz w:val="24"/>
          <w:szCs w:val="24"/>
        </w:rPr>
        <w:instrText xml:space="preserve"> ADDIN EN.CITE.DATA </w:instrText>
      </w:r>
      <w:r w:rsidR="00533221" w:rsidRPr="00DA1BF1">
        <w:rPr>
          <w:rFonts w:ascii="Times New Roman" w:hAnsi="Times New Roman" w:cs="Times New Roman"/>
          <w:sz w:val="24"/>
          <w:szCs w:val="24"/>
        </w:rPr>
      </w:r>
      <w:r w:rsidR="00533221" w:rsidRPr="00DA1BF1">
        <w:rPr>
          <w:rFonts w:ascii="Times New Roman" w:hAnsi="Times New Roman" w:cs="Times New Roman"/>
          <w:sz w:val="24"/>
          <w:szCs w:val="24"/>
        </w:rPr>
        <w:fldChar w:fldCharType="end"/>
      </w:r>
      <w:r w:rsidR="00533221" w:rsidRPr="00DA1BF1">
        <w:rPr>
          <w:rFonts w:ascii="Times New Roman" w:hAnsi="Times New Roman" w:cs="Times New Roman"/>
          <w:sz w:val="24"/>
          <w:szCs w:val="24"/>
        </w:rPr>
      </w:r>
      <w:r w:rsidR="00533221" w:rsidRPr="00DA1BF1">
        <w:rPr>
          <w:rFonts w:ascii="Times New Roman" w:hAnsi="Times New Roman" w:cs="Times New Roman"/>
          <w:sz w:val="24"/>
          <w:szCs w:val="24"/>
        </w:rPr>
        <w:fldChar w:fldCharType="separate"/>
      </w:r>
      <w:r w:rsidR="00AA3525" w:rsidRPr="00DA1BF1">
        <w:rPr>
          <w:rFonts w:ascii="Times New Roman" w:hAnsi="Times New Roman" w:cs="Times New Roman"/>
          <w:noProof/>
          <w:sz w:val="24"/>
          <w:szCs w:val="24"/>
        </w:rPr>
        <w:t>(</w:t>
      </w:r>
      <w:hyperlink w:anchor="_ENREF_12" w:tooltip="Infante, 2011 #711" w:history="1">
        <w:r w:rsidR="00790FE3" w:rsidRPr="00DA1BF1">
          <w:rPr>
            <w:rFonts w:ascii="Times New Roman" w:hAnsi="Times New Roman" w:cs="Times New Roman"/>
            <w:noProof/>
            <w:sz w:val="24"/>
            <w:szCs w:val="24"/>
          </w:rPr>
          <w:t>Infante, 2011</w:t>
        </w:r>
      </w:hyperlink>
      <w:r w:rsidR="00AA3525" w:rsidRPr="00DA1BF1">
        <w:rPr>
          <w:rFonts w:ascii="Times New Roman" w:hAnsi="Times New Roman" w:cs="Times New Roman"/>
          <w:noProof/>
          <w:sz w:val="24"/>
          <w:szCs w:val="24"/>
        </w:rPr>
        <w:t xml:space="preserve">; </w:t>
      </w:r>
      <w:hyperlink w:anchor="_ENREF_23" w:tooltip="Ruso, 2015 #1073" w:history="1">
        <w:r w:rsidR="00790FE3" w:rsidRPr="00DA1BF1">
          <w:rPr>
            <w:rFonts w:ascii="Times New Roman" w:hAnsi="Times New Roman" w:cs="Times New Roman"/>
            <w:noProof/>
            <w:sz w:val="24"/>
            <w:szCs w:val="24"/>
          </w:rPr>
          <w:t>Ruso y Porto, 2015</w:t>
        </w:r>
      </w:hyperlink>
      <w:r w:rsidR="00AA3525"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009D0CD7" w:rsidRPr="00DA1BF1">
        <w:rPr>
          <w:rFonts w:ascii="Times New Roman" w:hAnsi="Times New Roman" w:cs="Times New Roman"/>
          <w:sz w:val="24"/>
          <w:szCs w:val="24"/>
        </w:rPr>
        <w:t>.</w:t>
      </w:r>
    </w:p>
    <w:p w:rsidR="006762AF" w:rsidRPr="00DA1BF1" w:rsidRDefault="00BE78C6" w:rsidP="0033307C">
      <w:pPr>
        <w:pStyle w:val="Prrafodelista"/>
        <w:numPr>
          <w:ilvl w:val="0"/>
          <w:numId w:val="4"/>
        </w:numPr>
        <w:tabs>
          <w:tab w:val="left" w:pos="284"/>
        </w:tabs>
        <w:spacing w:before="120" w:after="120" w:line="360" w:lineRule="auto"/>
        <w:ind w:left="0" w:firstLine="0"/>
        <w:contextualSpacing w:val="0"/>
        <w:jc w:val="both"/>
        <w:outlineLvl w:val="0"/>
        <w:rPr>
          <w:rFonts w:ascii="Times New Roman" w:hAnsi="Times New Roman" w:cs="Times New Roman"/>
          <w:b/>
          <w:sz w:val="24"/>
          <w:szCs w:val="24"/>
        </w:rPr>
      </w:pPr>
      <w:r w:rsidRPr="00DA1BF1">
        <w:rPr>
          <w:rFonts w:ascii="Times New Roman" w:hAnsi="Times New Roman" w:cs="Times New Roman"/>
          <w:b/>
          <w:sz w:val="24"/>
          <w:szCs w:val="24"/>
        </w:rPr>
        <w:t>Metodología</w:t>
      </w:r>
    </w:p>
    <w:p w:rsidR="00BE0304" w:rsidRPr="00DA1BF1" w:rsidRDefault="00817FD8" w:rsidP="001737C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El estudio realizado</w:t>
      </w:r>
      <w:r w:rsidR="001737CC" w:rsidRPr="00DA1BF1">
        <w:rPr>
          <w:rFonts w:ascii="Times New Roman" w:hAnsi="Times New Roman" w:cs="Times New Roman"/>
          <w:sz w:val="24"/>
          <w:szCs w:val="24"/>
        </w:rPr>
        <w:t xml:space="preserve"> desde la perspectiva del Derecho se concibió en la dialéctica socio </w:t>
      </w:r>
      <w:proofErr w:type="gramStart"/>
      <w:r w:rsidR="001737CC" w:rsidRPr="00DA1BF1">
        <w:rPr>
          <w:rFonts w:ascii="Times New Roman" w:hAnsi="Times New Roman" w:cs="Times New Roman"/>
          <w:sz w:val="24"/>
          <w:szCs w:val="24"/>
        </w:rPr>
        <w:t>jurídica</w:t>
      </w:r>
      <w:proofErr w:type="gramEnd"/>
      <w:r w:rsidR="001737CC" w:rsidRPr="00DA1BF1">
        <w:rPr>
          <w:rFonts w:ascii="Times New Roman" w:hAnsi="Times New Roman" w:cs="Times New Roman"/>
          <w:sz w:val="24"/>
          <w:szCs w:val="24"/>
        </w:rPr>
        <w:t xml:space="preserve">, con orientación hacia el paradigma </w:t>
      </w:r>
      <w:r w:rsidRPr="00DA1BF1">
        <w:rPr>
          <w:rFonts w:ascii="Times New Roman" w:hAnsi="Times New Roman" w:cs="Times New Roman"/>
          <w:sz w:val="24"/>
          <w:szCs w:val="24"/>
        </w:rPr>
        <w:t xml:space="preserve">de investigación </w:t>
      </w:r>
      <w:r w:rsidR="001737CC" w:rsidRPr="00DA1BF1">
        <w:rPr>
          <w:rFonts w:ascii="Times New Roman" w:hAnsi="Times New Roman" w:cs="Times New Roman"/>
          <w:sz w:val="24"/>
          <w:szCs w:val="24"/>
        </w:rPr>
        <w:t>cualit</w:t>
      </w:r>
      <w:r w:rsidRPr="00DA1BF1">
        <w:rPr>
          <w:rFonts w:ascii="Times New Roman" w:hAnsi="Times New Roman" w:cs="Times New Roman"/>
          <w:sz w:val="24"/>
          <w:szCs w:val="24"/>
        </w:rPr>
        <w:t>ativa, longitudinal y evolutiva</w:t>
      </w:r>
      <w:r w:rsidR="00F135FE" w:rsidRPr="00DA1BF1">
        <w:rPr>
          <w:rFonts w:ascii="Times New Roman" w:hAnsi="Times New Roman" w:cs="Times New Roman"/>
          <w:sz w:val="24"/>
          <w:szCs w:val="24"/>
        </w:rPr>
        <w:t xml:space="preserve">. </w:t>
      </w:r>
      <w:r w:rsidRPr="00DA1BF1">
        <w:rPr>
          <w:rFonts w:ascii="Times New Roman" w:hAnsi="Times New Roman" w:cs="Times New Roman"/>
          <w:sz w:val="24"/>
          <w:szCs w:val="24"/>
        </w:rPr>
        <w:t xml:space="preserve">Desde la configuración contable se considera del tipo </w:t>
      </w:r>
      <w:r w:rsidR="00BE0304" w:rsidRPr="00DA1BF1">
        <w:rPr>
          <w:rFonts w:ascii="Times New Roman" w:hAnsi="Times New Roman" w:cs="Times New Roman"/>
          <w:sz w:val="24"/>
          <w:szCs w:val="24"/>
        </w:rPr>
        <w:t>explicativa</w:t>
      </w:r>
      <w:r w:rsidRPr="00DA1BF1">
        <w:rPr>
          <w:rFonts w:ascii="Times New Roman" w:hAnsi="Times New Roman" w:cs="Times New Roman"/>
          <w:sz w:val="24"/>
          <w:szCs w:val="24"/>
        </w:rPr>
        <w:t xml:space="preserve"> por la</w:t>
      </w:r>
      <w:r w:rsidR="00F135FE" w:rsidRPr="00DA1BF1">
        <w:rPr>
          <w:rFonts w:ascii="Times New Roman" w:hAnsi="Times New Roman" w:cs="Times New Roman"/>
          <w:sz w:val="24"/>
          <w:szCs w:val="24"/>
        </w:rPr>
        <w:t xml:space="preserve"> solución que brinda. Se utilizó</w:t>
      </w:r>
      <w:r w:rsidRPr="00DA1BF1">
        <w:rPr>
          <w:rFonts w:ascii="Times New Roman" w:hAnsi="Times New Roman" w:cs="Times New Roman"/>
          <w:sz w:val="24"/>
          <w:szCs w:val="24"/>
        </w:rPr>
        <w:t xml:space="preserve"> como estrategia un diseño no experimental donde la variable independiente es el procedimiento contable, y la dependiente, la valoración monetaria y el reconocimiento de esos bienes en los estados financieros. </w:t>
      </w:r>
    </w:p>
    <w:p w:rsidR="00F135FE" w:rsidRPr="00DA1BF1" w:rsidRDefault="00F135FE" w:rsidP="001737C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Ambos estudios se realizaron desde el enfoque dialéctico materialista mediante la aplicación de técnicas y métodos generales. Del nivel teórico, el histórico-lógico, abstracción-concreción,</w:t>
      </w:r>
      <w:r w:rsidR="004D44DD" w:rsidRPr="00DA1BF1">
        <w:rPr>
          <w:rFonts w:ascii="Times New Roman" w:hAnsi="Times New Roman" w:cs="Times New Roman"/>
          <w:sz w:val="24"/>
          <w:szCs w:val="24"/>
        </w:rPr>
        <w:t xml:space="preserve"> jurídico doctrinal,</w:t>
      </w:r>
      <w:r w:rsidRPr="00DA1BF1">
        <w:rPr>
          <w:rFonts w:ascii="Times New Roman" w:hAnsi="Times New Roman" w:cs="Times New Roman"/>
          <w:sz w:val="24"/>
          <w:szCs w:val="24"/>
        </w:rPr>
        <w:t xml:space="preserve"> inductivo-deductivo</w:t>
      </w:r>
      <w:r w:rsidR="004D44DD" w:rsidRPr="00DA1BF1">
        <w:rPr>
          <w:rFonts w:ascii="Times New Roman" w:hAnsi="Times New Roman" w:cs="Times New Roman"/>
          <w:sz w:val="24"/>
          <w:szCs w:val="24"/>
        </w:rPr>
        <w:t>, jurídico-exegético</w:t>
      </w:r>
      <w:r w:rsidRPr="00DA1BF1">
        <w:rPr>
          <w:rFonts w:ascii="Times New Roman" w:hAnsi="Times New Roman" w:cs="Times New Roman"/>
          <w:sz w:val="24"/>
          <w:szCs w:val="24"/>
        </w:rPr>
        <w:t xml:space="preserve"> y analítico-sintético para el marco teórico referencial, y para identificar las causas del fenómeno</w:t>
      </w:r>
      <w:r w:rsidR="00EA3111" w:rsidRPr="00DA1BF1">
        <w:rPr>
          <w:rFonts w:ascii="Times New Roman" w:hAnsi="Times New Roman" w:cs="Times New Roman"/>
          <w:sz w:val="24"/>
          <w:szCs w:val="24"/>
        </w:rPr>
        <w:t>,</w:t>
      </w:r>
      <w:r w:rsidRPr="00DA1BF1">
        <w:rPr>
          <w:rFonts w:ascii="Times New Roman" w:hAnsi="Times New Roman" w:cs="Times New Roman"/>
          <w:sz w:val="24"/>
          <w:szCs w:val="24"/>
        </w:rPr>
        <w:t xml:space="preserve"> los empíricos tales como la observación, entrevistas</w:t>
      </w:r>
      <w:r w:rsidR="00041250" w:rsidRPr="00DA1BF1">
        <w:rPr>
          <w:rFonts w:ascii="Times New Roman" w:hAnsi="Times New Roman" w:cs="Times New Roman"/>
          <w:sz w:val="24"/>
          <w:szCs w:val="24"/>
        </w:rPr>
        <w:t xml:space="preserve"> (</w:t>
      </w:r>
      <w:proofErr w:type="spellStart"/>
      <w:r w:rsidR="00041250" w:rsidRPr="00DA1BF1">
        <w:rPr>
          <w:rFonts w:ascii="Times New Roman" w:hAnsi="Times New Roman" w:cs="Times New Roman"/>
          <w:sz w:val="24"/>
          <w:szCs w:val="24"/>
        </w:rPr>
        <w:t>semiestructuradas</w:t>
      </w:r>
      <w:proofErr w:type="spellEnd"/>
      <w:r w:rsidR="00041250" w:rsidRPr="00DA1BF1">
        <w:rPr>
          <w:rFonts w:ascii="Times New Roman" w:hAnsi="Times New Roman" w:cs="Times New Roman"/>
          <w:sz w:val="24"/>
          <w:szCs w:val="24"/>
        </w:rPr>
        <w:t xml:space="preserve"> y de oportunidad</w:t>
      </w:r>
      <w:r w:rsidR="00A1076B" w:rsidRPr="00DA1BF1">
        <w:rPr>
          <w:rFonts w:ascii="Times New Roman" w:hAnsi="Times New Roman" w:cs="Times New Roman"/>
          <w:sz w:val="24"/>
          <w:szCs w:val="24"/>
        </w:rPr>
        <w:t>)</w:t>
      </w:r>
      <w:r w:rsidRPr="00DA1BF1">
        <w:rPr>
          <w:rFonts w:ascii="Times New Roman" w:hAnsi="Times New Roman" w:cs="Times New Roman"/>
          <w:sz w:val="24"/>
          <w:szCs w:val="24"/>
        </w:rPr>
        <w:t>, encuestas</w:t>
      </w:r>
      <w:r w:rsidR="009B4C52" w:rsidRPr="00DA1BF1">
        <w:rPr>
          <w:rFonts w:ascii="Times New Roman" w:hAnsi="Times New Roman" w:cs="Times New Roman"/>
          <w:sz w:val="24"/>
          <w:szCs w:val="24"/>
        </w:rPr>
        <w:t>, listas de chequeo</w:t>
      </w:r>
      <w:r w:rsidR="00041250" w:rsidRPr="00DA1BF1">
        <w:rPr>
          <w:rFonts w:ascii="Times New Roman" w:hAnsi="Times New Roman" w:cs="Times New Roman"/>
          <w:sz w:val="24"/>
          <w:szCs w:val="24"/>
        </w:rPr>
        <w:t xml:space="preserve">, técnica del </w:t>
      </w:r>
      <w:proofErr w:type="spellStart"/>
      <w:r w:rsidR="00041250" w:rsidRPr="00DA1BF1">
        <w:rPr>
          <w:rFonts w:ascii="Times New Roman" w:hAnsi="Times New Roman" w:cs="Times New Roman"/>
          <w:i/>
          <w:sz w:val="24"/>
          <w:szCs w:val="24"/>
        </w:rPr>
        <w:t>benschmarking</w:t>
      </w:r>
      <w:proofErr w:type="spellEnd"/>
      <w:r w:rsidR="00306C2D" w:rsidRPr="00DA1BF1">
        <w:rPr>
          <w:rFonts w:ascii="Times New Roman" w:hAnsi="Times New Roman" w:cs="Times New Roman"/>
          <w:sz w:val="24"/>
          <w:szCs w:val="24"/>
        </w:rPr>
        <w:t xml:space="preserve"> (aprender del mejor)</w:t>
      </w:r>
      <w:r w:rsidRPr="00DA1BF1">
        <w:rPr>
          <w:rFonts w:ascii="Times New Roman" w:hAnsi="Times New Roman" w:cs="Times New Roman"/>
          <w:sz w:val="24"/>
          <w:szCs w:val="24"/>
        </w:rPr>
        <w:t xml:space="preserve"> y revisión documental en las entidades</w:t>
      </w:r>
      <w:r w:rsidR="00A1076B" w:rsidRPr="00DA1BF1">
        <w:rPr>
          <w:rFonts w:ascii="Times New Roman" w:hAnsi="Times New Roman" w:cs="Times New Roman"/>
          <w:sz w:val="24"/>
          <w:szCs w:val="24"/>
        </w:rPr>
        <w:t xml:space="preserve"> que se utilizaron como muestra</w:t>
      </w:r>
      <w:r w:rsidRPr="00DA1BF1">
        <w:rPr>
          <w:rFonts w:ascii="Times New Roman" w:hAnsi="Times New Roman" w:cs="Times New Roman"/>
          <w:sz w:val="24"/>
          <w:szCs w:val="24"/>
        </w:rPr>
        <w:t>.</w:t>
      </w:r>
    </w:p>
    <w:p w:rsidR="006762AF" w:rsidRPr="00DA1BF1" w:rsidRDefault="006762AF"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La muestra inicial de la investigación</w:t>
      </w:r>
      <w:r w:rsidR="00A1076B" w:rsidRPr="00DA1BF1">
        <w:rPr>
          <w:rFonts w:ascii="Times New Roman" w:hAnsi="Times New Roman" w:cs="Times New Roman"/>
          <w:sz w:val="24"/>
          <w:szCs w:val="24"/>
        </w:rPr>
        <w:t xml:space="preserve"> </w:t>
      </w:r>
      <w:r w:rsidR="00225595" w:rsidRPr="00DA1BF1">
        <w:rPr>
          <w:rFonts w:ascii="Times New Roman" w:hAnsi="Times New Roman" w:cs="Times New Roman"/>
          <w:sz w:val="24"/>
          <w:szCs w:val="24"/>
        </w:rPr>
        <w:t>jurídica</w:t>
      </w:r>
      <w:r w:rsidRPr="00DA1BF1">
        <w:rPr>
          <w:rFonts w:ascii="Times New Roman" w:hAnsi="Times New Roman" w:cs="Times New Roman"/>
          <w:sz w:val="24"/>
          <w:szCs w:val="24"/>
        </w:rPr>
        <w:t xml:space="preserve"> fue de treinta y una entidades de setenta y ocho que controlaba la Delegación de Ciencia, Tecnología y Medio Ambiente (CITMA) de Villa Clara al cierre de 2012, cifra que representa el 39.7 por ciento del total, considerándose suficiente. De manera progresiva se incluyeron otras del sector </w:t>
      </w:r>
      <w:r w:rsidRPr="00DA1BF1">
        <w:rPr>
          <w:rFonts w:ascii="Times New Roman" w:hAnsi="Times New Roman" w:cs="Times New Roman"/>
          <w:sz w:val="24"/>
          <w:szCs w:val="24"/>
        </w:rPr>
        <w:lastRenderedPageBreak/>
        <w:t xml:space="preserve">hidráulico y de diferentes ramas de la economía y provincias de la región central. Por sugerencias aceptadas, </w:t>
      </w:r>
      <w:r w:rsidR="00EA3111" w:rsidRPr="00DA1BF1">
        <w:rPr>
          <w:rFonts w:ascii="Times New Roman" w:hAnsi="Times New Roman" w:cs="Times New Roman"/>
          <w:sz w:val="24"/>
          <w:szCs w:val="24"/>
        </w:rPr>
        <w:t xml:space="preserve">también </w:t>
      </w:r>
      <w:r w:rsidRPr="00DA1BF1">
        <w:rPr>
          <w:rFonts w:ascii="Times New Roman" w:hAnsi="Times New Roman" w:cs="Times New Roman"/>
          <w:sz w:val="24"/>
          <w:szCs w:val="24"/>
        </w:rPr>
        <w:t>se amplió la muestra a empresas de la capital del país, líderes en el manejo de PI y titulares de derechos patrimoniales en la nación y en el extranjero para un total de sesenta y dos.</w:t>
      </w:r>
    </w:p>
    <w:p w:rsidR="00C85B07" w:rsidRPr="00DA1BF1" w:rsidRDefault="00D36C38"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 xml:space="preserve">En </w:t>
      </w:r>
      <w:r w:rsidR="00EA3111" w:rsidRPr="00DA1BF1">
        <w:rPr>
          <w:rFonts w:ascii="Times New Roman" w:hAnsi="Times New Roman" w:cs="Times New Roman"/>
          <w:sz w:val="24"/>
          <w:szCs w:val="24"/>
        </w:rPr>
        <w:t>un</w:t>
      </w:r>
      <w:r w:rsidRPr="00DA1BF1">
        <w:rPr>
          <w:rFonts w:ascii="Times New Roman" w:hAnsi="Times New Roman" w:cs="Times New Roman"/>
          <w:sz w:val="24"/>
          <w:szCs w:val="24"/>
        </w:rPr>
        <w:t xml:space="preserve"> mismo sentido, </w:t>
      </w:r>
      <w:r w:rsidR="00554820" w:rsidRPr="00DA1BF1">
        <w:rPr>
          <w:rFonts w:ascii="Times New Roman" w:hAnsi="Times New Roman" w:cs="Times New Roman"/>
          <w:sz w:val="24"/>
          <w:szCs w:val="24"/>
        </w:rPr>
        <w:t xml:space="preserve">para el estudio contable </w:t>
      </w:r>
      <w:r w:rsidRPr="00DA1BF1">
        <w:rPr>
          <w:rFonts w:ascii="Times New Roman" w:hAnsi="Times New Roman" w:cs="Times New Roman"/>
          <w:sz w:val="24"/>
          <w:szCs w:val="24"/>
        </w:rPr>
        <w:t>se emplearon solo ocho entidades de las controlad</w:t>
      </w:r>
      <w:r w:rsidR="00834E77" w:rsidRPr="00DA1BF1">
        <w:rPr>
          <w:rFonts w:ascii="Times New Roman" w:hAnsi="Times New Roman" w:cs="Times New Roman"/>
          <w:sz w:val="24"/>
          <w:szCs w:val="24"/>
        </w:rPr>
        <w:t>a</w:t>
      </w:r>
      <w:r w:rsidRPr="00DA1BF1">
        <w:rPr>
          <w:rFonts w:ascii="Times New Roman" w:hAnsi="Times New Roman" w:cs="Times New Roman"/>
          <w:sz w:val="24"/>
          <w:szCs w:val="24"/>
        </w:rPr>
        <w:t xml:space="preserve">s por el CITMA </w:t>
      </w:r>
      <w:r w:rsidR="00834E77" w:rsidRPr="00DA1BF1">
        <w:rPr>
          <w:rFonts w:ascii="Times New Roman" w:hAnsi="Times New Roman" w:cs="Times New Roman"/>
          <w:sz w:val="24"/>
          <w:szCs w:val="24"/>
        </w:rPr>
        <w:t>de</w:t>
      </w:r>
      <w:r w:rsidRPr="00DA1BF1">
        <w:rPr>
          <w:rFonts w:ascii="Times New Roman" w:hAnsi="Times New Roman" w:cs="Times New Roman"/>
          <w:sz w:val="24"/>
          <w:szCs w:val="24"/>
        </w:rPr>
        <w:t xml:space="preserve"> Villa Clara</w:t>
      </w:r>
      <w:r w:rsidR="00580DC8" w:rsidRPr="00DA1BF1">
        <w:rPr>
          <w:rFonts w:ascii="Times New Roman" w:hAnsi="Times New Roman" w:cs="Times New Roman"/>
          <w:sz w:val="24"/>
          <w:szCs w:val="24"/>
        </w:rPr>
        <w:t xml:space="preserve"> </w:t>
      </w:r>
      <w:r w:rsidR="001C061C" w:rsidRPr="00DA1BF1">
        <w:rPr>
          <w:rFonts w:ascii="Times New Roman" w:hAnsi="Times New Roman" w:cs="Times New Roman"/>
          <w:sz w:val="24"/>
          <w:szCs w:val="24"/>
        </w:rPr>
        <w:t>como muestra investigativa</w:t>
      </w:r>
      <w:r w:rsidR="00250F1D" w:rsidRPr="00DA1BF1">
        <w:rPr>
          <w:rFonts w:ascii="Times New Roman" w:hAnsi="Times New Roman" w:cs="Times New Roman"/>
          <w:sz w:val="24"/>
          <w:szCs w:val="24"/>
        </w:rPr>
        <w:t>. Para las dos investigaciones la muestra fue</w:t>
      </w:r>
      <w:r w:rsidR="001C061C" w:rsidRPr="00DA1BF1">
        <w:rPr>
          <w:rFonts w:ascii="Times New Roman" w:hAnsi="Times New Roman" w:cs="Times New Roman"/>
          <w:sz w:val="24"/>
          <w:szCs w:val="24"/>
        </w:rPr>
        <w:t xml:space="preserve"> no probabilística, o sea intencionada a partir de criterios establecidos</w:t>
      </w:r>
      <w:r w:rsidR="00B56F5D" w:rsidRPr="00DA1BF1">
        <w:rPr>
          <w:rFonts w:ascii="Times New Roman" w:hAnsi="Times New Roman" w:cs="Times New Roman"/>
          <w:sz w:val="24"/>
          <w:szCs w:val="24"/>
        </w:rPr>
        <w:t>.</w:t>
      </w:r>
      <w:r w:rsidR="006A21D2" w:rsidRPr="00DA1BF1">
        <w:rPr>
          <w:rFonts w:ascii="Times New Roman" w:hAnsi="Times New Roman" w:cs="Times New Roman"/>
          <w:sz w:val="24"/>
          <w:szCs w:val="24"/>
        </w:rPr>
        <w:t xml:space="preserve"> E</w:t>
      </w:r>
      <w:r w:rsidR="006762AF" w:rsidRPr="00DA1BF1">
        <w:rPr>
          <w:rFonts w:ascii="Times New Roman" w:hAnsi="Times New Roman" w:cs="Times New Roman"/>
          <w:sz w:val="24"/>
          <w:szCs w:val="24"/>
        </w:rPr>
        <w:t>mpresas que estaban en perfeccionamiento porque al comienzo de las indagaciones de campo, no todas habían comenzado ese proceso, al menos tener Sistema Interno de Propiedad Intelectual (SIPI)</w:t>
      </w:r>
      <w:r w:rsidR="001C061C" w:rsidRPr="00DA1BF1">
        <w:rPr>
          <w:rFonts w:ascii="Times New Roman" w:hAnsi="Times New Roman" w:cs="Times New Roman"/>
          <w:sz w:val="24"/>
          <w:szCs w:val="24"/>
        </w:rPr>
        <w:t>,</w:t>
      </w:r>
      <w:r w:rsidR="006762AF" w:rsidRPr="00DA1BF1">
        <w:rPr>
          <w:rFonts w:ascii="Times New Roman" w:hAnsi="Times New Roman" w:cs="Times New Roman"/>
          <w:sz w:val="24"/>
          <w:szCs w:val="24"/>
        </w:rPr>
        <w:t xml:space="preserve"> </w:t>
      </w:r>
      <w:r w:rsidR="001C061C" w:rsidRPr="00DA1BF1">
        <w:rPr>
          <w:rFonts w:ascii="Times New Roman" w:hAnsi="Times New Roman" w:cs="Times New Roman"/>
          <w:sz w:val="24"/>
          <w:szCs w:val="24"/>
        </w:rPr>
        <w:t xml:space="preserve">calidad integrada, tener orientación hacia la innovación </w:t>
      </w:r>
      <w:r w:rsidR="006762AF" w:rsidRPr="00DA1BF1">
        <w:rPr>
          <w:rFonts w:ascii="Times New Roman" w:hAnsi="Times New Roman" w:cs="Times New Roman"/>
          <w:sz w:val="24"/>
          <w:szCs w:val="24"/>
        </w:rPr>
        <w:t>o estar asociadas a la Cámara de Comercio de Cuba.</w:t>
      </w:r>
      <w:r w:rsidR="002355FB" w:rsidRPr="00DA1BF1">
        <w:rPr>
          <w:rFonts w:ascii="Times New Roman" w:hAnsi="Times New Roman" w:cs="Times New Roman"/>
          <w:sz w:val="24"/>
          <w:szCs w:val="24"/>
        </w:rPr>
        <w:t xml:space="preserve"> </w:t>
      </w:r>
      <w:r w:rsidR="00C85B07" w:rsidRPr="00DA1BF1">
        <w:rPr>
          <w:rFonts w:ascii="Times New Roman" w:hAnsi="Times New Roman" w:cs="Times New Roman"/>
          <w:sz w:val="24"/>
          <w:szCs w:val="24"/>
        </w:rPr>
        <w:t xml:space="preserve">El procedimiento contable propuesto se validó por el método de </w:t>
      </w:r>
      <w:proofErr w:type="spellStart"/>
      <w:r w:rsidR="00C85B07" w:rsidRPr="00DA1BF1">
        <w:rPr>
          <w:rFonts w:ascii="Times New Roman" w:hAnsi="Times New Roman" w:cs="Times New Roman"/>
          <w:sz w:val="24"/>
          <w:szCs w:val="24"/>
        </w:rPr>
        <w:t>Delphi</w:t>
      </w:r>
      <w:proofErr w:type="spellEnd"/>
      <w:r w:rsidR="000A77CE" w:rsidRPr="00DA1BF1">
        <w:rPr>
          <w:rFonts w:ascii="Times New Roman" w:hAnsi="Times New Roman" w:cs="Times New Roman"/>
          <w:sz w:val="24"/>
          <w:szCs w:val="24"/>
        </w:rPr>
        <w:t>.</w:t>
      </w:r>
    </w:p>
    <w:p w:rsidR="00BE78C6" w:rsidRPr="00DA1BF1" w:rsidRDefault="00BE78C6" w:rsidP="0033307C">
      <w:pPr>
        <w:tabs>
          <w:tab w:val="left" w:pos="3620"/>
        </w:tabs>
        <w:spacing w:before="120" w:after="120" w:line="360" w:lineRule="auto"/>
        <w:jc w:val="both"/>
        <w:outlineLvl w:val="0"/>
        <w:rPr>
          <w:rFonts w:ascii="Times New Roman" w:hAnsi="Times New Roman" w:cs="Times New Roman"/>
          <w:b/>
          <w:sz w:val="24"/>
          <w:szCs w:val="24"/>
        </w:rPr>
      </w:pPr>
      <w:r w:rsidRPr="00DA1BF1">
        <w:rPr>
          <w:rFonts w:ascii="Times New Roman" w:hAnsi="Times New Roman" w:cs="Times New Roman"/>
          <w:b/>
          <w:sz w:val="24"/>
          <w:szCs w:val="24"/>
        </w:rPr>
        <w:t>3. Resultados y discusión</w:t>
      </w:r>
    </w:p>
    <w:p w:rsidR="00A92E36" w:rsidRPr="00DA1BF1" w:rsidRDefault="00A92E36" w:rsidP="00A92E36">
      <w:pPr>
        <w:tabs>
          <w:tab w:val="left" w:pos="284"/>
        </w:tabs>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Una dificultad que radica en las empresas del país resulta que no es usual asignar recursos para el mantenimiento de DPI, tramitaciones de oposiciones a solicitudes y concesiones lo que evidencia la falta de cultura y conciencia estratégica administrativa y jurídica de observancia de derechos patrimoniales propios</w:t>
      </w:r>
      <w:r w:rsidR="00533221" w:rsidRPr="00DA1BF1">
        <w:rPr>
          <w:rFonts w:ascii="Times New Roman" w:hAnsi="Times New Roman" w:cs="Times New Roman"/>
          <w:sz w:val="24"/>
          <w:szCs w:val="24"/>
        </w:rPr>
        <w:fldChar w:fldCharType="begin">
          <w:fldData xml:space="preserve">PEVuZE5vdGU+PENpdGUgRXhjbHVkZUF1dGg9IjEiIEV4Y2x1ZGVZZWFyPSIxIj48QXV0aG9yPk1v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</w:fldData>
        </w:fldChar>
      </w:r>
      <w:r w:rsidR="00790FE3" w:rsidRPr="00DA1BF1">
        <w:rPr>
          <w:rFonts w:ascii="Times New Roman" w:hAnsi="Times New Roman" w:cs="Times New Roman"/>
          <w:sz w:val="24"/>
          <w:szCs w:val="24"/>
        </w:rPr>
        <w:instrText xml:space="preserve"> ADDIN EN.CITE </w:instrText>
      </w:r>
      <w:r w:rsidR="00533221" w:rsidRPr="00DA1BF1">
        <w:rPr>
          <w:rFonts w:ascii="Times New Roman" w:hAnsi="Times New Roman" w:cs="Times New Roman"/>
          <w:sz w:val="24"/>
          <w:szCs w:val="24"/>
        </w:rPr>
        <w:fldChar w:fldCharType="begin">
          <w:fldData xml:space="preserve">PEVuZE5vdGU+PENpdGUgRXhjbHVkZUF1dGg9IjEiIEV4Y2x1ZGVZZWFyPSIxIj48QXV0aG9yPk1v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</w:fldData>
        </w:fldChar>
      </w:r>
      <w:r w:rsidR="00790FE3" w:rsidRPr="00DA1BF1">
        <w:rPr>
          <w:rFonts w:ascii="Times New Roman" w:hAnsi="Times New Roman" w:cs="Times New Roman"/>
          <w:sz w:val="24"/>
          <w:szCs w:val="24"/>
        </w:rPr>
        <w:instrText xml:space="preserve"> ADDIN EN.CITE.DATA </w:instrText>
      </w:r>
      <w:r w:rsidR="00533221" w:rsidRPr="00DA1BF1">
        <w:rPr>
          <w:rFonts w:ascii="Times New Roman" w:hAnsi="Times New Roman" w:cs="Times New Roman"/>
          <w:sz w:val="24"/>
          <w:szCs w:val="24"/>
        </w:rPr>
      </w:r>
      <w:r w:rsidR="00533221" w:rsidRPr="00DA1BF1">
        <w:rPr>
          <w:rFonts w:ascii="Times New Roman" w:hAnsi="Times New Roman" w:cs="Times New Roman"/>
          <w:sz w:val="24"/>
          <w:szCs w:val="24"/>
        </w:rPr>
        <w:fldChar w:fldCharType="end"/>
      </w:r>
      <w:r w:rsidR="00533221" w:rsidRPr="00DA1BF1">
        <w:rPr>
          <w:rFonts w:ascii="Times New Roman" w:hAnsi="Times New Roman" w:cs="Times New Roman"/>
          <w:sz w:val="24"/>
          <w:szCs w:val="24"/>
        </w:rPr>
      </w:r>
      <w:r w:rsidR="00533221" w:rsidRPr="00DA1BF1">
        <w:rPr>
          <w:rFonts w:ascii="Times New Roman" w:hAnsi="Times New Roman" w:cs="Times New Roman"/>
          <w:sz w:val="24"/>
          <w:szCs w:val="24"/>
        </w:rPr>
        <w:fldChar w:fldCharType="end"/>
      </w:r>
      <w:r w:rsidR="000C5837" w:rsidRPr="00DA1BF1">
        <w:rPr>
          <w:rFonts w:ascii="Times New Roman" w:hAnsi="Times New Roman" w:cs="Times New Roman"/>
          <w:sz w:val="24"/>
          <w:szCs w:val="24"/>
        </w:rPr>
        <w:t xml:space="preserve"> </w:t>
      </w:r>
      <w:r w:rsidR="00F11353" w:rsidRPr="00DA1BF1">
        <w:rPr>
          <w:rFonts w:ascii="Times New Roman" w:hAnsi="Times New Roman" w:cs="Times New Roman"/>
          <w:sz w:val="24"/>
          <w:szCs w:val="24"/>
        </w:rPr>
        <w:t>(</w:t>
      </w:r>
      <w:hyperlink w:anchor="_ENREF_4" w:tooltip="CITMA, 2002 #630" w:history="1">
        <w:r w:rsidR="00F11353" w:rsidRPr="00DA1BF1">
          <w:rPr>
            <w:rFonts w:ascii="Times New Roman" w:hAnsi="Times New Roman" w:cs="Times New Roman"/>
            <w:sz w:val="24"/>
            <w:szCs w:val="24"/>
          </w:rPr>
          <w:t>CITMA, 2002</w:t>
        </w:r>
      </w:hyperlink>
      <w:r w:rsidR="00F11353" w:rsidRPr="00DA1BF1">
        <w:rPr>
          <w:rFonts w:ascii="Times New Roman" w:hAnsi="Times New Roman" w:cs="Times New Roman"/>
          <w:sz w:val="24"/>
          <w:szCs w:val="24"/>
        </w:rPr>
        <w:t>)</w:t>
      </w:r>
      <w:r w:rsidRPr="00DA1BF1">
        <w:rPr>
          <w:rStyle w:val="Refdenotaalpie"/>
          <w:rFonts w:ascii="Times New Roman" w:hAnsi="Times New Roman" w:cs="Times New Roman"/>
          <w:sz w:val="24"/>
          <w:szCs w:val="24"/>
        </w:rPr>
        <w:footnoteReference w:id="1"/>
      </w:r>
      <w:r w:rsidRPr="00DA1BF1">
        <w:rPr>
          <w:rFonts w:ascii="Times New Roman" w:hAnsi="Times New Roman" w:cs="Times New Roman"/>
          <w:sz w:val="24"/>
          <w:szCs w:val="24"/>
        </w:rPr>
        <w:t>.</w:t>
      </w:r>
    </w:p>
    <w:p w:rsidR="00D822FF" w:rsidRPr="00DA1BF1" w:rsidRDefault="00D822FF" w:rsidP="0033307C">
      <w:pPr>
        <w:tabs>
          <w:tab w:val="left" w:pos="284"/>
        </w:tabs>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A pesar de existir en Cuba la política, un sistema nacional, legislaciones específicas y normas complementarias sobre los DPI</w:t>
      </w:r>
      <w:r w:rsidR="006826A8" w:rsidRPr="00DA1BF1">
        <w:rPr>
          <w:rFonts w:ascii="Times New Roman" w:hAnsi="Times New Roman" w:cs="Times New Roman"/>
          <w:sz w:val="24"/>
          <w:szCs w:val="24"/>
        </w:rPr>
        <w:t xml:space="preserve"> </w:t>
      </w:r>
      <w:r w:rsidR="00533221" w:rsidRPr="00DA1BF1">
        <w:rPr>
          <w:rFonts w:ascii="Times New Roman" w:hAnsi="Times New Roman" w:cs="Times New Roman"/>
          <w:sz w:val="24"/>
          <w:szCs w:val="24"/>
        </w:rPr>
        <w:fldChar w:fldCharType="begin"/>
      </w:r>
      <w:r w:rsidR="006826A8" w:rsidRPr="00DA1BF1">
        <w:rPr>
          <w:rFonts w:ascii="Times New Roman" w:hAnsi="Times New Roman" w:cs="Times New Roman"/>
          <w:sz w:val="24"/>
          <w:szCs w:val="24"/>
        </w:rPr>
        <w:instrText xml:space="preserve"> ADDIN EN.CITE &lt;EndNote&gt;&lt;Cite&gt;&lt;Author&gt;CM&lt;/Author&gt;&lt;Year&gt;2018&lt;/Year&gt;&lt;RecNum&gt;877&lt;/RecNum&gt;&lt;DisplayText&gt;&lt;style size="10"&gt;(CM, 2018b)&lt;/style&gt;&lt;/DisplayText&gt;&lt;record&gt;&lt;rec-number&gt;877&lt;/rec-number&gt;&lt;foreign-keys&gt;&lt;key app="EN" db-id="5x2rzfvvuw9228e2t9m5tsv7ptsvza9dsv2d"&gt;877&lt;/key&gt;&lt;/foreign-keys&gt;&lt;ref-type name="Normativa corporativa o institucional online"&gt;44&lt;/ref-type&gt;&lt;contributors&gt;&lt;authors&gt;&lt;author&gt;CM&lt;/author&gt;&lt;/authors&gt;&lt;/contributors&gt;&lt;titles&gt;&lt;title&gt;Decreto No. 343/2018, Del Sistema de Propiedad Industrial&lt;/title&gt;&lt;secondary-title&gt;Consejo de Ministro&lt;/secondary-title&gt;&lt;/titles&gt;&lt;number&gt;40&lt;/number&gt;&lt;edition&gt;Extraordinaria&lt;/edition&gt;&lt;dates&gt;&lt;year&gt;2018&lt;/year&gt;&lt;pub-dates&gt;&lt;date&gt;08/09/2018&lt;/date&gt;&lt;/pub-dates&gt;&lt;/dates&gt;&lt;pub-location&gt;La Habana, Cuba&lt;/pub-location&gt;&lt;publisher&gt;Gaceta Oficial de la República de Cuba, Ministerio de Justicia&lt;/publisher&gt;&lt;urls&gt;&lt;related-urls&gt;&lt;url&gt;https://www.gacetaoficial.gob.cu/&lt;/url&gt;&lt;/related-urls&gt;&lt;/urls&gt;&lt;custom1&gt;Consultado  1.3.4.  Empresa SIPI&lt;/custom1&gt;&lt;/record&gt;&lt;/Cite&gt;&lt;/EndNote&gt;</w:instrText>
      </w:r>
      <w:r w:rsidR="00533221" w:rsidRPr="00DA1BF1">
        <w:rPr>
          <w:rFonts w:ascii="Times New Roman" w:hAnsi="Times New Roman" w:cs="Times New Roman"/>
          <w:sz w:val="24"/>
          <w:szCs w:val="24"/>
        </w:rPr>
        <w:fldChar w:fldCharType="separate"/>
      </w:r>
      <w:r w:rsidR="006826A8" w:rsidRPr="00DA1BF1">
        <w:rPr>
          <w:rFonts w:ascii="Times New Roman" w:hAnsi="Times New Roman" w:cs="Times New Roman"/>
          <w:noProof/>
          <w:sz w:val="24"/>
          <w:szCs w:val="24"/>
        </w:rPr>
        <w:t>(</w:t>
      </w:r>
      <w:hyperlink w:anchor="_ENREF_7" w:tooltip="CM, 2018 #877" w:history="1">
        <w:r w:rsidR="00790FE3" w:rsidRPr="00DA1BF1">
          <w:rPr>
            <w:rFonts w:ascii="Times New Roman" w:hAnsi="Times New Roman" w:cs="Times New Roman"/>
            <w:noProof/>
            <w:sz w:val="24"/>
            <w:szCs w:val="24"/>
          </w:rPr>
          <w:t>CM, 2018b</w:t>
        </w:r>
      </w:hyperlink>
      <w:r w:rsidR="006826A8"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 xml:space="preserve">, no constituye una práctica la utilización de la PI en vínculo con la Contabilidad y por tanto el patrimonio intangible empresarial. Juristas, empresarios, contadores y economistas que se entrevistaron en varios escenarios así lo corroboraron. Se conoció que no todas las entidades tienen SIPI o su desempeño es insuficiente. Algunas que poseían registros se relegaron </w:t>
      </w:r>
      <w:r w:rsidR="009815DA" w:rsidRPr="00DA1BF1">
        <w:rPr>
          <w:rFonts w:ascii="Times New Roman" w:hAnsi="Times New Roman" w:cs="Times New Roman"/>
          <w:sz w:val="24"/>
          <w:szCs w:val="24"/>
        </w:rPr>
        <w:t xml:space="preserve">de la gestión de PI </w:t>
      </w:r>
      <w:r w:rsidRPr="00DA1BF1">
        <w:rPr>
          <w:rFonts w:ascii="Times New Roman" w:hAnsi="Times New Roman" w:cs="Times New Roman"/>
          <w:sz w:val="24"/>
          <w:szCs w:val="24"/>
        </w:rPr>
        <w:t>al convertirse en unidades empresariales de base (UEB).</w:t>
      </w:r>
    </w:p>
    <w:p w:rsidR="00FF7333" w:rsidRPr="00DA1BF1" w:rsidRDefault="00FF7333"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Es de significar que aunque se actualizaron un conjunto de normas jurídicas en aras de incentivar la creatividad intelectual en la empresa estatal, todavía no se emplea la PI en proces</w:t>
      </w:r>
      <w:r w:rsidR="00E9487C" w:rsidRPr="00DA1BF1">
        <w:rPr>
          <w:rFonts w:ascii="Times New Roman" w:hAnsi="Times New Roman" w:cs="Times New Roman"/>
          <w:sz w:val="24"/>
          <w:szCs w:val="24"/>
        </w:rPr>
        <w:t xml:space="preserve">os de inversiones e </w:t>
      </w:r>
      <w:proofErr w:type="spellStart"/>
      <w:r w:rsidR="00E9487C" w:rsidRPr="00DA1BF1">
        <w:rPr>
          <w:rFonts w:ascii="Times New Roman" w:hAnsi="Times New Roman" w:cs="Times New Roman"/>
          <w:sz w:val="24"/>
          <w:szCs w:val="24"/>
        </w:rPr>
        <w:t>innovativos</w:t>
      </w:r>
      <w:proofErr w:type="spellEnd"/>
      <w:r w:rsidRPr="00DA1BF1">
        <w:rPr>
          <w:rFonts w:ascii="Times New Roman" w:hAnsi="Times New Roman" w:cs="Times New Roman"/>
          <w:sz w:val="24"/>
          <w:szCs w:val="24"/>
        </w:rPr>
        <w:t xml:space="preserve">, no trasciende a incentivos o reconocimientos de sujetos en los ingresos personales, ni en los incrementos de aportes a la sociedad; su </w:t>
      </w:r>
      <w:r w:rsidRPr="00DA1BF1">
        <w:rPr>
          <w:rFonts w:ascii="Times New Roman" w:hAnsi="Times New Roman" w:cs="Times New Roman"/>
          <w:sz w:val="24"/>
          <w:szCs w:val="24"/>
        </w:rPr>
        <w:lastRenderedPageBreak/>
        <w:t>adecuación interna es insuficiente desde la dirección administrativa, y omisa en la Asociación Nacional de Innovadores y Racionalizadores (ANIR) y el Fórum de Ciencia y Técnica (</w:t>
      </w:r>
      <w:proofErr w:type="spellStart"/>
      <w:r w:rsidRPr="00DA1BF1">
        <w:rPr>
          <w:rFonts w:ascii="Times New Roman" w:hAnsi="Times New Roman" w:cs="Times New Roman"/>
          <w:sz w:val="24"/>
          <w:szCs w:val="24"/>
        </w:rPr>
        <w:t>FCyT</w:t>
      </w:r>
      <w:proofErr w:type="spellEnd"/>
      <w:r w:rsidRPr="00DA1BF1">
        <w:rPr>
          <w:rFonts w:ascii="Times New Roman" w:hAnsi="Times New Roman" w:cs="Times New Roman"/>
          <w:sz w:val="24"/>
          <w:szCs w:val="24"/>
        </w:rPr>
        <w:t xml:space="preserve">), instituciones autóctonas </w:t>
      </w:r>
      <w:r w:rsidR="00533221" w:rsidRPr="00DA1BF1">
        <w:rPr>
          <w:rFonts w:ascii="Times New Roman" w:hAnsi="Times New Roman" w:cs="Times New Roman"/>
          <w:sz w:val="24"/>
          <w:szCs w:val="24"/>
        </w:rPr>
        <w:fldChar w:fldCharType="begin">
          <w:fldData xml:space="preserve">PEVuZE5vdGU+PENpdGU+PEF1dGhvcj5DRTwvQXV0aG9yPjxZZWFyPjIwMTg8L1llYXI+PFJlY051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</w:fldData>
        </w:fldChar>
      </w:r>
      <w:r w:rsidR="00AA3525" w:rsidRPr="00DA1BF1">
        <w:rPr>
          <w:rFonts w:ascii="Times New Roman" w:hAnsi="Times New Roman" w:cs="Times New Roman"/>
          <w:sz w:val="24"/>
          <w:szCs w:val="24"/>
        </w:rPr>
        <w:instrText xml:space="preserve"> ADDIN EN.CITE </w:instrText>
      </w:r>
      <w:r w:rsidR="00533221" w:rsidRPr="00DA1BF1">
        <w:rPr>
          <w:rFonts w:ascii="Times New Roman" w:hAnsi="Times New Roman" w:cs="Times New Roman"/>
          <w:sz w:val="24"/>
          <w:szCs w:val="24"/>
        </w:rPr>
        <w:fldChar w:fldCharType="begin">
          <w:fldData xml:space="preserve">PEVuZE5vdGU+PENpdGU+PEF1dGhvcj5DRTwvQXV0aG9yPjxZZWFyPjIwMTg8L1llYXI+PFJlY051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</w:fldData>
        </w:fldChar>
      </w:r>
      <w:r w:rsidR="00AA3525" w:rsidRPr="00DA1BF1">
        <w:rPr>
          <w:rFonts w:ascii="Times New Roman" w:hAnsi="Times New Roman" w:cs="Times New Roman"/>
          <w:sz w:val="24"/>
          <w:szCs w:val="24"/>
        </w:rPr>
        <w:instrText xml:space="preserve"> ADDIN EN.CITE.DATA </w:instrText>
      </w:r>
      <w:r w:rsidR="00533221" w:rsidRPr="00DA1BF1">
        <w:rPr>
          <w:rFonts w:ascii="Times New Roman" w:hAnsi="Times New Roman" w:cs="Times New Roman"/>
          <w:sz w:val="24"/>
          <w:szCs w:val="24"/>
        </w:rPr>
      </w:r>
      <w:r w:rsidR="00533221" w:rsidRPr="00DA1BF1">
        <w:rPr>
          <w:rFonts w:ascii="Times New Roman" w:hAnsi="Times New Roman" w:cs="Times New Roman"/>
          <w:sz w:val="24"/>
          <w:szCs w:val="24"/>
        </w:rPr>
        <w:fldChar w:fldCharType="end"/>
      </w:r>
      <w:r w:rsidR="00533221" w:rsidRPr="00DA1BF1">
        <w:rPr>
          <w:rFonts w:ascii="Times New Roman" w:hAnsi="Times New Roman" w:cs="Times New Roman"/>
          <w:sz w:val="24"/>
          <w:szCs w:val="24"/>
        </w:rPr>
      </w:r>
      <w:r w:rsidR="00533221" w:rsidRPr="00DA1BF1">
        <w:rPr>
          <w:rFonts w:ascii="Times New Roman" w:hAnsi="Times New Roman" w:cs="Times New Roman"/>
          <w:sz w:val="24"/>
          <w:szCs w:val="24"/>
        </w:rPr>
        <w:fldChar w:fldCharType="separate"/>
      </w:r>
      <w:r w:rsidR="00AA3525" w:rsidRPr="00DA1BF1">
        <w:rPr>
          <w:rFonts w:ascii="Times New Roman" w:hAnsi="Times New Roman" w:cs="Times New Roman"/>
          <w:noProof/>
          <w:sz w:val="24"/>
          <w:szCs w:val="24"/>
        </w:rPr>
        <w:t>(</w:t>
      </w:r>
      <w:hyperlink w:anchor="_ENREF_3" w:tooltip="CE, 2018 #875" w:history="1">
        <w:r w:rsidR="00790FE3" w:rsidRPr="00DA1BF1">
          <w:rPr>
            <w:rFonts w:ascii="Times New Roman" w:hAnsi="Times New Roman" w:cs="Times New Roman"/>
            <w:noProof/>
            <w:sz w:val="24"/>
            <w:szCs w:val="24"/>
          </w:rPr>
          <w:t>CE, 2018</w:t>
        </w:r>
      </w:hyperlink>
      <w:r w:rsidR="00AA3525" w:rsidRPr="00DA1BF1">
        <w:rPr>
          <w:rFonts w:ascii="Times New Roman" w:hAnsi="Times New Roman" w:cs="Times New Roman"/>
          <w:noProof/>
          <w:sz w:val="24"/>
          <w:szCs w:val="24"/>
        </w:rPr>
        <w:t xml:space="preserve">; </w:t>
      </w:r>
      <w:hyperlink w:anchor="_ENREF_5" w:tooltip="CITMA, 2018 #879" w:history="1">
        <w:r w:rsidR="00790FE3" w:rsidRPr="00DA1BF1">
          <w:rPr>
            <w:rFonts w:ascii="Times New Roman" w:hAnsi="Times New Roman" w:cs="Times New Roman"/>
            <w:noProof/>
            <w:sz w:val="24"/>
            <w:szCs w:val="24"/>
          </w:rPr>
          <w:t>CITMA, 2018</w:t>
        </w:r>
      </w:hyperlink>
      <w:r w:rsidR="00AA3525" w:rsidRPr="00DA1BF1">
        <w:rPr>
          <w:rFonts w:ascii="Times New Roman" w:hAnsi="Times New Roman" w:cs="Times New Roman"/>
          <w:noProof/>
          <w:sz w:val="24"/>
          <w:szCs w:val="24"/>
        </w:rPr>
        <w:t>)</w: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w:t>
      </w:r>
    </w:p>
    <w:p w:rsidR="00FF7333" w:rsidRPr="00DA1BF1" w:rsidRDefault="00FF7333"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En el empleo de la PI como herramienta de la innovación persisten dificultades; es escasa la proyección estratégica jurídica de protección, difusión y comercialización de sus resultados como oportunidad para satisfacer la demanda nacional y de exportaciones, faltan aprendizajes individuales y colectivos en el manejo de bases de datos públicas, boletines que publican las oficinas administrativas nacionales e internacionales como vías honestas de obtención de informaciones útiles y aspectos de la inteligencia empresarial</w:t>
      </w:r>
      <w:r w:rsidR="00527F37" w:rsidRPr="00DA1BF1">
        <w:rPr>
          <w:rFonts w:ascii="Times New Roman" w:hAnsi="Times New Roman" w:cs="Times New Roman"/>
          <w:sz w:val="24"/>
          <w:szCs w:val="24"/>
        </w:rPr>
        <w:t xml:space="preserve"> que inciden de manera negativa</w:t>
      </w:r>
      <w:r w:rsidRPr="00DA1BF1">
        <w:rPr>
          <w:rFonts w:ascii="Times New Roman" w:hAnsi="Times New Roman" w:cs="Times New Roman"/>
          <w:sz w:val="24"/>
          <w:szCs w:val="24"/>
        </w:rPr>
        <w:t>.</w:t>
      </w:r>
    </w:p>
    <w:p w:rsidR="00FF7333" w:rsidRPr="00DA1BF1" w:rsidRDefault="00FF7333"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 xml:space="preserve">En otro orden, es imperceptible el registro, conservación y difusión del patrimonio intangible, cultural y tecnológico de utilidad interna y generacional de las empresas estatales para la agregación de valor a bienes y servicios frente a terceros y en su relación con </w:t>
      </w:r>
      <w:r w:rsidR="00D03F3B" w:rsidRPr="00DA1BF1">
        <w:rPr>
          <w:rFonts w:ascii="Times New Roman" w:hAnsi="Times New Roman" w:cs="Times New Roman"/>
          <w:sz w:val="24"/>
          <w:szCs w:val="24"/>
        </w:rPr>
        <w:t>las</w:t>
      </w:r>
      <w:r w:rsidRPr="00DA1BF1">
        <w:rPr>
          <w:rFonts w:ascii="Times New Roman" w:hAnsi="Times New Roman" w:cs="Times New Roman"/>
          <w:sz w:val="24"/>
          <w:szCs w:val="24"/>
        </w:rPr>
        <w:t xml:space="preserve"> </w:t>
      </w:r>
      <w:r w:rsidR="00D03F3B" w:rsidRPr="00DA1BF1">
        <w:rPr>
          <w:rFonts w:ascii="Times New Roman" w:hAnsi="Times New Roman" w:cs="Times New Roman"/>
          <w:sz w:val="24"/>
          <w:szCs w:val="24"/>
        </w:rPr>
        <w:t xml:space="preserve">acciones en función del </w:t>
      </w:r>
      <w:r w:rsidRPr="00DA1BF1">
        <w:rPr>
          <w:rFonts w:ascii="Times New Roman" w:hAnsi="Times New Roman" w:cs="Times New Roman"/>
          <w:sz w:val="24"/>
          <w:szCs w:val="24"/>
        </w:rPr>
        <w:t xml:space="preserve">desarrollo local, no se controlan como hechos económicos ni se analiza la relación costo-beneficios de los aspectos relativos a la creatividad intelectual, a pesar de instituirse </w:t>
      </w:r>
      <w:r w:rsidR="00A822EF" w:rsidRPr="00DA1BF1">
        <w:rPr>
          <w:rFonts w:ascii="Times New Roman" w:hAnsi="Times New Roman" w:cs="Times New Roman"/>
          <w:sz w:val="24"/>
          <w:szCs w:val="24"/>
        </w:rPr>
        <w:t xml:space="preserve">la adopción de medidas necesarias sobre PI </w:t>
      </w:r>
      <w:r w:rsidRPr="00DA1BF1">
        <w:rPr>
          <w:rFonts w:ascii="Times New Roman" w:hAnsi="Times New Roman" w:cs="Times New Roman"/>
          <w:sz w:val="24"/>
          <w:szCs w:val="24"/>
        </w:rPr>
        <w:t>como atribuciones de la entidad y del director general.</w:t>
      </w:r>
    </w:p>
    <w:p w:rsidR="00C25BDD" w:rsidRPr="00DA1BF1" w:rsidRDefault="00FF7333" w:rsidP="0033307C">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 xml:space="preserve">El régimen </w:t>
      </w:r>
      <w:r w:rsidR="001C1E81" w:rsidRPr="00DA1BF1">
        <w:rPr>
          <w:rFonts w:ascii="Times New Roman" w:hAnsi="Times New Roman" w:cs="Times New Roman"/>
          <w:sz w:val="24"/>
          <w:szCs w:val="24"/>
        </w:rPr>
        <w:t xml:space="preserve">jurídico </w:t>
      </w:r>
      <w:r w:rsidRPr="00DA1BF1">
        <w:rPr>
          <w:rFonts w:ascii="Times New Roman" w:hAnsi="Times New Roman" w:cs="Times New Roman"/>
          <w:sz w:val="24"/>
          <w:szCs w:val="24"/>
        </w:rPr>
        <w:t>del perfeccionamiento empresarial presenta limitaciones y vacíos respecto a la instrumentación de la PI, es omiso en materia de patrimonio intangible y registro contable financiero y es evidente la insuficiente preparación de juristas y empresarios dificultándose la legitimidad de la creatividad interna de los derec</w:t>
      </w:r>
      <w:r w:rsidR="00E9487C" w:rsidRPr="00DA1BF1">
        <w:rPr>
          <w:rFonts w:ascii="Times New Roman" w:hAnsi="Times New Roman" w:cs="Times New Roman"/>
          <w:sz w:val="24"/>
          <w:szCs w:val="24"/>
        </w:rPr>
        <w:t xml:space="preserve">hos sobre bienes inmateriales </w:t>
      </w:r>
      <w:r w:rsidRPr="00DA1BF1">
        <w:rPr>
          <w:rFonts w:ascii="Times New Roman" w:hAnsi="Times New Roman" w:cs="Times New Roman"/>
          <w:sz w:val="24"/>
          <w:szCs w:val="24"/>
        </w:rPr>
        <w:t>y la competitividad organizacional</w:t>
      </w:r>
      <w:r w:rsidR="000220F2" w:rsidRPr="00DA1BF1">
        <w:rPr>
          <w:rFonts w:ascii="Times New Roman" w:hAnsi="Times New Roman" w:cs="Times New Roman"/>
          <w:sz w:val="24"/>
          <w:szCs w:val="24"/>
        </w:rPr>
        <w:t>.</w:t>
      </w:r>
    </w:p>
    <w:p w:rsidR="00E121A6" w:rsidRPr="00DA1BF1" w:rsidRDefault="00E121A6" w:rsidP="00E121A6">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En cuanto a bienes o AFI que se hallan o estén produciendo como resultado de la gestión de SIPI en las entidades investigadas, de manera general se comprobó que no existe proceso alguno en ejecución</w:t>
      </w:r>
      <w:r w:rsidR="003655FA" w:rsidRPr="00DA1BF1">
        <w:rPr>
          <w:rFonts w:ascii="Times New Roman" w:hAnsi="Times New Roman" w:cs="Times New Roman"/>
          <w:sz w:val="24"/>
          <w:szCs w:val="24"/>
        </w:rPr>
        <w:t xml:space="preserve"> en el Centro Nacional de Derecho de autor (CENDA) o la Oficina Cubana de Propiedad Industrial (OCPI)</w:t>
      </w:r>
      <w:r w:rsidRPr="00DA1BF1">
        <w:rPr>
          <w:rFonts w:ascii="Times New Roman" w:hAnsi="Times New Roman" w:cs="Times New Roman"/>
          <w:sz w:val="24"/>
          <w:szCs w:val="24"/>
        </w:rPr>
        <w:t>, los registros que se solicitaron solo se dirigieron a la protección de nombres, emblemas empresariale</w:t>
      </w:r>
      <w:r w:rsidR="00451A71" w:rsidRPr="00DA1BF1">
        <w:rPr>
          <w:rFonts w:ascii="Times New Roman" w:hAnsi="Times New Roman" w:cs="Times New Roman"/>
          <w:sz w:val="24"/>
          <w:szCs w:val="24"/>
        </w:rPr>
        <w:t>s y rótulos de establecimientos</w:t>
      </w:r>
      <w:r w:rsidRPr="00DA1BF1">
        <w:rPr>
          <w:rFonts w:ascii="Times New Roman" w:hAnsi="Times New Roman" w:cs="Times New Roman"/>
          <w:sz w:val="24"/>
          <w:szCs w:val="24"/>
        </w:rPr>
        <w:t xml:space="preserve"> con predominio de marcas y lemas</w:t>
      </w:r>
      <w:r w:rsidR="00451A71" w:rsidRPr="00DA1BF1">
        <w:rPr>
          <w:rFonts w:ascii="Times New Roman" w:hAnsi="Times New Roman" w:cs="Times New Roman"/>
          <w:sz w:val="24"/>
          <w:szCs w:val="24"/>
        </w:rPr>
        <w:t xml:space="preserve"> comerciales. No</w:t>
      </w:r>
      <w:r w:rsidRPr="00DA1BF1">
        <w:rPr>
          <w:rFonts w:ascii="Times New Roman" w:hAnsi="Times New Roman" w:cs="Times New Roman"/>
          <w:sz w:val="24"/>
          <w:szCs w:val="24"/>
        </w:rPr>
        <w:t xml:space="preserve"> existen solicitudes de registro de invención, modelos y diseños industriales como alternativas de protección de innovaciones.</w:t>
      </w:r>
    </w:p>
    <w:p w:rsidR="00E121A6" w:rsidRPr="00DA1BF1" w:rsidRDefault="00E121A6" w:rsidP="00E121A6">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lastRenderedPageBreak/>
        <w:t xml:space="preserve">Se reconoce la </w:t>
      </w:r>
      <w:r w:rsidR="00011F04" w:rsidRPr="00DA1BF1">
        <w:rPr>
          <w:rFonts w:ascii="Times New Roman" w:hAnsi="Times New Roman" w:cs="Times New Roman"/>
          <w:sz w:val="24"/>
          <w:szCs w:val="24"/>
        </w:rPr>
        <w:t>investigación y desarrollo (</w:t>
      </w:r>
      <w:r w:rsidRPr="00DA1BF1">
        <w:rPr>
          <w:rFonts w:ascii="Times New Roman" w:hAnsi="Times New Roman" w:cs="Times New Roman"/>
          <w:sz w:val="24"/>
          <w:szCs w:val="24"/>
        </w:rPr>
        <w:t>I+D</w:t>
      </w:r>
      <w:r w:rsidR="00011F04" w:rsidRPr="00DA1BF1">
        <w:rPr>
          <w:rFonts w:ascii="Times New Roman" w:hAnsi="Times New Roman" w:cs="Times New Roman"/>
          <w:sz w:val="24"/>
          <w:szCs w:val="24"/>
        </w:rPr>
        <w:t>)</w:t>
      </w:r>
      <w:r w:rsidRPr="00DA1BF1">
        <w:rPr>
          <w:rFonts w:ascii="Times New Roman" w:hAnsi="Times New Roman" w:cs="Times New Roman"/>
          <w:sz w:val="24"/>
          <w:szCs w:val="24"/>
        </w:rPr>
        <w:t xml:space="preserve"> como fuente generadora de AFI de PI, pero no se realizan estas actividades. En función de la innovación empresarial, se considera que el Fórum de Ciencia y Técnica, así como la asociación nacional de innovadores y racionalizadores garantizan su materialización. Aún se maneja el concepto tradicional de innovación incremental que no </w:t>
      </w:r>
      <w:r w:rsidR="00011F04" w:rsidRPr="00DA1BF1">
        <w:rPr>
          <w:rFonts w:ascii="Times New Roman" w:hAnsi="Times New Roman" w:cs="Times New Roman"/>
          <w:sz w:val="24"/>
          <w:szCs w:val="24"/>
        </w:rPr>
        <w:t>genera</w:t>
      </w:r>
      <w:r w:rsidRPr="00DA1BF1">
        <w:rPr>
          <w:rFonts w:ascii="Times New Roman" w:hAnsi="Times New Roman" w:cs="Times New Roman"/>
          <w:sz w:val="24"/>
          <w:szCs w:val="24"/>
        </w:rPr>
        <w:t xml:space="preserve"> cambio tecnológico asociado a la solución de problemas prácticos para mantener la producción y los servicios</w:t>
      </w:r>
      <w:r w:rsidR="00F31ADB" w:rsidRPr="00DA1BF1">
        <w:rPr>
          <w:rFonts w:ascii="Times New Roman" w:hAnsi="Times New Roman" w:cs="Times New Roman"/>
          <w:sz w:val="24"/>
          <w:szCs w:val="24"/>
        </w:rPr>
        <w:t xml:space="preserve">, </w:t>
      </w:r>
      <w:r w:rsidR="00237DED" w:rsidRPr="00DA1BF1">
        <w:rPr>
          <w:rFonts w:ascii="Times New Roman" w:hAnsi="Times New Roman" w:cs="Times New Roman"/>
          <w:sz w:val="24"/>
          <w:szCs w:val="24"/>
        </w:rPr>
        <w:t xml:space="preserve">son </w:t>
      </w:r>
      <w:r w:rsidRPr="00DA1BF1">
        <w:rPr>
          <w:rFonts w:ascii="Times New Roman" w:hAnsi="Times New Roman" w:cs="Times New Roman"/>
          <w:sz w:val="24"/>
          <w:szCs w:val="24"/>
        </w:rPr>
        <w:t>pequeñas mejoras o innovaciones sin incluirse en los estados financieros.</w:t>
      </w:r>
    </w:p>
    <w:p w:rsidR="00E121A6" w:rsidRPr="00DA1BF1" w:rsidRDefault="00E121A6" w:rsidP="00E121A6">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 xml:space="preserve">La determinación del valor, </w:t>
      </w:r>
      <w:proofErr w:type="gramStart"/>
      <w:r w:rsidRPr="00DA1BF1">
        <w:rPr>
          <w:rFonts w:ascii="Times New Roman" w:hAnsi="Times New Roman" w:cs="Times New Roman"/>
          <w:sz w:val="24"/>
          <w:szCs w:val="24"/>
        </w:rPr>
        <w:t>registro</w:t>
      </w:r>
      <w:proofErr w:type="gramEnd"/>
      <w:r w:rsidRPr="00DA1BF1">
        <w:rPr>
          <w:rFonts w:ascii="Times New Roman" w:hAnsi="Times New Roman" w:cs="Times New Roman"/>
          <w:sz w:val="24"/>
          <w:szCs w:val="24"/>
        </w:rPr>
        <w:t xml:space="preserve"> contable y control de bienes o AFI de PI en las entidades en caso de producirse, el 85 % de los entrevistados consideró que deberían realizarse por las áreas contables financieras en procesos internos donde se controle los recursos invertidos. El 100 % aseguró que no existe relación entre el área contable con el SIPI empresarial reconociéndose que se debe trabajar por su integración.</w:t>
      </w:r>
    </w:p>
    <w:p w:rsidR="00E121A6" w:rsidRPr="00DA1BF1" w:rsidRDefault="00E121A6" w:rsidP="00E121A6">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Respecto a la atención al SIPI de la</w:t>
      </w:r>
      <w:r w:rsidR="003E737B" w:rsidRPr="00DA1BF1">
        <w:rPr>
          <w:rFonts w:ascii="Times New Roman" w:hAnsi="Times New Roman" w:cs="Times New Roman"/>
          <w:sz w:val="24"/>
          <w:szCs w:val="24"/>
        </w:rPr>
        <w:t>s</w:t>
      </w:r>
      <w:r w:rsidRPr="00DA1BF1">
        <w:rPr>
          <w:rFonts w:ascii="Times New Roman" w:hAnsi="Times New Roman" w:cs="Times New Roman"/>
          <w:sz w:val="24"/>
          <w:szCs w:val="24"/>
        </w:rPr>
        <w:t xml:space="preserve"> entidad</w:t>
      </w:r>
      <w:r w:rsidR="003E737B" w:rsidRPr="00DA1BF1">
        <w:rPr>
          <w:rFonts w:ascii="Times New Roman" w:hAnsi="Times New Roman" w:cs="Times New Roman"/>
          <w:sz w:val="24"/>
          <w:szCs w:val="24"/>
        </w:rPr>
        <w:t>es</w:t>
      </w:r>
      <w:r w:rsidRPr="00DA1BF1">
        <w:rPr>
          <w:rFonts w:ascii="Times New Roman" w:hAnsi="Times New Roman" w:cs="Times New Roman"/>
          <w:sz w:val="24"/>
          <w:szCs w:val="24"/>
        </w:rPr>
        <w:t xml:space="preserve"> por parte de la alta dirección se reconoce que el análisis de dicha actividad se hace con poca frecuencia alegándose que es muy técnica, se ha basado en lo fundamental en registrar marcas sin considerar su posible valoración como un bien económico y en documentar el proceder en la materia, pero sin llegar a su implementación real. No se ha valorado el papel de la protección ni </w:t>
      </w:r>
      <w:r w:rsidR="00306C2D" w:rsidRPr="00DA1BF1">
        <w:rPr>
          <w:rFonts w:ascii="Times New Roman" w:hAnsi="Times New Roman" w:cs="Times New Roman"/>
          <w:sz w:val="24"/>
          <w:szCs w:val="24"/>
        </w:rPr>
        <w:t xml:space="preserve">de </w:t>
      </w:r>
      <w:r w:rsidRPr="00DA1BF1">
        <w:rPr>
          <w:rFonts w:ascii="Times New Roman" w:hAnsi="Times New Roman" w:cs="Times New Roman"/>
          <w:sz w:val="24"/>
          <w:szCs w:val="24"/>
        </w:rPr>
        <w:t xml:space="preserve">la integración </w:t>
      </w:r>
      <w:r w:rsidR="00306C2D" w:rsidRPr="00DA1BF1">
        <w:rPr>
          <w:rFonts w:ascii="Times New Roman" w:hAnsi="Times New Roman" w:cs="Times New Roman"/>
          <w:sz w:val="24"/>
          <w:szCs w:val="24"/>
        </w:rPr>
        <w:t>de</w:t>
      </w:r>
      <w:r w:rsidRPr="00DA1BF1">
        <w:rPr>
          <w:rFonts w:ascii="Times New Roman" w:hAnsi="Times New Roman" w:cs="Times New Roman"/>
          <w:sz w:val="24"/>
          <w:szCs w:val="24"/>
        </w:rPr>
        <w:t xml:space="preserve"> estrategias de desarrollo científico-tecnológico y </w:t>
      </w:r>
      <w:r w:rsidR="00B21795" w:rsidRPr="00DA1BF1">
        <w:rPr>
          <w:rFonts w:ascii="Times New Roman" w:hAnsi="Times New Roman" w:cs="Times New Roman"/>
          <w:sz w:val="24"/>
          <w:szCs w:val="24"/>
        </w:rPr>
        <w:t>el sistema contable</w:t>
      </w:r>
      <w:r w:rsidRPr="00DA1BF1">
        <w:rPr>
          <w:rFonts w:ascii="Times New Roman" w:hAnsi="Times New Roman" w:cs="Times New Roman"/>
          <w:sz w:val="24"/>
          <w:szCs w:val="24"/>
        </w:rPr>
        <w:t>.</w:t>
      </w:r>
      <w:r w:rsidR="00533221" w:rsidRPr="00DA1BF1">
        <w:rPr>
          <w:rFonts w:ascii="Times New Roman" w:hAnsi="Times New Roman" w:cs="Times New Roman"/>
          <w:sz w:val="24"/>
          <w:szCs w:val="24"/>
        </w:rPr>
        <w:fldChar w:fldCharType="begin"/>
      </w:r>
      <w:r w:rsidR="0085219B" w:rsidRPr="00DA1BF1">
        <w:rPr>
          <w:rFonts w:ascii="Times New Roman" w:hAnsi="Times New Roman" w:cs="Times New Roman"/>
          <w:sz w:val="24"/>
          <w:szCs w:val="24"/>
        </w:rPr>
        <w:instrText xml:space="preserve"> ADDIN EN.CITE &lt;EndNote&gt;&lt;Cite ExcludeAuth="1" ExcludeYear="1"&gt;&lt;Author&gt;Díaz Fernández&lt;/Author&gt;&lt;Year&gt;2018&lt;/Year&gt;&lt;RecNum&gt;980&lt;/RecNum&gt;&lt;record&gt;&lt;rec-number&gt;980&lt;/rec-number&gt;&lt;foreign-keys&gt;&lt;key app="EN" db-id="5x2rzfvvuw9228e2t9m5tsv7ptsvza9dsv2d"&gt;980&lt;/key&gt;&lt;/foreign-keys&gt;&lt;ref-type name="Artículo de versión online de revista impresa"&gt;43&lt;/ref-type&gt;&lt;contributors&gt;&lt;authors&gt;&lt;author&gt;Díaz Fernández,Ileana&lt;/author&gt;&lt;/authors&gt;&lt;/contributors&gt;&lt;titles&gt;&lt;title&gt;La innovación en empresas estatales cubanas: análisis para un debate&lt;/title&gt;&lt;secondary-title&gt;Economía y Desarrollo&lt;/secondary-title&gt;&lt;/titles&gt;&lt;periodical&gt;&lt;full-title&gt;Economía y Desarrollo&lt;/full-title&gt;&lt;/periodical&gt;&lt;volume&gt; 159&lt;/volume&gt;&lt;number&gt; 1&lt;/number&gt;&lt;dates&gt;&lt;year&gt;2018&lt;/year&gt;&lt;pub-dates&gt;&lt;date&gt;03/07/2018&lt;/date&gt;&lt;/pub-dates&gt;&lt;/dates&gt;&lt;urls&gt;&lt;related-urls&gt;&lt;url&gt;http://scielo.sld.cu/pdf/eyd/v159n1/eyd11118.pdf&lt;/url&gt;&lt;/related-urls&gt;&lt;/urls&gt;&lt;custom1&gt;Eve&lt;/custom1&gt;&lt;language&gt;Español&lt;/language&gt;&lt;/record&gt;&lt;/Cite&gt;&lt;Cite ExcludeAuth="1" ExcludeYear="1"&gt;&lt;Author&gt;Odriozola Guitart&lt;/Author&gt;&lt;Year&gt;2018&lt;/Year&gt;&lt;RecNum&gt;946&lt;/RecNum&gt;&lt;record&gt;&lt;rec-number&gt;946&lt;/rec-number&gt;&lt;foreign-keys&gt;&lt;key app="EN" db-id="5x2rzfvvuw9228e2t9m5tsv7ptsvza9dsv2d"&gt;946&lt;/key&gt;&lt;/foreign-keys&gt;&lt;ref-type name="Generic"&gt;13&lt;/ref-type&gt;&lt;contributors&gt;&lt;authors&gt;&lt;author&gt;Odriozola Guitart,Silvia&lt;/author&gt;&lt;author&gt;Triana Cordoví, Juan&lt;/author&gt;&lt;/authors&gt;&lt;/contributors&gt;&lt;titles&gt;&lt;title&gt;Sobre Innovación&lt;/title&gt;&lt;/titles&gt;&lt;volume&gt;3 de febrero, 2:30-3:00 pm&lt;/volume&gt;&lt;dates&gt;&lt;year&gt;2018&lt;/year&gt;&lt;/dates&gt;&lt;pub-location&gt;La Habana, Cuba&lt;/pub-location&gt;&lt;publisher&gt;Programa televisivo «En buen Cubano», Cubavisión Internacional, 3 de febrero, 2:30-3:00 pm&lt;/publisher&gt;&lt;urls&gt;&lt;/urls&gt;&lt;custom1&gt;1.3.2. Empresa cubana&lt;/custom1&gt;&lt;/record&gt;&lt;/Cite&gt;&lt;/EndNote&gt;</w:instrText>
      </w:r>
      <w:r w:rsidR="00533221" w:rsidRPr="00DA1BF1">
        <w:rPr>
          <w:rFonts w:ascii="Times New Roman" w:hAnsi="Times New Roman" w:cs="Times New Roman"/>
          <w:sz w:val="24"/>
          <w:szCs w:val="24"/>
        </w:rPr>
        <w:fldChar w:fldCharType="end"/>
      </w:r>
    </w:p>
    <w:p w:rsidR="00E121A6" w:rsidRPr="00DA1BF1" w:rsidRDefault="00E121A6" w:rsidP="00E121A6">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Para establecer cultura de esta disciplina o materia en la empresa, se programan capacitaciones por parte del CITMA del territorio pero aún no existe comprensión por parte de los trabajadores, funcionarios y dirigentes; se considera que no existe cultura y que además, las entidades al parecer no requieren tanto de esta cuando continúan obteniendo resultados económicos satisfactorios.</w:t>
      </w:r>
      <w:r w:rsidR="00715006" w:rsidRPr="00DA1BF1">
        <w:rPr>
          <w:rFonts w:ascii="Times New Roman" w:hAnsi="Times New Roman" w:cs="Times New Roman"/>
          <w:sz w:val="24"/>
          <w:szCs w:val="24"/>
        </w:rPr>
        <w:t xml:space="preserve"> </w:t>
      </w:r>
      <w:r w:rsidRPr="00DA1BF1">
        <w:rPr>
          <w:rFonts w:ascii="Times New Roman" w:hAnsi="Times New Roman" w:cs="Times New Roman"/>
          <w:sz w:val="24"/>
          <w:szCs w:val="24"/>
        </w:rPr>
        <w:t>A pesar de reconocerse la PI como materia que puede ayudar a incrementar la competitividad e ingresos de la empresa, es escasa su gestión y vinculación con otros actores sociales como la universidad, centros de ciencia e innovación tecnológica y polos científico-productivos.</w:t>
      </w:r>
      <w:r w:rsidR="00533221" w:rsidRPr="00DA1BF1">
        <w:rPr>
          <w:rFonts w:ascii="Times New Roman" w:hAnsi="Times New Roman" w:cs="Times New Roman"/>
          <w:sz w:val="24"/>
          <w:szCs w:val="24"/>
        </w:rPr>
        <w:fldChar w:fldCharType="begin">
          <w:fldData xml:space="preserve">PEVuZE5vdGU+PENpdGUgRXhjbHVkZUF1dGg9IjEiIEV4Y2x1ZGVZZWFyPSIxIj48QXV0aG9yPlZh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</w:fldData>
        </w:fldChar>
      </w:r>
      <w:r w:rsidR="00790FE3" w:rsidRPr="00DA1BF1">
        <w:rPr>
          <w:rFonts w:ascii="Times New Roman" w:hAnsi="Times New Roman" w:cs="Times New Roman"/>
          <w:sz w:val="24"/>
          <w:szCs w:val="24"/>
        </w:rPr>
        <w:instrText xml:space="preserve"> ADDIN EN.CITE </w:instrText>
      </w:r>
      <w:r w:rsidR="00533221" w:rsidRPr="00DA1BF1">
        <w:rPr>
          <w:rFonts w:ascii="Times New Roman" w:hAnsi="Times New Roman" w:cs="Times New Roman"/>
          <w:sz w:val="24"/>
          <w:szCs w:val="24"/>
        </w:rPr>
        <w:fldChar w:fldCharType="begin">
          <w:fldData xml:space="preserve">PEVuZE5vdGU+PENpdGUgRXhjbHVkZUF1dGg9IjEiIEV4Y2x1ZGVZZWFyPSIxIj48QXV0aG9yPlZh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</w:fldData>
        </w:fldChar>
      </w:r>
      <w:r w:rsidR="00790FE3" w:rsidRPr="00DA1BF1">
        <w:rPr>
          <w:rFonts w:ascii="Times New Roman" w:hAnsi="Times New Roman" w:cs="Times New Roman"/>
          <w:sz w:val="24"/>
          <w:szCs w:val="24"/>
        </w:rPr>
        <w:instrText xml:space="preserve"> ADDIN EN.CITE.DATA </w:instrText>
      </w:r>
      <w:r w:rsidR="00533221" w:rsidRPr="00DA1BF1">
        <w:rPr>
          <w:rFonts w:ascii="Times New Roman" w:hAnsi="Times New Roman" w:cs="Times New Roman"/>
          <w:sz w:val="24"/>
          <w:szCs w:val="24"/>
        </w:rPr>
      </w:r>
      <w:r w:rsidR="00533221" w:rsidRPr="00DA1BF1">
        <w:rPr>
          <w:rFonts w:ascii="Times New Roman" w:hAnsi="Times New Roman" w:cs="Times New Roman"/>
          <w:sz w:val="24"/>
          <w:szCs w:val="24"/>
        </w:rPr>
        <w:fldChar w:fldCharType="end"/>
      </w:r>
      <w:r w:rsidR="00533221" w:rsidRPr="00DA1BF1">
        <w:rPr>
          <w:rFonts w:ascii="Times New Roman" w:hAnsi="Times New Roman" w:cs="Times New Roman"/>
          <w:sz w:val="24"/>
          <w:szCs w:val="24"/>
        </w:rPr>
      </w:r>
      <w:r w:rsidR="00533221" w:rsidRPr="00DA1BF1">
        <w:rPr>
          <w:rFonts w:ascii="Times New Roman" w:hAnsi="Times New Roman" w:cs="Times New Roman"/>
          <w:sz w:val="24"/>
          <w:szCs w:val="24"/>
        </w:rPr>
        <w:fldChar w:fldCharType="end"/>
      </w:r>
      <w:r w:rsidR="00790FE3" w:rsidRPr="00DA1BF1">
        <w:rPr>
          <w:rFonts w:ascii="Times New Roman" w:hAnsi="Times New Roman" w:cs="Times New Roman"/>
          <w:sz w:val="24"/>
          <w:szCs w:val="24"/>
        </w:rPr>
        <w:t xml:space="preserve"> </w:t>
      </w:r>
    </w:p>
    <w:p w:rsidR="00E121A6" w:rsidRPr="00DA1BF1" w:rsidRDefault="003A7E42" w:rsidP="00E121A6">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Teniendo en cuenta</w:t>
      </w:r>
      <w:r w:rsidR="00E121A6" w:rsidRPr="00DA1BF1">
        <w:rPr>
          <w:rFonts w:ascii="Times New Roman" w:hAnsi="Times New Roman" w:cs="Times New Roman"/>
          <w:sz w:val="24"/>
          <w:szCs w:val="24"/>
        </w:rPr>
        <w:t xml:space="preserve"> el objeto social de </w:t>
      </w:r>
      <w:r w:rsidRPr="00DA1BF1">
        <w:rPr>
          <w:rFonts w:ascii="Times New Roman" w:hAnsi="Times New Roman" w:cs="Times New Roman"/>
          <w:sz w:val="24"/>
          <w:szCs w:val="24"/>
        </w:rPr>
        <w:t>cada</w:t>
      </w:r>
      <w:r w:rsidR="00E121A6" w:rsidRPr="00DA1BF1">
        <w:rPr>
          <w:rFonts w:ascii="Times New Roman" w:hAnsi="Times New Roman" w:cs="Times New Roman"/>
          <w:sz w:val="24"/>
          <w:szCs w:val="24"/>
        </w:rPr>
        <w:t xml:space="preserve"> entidad y la capacidad de la fuerza laboral se opinó que es posible la creación de AFI de PI si se ordenan bien estos procesos y se integran los</w:t>
      </w:r>
      <w:r w:rsidRPr="00DA1BF1">
        <w:rPr>
          <w:rFonts w:ascii="Times New Roman" w:hAnsi="Times New Roman" w:cs="Times New Roman"/>
          <w:sz w:val="24"/>
          <w:szCs w:val="24"/>
        </w:rPr>
        <w:t xml:space="preserve"> factores determinantes;</w:t>
      </w:r>
      <w:r w:rsidR="00E121A6" w:rsidRPr="00DA1BF1">
        <w:rPr>
          <w:rFonts w:ascii="Times New Roman" w:hAnsi="Times New Roman" w:cs="Times New Roman"/>
          <w:sz w:val="24"/>
          <w:szCs w:val="24"/>
        </w:rPr>
        <w:t xml:space="preserve"> que existen especialistas con suficiente preparación para enfrentar el reto de innovar y aplicar todas las herramientas modernas, pero, hay que capacitar más sobre estos temas porque aún hay insuficiencias cognitivas.</w:t>
      </w:r>
    </w:p>
    <w:p w:rsidR="00E121A6" w:rsidRPr="00DA1BF1" w:rsidRDefault="00E121A6" w:rsidP="00E121A6">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lastRenderedPageBreak/>
        <w:t>Respecto a la preparación del área contable financiera para la gestión de la innovación, PI y contabilizar AFI, el 85 % de los entrevistados opinó que en la actualidad no existe pleno desarrollo de capacidades para esto, porque los contables no tienen referencias de ejemplos para guiarse ni se relacionan con dichos aspectos que de manera general se atiende por áreas técnicas.</w:t>
      </w:r>
      <w:r w:rsidR="00533221" w:rsidRPr="00DA1BF1">
        <w:rPr>
          <w:rFonts w:ascii="Times New Roman" w:hAnsi="Times New Roman" w:cs="Times New Roman"/>
          <w:sz w:val="24"/>
          <w:szCs w:val="24"/>
        </w:rPr>
        <w:fldChar w:fldCharType="begin"/>
      </w:r>
      <w:r w:rsidR="00790FE3" w:rsidRPr="00DA1BF1">
        <w:rPr>
          <w:rFonts w:ascii="Times New Roman" w:hAnsi="Times New Roman" w:cs="Times New Roman"/>
          <w:sz w:val="24"/>
          <w:szCs w:val="24"/>
        </w:rPr>
        <w:instrText xml:space="preserve"> ADDIN EN.CITE &lt;EndNote&gt;&lt;Cite ExcludeAuth="1" ExcludeYear="1"&gt;&lt;Author&gt;Morán Martínez&lt;/Author&gt;&lt;Year&gt;2015&lt;/Year&gt;&lt;RecNum&gt;579&lt;/RecNum&gt;&lt;record&gt;&lt;rec-number&gt;579&lt;/rec-number&gt;&lt;foreign-keys&gt;&lt;key app="EN" db-id="5x2rzfvvuw9228e2t9m5tsv7ptsvza9dsv2d"&gt;579&lt;/key&gt;&lt;/foreign-keys&gt;&lt;ref-type name="Artículo de versión online de revista impresa"&gt;43&lt;/ref-type&gt;&lt;contributors&gt;&lt;authors&gt;&lt;author&gt;Morán Martínez, Liudmila&lt;/author&gt;&lt;/authors&gt;&lt;/contributors&gt;&lt;titles&gt;&lt;title&gt;Anotación de los contratos de licencia de propiedad industrial y sus efectos jurídicos en Cuba&lt;/title&gt;&lt;secondary-title&gt;Revista de Derecho, Universidad del Norte, Barranquilla&lt;/secondary-title&gt;&lt;/titles&gt;&lt;periodical&gt;&lt;full-title&gt;Revista de Derecho, Universidad del Norte, Barranquilla&lt;/full-title&gt;&lt;/periodical&gt;&lt;pages&gt;50-81&lt;/pages&gt;&lt;number&gt;44&lt;/number&gt;&lt;dates&gt;&lt;year&gt;2015&lt;/year&gt;&lt;pub-dates&gt;&lt;date&gt;29/09/2016&lt;/date&gt;&lt;/pub-dates&gt;&lt;/dates&gt;&lt;urls&gt;&lt;related-urls&gt;&lt;url&gt;http://dx.doi.org/10.14482/dere.44.7169&lt;/url&gt;&lt;/related-urls&gt;&lt;pdf-urls&gt;&lt;url&gt;file://D:\Dulce PI\Bibliografía PI esta\000Biblio nueva Dulce\n44a04 pi trans liudmila.pdf&lt;/url&gt;&lt;/pdf-urls&gt;&lt;/urls&gt;&lt;custom1&gt;Introducc&lt;/custom1&gt;&lt;language&gt;Español&lt;/language&gt;&lt;/record&gt;&lt;/Cite&gt;&lt;/EndNote&gt;</w:instrText>
      </w:r>
      <w:r w:rsidR="00533221" w:rsidRPr="00DA1BF1">
        <w:rPr>
          <w:rFonts w:ascii="Times New Roman" w:hAnsi="Times New Roman" w:cs="Times New Roman"/>
          <w:sz w:val="24"/>
          <w:szCs w:val="24"/>
        </w:rPr>
        <w:fldChar w:fldCharType="end"/>
      </w:r>
      <w:r w:rsidR="00790FE3" w:rsidRPr="00DA1BF1">
        <w:rPr>
          <w:rFonts w:ascii="Times New Roman" w:hAnsi="Times New Roman" w:cs="Times New Roman"/>
          <w:sz w:val="24"/>
          <w:szCs w:val="24"/>
        </w:rPr>
        <w:t xml:space="preserve"> </w:t>
      </w:r>
    </w:p>
    <w:p w:rsidR="00E121A6" w:rsidRPr="00DA1BF1" w:rsidRDefault="00E121A6" w:rsidP="00E121A6">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En cuanto a normatividad, procedimientos, disposiciones o estrategias internas que pudieran relacionarse con la generación de AFI de PI en la empresa, se manifestó que no se ha generado nada, pero que es posible crearlo</w:t>
      </w:r>
      <w:r w:rsidR="00D937B3" w:rsidRPr="00DA1BF1">
        <w:rPr>
          <w:rFonts w:ascii="Times New Roman" w:hAnsi="Times New Roman" w:cs="Times New Roman"/>
          <w:sz w:val="24"/>
          <w:szCs w:val="24"/>
        </w:rPr>
        <w:t>s</w:t>
      </w:r>
      <w:r w:rsidRPr="00DA1BF1">
        <w:rPr>
          <w:rFonts w:ascii="Times New Roman" w:hAnsi="Times New Roman" w:cs="Times New Roman"/>
          <w:sz w:val="24"/>
          <w:szCs w:val="24"/>
        </w:rPr>
        <w:t xml:space="preserve"> a partir de las facultades que se les asignó a las organizaciones</w:t>
      </w:r>
      <w:r w:rsidR="00D937B3" w:rsidRPr="00DA1BF1">
        <w:rPr>
          <w:rFonts w:ascii="Times New Roman" w:hAnsi="Times New Roman" w:cs="Times New Roman"/>
          <w:sz w:val="24"/>
          <w:szCs w:val="24"/>
        </w:rPr>
        <w:t xml:space="preserve"> y la norma del </w:t>
      </w:r>
      <w:r w:rsidR="00350B7C" w:rsidRPr="00DA1BF1">
        <w:rPr>
          <w:rFonts w:ascii="Times New Roman" w:hAnsi="Times New Roman" w:cs="Times New Roman"/>
          <w:sz w:val="24"/>
          <w:szCs w:val="24"/>
        </w:rPr>
        <w:t>Ministerio de Finanzas y Precios (</w:t>
      </w:r>
      <w:r w:rsidR="00D937B3" w:rsidRPr="00DA1BF1">
        <w:rPr>
          <w:rFonts w:ascii="Times New Roman" w:hAnsi="Times New Roman" w:cs="Times New Roman"/>
          <w:sz w:val="24"/>
          <w:szCs w:val="24"/>
        </w:rPr>
        <w:t>MFP</w:t>
      </w:r>
      <w:r w:rsidR="00350B7C" w:rsidRPr="00DA1BF1">
        <w:rPr>
          <w:rFonts w:ascii="Times New Roman" w:hAnsi="Times New Roman" w:cs="Times New Roman"/>
          <w:sz w:val="24"/>
          <w:szCs w:val="24"/>
        </w:rPr>
        <w:t>)</w:t>
      </w:r>
      <w:r w:rsidR="00D937B3" w:rsidRPr="00DA1BF1">
        <w:rPr>
          <w:rFonts w:ascii="Times New Roman" w:hAnsi="Times New Roman" w:cs="Times New Roman"/>
          <w:sz w:val="24"/>
          <w:szCs w:val="24"/>
        </w:rPr>
        <w:t xml:space="preserve"> </w:t>
      </w:r>
      <w:r w:rsidR="006771BD" w:rsidRPr="00DA1BF1">
        <w:rPr>
          <w:rFonts w:ascii="Times New Roman" w:hAnsi="Times New Roman" w:cs="Times New Roman"/>
          <w:sz w:val="24"/>
          <w:szCs w:val="24"/>
        </w:rPr>
        <w:t>sobre este tipo de recursos a principio del año</w:t>
      </w:r>
      <w:r w:rsidR="00D937B3" w:rsidRPr="00DA1BF1">
        <w:rPr>
          <w:rFonts w:ascii="Times New Roman" w:hAnsi="Times New Roman" w:cs="Times New Roman"/>
          <w:sz w:val="24"/>
          <w:szCs w:val="24"/>
        </w:rPr>
        <w:t xml:space="preserve"> 2018</w:t>
      </w:r>
      <w:r w:rsidR="00533221" w:rsidRPr="00DA1BF1">
        <w:rPr>
          <w:rFonts w:ascii="Times New Roman" w:hAnsi="Times New Roman" w:cs="Times New Roman"/>
          <w:sz w:val="24"/>
          <w:szCs w:val="24"/>
        </w:rPr>
        <w:fldChar w:fldCharType="begin"/>
      </w:r>
      <w:r w:rsidR="00790FE3" w:rsidRPr="00DA1BF1">
        <w:rPr>
          <w:rFonts w:ascii="Times New Roman" w:hAnsi="Times New Roman" w:cs="Times New Roman"/>
          <w:sz w:val="24"/>
          <w:szCs w:val="24"/>
        </w:rPr>
        <w:instrText xml:space="preserve"> ADDIN EN.CITE &lt;EndNote&gt;&lt;Cite ExcludeAuth="1" ExcludeYear="1"&gt;&lt;Author&gt;MFP&lt;/Author&gt;&lt;Year&gt;2018&lt;/Year&gt;&lt;RecNum&gt;944&lt;/RecNum&gt;&lt;record&gt;&lt;rec-number&gt;944&lt;/rec-number&gt;&lt;foreign-keys&gt;&lt;key app="EN" db-id="5x2rzfvvuw9228e2t9m5tsv7ptsvza9dsv2d"&gt;944&lt;/key&gt;&lt;/foreign-keys&gt;&lt;ref-type name="Normativa corporativa o institucional online"&gt;44&lt;/ref-type&gt;&lt;contributors&gt;&lt;authors&gt;&lt;author&gt;MFP&lt;/author&gt;&lt;/authors&gt;&lt;/contributors&gt;&lt;titles&gt;&lt;title&gt;Norma Cubana de Contabilidad (NCC No. 8) Activos Fijos Intangibles&lt;/title&gt;&lt;secondary-title&gt;Ministerio de Finanzas y Precios&lt;/secondary-title&gt;&lt;/titles&gt;&lt;number&gt;7&lt;/number&gt;&lt;edition&gt;Ordinaria&lt;/edition&gt;&lt;dates&gt;&lt;year&gt;2018&lt;/year&gt;&lt;pub-dates&gt;&lt;date&gt;20/05/2018&lt;/date&gt;&lt;/pub-dates&gt;&lt;/dates&gt;&lt;pub-location&gt;La Habana, Cuba&lt;/pub-location&gt;&lt;publisher&gt;Gaceta Oficial de la República de Cuba&lt;/publisher&gt;&lt;urls&gt;&lt;related-urls&gt;&lt;url&gt;https://www.gacetaoficial.gob.cu/&lt;/url&gt;&lt;/related-urls&gt;&lt;pdf-urls&gt;&lt;url&gt;file://D:\Dulce PI\Bibliografía PI esta\5 GO_ legislaciones actualizadas\GOC-2018-O7.pdf&lt;/url&gt;&lt;/pdf-urls&gt;&lt;/urls&gt;&lt;custom1&gt;1.2.3.  patrimonio&lt;/custom1&gt;&lt;language&gt;Español&lt;/language&gt;&lt;/record&gt;&lt;/Cite&gt;&lt;/EndNote&gt;</w:instrText>
      </w:r>
      <w:r w:rsidR="00533221" w:rsidRPr="00DA1BF1">
        <w:rPr>
          <w:rFonts w:ascii="Times New Roman" w:hAnsi="Times New Roman" w:cs="Times New Roman"/>
          <w:sz w:val="24"/>
          <w:szCs w:val="24"/>
        </w:rPr>
        <w:fldChar w:fldCharType="end"/>
      </w:r>
      <w:r w:rsidRPr="00DA1BF1">
        <w:rPr>
          <w:rFonts w:ascii="Times New Roman" w:hAnsi="Times New Roman" w:cs="Times New Roman"/>
          <w:sz w:val="24"/>
          <w:szCs w:val="24"/>
        </w:rPr>
        <w:t>. Que hay que proponérselo.</w:t>
      </w:r>
    </w:p>
    <w:p w:rsidR="00DA109C" w:rsidRPr="00DA1BF1" w:rsidRDefault="00A10FD9" w:rsidP="00E121A6">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L</w:t>
      </w:r>
      <w:r w:rsidR="00E33659" w:rsidRPr="00DA1BF1">
        <w:rPr>
          <w:rFonts w:ascii="Times New Roman" w:hAnsi="Times New Roman" w:cs="Times New Roman"/>
          <w:sz w:val="24"/>
          <w:szCs w:val="24"/>
        </w:rPr>
        <w:t>os</w:t>
      </w:r>
      <w:r w:rsidRPr="00DA1BF1">
        <w:rPr>
          <w:rFonts w:ascii="Times New Roman" w:hAnsi="Times New Roman" w:cs="Times New Roman"/>
          <w:sz w:val="24"/>
          <w:szCs w:val="24"/>
        </w:rPr>
        <w:t xml:space="preserve"> fundamentos </w:t>
      </w:r>
      <w:r w:rsidR="00E33659" w:rsidRPr="00DA1BF1">
        <w:rPr>
          <w:rFonts w:ascii="Times New Roman" w:hAnsi="Times New Roman" w:cs="Times New Roman"/>
          <w:sz w:val="24"/>
          <w:szCs w:val="24"/>
        </w:rPr>
        <w:t>teórico-jurídico</w:t>
      </w:r>
      <w:r w:rsidRPr="00DA1BF1">
        <w:rPr>
          <w:rFonts w:ascii="Times New Roman" w:hAnsi="Times New Roman" w:cs="Times New Roman"/>
          <w:sz w:val="24"/>
          <w:szCs w:val="24"/>
        </w:rPr>
        <w:t>s y eco</w:t>
      </w:r>
      <w:r w:rsidR="00E33659" w:rsidRPr="00DA1BF1">
        <w:rPr>
          <w:rFonts w:ascii="Times New Roman" w:hAnsi="Times New Roman" w:cs="Times New Roman"/>
          <w:sz w:val="24"/>
          <w:szCs w:val="24"/>
        </w:rPr>
        <w:t>nómico</w:t>
      </w:r>
      <w:r w:rsidRPr="00DA1BF1">
        <w:rPr>
          <w:rFonts w:ascii="Times New Roman" w:hAnsi="Times New Roman" w:cs="Times New Roman"/>
          <w:sz w:val="24"/>
          <w:szCs w:val="24"/>
        </w:rPr>
        <w:t>s de adecuación de la PI</w:t>
      </w:r>
      <w:r w:rsidR="00E33659" w:rsidRPr="00DA1BF1">
        <w:rPr>
          <w:rFonts w:ascii="Times New Roman" w:hAnsi="Times New Roman" w:cs="Times New Roman"/>
          <w:sz w:val="24"/>
          <w:szCs w:val="24"/>
        </w:rPr>
        <w:t xml:space="preserve"> se enmarcan en cinco pilares:</w:t>
      </w:r>
      <w:r w:rsidR="00455396" w:rsidRPr="00DA1BF1">
        <w:rPr>
          <w:rFonts w:ascii="Times New Roman" w:hAnsi="Times New Roman" w:cs="Times New Roman"/>
          <w:sz w:val="24"/>
          <w:szCs w:val="24"/>
        </w:rPr>
        <w:t xml:space="preserve"> marco estructural para el desempeño de la propiedad industrial sobre bienes del patrimonio intangible empresarial, instrumentación funcional de la universalidad de la protección-difusión de </w:t>
      </w:r>
      <w:r w:rsidR="00A543D1" w:rsidRPr="00DA1BF1">
        <w:rPr>
          <w:rFonts w:ascii="Times New Roman" w:hAnsi="Times New Roman" w:cs="Times New Roman"/>
          <w:sz w:val="24"/>
          <w:szCs w:val="24"/>
        </w:rPr>
        <w:t>propiedad industrial</w:t>
      </w:r>
      <w:r w:rsidR="00455396" w:rsidRPr="00DA1BF1">
        <w:rPr>
          <w:rFonts w:ascii="Times New Roman" w:hAnsi="Times New Roman" w:cs="Times New Roman"/>
          <w:sz w:val="24"/>
          <w:szCs w:val="24"/>
        </w:rPr>
        <w:t xml:space="preserve"> </w:t>
      </w:r>
      <w:r w:rsidR="00A543D1" w:rsidRPr="00DA1BF1">
        <w:rPr>
          <w:rFonts w:ascii="Times New Roman" w:hAnsi="Times New Roman" w:cs="Times New Roman"/>
          <w:sz w:val="24"/>
          <w:szCs w:val="24"/>
        </w:rPr>
        <w:t>(</w:t>
      </w:r>
      <w:r w:rsidR="00455396" w:rsidRPr="00DA1BF1">
        <w:rPr>
          <w:rFonts w:ascii="Times New Roman" w:hAnsi="Times New Roman" w:cs="Times New Roman"/>
          <w:sz w:val="24"/>
          <w:szCs w:val="24"/>
        </w:rPr>
        <w:t>Proceso de toma de decisiones</w:t>
      </w:r>
      <w:r w:rsidR="00A543D1" w:rsidRPr="00DA1BF1">
        <w:rPr>
          <w:rFonts w:ascii="Times New Roman" w:hAnsi="Times New Roman" w:cs="Times New Roman"/>
          <w:sz w:val="24"/>
          <w:szCs w:val="24"/>
        </w:rPr>
        <w:t>)</w:t>
      </w:r>
      <w:r w:rsidR="00455396" w:rsidRPr="00DA1BF1">
        <w:rPr>
          <w:rFonts w:ascii="Times New Roman" w:hAnsi="Times New Roman" w:cs="Times New Roman"/>
          <w:sz w:val="24"/>
          <w:szCs w:val="24"/>
        </w:rPr>
        <w:t>, mecanismos de protección, conservación y difusión del patrimonio intangible cultural, tecnológico y comercial</w:t>
      </w:r>
      <w:r w:rsidR="00A543D1" w:rsidRPr="00DA1BF1">
        <w:rPr>
          <w:rFonts w:ascii="Times New Roman" w:hAnsi="Times New Roman" w:cs="Times New Roman"/>
          <w:sz w:val="24"/>
          <w:szCs w:val="24"/>
        </w:rPr>
        <w:t xml:space="preserve">, transferencias de propiedad industrial en redes de relaciones locales y patrimonialidad </w:t>
      </w:r>
      <w:r w:rsidR="00237DED" w:rsidRPr="00DA1BF1">
        <w:rPr>
          <w:rFonts w:ascii="Times New Roman" w:hAnsi="Times New Roman" w:cs="Times New Roman"/>
          <w:sz w:val="24"/>
          <w:szCs w:val="24"/>
        </w:rPr>
        <w:t xml:space="preserve">empresarial </w:t>
      </w:r>
      <w:r w:rsidR="00A543D1" w:rsidRPr="00DA1BF1">
        <w:rPr>
          <w:rFonts w:ascii="Times New Roman" w:hAnsi="Times New Roman" w:cs="Times New Roman"/>
          <w:sz w:val="24"/>
          <w:szCs w:val="24"/>
        </w:rPr>
        <w:t>responsable</w:t>
      </w:r>
      <w:r w:rsidR="007C48C7" w:rsidRPr="00DA1BF1">
        <w:rPr>
          <w:rFonts w:ascii="Times New Roman" w:hAnsi="Times New Roman" w:cs="Times New Roman"/>
          <w:sz w:val="24"/>
          <w:szCs w:val="24"/>
        </w:rPr>
        <w:t>.</w:t>
      </w:r>
    </w:p>
    <w:p w:rsidR="00F746B8" w:rsidRPr="00DA1BF1" w:rsidRDefault="00F746B8" w:rsidP="00F746B8">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 xml:space="preserve">El procedimiento que se </w:t>
      </w:r>
      <w:r w:rsidR="000B6BF0" w:rsidRPr="00DA1BF1">
        <w:rPr>
          <w:rFonts w:ascii="Times New Roman" w:hAnsi="Times New Roman" w:cs="Times New Roman"/>
          <w:sz w:val="24"/>
          <w:szCs w:val="24"/>
        </w:rPr>
        <w:t>concreta</w:t>
      </w:r>
      <w:r w:rsidRPr="00DA1BF1">
        <w:rPr>
          <w:rFonts w:ascii="Times New Roman" w:hAnsi="Times New Roman" w:cs="Times New Roman"/>
          <w:sz w:val="24"/>
          <w:szCs w:val="24"/>
        </w:rPr>
        <w:t xml:space="preserve"> a los efectos de considerar AFI de PI creados en la empresa, presupone a aquellos que se deriven de proyectos de I+D y en específico del des</w:t>
      </w:r>
      <w:r w:rsidR="00583745" w:rsidRPr="00DA1BF1">
        <w:rPr>
          <w:rFonts w:ascii="Times New Roman" w:hAnsi="Times New Roman" w:cs="Times New Roman"/>
          <w:sz w:val="24"/>
          <w:szCs w:val="24"/>
        </w:rPr>
        <w:t>arrollo. Aun cuando se reconoce</w:t>
      </w:r>
      <w:r w:rsidRPr="00DA1BF1">
        <w:rPr>
          <w:rFonts w:ascii="Times New Roman" w:hAnsi="Times New Roman" w:cs="Times New Roman"/>
          <w:sz w:val="24"/>
          <w:szCs w:val="24"/>
        </w:rPr>
        <w:t xml:space="preserve"> la posibilidad de utilizar otros métodos existentes en el mundo para valorizar innovaciones como AFI de PI, en el estudio se consideró el de costo a partir de </w:t>
      </w:r>
      <w:r w:rsidR="00194BCC" w:rsidRPr="00DA1BF1">
        <w:rPr>
          <w:rFonts w:ascii="Times New Roman" w:hAnsi="Times New Roman" w:cs="Times New Roman"/>
          <w:sz w:val="24"/>
          <w:szCs w:val="24"/>
        </w:rPr>
        <w:t>los recursos que se ponen</w:t>
      </w:r>
      <w:r w:rsidRPr="00DA1BF1">
        <w:rPr>
          <w:rFonts w:ascii="Times New Roman" w:hAnsi="Times New Roman" w:cs="Times New Roman"/>
          <w:sz w:val="24"/>
          <w:szCs w:val="24"/>
        </w:rPr>
        <w:t xml:space="preserve"> en función de obtenerlo. </w:t>
      </w:r>
    </w:p>
    <w:p w:rsidR="00F746B8" w:rsidRPr="00DA1BF1" w:rsidRDefault="00F746B8" w:rsidP="00F746B8">
      <w:pPr>
        <w:spacing w:before="120" w:after="120" w:line="360" w:lineRule="auto"/>
        <w:jc w:val="both"/>
        <w:rPr>
          <w:rFonts w:ascii="Times New Roman" w:hAnsi="Times New Roman" w:cs="Times New Roman"/>
          <w:sz w:val="24"/>
          <w:szCs w:val="24"/>
        </w:rPr>
      </w:pPr>
      <w:r w:rsidRPr="00DA1BF1">
        <w:rPr>
          <w:rFonts w:ascii="Times New Roman" w:hAnsi="Times New Roman" w:cs="Times New Roman"/>
          <w:sz w:val="24"/>
          <w:szCs w:val="24"/>
        </w:rPr>
        <w:t>El costo del AFI</w:t>
      </w:r>
      <w:r w:rsidR="00EE0AC6" w:rsidRPr="00DA1BF1">
        <w:rPr>
          <w:rFonts w:ascii="Times New Roman" w:hAnsi="Times New Roman" w:cs="Times New Roman"/>
          <w:sz w:val="24"/>
          <w:szCs w:val="24"/>
        </w:rPr>
        <w:t xml:space="preserve"> se </w:t>
      </w:r>
      <w:r w:rsidR="0014224D" w:rsidRPr="00DA1BF1">
        <w:rPr>
          <w:rFonts w:ascii="Times New Roman" w:hAnsi="Times New Roman" w:cs="Times New Roman"/>
          <w:sz w:val="24"/>
          <w:szCs w:val="24"/>
        </w:rPr>
        <w:t>considera</w:t>
      </w:r>
      <w:r w:rsidR="007E2FF8" w:rsidRPr="00DA1BF1">
        <w:rPr>
          <w:rFonts w:ascii="Times New Roman" w:hAnsi="Times New Roman" w:cs="Times New Roman"/>
          <w:sz w:val="24"/>
          <w:szCs w:val="24"/>
        </w:rPr>
        <w:t xml:space="preserve"> como valor</w:t>
      </w:r>
      <w:r w:rsidRPr="00DA1BF1">
        <w:rPr>
          <w:rFonts w:ascii="Times New Roman" w:hAnsi="Times New Roman" w:cs="Times New Roman"/>
          <w:sz w:val="24"/>
          <w:szCs w:val="24"/>
        </w:rPr>
        <w:t xml:space="preserve"> </w:t>
      </w:r>
      <w:r w:rsidR="007E2FF8" w:rsidRPr="00DA1BF1">
        <w:rPr>
          <w:rFonts w:ascii="Times New Roman" w:hAnsi="Times New Roman" w:cs="Times New Roman"/>
          <w:sz w:val="24"/>
          <w:szCs w:val="24"/>
        </w:rPr>
        <w:t xml:space="preserve">por la inversión de </w:t>
      </w:r>
      <w:r w:rsidRPr="00DA1BF1">
        <w:rPr>
          <w:rFonts w:ascii="Times New Roman" w:hAnsi="Times New Roman" w:cs="Times New Roman"/>
          <w:sz w:val="24"/>
          <w:szCs w:val="24"/>
        </w:rPr>
        <w:t xml:space="preserve">recursos materiales, humanos y financieros </w:t>
      </w:r>
      <w:r w:rsidR="00C13A85" w:rsidRPr="00DA1BF1">
        <w:rPr>
          <w:rFonts w:ascii="Times New Roman" w:hAnsi="Times New Roman" w:cs="Times New Roman"/>
          <w:sz w:val="24"/>
          <w:szCs w:val="24"/>
        </w:rPr>
        <w:t xml:space="preserve">para lograrlos desde </w:t>
      </w:r>
      <w:r w:rsidRPr="00DA1BF1">
        <w:rPr>
          <w:rFonts w:ascii="Times New Roman" w:hAnsi="Times New Roman" w:cs="Times New Roman"/>
          <w:sz w:val="24"/>
          <w:szCs w:val="24"/>
        </w:rPr>
        <w:t xml:space="preserve">la acumulación de </w:t>
      </w:r>
      <w:r w:rsidR="00C13A85" w:rsidRPr="00DA1BF1">
        <w:rPr>
          <w:rFonts w:ascii="Times New Roman" w:hAnsi="Times New Roman" w:cs="Times New Roman"/>
          <w:sz w:val="24"/>
          <w:szCs w:val="24"/>
        </w:rPr>
        <w:t>egresos o desembolsos</w:t>
      </w:r>
      <w:r w:rsidRPr="00DA1BF1">
        <w:rPr>
          <w:rFonts w:ascii="Times New Roman" w:hAnsi="Times New Roman" w:cs="Times New Roman"/>
          <w:sz w:val="24"/>
          <w:szCs w:val="24"/>
        </w:rPr>
        <w:t xml:space="preserve"> </w:t>
      </w:r>
      <w:r w:rsidR="00C13A85" w:rsidRPr="00DA1BF1">
        <w:rPr>
          <w:rFonts w:ascii="Times New Roman" w:hAnsi="Times New Roman" w:cs="Times New Roman"/>
          <w:sz w:val="24"/>
          <w:szCs w:val="24"/>
        </w:rPr>
        <w:t xml:space="preserve">mediante </w:t>
      </w:r>
      <w:r w:rsidRPr="00DA1BF1">
        <w:rPr>
          <w:rFonts w:ascii="Times New Roman" w:hAnsi="Times New Roman" w:cs="Times New Roman"/>
          <w:sz w:val="24"/>
          <w:szCs w:val="24"/>
        </w:rPr>
        <w:t xml:space="preserve">el registro, control y análisis </w:t>
      </w:r>
      <w:r w:rsidR="00F2421F" w:rsidRPr="00DA1BF1">
        <w:rPr>
          <w:rFonts w:ascii="Times New Roman" w:hAnsi="Times New Roman" w:cs="Times New Roman"/>
          <w:sz w:val="24"/>
          <w:szCs w:val="24"/>
        </w:rPr>
        <w:t>contable</w:t>
      </w:r>
      <w:r w:rsidRPr="00DA1BF1">
        <w:rPr>
          <w:rFonts w:ascii="Times New Roman" w:hAnsi="Times New Roman" w:cs="Times New Roman"/>
          <w:sz w:val="24"/>
          <w:szCs w:val="24"/>
        </w:rPr>
        <w:t xml:space="preserve">. </w:t>
      </w:r>
      <w:r w:rsidR="009C7B12" w:rsidRPr="00DA1BF1">
        <w:rPr>
          <w:rFonts w:ascii="Times New Roman" w:hAnsi="Times New Roman" w:cs="Times New Roman"/>
          <w:sz w:val="24"/>
          <w:szCs w:val="24"/>
        </w:rPr>
        <w:t>Conforman</w:t>
      </w:r>
      <w:r w:rsidRPr="00DA1BF1">
        <w:rPr>
          <w:rFonts w:ascii="Times New Roman" w:hAnsi="Times New Roman" w:cs="Times New Roman"/>
          <w:sz w:val="24"/>
          <w:szCs w:val="24"/>
        </w:rPr>
        <w:t xml:space="preserve"> el costo total del proyect</w:t>
      </w:r>
      <w:r w:rsidR="006B3216" w:rsidRPr="00DA1BF1">
        <w:rPr>
          <w:rFonts w:ascii="Times New Roman" w:hAnsi="Times New Roman" w:cs="Times New Roman"/>
          <w:sz w:val="24"/>
          <w:szCs w:val="24"/>
        </w:rPr>
        <w:t xml:space="preserve">o </w:t>
      </w:r>
      <w:r w:rsidRPr="00DA1BF1">
        <w:rPr>
          <w:rFonts w:ascii="Times New Roman" w:hAnsi="Times New Roman" w:cs="Times New Roman"/>
          <w:sz w:val="24"/>
          <w:szCs w:val="24"/>
        </w:rPr>
        <w:t>la sumatoria de todos los gastos de las etapas del proceso inversionista.</w:t>
      </w:r>
    </w:p>
    <w:p w:rsidR="006B3216" w:rsidRDefault="006B3216" w:rsidP="006B3216">
      <w:pPr>
        <w:spacing w:before="120" w:after="120" w:line="360" w:lineRule="auto"/>
        <w:jc w:val="center"/>
        <w:rPr>
          <w:rFonts w:ascii="Times New Roman" w:hAnsi="Times New Roman" w:cs="Times New Roman"/>
          <w:sz w:val="24"/>
          <w:szCs w:val="24"/>
        </w:rPr>
      </w:pPr>
      <w:r w:rsidRPr="006B3216">
        <w:rPr>
          <w:rFonts w:ascii="Times New Roman" w:hAnsi="Times New Roman" w:cs="Times New Roman"/>
          <w:noProof/>
          <w:sz w:val="24"/>
          <w:szCs w:val="24"/>
          <w:lang w:val="es-MX" w:eastAsia="es-MX"/>
        </w:rPr>
        <w:lastRenderedPageBreak/>
        <w:drawing>
          <wp:inline distT="0" distB="0" distL="0" distR="0">
            <wp:extent cx="3933825" cy="2038350"/>
            <wp:effectExtent l="19050" t="0" r="0" b="0"/>
            <wp:docPr id="2"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73487" cy="3126658"/>
                      <a:chOff x="2584529" y="1231037"/>
                      <a:chExt cx="4273487" cy="3126658"/>
                    </a:xfrm>
                  </a:grpSpPr>
                  <a:grpSp>
                    <a:nvGrpSpPr>
                      <a:cNvPr id="6" name="Diagram 1"/>
                      <a:cNvGrpSpPr>
                        <a:grpSpLocks noChangeAspect="1"/>
                      </a:cNvGrpSpPr>
                    </a:nvGrpSpPr>
                    <a:grpSpPr bwMode="auto">
                      <a:xfrm>
                        <a:off x="2584529" y="1231037"/>
                        <a:ext cx="4273487" cy="3126658"/>
                        <a:chOff x="1907" y="2776"/>
                        <a:chExt cx="8201" cy="7903"/>
                      </a:xfrm>
                      <a:gradFill flip="none" rotWithShape="1">
                        <a:gsLst>
                          <a:gs pos="0">
                            <a:srgbClr val="BBE0E3"/>
                          </a:gs>
                          <a:gs pos="100000">
                            <a:srgbClr val="FFFFFF"/>
                          </a:gs>
                        </a:gsLst>
                        <a:path path="shape">
                          <a:fillToRect l="50000" t="50000" r="50000" b="50000"/>
                        </a:path>
                        <a:tileRect/>
                      </a:gradFill>
                    </a:grpSpPr>
                    <a:sp>
                      <a:nvSpPr>
                        <a:cNvPr id="7" name="_s2064"/>
                        <a:cNvSpPr>
                          <a:spLocks noChangeShapeType="1"/>
                        </a:cNvSpPr>
                      </a:nvSpPr>
                      <a:spPr bwMode="auto">
                        <a:xfrm flipV="1">
                          <a:off x="6075" y="4828"/>
                          <a:ext cx="0" cy="1026"/>
                        </a:xfrm>
                        <a:prstGeom prst="line">
                          <a:avLst/>
                        </a:prstGeom>
                        <a:grpFill/>
                        <a:ln w="28575">
                          <a:solidFill>
                            <a:srgbClr val="808080"/>
                          </a:solidFill>
                          <a:round/>
                          <a:headEnd/>
                          <a:tailEnd/>
                        </a:ln>
                      </a:spPr>
                      <a:txSp>
                        <a:txBody>
                          <a:bodyPr vert="horz" wrap="square" lIns="91440" tIns="45720" rIns="91440" bIns="4572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8" name="_s2063"/>
                        <a:cNvSpPr>
                          <a:spLocks noChangeArrowheads="1"/>
                        </a:cNvSpPr>
                      </a:nvSpPr>
                      <a:spPr bwMode="auto">
                        <a:xfrm>
                          <a:off x="5049" y="2776"/>
                          <a:ext cx="2052" cy="2052"/>
                        </a:xfrm>
                        <a:prstGeom prst="rect">
                          <a:avLst/>
                        </a:prstGeom>
                        <a:grpFill/>
                        <a:ln w="9525">
                          <a:solidFill>
                            <a:srgbClr val="000000"/>
                          </a:solidFill>
                          <a:miter lim="800000"/>
                          <a:headEnd/>
                          <a:tailEnd/>
                        </a:ln>
                        <a:effectLst>
                          <a:outerShdw dist="141990" dir="1593903" algn="ctr" rotWithShape="0">
                            <a:srgbClr val="333399"/>
                          </a:outerShdw>
                        </a:effectLst>
                      </a:spPr>
                      <a:txSp>
                        <a:txBody>
                          <a:bodyPr vert="horz" wrap="square" lIns="0" tIns="0" rIns="0" bIns="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i="0" u="none" strike="noStrike" cap="none" normalizeH="0" baseline="0" dirty="0" smtClean="0">
                                <a:ln>
                                  <a:noFill/>
                                </a:ln>
                                <a:effectLst/>
                                <a:latin typeface="Arial" charset="0"/>
                                <a:cs typeface="Arial" charset="0"/>
                              </a:rPr>
                              <a:t>Gastos del </a:t>
                            </a:r>
                          </a:p>
                          <a:p>
                            <a:pPr marL="0" marR="0" lvl="0" indent="0" algn="ctr" defTabSz="914400" rtl="0" eaLnBrk="1" fontAlgn="base" latinLnBrk="0" hangingPunct="1">
                              <a:lnSpc>
                                <a:spcPct val="100000"/>
                              </a:lnSpc>
                              <a:spcBef>
                                <a:spcPct val="0"/>
                              </a:spcBef>
                              <a:spcAft>
                                <a:spcPct val="0"/>
                              </a:spcAft>
                              <a:buClrTx/>
                              <a:buSzTx/>
                              <a:buFontTx/>
                              <a:buNone/>
                              <a:tabLst/>
                            </a:pPr>
                            <a:r>
                              <a:rPr lang="es-ES" sz="900" dirty="0" smtClean="0">
                                <a:latin typeface="Arial" charset="0"/>
                                <a:cs typeface="Arial" charset="0"/>
                              </a:rPr>
                              <a:t>r</a:t>
                            </a:r>
                            <a:r>
                              <a:rPr kumimoji="0" lang="es-ES" sz="900" i="0" u="none" strike="noStrike" cap="none" normalizeH="0" baseline="0" dirty="0" smtClean="0">
                                <a:ln>
                                  <a:noFill/>
                                </a:ln>
                                <a:effectLst/>
                                <a:latin typeface="Arial" charset="0"/>
                                <a:cs typeface="Arial" charset="0"/>
                              </a:rPr>
                              <a:t>egistro </a:t>
                            </a:r>
                            <a:r>
                              <a:rPr lang="es-ES" sz="900" dirty="0" smtClean="0">
                                <a:latin typeface="Arial" charset="0"/>
                                <a:cs typeface="Arial" charset="0"/>
                              </a:rPr>
                              <a:t>l</a:t>
                            </a:r>
                            <a:r>
                              <a:rPr kumimoji="0" lang="es-ES" sz="900" i="0" u="none" strike="noStrike" cap="none" normalizeH="0" baseline="0" dirty="0" smtClean="0">
                                <a:ln>
                                  <a:noFill/>
                                </a:ln>
                                <a:effectLst/>
                                <a:latin typeface="Arial" charset="0"/>
                                <a:cs typeface="Arial" charset="0"/>
                              </a:rPr>
                              <a:t>egal</a:t>
                            </a:r>
                            <a:endParaRPr kumimoji="0" lang="es-ES" sz="1800" i="0" u="none" strike="noStrike" cap="none" normalizeH="0" baseline="0" dirty="0" smtClean="0">
                              <a:ln>
                                <a:noFill/>
                              </a:ln>
                              <a:effectLst/>
                              <a:latin typeface="Arial" charset="0"/>
                              <a:cs typeface="Arial" charset="0"/>
                            </a:endParaRPr>
                          </a:p>
                        </a:txBody>
                        <a:useSpRect/>
                      </a:txSp>
                    </a:sp>
                    <a:sp>
                      <a:nvSpPr>
                        <a:cNvPr id="9" name="_s2062"/>
                        <a:cNvSpPr>
                          <a:spLocks noChangeShapeType="1"/>
                        </a:cNvSpPr>
                      </a:nvSpPr>
                      <a:spPr bwMode="auto">
                        <a:xfrm flipV="1">
                          <a:off x="6877" y="5600"/>
                          <a:ext cx="802" cy="640"/>
                        </a:xfrm>
                        <a:prstGeom prst="line">
                          <a:avLst/>
                        </a:prstGeom>
                        <a:grpFill/>
                        <a:ln w="28575">
                          <a:solidFill>
                            <a:srgbClr val="808080"/>
                          </a:solidFill>
                          <a:round/>
                          <a:headEnd/>
                          <a:tailEnd/>
                        </a:ln>
                      </a:spPr>
                      <a:txSp>
                        <a:txBody>
                          <a:bodyPr vert="horz" wrap="square" lIns="91440" tIns="45720" rIns="91440" bIns="4572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0" name="_s2061"/>
                        <a:cNvSpPr>
                          <a:spLocks noChangeArrowheads="1"/>
                        </a:cNvSpPr>
                      </a:nvSpPr>
                      <a:spPr bwMode="auto">
                        <a:xfrm>
                          <a:off x="7455" y="3934"/>
                          <a:ext cx="2052" cy="2052"/>
                        </a:xfrm>
                        <a:prstGeom prst="rect">
                          <a:avLst/>
                        </a:prstGeom>
                        <a:grpFill/>
                        <a:ln w="9525">
                          <a:solidFill>
                            <a:srgbClr val="000000"/>
                          </a:solidFill>
                          <a:miter lim="800000"/>
                          <a:headEnd/>
                          <a:tailEnd/>
                        </a:ln>
                        <a:effectLst>
                          <a:outerShdw dist="141990" dir="1593903" algn="ctr" rotWithShape="0">
                            <a:srgbClr val="333399"/>
                          </a:outerShdw>
                        </a:effectLst>
                      </a:spPr>
                      <a:txSp>
                        <a:txBody>
                          <a:bodyPr vert="horz" wrap="square" lIns="0" tIns="0" rIns="0" bIns="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Gastos de </a:t>
                            </a:r>
                          </a:p>
                          <a:p>
                            <a:pPr marL="0" marR="0" lvl="0" indent="0" algn="ctr" defTabSz="914400" rtl="0" eaLnBrk="1" fontAlgn="base" latinLnBrk="0" hangingPunct="1">
                              <a:lnSpc>
                                <a:spcPct val="100000"/>
                              </a:lnSpc>
                              <a:spcBef>
                                <a:spcPct val="0"/>
                              </a:spcBef>
                              <a:spcAft>
                                <a:spcPct val="0"/>
                              </a:spcAft>
                              <a:buClrTx/>
                              <a:buSzTx/>
                              <a:buFontTx/>
                              <a:buNone/>
                              <a:tabLst/>
                            </a:pPr>
                            <a:r>
                              <a:rPr lang="es-ES" sz="900" dirty="0" smtClean="0">
                                <a:latin typeface="Arial" charset="0"/>
                                <a:cs typeface="Arial" charset="0"/>
                              </a:rPr>
                              <a:t>s</a:t>
                            </a:r>
                            <a:r>
                              <a:rPr kumimoji="0" lang="es-ES" sz="900" i="0" u="none" strike="noStrike" cap="none" normalizeH="0" baseline="0" dirty="0" smtClean="0">
                                <a:ln>
                                  <a:noFill/>
                                </a:ln>
                                <a:solidFill>
                                  <a:schemeClr val="tx1"/>
                                </a:solidFill>
                                <a:effectLst/>
                                <a:latin typeface="Arial" charset="0"/>
                                <a:cs typeface="Arial" charset="0"/>
                              </a:rPr>
                              <a:t>alarios en </a:t>
                            </a:r>
                            <a:endParaRPr kumimoji="0" lang="es-ES" sz="800" i="0" u="none" strike="noStrike" cap="none" normalizeH="0" baseline="0" dirty="0" smtClean="0">
                              <a:ln>
                                <a:noFill/>
                              </a:ln>
                              <a:solidFill>
                                <a:schemeClr val="tx1"/>
                              </a:solidFill>
                              <a:effectLst/>
                              <a:latin typeface="Arial" charset="0"/>
                              <a:cs typeface="Arial" charset="0"/>
                            </a:endParaRPr>
                          </a:p>
                          <a:p>
                            <a:pPr marL="0" marR="0" lvl="0" indent="0" algn="ctr" defTabSz="914400" rtl="0" eaLnBrk="0" fontAlgn="base" latinLnBrk="0" hangingPunct="0">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I+D</a:t>
                            </a:r>
                            <a:endParaRPr kumimoji="0" lang="es-ES" sz="1800" i="0" u="none" strike="noStrike" cap="none" normalizeH="0" baseline="0" dirty="0" smtClean="0">
                              <a:ln>
                                <a:noFill/>
                              </a:ln>
                              <a:solidFill>
                                <a:schemeClr val="tx1"/>
                              </a:solidFill>
                              <a:effectLst/>
                              <a:latin typeface="Arial" charset="0"/>
                              <a:cs typeface="Arial" charset="0"/>
                            </a:endParaRPr>
                          </a:p>
                        </a:txBody>
                        <a:useSpRect/>
                      </a:txSp>
                    </a:sp>
                    <a:sp>
                      <a:nvSpPr>
                        <a:cNvPr id="11" name="_s2060"/>
                        <a:cNvSpPr>
                          <a:spLocks noChangeShapeType="1"/>
                        </a:cNvSpPr>
                      </a:nvSpPr>
                      <a:spPr bwMode="auto">
                        <a:xfrm>
                          <a:off x="7075" y="7107"/>
                          <a:ext cx="1000" cy="228"/>
                        </a:xfrm>
                        <a:prstGeom prst="line">
                          <a:avLst/>
                        </a:prstGeom>
                        <a:grpFill/>
                        <a:ln w="28575">
                          <a:solidFill>
                            <a:srgbClr val="808080"/>
                          </a:solidFill>
                          <a:round/>
                          <a:headEnd/>
                          <a:tailEnd/>
                        </a:ln>
                      </a:spPr>
                      <a:txSp>
                        <a:txBody>
                          <a:bodyPr vert="horz" wrap="square" lIns="91440" tIns="45720" rIns="91440" bIns="4572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 name="_s2059"/>
                        <a:cNvSpPr>
                          <a:spLocks noChangeArrowheads="1"/>
                        </a:cNvSpPr>
                      </a:nvSpPr>
                      <a:spPr bwMode="auto">
                        <a:xfrm>
                          <a:off x="8049" y="6338"/>
                          <a:ext cx="2059" cy="2052"/>
                        </a:xfrm>
                        <a:prstGeom prst="rect">
                          <a:avLst/>
                        </a:prstGeom>
                        <a:grpFill/>
                        <a:ln w="9525">
                          <a:solidFill>
                            <a:srgbClr val="000000"/>
                          </a:solidFill>
                          <a:miter lim="800000"/>
                          <a:headEnd/>
                          <a:tailEnd/>
                        </a:ln>
                        <a:effectLst>
                          <a:outerShdw dist="141990" dir="1593903" algn="ctr" rotWithShape="0">
                            <a:srgbClr val="333399"/>
                          </a:outerShdw>
                        </a:effectLst>
                      </a:spPr>
                      <a:txSp>
                        <a:txBody>
                          <a:bodyPr vert="horz" wrap="square" lIns="0" tIns="0" rIns="0" bIns="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Gastos de </a:t>
                            </a:r>
                            <a:r>
                              <a:rPr lang="es-ES" sz="900" dirty="0" smtClean="0">
                                <a:latin typeface="Arial" charset="0"/>
                                <a:cs typeface="Arial" charset="0"/>
                              </a:rPr>
                              <a:t>m</a:t>
                            </a:r>
                            <a:r>
                              <a:rPr kumimoji="0" lang="es-ES" sz="900" i="0" u="none" strike="noStrike" cap="none" normalizeH="0" baseline="0" dirty="0" smtClean="0">
                                <a:ln>
                                  <a:noFill/>
                                </a:ln>
                                <a:solidFill>
                                  <a:schemeClr val="tx1"/>
                                </a:solidFill>
                                <a:effectLst/>
                                <a:latin typeface="Arial" charset="0"/>
                                <a:cs typeface="Arial" charset="0"/>
                              </a:rPr>
                              <a:t>aterias primas y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materiales en</a:t>
                            </a:r>
                            <a:endParaRPr kumimoji="0" lang="es-ES" sz="800" i="0" u="none" strike="noStrike" cap="none" normalizeH="0" baseline="0" dirty="0" smtClean="0">
                              <a:ln>
                                <a:noFill/>
                              </a:ln>
                              <a:solidFill>
                                <a:schemeClr val="tx1"/>
                              </a:solidFill>
                              <a:effectLst/>
                              <a:latin typeface="Arial" charset="0"/>
                              <a:cs typeface="Arial" charset="0"/>
                            </a:endParaRPr>
                          </a:p>
                          <a:p>
                            <a:pPr marL="0" marR="0" lvl="0" indent="0" algn="ctr" defTabSz="914400" rtl="0" eaLnBrk="0" fontAlgn="base" latinLnBrk="0" hangingPunct="0">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I+D</a:t>
                            </a:r>
                            <a:endParaRPr kumimoji="0" lang="es-ES" sz="1800" i="0" u="none" strike="noStrike" cap="none" normalizeH="0" baseline="0" dirty="0" smtClean="0">
                              <a:ln>
                                <a:noFill/>
                              </a:ln>
                              <a:solidFill>
                                <a:schemeClr val="tx1"/>
                              </a:solidFill>
                              <a:effectLst/>
                              <a:latin typeface="Arial" charset="0"/>
                              <a:cs typeface="Arial" charset="0"/>
                            </a:endParaRPr>
                          </a:p>
                        </a:txBody>
                        <a:useSpRect/>
                      </a:txSp>
                    </a:sp>
                    <a:sp>
                      <a:nvSpPr>
                        <a:cNvPr id="13" name="_s2058"/>
                        <a:cNvSpPr>
                          <a:spLocks noChangeShapeType="1"/>
                        </a:cNvSpPr>
                      </a:nvSpPr>
                      <a:spPr bwMode="auto">
                        <a:xfrm>
                          <a:off x="6521" y="7803"/>
                          <a:ext cx="445" cy="924"/>
                        </a:xfrm>
                        <a:prstGeom prst="line">
                          <a:avLst/>
                        </a:prstGeom>
                        <a:grpFill/>
                        <a:ln w="28575">
                          <a:solidFill>
                            <a:srgbClr val="808080"/>
                          </a:solidFill>
                          <a:round/>
                          <a:headEnd/>
                          <a:tailEnd/>
                        </a:ln>
                      </a:spPr>
                      <a:txSp>
                        <a:txBody>
                          <a:bodyPr vert="horz" wrap="square" lIns="91440" tIns="45720" rIns="91440" bIns="4572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4" name="_s2057"/>
                        <a:cNvSpPr>
                          <a:spLocks noChangeArrowheads="1"/>
                        </a:cNvSpPr>
                      </a:nvSpPr>
                      <a:spPr bwMode="auto">
                        <a:xfrm>
                          <a:off x="6386" y="8626"/>
                          <a:ext cx="2052" cy="2052"/>
                        </a:xfrm>
                        <a:prstGeom prst="rect">
                          <a:avLst/>
                        </a:prstGeom>
                        <a:grpFill/>
                        <a:ln w="9525">
                          <a:solidFill>
                            <a:srgbClr val="000000"/>
                          </a:solidFill>
                          <a:miter lim="800000"/>
                          <a:headEnd/>
                          <a:tailEnd/>
                        </a:ln>
                        <a:effectLst>
                          <a:outerShdw dist="141990" dir="1593903" algn="ctr" rotWithShape="0">
                            <a:srgbClr val="333399"/>
                          </a:outerShdw>
                        </a:effectLst>
                      </a:spPr>
                      <a:txSp>
                        <a:txBody>
                          <a:bodyPr vert="horz" wrap="square" lIns="0" tIns="0" rIns="0" bIns="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s-ES" sz="900" b="1" i="0" u="none" strike="noStrike" cap="none" normalizeH="0" baseline="0" dirty="0" smtClean="0">
                              <a:ln>
                                <a:noFill/>
                              </a:ln>
                              <a:solidFill>
                                <a:schemeClr val="tx1"/>
                              </a:solidFill>
                              <a:effectLst/>
                              <a:latin typeface="Arial" charset="0"/>
                              <a:cs typeface="Arial"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s-ES" sz="900" b="1" dirty="0" smtClean="0">
                              <a:latin typeface="Arial" charset="0"/>
                              <a:cs typeface="Arial"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Gastos de </a:t>
                            </a:r>
                            <a:r>
                              <a:rPr lang="es-ES" sz="900" dirty="0" smtClean="0">
                                <a:latin typeface="Arial" charset="0"/>
                                <a:cs typeface="Arial" charset="0"/>
                              </a:rPr>
                              <a:t>d</a:t>
                            </a:r>
                            <a:r>
                              <a:rPr kumimoji="0" lang="es-ES" sz="900" i="0" u="none" strike="noStrike" cap="none" normalizeH="0" baseline="0" dirty="0" smtClean="0">
                                <a:ln>
                                  <a:noFill/>
                                </a:ln>
                                <a:solidFill>
                                  <a:schemeClr val="tx1"/>
                                </a:solidFill>
                                <a:effectLst/>
                                <a:latin typeface="Arial" charset="0"/>
                                <a:cs typeface="Arial" charset="0"/>
                              </a:rPr>
                              <a:t>epreciación en</a:t>
                            </a:r>
                            <a:endParaRPr kumimoji="0" lang="es-ES" sz="800" i="0" u="none" strike="noStrike" cap="none" normalizeH="0" baseline="0" dirty="0" smtClean="0">
                              <a:ln>
                                <a:noFill/>
                              </a:ln>
                              <a:solidFill>
                                <a:schemeClr val="tx1"/>
                              </a:solidFill>
                              <a:effectLst/>
                              <a:latin typeface="Arial" charset="0"/>
                              <a:cs typeface="Arial" charset="0"/>
                            </a:endParaRPr>
                          </a:p>
                          <a:p>
                            <a:pPr marL="0" marR="0" lvl="0" indent="0" algn="ctr" defTabSz="914400" rtl="0" eaLnBrk="0" fontAlgn="base" latinLnBrk="0" hangingPunct="0">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I+D </a:t>
                            </a:r>
                            <a:endParaRPr kumimoji="0" lang="es-ES" sz="800" i="0" u="none" strike="noStrike" cap="none" normalizeH="0" baseline="0" dirty="0" smtClean="0">
                              <a:ln>
                                <a:noFill/>
                              </a:ln>
                              <a:solidFill>
                                <a:schemeClr val="tx1"/>
                              </a:solidFill>
                              <a:effectLst/>
                              <a:latin typeface="Arial" charset="0"/>
                              <a:cs typeface="Arial" charset="0"/>
                            </a:endParaRPr>
                          </a:p>
                          <a:p>
                            <a:pPr marL="0" marR="0" lvl="0" indent="0" algn="l" defTabSz="914400" rtl="0" eaLnBrk="0" fontAlgn="base" latinLnBrk="0" hangingPunct="0">
                              <a:lnSpc>
                                <a:spcPct val="100000"/>
                              </a:lnSpc>
                              <a:spcBef>
                                <a:spcPct val="0"/>
                              </a:spcBef>
                              <a:spcAft>
                                <a:spcPct val="0"/>
                              </a:spcAft>
                              <a:buClrTx/>
                              <a:buSzTx/>
                              <a:buFontTx/>
                              <a:buNone/>
                              <a:tabLst/>
                            </a:pPr>
                            <a:endParaRPr kumimoji="0" lang="es-ES" sz="1800" b="0" i="0" u="none" strike="noStrike" cap="none" normalizeH="0" baseline="0" dirty="0" smtClean="0">
                              <a:ln>
                                <a:noFill/>
                              </a:ln>
                              <a:solidFill>
                                <a:schemeClr val="tx1"/>
                              </a:solidFill>
                              <a:effectLst/>
                              <a:latin typeface="Arial" charset="0"/>
                              <a:cs typeface="Arial" charset="0"/>
                            </a:endParaRPr>
                          </a:p>
                        </a:txBody>
                        <a:useSpRect/>
                      </a:txSp>
                    </a:sp>
                    <a:sp>
                      <a:nvSpPr>
                        <a:cNvPr id="15" name="_s2056"/>
                        <a:cNvSpPr>
                          <a:spLocks noChangeShapeType="1"/>
                        </a:cNvSpPr>
                      </a:nvSpPr>
                      <a:spPr bwMode="auto">
                        <a:xfrm flipH="1">
                          <a:off x="5186" y="7804"/>
                          <a:ext cx="445" cy="924"/>
                        </a:xfrm>
                        <a:prstGeom prst="line">
                          <a:avLst/>
                        </a:prstGeom>
                        <a:grpFill/>
                        <a:ln w="28575">
                          <a:solidFill>
                            <a:srgbClr val="808080"/>
                          </a:solidFill>
                          <a:round/>
                          <a:headEnd/>
                          <a:tailEnd/>
                        </a:ln>
                      </a:spPr>
                      <a:txSp>
                        <a:txBody>
                          <a:bodyPr vert="horz" wrap="square" lIns="91440" tIns="45720" rIns="91440" bIns="4572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6" name="_s2055"/>
                        <a:cNvSpPr>
                          <a:spLocks noChangeArrowheads="1"/>
                        </a:cNvSpPr>
                      </a:nvSpPr>
                      <a:spPr bwMode="auto">
                        <a:xfrm>
                          <a:off x="3715" y="8627"/>
                          <a:ext cx="2052" cy="2052"/>
                        </a:xfrm>
                        <a:prstGeom prst="rect">
                          <a:avLst/>
                        </a:prstGeom>
                        <a:grpFill/>
                        <a:ln w="9525">
                          <a:solidFill>
                            <a:srgbClr val="000000"/>
                          </a:solidFill>
                          <a:miter lim="800000"/>
                          <a:headEnd/>
                          <a:tailEnd/>
                        </a:ln>
                        <a:effectLst>
                          <a:outerShdw dist="141990" dir="1593903" algn="ctr" rotWithShape="0">
                            <a:srgbClr val="333399"/>
                          </a:outerShdw>
                        </a:effectLst>
                      </a:spPr>
                      <a:txSp>
                        <a:txBody>
                          <a:bodyPr vert="horz" wrap="square" lIns="0" tIns="0" rIns="0" bIns="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s-ES" sz="900" b="1" i="0" u="none" strike="noStrike" cap="none" normalizeH="0" baseline="0" dirty="0" smtClean="0">
                              <a:ln>
                                <a:noFill/>
                              </a:ln>
                              <a:solidFill>
                                <a:schemeClr val="tx1"/>
                              </a:solidFill>
                              <a:effectLst/>
                              <a:latin typeface="Arial" charset="0"/>
                              <a:cs typeface="Arial"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Gastos de </a:t>
                            </a:r>
                            <a:r>
                              <a:rPr lang="es-ES" sz="900" dirty="0" smtClean="0">
                                <a:latin typeface="Arial" charset="0"/>
                                <a:cs typeface="Arial" charset="0"/>
                              </a:rPr>
                              <a:t>a</a:t>
                            </a:r>
                            <a:r>
                              <a:rPr kumimoji="0" lang="es-ES" sz="900" i="0" u="none" strike="noStrike" cap="none" normalizeH="0" baseline="0" dirty="0" smtClean="0">
                                <a:ln>
                                  <a:noFill/>
                                </a:ln>
                                <a:solidFill>
                                  <a:schemeClr val="tx1"/>
                                </a:solidFill>
                                <a:effectLst/>
                                <a:latin typeface="Arial" charset="0"/>
                                <a:cs typeface="Arial" charset="0"/>
                              </a:rPr>
                              <a:t>mortización en</a:t>
                            </a:r>
                            <a:endParaRPr kumimoji="0" lang="es-ES" sz="800" i="0" u="none" strike="noStrike" cap="none" normalizeH="0" baseline="0" dirty="0" smtClean="0">
                              <a:ln>
                                <a:noFill/>
                              </a:ln>
                              <a:solidFill>
                                <a:schemeClr val="tx1"/>
                              </a:solidFill>
                              <a:effectLst/>
                              <a:latin typeface="Arial" charset="0"/>
                              <a:cs typeface="Arial" charset="0"/>
                            </a:endParaRPr>
                          </a:p>
                          <a:p>
                            <a:pPr marL="0" marR="0" lvl="0" indent="0" algn="ctr" defTabSz="914400" rtl="0" eaLnBrk="0" fontAlgn="base" latinLnBrk="0" hangingPunct="0">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I+D </a:t>
                            </a:r>
                            <a:endParaRPr kumimoji="0" lang="es-ES" sz="1800" i="0" u="none" strike="noStrike" cap="none" normalizeH="0" baseline="0" dirty="0" smtClean="0">
                              <a:ln>
                                <a:noFill/>
                              </a:ln>
                              <a:solidFill>
                                <a:schemeClr val="tx1"/>
                              </a:solidFill>
                              <a:effectLst/>
                              <a:latin typeface="Arial" charset="0"/>
                              <a:cs typeface="Arial" charset="0"/>
                            </a:endParaRPr>
                          </a:p>
                        </a:txBody>
                        <a:useSpRect/>
                      </a:txSp>
                    </a:sp>
                    <a:sp>
                      <a:nvSpPr>
                        <a:cNvPr id="17" name="_s2054"/>
                        <a:cNvSpPr>
                          <a:spLocks noChangeShapeType="1"/>
                        </a:cNvSpPr>
                      </a:nvSpPr>
                      <a:spPr bwMode="auto">
                        <a:xfrm flipH="1">
                          <a:off x="4075" y="7108"/>
                          <a:ext cx="1000" cy="229"/>
                        </a:xfrm>
                        <a:prstGeom prst="line">
                          <a:avLst/>
                        </a:prstGeom>
                        <a:grpFill/>
                        <a:ln w="28575">
                          <a:solidFill>
                            <a:srgbClr val="808080"/>
                          </a:solidFill>
                          <a:round/>
                          <a:headEnd/>
                          <a:tailEnd/>
                        </a:ln>
                      </a:spPr>
                      <a:txSp>
                        <a:txBody>
                          <a:bodyPr vert="horz" wrap="square" lIns="91440" tIns="45720" rIns="91440" bIns="4572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8" name="_s2053"/>
                        <a:cNvSpPr>
                          <a:spLocks noChangeArrowheads="1"/>
                        </a:cNvSpPr>
                      </a:nvSpPr>
                      <a:spPr bwMode="auto">
                        <a:xfrm>
                          <a:off x="1907" y="6338"/>
                          <a:ext cx="2194" cy="2051"/>
                        </a:xfrm>
                        <a:prstGeom prst="rect">
                          <a:avLst/>
                        </a:prstGeom>
                        <a:grpFill/>
                        <a:ln w="9525">
                          <a:solidFill>
                            <a:srgbClr val="000000"/>
                          </a:solidFill>
                          <a:miter lim="800000"/>
                          <a:headEnd/>
                          <a:tailEnd/>
                        </a:ln>
                        <a:effectLst>
                          <a:outerShdw dist="141990" dir="1593903" algn="ctr" rotWithShape="0">
                            <a:srgbClr val="333399"/>
                          </a:outerShdw>
                        </a:effectLst>
                      </a:spPr>
                      <a:txSp>
                        <a:txBody>
                          <a:bodyPr vert="horz" wrap="square" lIns="0" tIns="0" rIns="0" bIns="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s-ES" sz="900" b="1" i="0" u="none" strike="noStrike" cap="none" normalizeH="0" baseline="0" dirty="0" smtClean="0">
                              <a:ln>
                                <a:noFill/>
                              </a:ln>
                              <a:solidFill>
                                <a:schemeClr val="tx1"/>
                              </a:solidFill>
                              <a:effectLst/>
                              <a:latin typeface="Arial" charset="0"/>
                              <a:cs typeface="Arial"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Gastos de servicios </a:t>
                            </a:r>
                            <a:r>
                              <a:rPr lang="es-ES" sz="900" dirty="0" smtClean="0">
                                <a:latin typeface="Arial" charset="0"/>
                                <a:cs typeface="Arial" charset="0"/>
                              </a:rPr>
                              <a:t>r</a:t>
                            </a:r>
                            <a:r>
                              <a:rPr kumimoji="0" lang="es-ES" sz="900" i="0" u="none" strike="noStrike" cap="none" normalizeH="0" baseline="0" dirty="0" smtClean="0">
                                <a:ln>
                                  <a:noFill/>
                                </a:ln>
                                <a:solidFill>
                                  <a:schemeClr val="tx1"/>
                                </a:solidFill>
                                <a:effectLst/>
                                <a:latin typeface="Arial" charset="0"/>
                                <a:cs typeface="Arial" charset="0"/>
                              </a:rPr>
                              <a:t>ecibidos para</a:t>
                            </a:r>
                            <a:endParaRPr kumimoji="0" lang="es-ES" sz="800" i="0" u="none" strike="noStrike" cap="none" normalizeH="0" baseline="0" dirty="0" smtClean="0">
                              <a:ln>
                                <a:noFill/>
                              </a:ln>
                              <a:solidFill>
                                <a:schemeClr val="tx1"/>
                              </a:solidFill>
                              <a:effectLst/>
                              <a:latin typeface="Arial" charset="0"/>
                              <a:cs typeface="Arial" charset="0"/>
                            </a:endParaRPr>
                          </a:p>
                          <a:p>
                            <a:pPr marL="0" marR="0" lvl="0" indent="0" algn="ctr" defTabSz="914400" rtl="0" eaLnBrk="0" fontAlgn="base" latinLnBrk="0" hangingPunct="0">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I+D</a:t>
                            </a:r>
                            <a:endParaRPr kumimoji="0" lang="es-ES" sz="1800" i="0" u="none" strike="noStrike" cap="none" normalizeH="0" baseline="0" dirty="0" smtClean="0">
                              <a:ln>
                                <a:noFill/>
                              </a:ln>
                              <a:solidFill>
                                <a:schemeClr val="tx1"/>
                              </a:solidFill>
                              <a:effectLst/>
                              <a:latin typeface="Arial" charset="0"/>
                              <a:cs typeface="Arial" charset="0"/>
                            </a:endParaRPr>
                          </a:p>
                        </a:txBody>
                        <a:useSpRect/>
                      </a:txSp>
                    </a:sp>
                    <a:sp>
                      <a:nvSpPr>
                        <a:cNvPr id="19" name="_s2052"/>
                        <a:cNvSpPr>
                          <a:spLocks noChangeShapeType="1"/>
                        </a:cNvSpPr>
                      </a:nvSpPr>
                      <a:spPr bwMode="auto">
                        <a:xfrm flipH="1" flipV="1">
                          <a:off x="4470" y="5601"/>
                          <a:ext cx="803" cy="639"/>
                        </a:xfrm>
                        <a:prstGeom prst="line">
                          <a:avLst/>
                        </a:prstGeom>
                        <a:grpFill/>
                        <a:ln w="28575">
                          <a:solidFill>
                            <a:srgbClr val="808080"/>
                          </a:solidFill>
                          <a:round/>
                          <a:headEnd/>
                          <a:tailEnd/>
                        </a:ln>
                      </a:spPr>
                      <a:txSp>
                        <a:txBody>
                          <a:bodyPr vert="horz" wrap="square" lIns="91440" tIns="45720" rIns="91440" bIns="4572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20" name="_s2051"/>
                        <a:cNvSpPr>
                          <a:spLocks noChangeArrowheads="1"/>
                        </a:cNvSpPr>
                      </a:nvSpPr>
                      <a:spPr bwMode="auto">
                        <a:xfrm>
                          <a:off x="2642" y="3935"/>
                          <a:ext cx="2052" cy="2052"/>
                        </a:xfrm>
                        <a:prstGeom prst="rect">
                          <a:avLst/>
                        </a:prstGeom>
                        <a:grpFill/>
                        <a:ln w="9525">
                          <a:solidFill>
                            <a:srgbClr val="000000"/>
                          </a:solidFill>
                          <a:miter lim="800000"/>
                          <a:headEnd/>
                          <a:tailEnd/>
                        </a:ln>
                        <a:effectLst>
                          <a:outerShdw dist="141990" dir="1593903" algn="ctr" rotWithShape="0">
                            <a:srgbClr val="333399"/>
                          </a:outerShdw>
                        </a:effectLst>
                      </a:spPr>
                      <a:txSp>
                        <a:txBody>
                          <a:bodyPr vert="horz" wrap="square" lIns="0" tIns="0" rIns="0" bIns="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Otros </a:t>
                            </a:r>
                            <a:r>
                              <a:rPr lang="es-ES" sz="900" dirty="0" smtClean="0">
                                <a:latin typeface="Arial" charset="0"/>
                                <a:cs typeface="Arial" charset="0"/>
                              </a:rPr>
                              <a:t>g</a:t>
                            </a:r>
                            <a:r>
                              <a:rPr kumimoji="0" lang="es-ES" sz="900" i="0" u="none" strike="noStrike" cap="none" normalizeH="0" baseline="0" dirty="0" smtClean="0">
                                <a:ln>
                                  <a:noFill/>
                                </a:ln>
                                <a:solidFill>
                                  <a:schemeClr val="tx1"/>
                                </a:solidFill>
                                <a:effectLst/>
                                <a:latin typeface="Arial" charset="0"/>
                                <a:cs typeface="Arial" charset="0"/>
                              </a:rPr>
                              <a:t>astos </a:t>
                            </a:r>
                            <a:r>
                              <a:rPr lang="es-ES" sz="900" dirty="0" smtClean="0">
                                <a:latin typeface="Arial" charset="0"/>
                                <a:cs typeface="Arial" charset="0"/>
                              </a:rPr>
                              <a:t>a</a:t>
                            </a:r>
                            <a:r>
                              <a:rPr kumimoji="0" lang="es-ES" sz="900" i="0" u="none" strike="noStrike" cap="none" normalizeH="0" baseline="0" dirty="0" smtClean="0">
                                <a:ln>
                                  <a:noFill/>
                                </a:ln>
                                <a:solidFill>
                                  <a:schemeClr val="tx1"/>
                                </a:solidFill>
                                <a:effectLst/>
                                <a:latin typeface="Arial" charset="0"/>
                                <a:cs typeface="Arial" charset="0"/>
                              </a:rPr>
                              <a:t>tribuibles en</a:t>
                            </a:r>
                            <a:endParaRPr kumimoji="0" lang="es-ES" sz="800" i="0" u="none" strike="noStrike" cap="none" normalizeH="0" baseline="0" dirty="0" smtClean="0">
                              <a:ln>
                                <a:noFill/>
                              </a:ln>
                              <a:solidFill>
                                <a:schemeClr val="tx1"/>
                              </a:solidFill>
                              <a:effectLst/>
                              <a:latin typeface="Arial" charset="0"/>
                              <a:cs typeface="Arial" charset="0"/>
                            </a:endParaRPr>
                          </a:p>
                          <a:p>
                            <a:pPr marL="0" marR="0" lvl="0" indent="0" algn="ctr" defTabSz="914400" rtl="0" eaLnBrk="0" fontAlgn="base" latinLnBrk="0" hangingPunct="0">
                              <a:lnSpc>
                                <a:spcPct val="100000"/>
                              </a:lnSpc>
                              <a:spcBef>
                                <a:spcPct val="0"/>
                              </a:spcBef>
                              <a:spcAft>
                                <a:spcPct val="0"/>
                              </a:spcAft>
                              <a:buClrTx/>
                              <a:buSzTx/>
                              <a:buFontTx/>
                              <a:buNone/>
                              <a:tabLst/>
                            </a:pPr>
                            <a:r>
                              <a:rPr kumimoji="0" lang="es-ES" sz="900" i="0" u="none" strike="noStrike" cap="none" normalizeH="0" baseline="0" dirty="0" smtClean="0">
                                <a:ln>
                                  <a:noFill/>
                                </a:ln>
                                <a:solidFill>
                                  <a:schemeClr val="tx1"/>
                                </a:solidFill>
                                <a:effectLst/>
                                <a:latin typeface="Arial" charset="0"/>
                                <a:cs typeface="Arial" charset="0"/>
                              </a:rPr>
                              <a:t>I+D</a:t>
                            </a:r>
                            <a:endParaRPr kumimoji="0" lang="es-ES" sz="1800" i="0" u="none" strike="noStrike" cap="none" normalizeH="0" baseline="0" dirty="0" smtClean="0">
                              <a:ln>
                                <a:noFill/>
                              </a:ln>
                              <a:solidFill>
                                <a:schemeClr val="tx1"/>
                              </a:solidFill>
                              <a:effectLst/>
                              <a:latin typeface="Arial" charset="0"/>
                              <a:cs typeface="Arial" charset="0"/>
                            </a:endParaRPr>
                          </a:p>
                        </a:txBody>
                        <a:useSpRect/>
                      </a:txSp>
                    </a:sp>
                    <a:sp>
                      <a:nvSpPr>
                        <a:cNvPr id="21" name="_s2050"/>
                        <a:cNvSpPr>
                          <a:spLocks noChangeArrowheads="1"/>
                        </a:cNvSpPr>
                      </a:nvSpPr>
                      <a:spPr bwMode="auto">
                        <a:xfrm>
                          <a:off x="5013" y="5684"/>
                          <a:ext cx="2052" cy="2052"/>
                        </a:xfrm>
                        <a:prstGeom prst="rect">
                          <a:avLst/>
                        </a:prstGeom>
                        <a:grpFill/>
                        <a:ln w="9525">
                          <a:solidFill>
                            <a:srgbClr val="000000"/>
                          </a:solidFill>
                          <a:miter lim="800000"/>
                          <a:headEnd/>
                          <a:tailEnd/>
                        </a:ln>
                        <a:effectLst>
                          <a:outerShdw dist="141990" dir="1593903" algn="ctr" rotWithShape="0">
                            <a:srgbClr val="1E1EEE"/>
                          </a:outerShdw>
                        </a:effectLst>
                      </a:spPr>
                      <a:txSp>
                        <a:txBody>
                          <a:bodyPr vert="horz" wrap="square" lIns="0" tIns="0" rIns="0" bIns="0" numCol="1" anchor="ctr"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lang="es-ES" sz="900" dirty="0" smtClean="0">
                                <a:latin typeface="Arial" charset="0"/>
                                <a:cs typeface="Arial" charset="0"/>
                              </a:rPr>
                              <a:t>Costo total </a:t>
                            </a:r>
                            <a:r>
                              <a:rPr kumimoji="0" lang="es-ES" sz="900" i="0" u="none" strike="noStrike" cap="none" normalizeH="0" baseline="0" dirty="0" smtClean="0">
                                <a:ln>
                                  <a:noFill/>
                                </a:ln>
                                <a:solidFill>
                                  <a:schemeClr val="tx1"/>
                                </a:solidFill>
                                <a:effectLst/>
                                <a:latin typeface="Arial" charset="0"/>
                                <a:cs typeface="Arial" charset="0"/>
                              </a:rPr>
                              <a:t>del </a:t>
                            </a:r>
                            <a:endParaRPr kumimoji="0" lang="es-ES" sz="800" i="0" u="none" strike="noStrike" cap="none" normalizeH="0" baseline="0" dirty="0" smtClean="0">
                              <a:ln>
                                <a:noFill/>
                              </a:ln>
                              <a:solidFill>
                                <a:schemeClr val="tx1"/>
                              </a:solidFill>
                              <a:effectLst/>
                              <a:latin typeface="Arial" charset="0"/>
                              <a:cs typeface="Arial" charset="0"/>
                            </a:endParaRPr>
                          </a:p>
                          <a:p>
                            <a:pPr marL="0" marR="0" lvl="0" indent="0" algn="ctr" defTabSz="914400" rtl="0" eaLnBrk="0" fontAlgn="base" latinLnBrk="0" hangingPunct="0">
                              <a:lnSpc>
                                <a:spcPct val="100000"/>
                              </a:lnSpc>
                              <a:spcBef>
                                <a:spcPct val="0"/>
                              </a:spcBef>
                              <a:spcAft>
                                <a:spcPct val="0"/>
                              </a:spcAft>
                              <a:buClrTx/>
                              <a:buSzTx/>
                              <a:buFontTx/>
                              <a:buNone/>
                              <a:tabLst/>
                            </a:pPr>
                            <a:r>
                              <a:rPr lang="es-ES" sz="900" dirty="0" smtClean="0">
                                <a:latin typeface="Arial" charset="0"/>
                                <a:cs typeface="Arial" charset="0"/>
                              </a:rPr>
                              <a:t>p</a:t>
                            </a:r>
                            <a:r>
                              <a:rPr kumimoji="0" lang="es-ES" sz="900" i="0" u="none" strike="noStrike" cap="none" normalizeH="0" baseline="0" dirty="0" smtClean="0">
                                <a:ln>
                                  <a:noFill/>
                                </a:ln>
                                <a:solidFill>
                                  <a:schemeClr val="tx1"/>
                                </a:solidFill>
                                <a:effectLst/>
                                <a:latin typeface="Arial" charset="0"/>
                                <a:cs typeface="Arial" charset="0"/>
                              </a:rPr>
                              <a:t>royecto de I+D</a:t>
                            </a:r>
                            <a:endParaRPr kumimoji="0" lang="es-ES" sz="1800" i="0" u="none" strike="noStrike" cap="none" normalizeH="0" baseline="0" dirty="0" smtClean="0">
                              <a:ln>
                                <a:noFill/>
                              </a:ln>
                              <a:solidFill>
                                <a:schemeClr val="tx1"/>
                              </a:solidFill>
                              <a:effectLst/>
                              <a:latin typeface="Arial" charset="0"/>
                              <a:cs typeface="Arial" charset="0"/>
                            </a:endParaRPr>
                          </a:p>
                        </a:txBody>
                        <a:useSpRect/>
                      </a:txSp>
                    </a:sp>
                  </a:grpSp>
                </lc:lockedCanvas>
              </a:graphicData>
            </a:graphic>
          </wp:inline>
        </w:drawing>
      </w:r>
    </w:p>
    <w:p w:rsidR="00F746B8" w:rsidRPr="0070088E" w:rsidRDefault="00F746B8" w:rsidP="006B3216">
      <w:pPr>
        <w:spacing w:before="120" w:after="120" w:line="360" w:lineRule="auto"/>
        <w:jc w:val="center"/>
        <w:rPr>
          <w:rFonts w:ascii="Times New Roman" w:hAnsi="Times New Roman" w:cs="Times New Roman"/>
          <w:b/>
        </w:rPr>
      </w:pPr>
      <w:r w:rsidRPr="0070088E">
        <w:rPr>
          <w:rFonts w:ascii="Times New Roman" w:hAnsi="Times New Roman" w:cs="Times New Roman"/>
          <w:b/>
        </w:rPr>
        <w:t>Figura 1. Acumulación de gastos para crear AFI. Fuente: Elaboración propia</w:t>
      </w:r>
    </w:p>
    <w:p w:rsidR="009C7B12" w:rsidRDefault="009C7B12" w:rsidP="009C7B12">
      <w:pPr>
        <w:spacing w:before="120" w:after="120" w:line="360" w:lineRule="auto"/>
        <w:jc w:val="both"/>
        <w:rPr>
          <w:rFonts w:ascii="Times New Roman" w:hAnsi="Times New Roman" w:cs="Times New Roman"/>
          <w:sz w:val="24"/>
          <w:szCs w:val="24"/>
        </w:rPr>
      </w:pPr>
      <w:r w:rsidRPr="00F746B8">
        <w:rPr>
          <w:rFonts w:ascii="Times New Roman" w:hAnsi="Times New Roman" w:cs="Times New Roman"/>
          <w:sz w:val="24"/>
          <w:szCs w:val="24"/>
        </w:rPr>
        <w:t xml:space="preserve">El objetivo del procedimiento se orienta hacia el tratamiento contable de hechos económicos que se relacionan con la gestión de proyectos de I+D de las empresas estatales que poseen innovación y SIPI, razón por la cual pueden ser generadoras de AFI de PI financiados con el fondo que se crea de las utilidades después de impuestos. </w:t>
      </w:r>
    </w:p>
    <w:p w:rsidR="009C7B12" w:rsidRDefault="009C7B12" w:rsidP="009C7B12">
      <w:pPr>
        <w:spacing w:before="120" w:after="120" w:line="360" w:lineRule="auto"/>
        <w:jc w:val="both"/>
        <w:rPr>
          <w:rFonts w:ascii="Times New Roman" w:hAnsi="Times New Roman" w:cs="Times New Roman"/>
          <w:sz w:val="24"/>
          <w:szCs w:val="24"/>
        </w:rPr>
      </w:pPr>
      <w:r w:rsidRPr="00E57A09">
        <w:rPr>
          <w:rFonts w:ascii="Times New Roman" w:hAnsi="Times New Roman" w:cs="Times New Roman"/>
          <w:sz w:val="24"/>
          <w:szCs w:val="24"/>
        </w:rPr>
        <w:t xml:space="preserve">Es en la fase 3 del procedimiento se declaran las acciones contables del proceso de valoración y reconocimiento de AFI de PI considerado como el paso 3.1 </w:t>
      </w:r>
      <w:r>
        <w:rPr>
          <w:rFonts w:ascii="Times New Roman" w:hAnsi="Times New Roman" w:cs="Times New Roman"/>
          <w:sz w:val="24"/>
          <w:szCs w:val="24"/>
        </w:rPr>
        <w:t>que</w:t>
      </w:r>
      <w:r w:rsidRPr="00E57A09">
        <w:rPr>
          <w:rFonts w:ascii="Times New Roman" w:hAnsi="Times New Roman" w:cs="Times New Roman"/>
          <w:sz w:val="24"/>
          <w:szCs w:val="24"/>
        </w:rPr>
        <w:t xml:space="preserve"> enumeran los asientos de diario específicos que se reflexionaron para acumular el consumo material, gasto de fuerza de trabajo, amortizaciones y depreciaciones, así como servicios recibidos hasta lograr el costo total del AFI. La acción 2 </w:t>
      </w:r>
      <w:r>
        <w:rPr>
          <w:rFonts w:ascii="Times New Roman" w:hAnsi="Times New Roman" w:cs="Times New Roman"/>
          <w:sz w:val="24"/>
          <w:szCs w:val="24"/>
        </w:rPr>
        <w:t>constituye la operación de</w:t>
      </w:r>
      <w:r w:rsidRPr="00E57A09">
        <w:rPr>
          <w:rFonts w:ascii="Times New Roman" w:hAnsi="Times New Roman" w:cs="Times New Roman"/>
          <w:sz w:val="24"/>
          <w:szCs w:val="24"/>
        </w:rPr>
        <w:t xml:space="preserve"> traspaso mensual del saldo acumulado en la cuenta (727) Inversiones con medios propios activos fijos intangibles hacia la (264) Activos fijos intangibles en proceso.</w:t>
      </w:r>
    </w:p>
    <w:p w:rsidR="009C7B12" w:rsidRDefault="009C7B12" w:rsidP="009C7B12">
      <w:pPr>
        <w:spacing w:before="120" w:after="120" w:line="360" w:lineRule="auto"/>
        <w:jc w:val="both"/>
        <w:rPr>
          <w:rFonts w:ascii="Times New Roman" w:hAnsi="Times New Roman" w:cs="Times New Roman"/>
          <w:sz w:val="24"/>
          <w:szCs w:val="24"/>
        </w:rPr>
      </w:pPr>
      <w:r w:rsidRPr="00E57A09">
        <w:rPr>
          <w:rFonts w:ascii="Times New Roman" w:hAnsi="Times New Roman" w:cs="Times New Roman"/>
          <w:sz w:val="24"/>
          <w:szCs w:val="24"/>
        </w:rPr>
        <w:t>La continuidad del proceso de creación de AFI de un año a otro en caso de ocurrir es el accionar 3 de la tercera fase donde solo se afectan las Subcuenta 001 Saldo al inicio del año de la cuenta (264) Activos fijos intangibles en proceso y la Subcuenta 0010 Operaciones del año. En la acción 4 es donde se deben evaluar las diferentes opciones para tomar la decisión que convenga respecto al uso del fondo que se destina para la actividad.</w:t>
      </w:r>
      <w:r>
        <w:rPr>
          <w:rFonts w:ascii="Times New Roman" w:hAnsi="Times New Roman" w:cs="Times New Roman"/>
          <w:sz w:val="24"/>
          <w:szCs w:val="24"/>
        </w:rPr>
        <w:t xml:space="preserve"> En el</w:t>
      </w:r>
      <w:r w:rsidRPr="00E57A09">
        <w:rPr>
          <w:rFonts w:ascii="Times New Roman" w:hAnsi="Times New Roman" w:cs="Times New Roman"/>
          <w:sz w:val="24"/>
          <w:szCs w:val="24"/>
        </w:rPr>
        <w:t xml:space="preserve"> paso 6 se hace la operatoria contable que incluye el valor del activo que se crea traspasándose los gastos de la cuenta (264) Activos fijos intangibles en proceso a la (255) Activos fijos intangibles. El 8 se dedica a otros procederes y la fase 4 constituye el proceso de retroalimentación, es decir, la evaluación de su eficacia.</w:t>
      </w:r>
      <w:r w:rsidR="000B025C" w:rsidRPr="000B025C">
        <w:rPr>
          <w:rFonts w:ascii="Times New Roman" w:hAnsi="Times New Roman" w:cs="Times New Roman"/>
          <w:sz w:val="24"/>
          <w:szCs w:val="24"/>
        </w:rPr>
        <w:t xml:space="preserve"> </w:t>
      </w:r>
      <w:r w:rsidR="000B025C" w:rsidRPr="00F746B8">
        <w:rPr>
          <w:rFonts w:ascii="Times New Roman" w:hAnsi="Times New Roman" w:cs="Times New Roman"/>
          <w:sz w:val="24"/>
          <w:szCs w:val="24"/>
        </w:rPr>
        <w:t xml:space="preserve">La concepción del procedimiento que se propone se refleja </w:t>
      </w:r>
      <w:r w:rsidR="000B025C" w:rsidRPr="00224227">
        <w:rPr>
          <w:rFonts w:ascii="Times New Roman" w:hAnsi="Times New Roman" w:cs="Times New Roman"/>
          <w:sz w:val="24"/>
          <w:szCs w:val="24"/>
        </w:rPr>
        <w:t>en la figura 2.</w:t>
      </w:r>
    </w:p>
    <w:p w:rsidR="00366069" w:rsidRDefault="00366069" w:rsidP="002355FB">
      <w:pPr>
        <w:spacing w:before="120" w:after="120" w:line="360" w:lineRule="auto"/>
        <w:jc w:val="center"/>
        <w:rPr>
          <w:rFonts w:ascii="Times New Roman" w:hAnsi="Times New Roman" w:cs="Times New Roman"/>
          <w:sz w:val="24"/>
          <w:szCs w:val="24"/>
        </w:rPr>
      </w:pPr>
      <w:r w:rsidRPr="00366069">
        <w:rPr>
          <w:rFonts w:ascii="Times New Roman" w:hAnsi="Times New Roman" w:cs="Times New Roman"/>
          <w:noProof/>
          <w:sz w:val="24"/>
          <w:szCs w:val="24"/>
          <w:lang w:val="es-MX" w:eastAsia="es-MX"/>
        </w:rPr>
        <w:lastRenderedPageBreak/>
        <w:drawing>
          <wp:inline distT="0" distB="0" distL="0" distR="0">
            <wp:extent cx="5353050" cy="5924550"/>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5356779" cy="5928677"/>
                    </a:xfrm>
                    <a:prstGeom prst="rect">
                      <a:avLst/>
                    </a:prstGeom>
                    <a:noFill/>
                    <a:ln w="9525">
                      <a:noFill/>
                      <a:miter lim="800000"/>
                      <a:headEnd/>
                      <a:tailEnd/>
                    </a:ln>
                  </pic:spPr>
                </pic:pic>
              </a:graphicData>
            </a:graphic>
          </wp:inline>
        </w:drawing>
      </w:r>
    </w:p>
    <w:p w:rsidR="003E3D08" w:rsidRPr="003E3D08" w:rsidRDefault="003E3D08" w:rsidP="003E3D08">
      <w:pPr>
        <w:spacing w:after="0" w:line="360" w:lineRule="auto"/>
        <w:ind w:firstLine="851"/>
        <w:jc w:val="center"/>
        <w:rPr>
          <w:rFonts w:ascii="Times New Roman" w:hAnsi="Times New Roman" w:cs="Times New Roman"/>
          <w:b/>
          <w:lang w:eastAsia="es-ES"/>
        </w:rPr>
      </w:pPr>
      <w:r>
        <w:rPr>
          <w:rFonts w:ascii="Times New Roman" w:hAnsi="Times New Roman" w:cs="Times New Roman"/>
          <w:b/>
          <w:lang w:eastAsia="es-ES"/>
        </w:rPr>
        <w:t>Figura 2</w:t>
      </w:r>
      <w:r w:rsidRPr="003E3D08">
        <w:rPr>
          <w:rFonts w:ascii="Times New Roman" w:hAnsi="Times New Roman" w:cs="Times New Roman"/>
          <w:b/>
          <w:lang w:eastAsia="es-ES"/>
        </w:rPr>
        <w:t>. Procedimiento contable para valorar y reconocer AFI de PI.</w:t>
      </w:r>
    </w:p>
    <w:p w:rsidR="003E3D08" w:rsidRPr="003E3D08" w:rsidRDefault="003E3D08" w:rsidP="003E3D08">
      <w:pPr>
        <w:spacing w:after="0" w:line="360" w:lineRule="auto"/>
        <w:ind w:firstLine="851"/>
        <w:jc w:val="center"/>
        <w:rPr>
          <w:rFonts w:ascii="Times New Roman" w:hAnsi="Times New Roman" w:cs="Times New Roman"/>
          <w:b/>
          <w:lang w:eastAsia="es-ES"/>
        </w:rPr>
      </w:pPr>
      <w:r w:rsidRPr="003E3D08">
        <w:rPr>
          <w:rFonts w:ascii="Times New Roman" w:hAnsi="Times New Roman" w:cs="Times New Roman"/>
          <w:b/>
          <w:lang w:eastAsia="es-ES"/>
        </w:rPr>
        <w:t>Fuente: Elaboración propia</w:t>
      </w:r>
    </w:p>
    <w:p w:rsidR="00E57A09" w:rsidRPr="00DD02AB" w:rsidRDefault="00C73C9C" w:rsidP="00E57A09">
      <w:pPr>
        <w:spacing w:before="120" w:after="120" w:line="360" w:lineRule="auto"/>
        <w:jc w:val="both"/>
        <w:rPr>
          <w:rFonts w:ascii="Times New Roman" w:hAnsi="Times New Roman" w:cs="Times New Roman"/>
          <w:sz w:val="24"/>
          <w:szCs w:val="24"/>
        </w:rPr>
      </w:pPr>
      <w:r w:rsidRPr="00DD02AB">
        <w:rPr>
          <w:rFonts w:ascii="Times New Roman" w:hAnsi="Times New Roman" w:cs="Times New Roman"/>
          <w:sz w:val="24"/>
          <w:szCs w:val="24"/>
        </w:rPr>
        <w:t>El</w:t>
      </w:r>
      <w:r w:rsidR="00E57A09" w:rsidRPr="00DD02AB">
        <w:rPr>
          <w:rFonts w:ascii="Times New Roman" w:hAnsi="Times New Roman" w:cs="Times New Roman"/>
          <w:sz w:val="24"/>
          <w:szCs w:val="24"/>
        </w:rPr>
        <w:t xml:space="preserve"> flujo de información necesario para visualizar el proceso de ejecución de proyectos de I+D en la innovación</w:t>
      </w:r>
      <w:r w:rsidRPr="00DD02AB">
        <w:rPr>
          <w:rFonts w:ascii="Times New Roman" w:hAnsi="Times New Roman" w:cs="Times New Roman"/>
          <w:sz w:val="24"/>
          <w:szCs w:val="24"/>
        </w:rPr>
        <w:t>,</w:t>
      </w:r>
      <w:r w:rsidR="00E57A09" w:rsidRPr="00DD02AB">
        <w:rPr>
          <w:rFonts w:ascii="Times New Roman" w:hAnsi="Times New Roman" w:cs="Times New Roman"/>
          <w:sz w:val="24"/>
          <w:szCs w:val="24"/>
        </w:rPr>
        <w:t xml:space="preserve"> y reconocimiento de AFI de PI empresarial, aplicable en cualquier (SIPI)</w:t>
      </w:r>
      <w:r w:rsidRPr="00DD02AB">
        <w:rPr>
          <w:rFonts w:ascii="Times New Roman" w:hAnsi="Times New Roman" w:cs="Times New Roman"/>
          <w:sz w:val="24"/>
          <w:szCs w:val="24"/>
        </w:rPr>
        <w:t xml:space="preserve"> se ilustra en la figura 3</w:t>
      </w:r>
      <w:r w:rsidR="007E7B61" w:rsidRPr="00DD02AB">
        <w:rPr>
          <w:rFonts w:ascii="Times New Roman" w:hAnsi="Times New Roman" w:cs="Times New Roman"/>
          <w:sz w:val="24"/>
          <w:szCs w:val="24"/>
        </w:rPr>
        <w:t>.</w:t>
      </w:r>
      <w:r w:rsidR="00E57A09" w:rsidRPr="00DD02AB">
        <w:rPr>
          <w:rFonts w:ascii="Times New Roman" w:hAnsi="Times New Roman" w:cs="Times New Roman"/>
          <w:sz w:val="24"/>
          <w:szCs w:val="24"/>
        </w:rPr>
        <w:t xml:space="preserve"> Se parte del supuesto de que existe una cartera de proyectos y se concreta como momento fundamental la toma de decisiones para el financiamiento en dependencia de los resultados que se obtengan en una u otra fase y el registro legal en las oficinas de Propiedad Industrial o Derecho de Autor que corresponda. </w:t>
      </w:r>
    </w:p>
    <w:p w:rsidR="00366069" w:rsidRDefault="00203D75" w:rsidP="00F746B8">
      <w:pPr>
        <w:spacing w:before="120" w:after="120" w:line="360" w:lineRule="auto"/>
        <w:jc w:val="both"/>
        <w:rPr>
          <w:rFonts w:ascii="Times New Roman" w:hAnsi="Times New Roman" w:cs="Times New Roman"/>
          <w:sz w:val="24"/>
          <w:szCs w:val="24"/>
        </w:rPr>
      </w:pPr>
      <w:r w:rsidRPr="00203D75">
        <w:rPr>
          <w:rFonts w:ascii="Times New Roman" w:hAnsi="Times New Roman" w:cs="Times New Roman"/>
          <w:noProof/>
          <w:sz w:val="24"/>
          <w:szCs w:val="24"/>
          <w:lang w:val="es-MX" w:eastAsia="es-MX"/>
        </w:rPr>
        <w:lastRenderedPageBreak/>
        <w:drawing>
          <wp:inline distT="0" distB="0" distL="0" distR="0">
            <wp:extent cx="5400675" cy="7848600"/>
            <wp:effectExtent l="19050" t="0" r="0" b="0"/>
            <wp:docPr id="4"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a:picLocks noChangeAspect="1" noChangeArrowheads="1"/>
                    </pic:cNvPicPr>
                  </pic:nvPicPr>
                  <pic:blipFill>
                    <a:blip r:embed="rId15" cstate="print"/>
                    <a:srcRect/>
                    <a:stretch>
                      <a:fillRect/>
                    </a:stretch>
                  </pic:blipFill>
                  <pic:spPr bwMode="auto">
                    <a:xfrm>
                      <a:off x="0" y="0"/>
                      <a:ext cx="5400040" cy="7847678"/>
                    </a:xfrm>
                    <a:prstGeom prst="rect">
                      <a:avLst/>
                    </a:prstGeom>
                    <a:noFill/>
                    <a:ln w="9525">
                      <a:noFill/>
                      <a:miter lim="800000"/>
                      <a:headEnd/>
                      <a:tailEnd/>
                    </a:ln>
                  </pic:spPr>
                </pic:pic>
              </a:graphicData>
            </a:graphic>
          </wp:inline>
        </w:drawing>
      </w:r>
    </w:p>
    <w:p w:rsidR="00E51192" w:rsidRPr="00E51192" w:rsidRDefault="00B04641" w:rsidP="00E51192">
      <w:pPr>
        <w:spacing w:after="0" w:line="360" w:lineRule="auto"/>
        <w:ind w:firstLine="851"/>
        <w:jc w:val="center"/>
        <w:rPr>
          <w:rFonts w:ascii="Times New Roman" w:hAnsi="Times New Roman" w:cs="Times New Roman"/>
          <w:b/>
          <w:lang w:eastAsia="es-ES"/>
        </w:rPr>
      </w:pPr>
      <w:r>
        <w:rPr>
          <w:rFonts w:ascii="Times New Roman" w:hAnsi="Times New Roman" w:cs="Times New Roman"/>
          <w:b/>
          <w:lang w:eastAsia="es-ES"/>
        </w:rPr>
        <w:t>Figura 3</w:t>
      </w:r>
      <w:r w:rsidR="00E51192" w:rsidRPr="00E51192">
        <w:rPr>
          <w:rFonts w:ascii="Times New Roman" w:hAnsi="Times New Roman" w:cs="Times New Roman"/>
          <w:b/>
          <w:lang w:eastAsia="es-ES"/>
        </w:rPr>
        <w:t xml:space="preserve">. </w:t>
      </w:r>
      <w:proofErr w:type="spellStart"/>
      <w:r w:rsidR="00E51192" w:rsidRPr="00E51192">
        <w:rPr>
          <w:rFonts w:ascii="Times New Roman" w:hAnsi="Times New Roman" w:cs="Times New Roman"/>
          <w:b/>
          <w:lang w:eastAsia="es-ES"/>
        </w:rPr>
        <w:t>Flujograma</w:t>
      </w:r>
      <w:proofErr w:type="spellEnd"/>
      <w:r w:rsidR="00E51192" w:rsidRPr="00E51192">
        <w:rPr>
          <w:rFonts w:ascii="Times New Roman" w:hAnsi="Times New Roman" w:cs="Times New Roman"/>
          <w:b/>
          <w:lang w:eastAsia="es-ES"/>
        </w:rPr>
        <w:t xml:space="preserve"> para el registro contable de I+D en la creación de AFI de PI. Fuente: Elaboración propia</w:t>
      </w:r>
    </w:p>
    <w:p w:rsidR="00C25BDD" w:rsidRPr="00FF3346" w:rsidRDefault="00C25BDD" w:rsidP="0033307C">
      <w:pPr>
        <w:spacing w:before="120" w:after="120" w:line="360" w:lineRule="auto"/>
        <w:jc w:val="both"/>
        <w:outlineLvl w:val="0"/>
        <w:rPr>
          <w:rFonts w:ascii="Times New Roman" w:hAnsi="Times New Roman" w:cs="Times New Roman"/>
          <w:b/>
          <w:sz w:val="24"/>
          <w:szCs w:val="24"/>
        </w:rPr>
      </w:pPr>
      <w:r w:rsidRPr="00FF3346">
        <w:rPr>
          <w:rFonts w:ascii="Times New Roman" w:hAnsi="Times New Roman" w:cs="Times New Roman"/>
          <w:b/>
          <w:sz w:val="24"/>
          <w:szCs w:val="24"/>
        </w:rPr>
        <w:lastRenderedPageBreak/>
        <w:t>4. Conclusiones</w:t>
      </w:r>
    </w:p>
    <w:p w:rsidR="004D37F4" w:rsidRPr="004D37F4" w:rsidRDefault="004D37F4" w:rsidP="00E9487C">
      <w:pPr>
        <w:tabs>
          <w:tab w:val="left" w:pos="426"/>
        </w:tabs>
        <w:spacing w:before="120" w:after="120" w:line="360" w:lineRule="auto"/>
        <w:jc w:val="both"/>
        <w:rPr>
          <w:rFonts w:ascii="Times New Roman" w:hAnsi="Times New Roman" w:cs="Times New Roman"/>
          <w:sz w:val="24"/>
          <w:szCs w:val="24"/>
        </w:rPr>
      </w:pPr>
      <w:r w:rsidRPr="004D37F4">
        <w:rPr>
          <w:rFonts w:ascii="Times New Roman" w:hAnsi="Times New Roman" w:cs="Times New Roman"/>
          <w:sz w:val="24"/>
          <w:szCs w:val="24"/>
        </w:rPr>
        <w:t>1.</w:t>
      </w:r>
      <w:r w:rsidRPr="004D37F4">
        <w:rPr>
          <w:rFonts w:ascii="Times New Roman" w:hAnsi="Times New Roman" w:cs="Times New Roman"/>
          <w:sz w:val="24"/>
          <w:szCs w:val="24"/>
        </w:rPr>
        <w:tab/>
        <w:t>Los fundamentos referidos a Propiedad Intelectual en su vinculación con la Contabilidad y el patrimonio intangible empresarial indica un cambio de paradigma en las empresas estatales cubanas necesitándose potenciar la capacitación y un riguroso acompañamiento integral de la institucionalidad administrativa para homologar sus respectivas competencias en los sujetos a los cuales se dirige.</w:t>
      </w:r>
    </w:p>
    <w:p w:rsidR="004D37F4" w:rsidRPr="004D37F4" w:rsidRDefault="004D37F4" w:rsidP="00E9487C">
      <w:pPr>
        <w:tabs>
          <w:tab w:val="left" w:pos="426"/>
        </w:tabs>
        <w:spacing w:before="120" w:after="120" w:line="360" w:lineRule="auto"/>
        <w:jc w:val="both"/>
        <w:rPr>
          <w:rFonts w:ascii="Times New Roman" w:hAnsi="Times New Roman" w:cs="Times New Roman"/>
          <w:sz w:val="24"/>
          <w:szCs w:val="24"/>
        </w:rPr>
      </w:pPr>
      <w:r w:rsidRPr="004D37F4">
        <w:rPr>
          <w:rFonts w:ascii="Times New Roman" w:hAnsi="Times New Roman" w:cs="Times New Roman"/>
          <w:sz w:val="24"/>
          <w:szCs w:val="24"/>
        </w:rPr>
        <w:t>2.</w:t>
      </w:r>
      <w:r w:rsidRPr="004D37F4">
        <w:rPr>
          <w:rFonts w:ascii="Times New Roman" w:hAnsi="Times New Roman" w:cs="Times New Roman"/>
          <w:sz w:val="24"/>
          <w:szCs w:val="24"/>
        </w:rPr>
        <w:tab/>
        <w:t>El análisis empírico del comportamiento de la Propiedad Intelectual en empresas estatales cubanas líderes en su uso, representa la base para la puntualización de aspectos teóricos y normativos que relacionan dicha disciplina con el patrimonio intangible empresarial y la Contabilidad al evidenciarse las dificultades y los logros en estas, siendo de posible aplicación en otras.</w:t>
      </w:r>
    </w:p>
    <w:p w:rsidR="004D37F4" w:rsidRPr="004D37F4" w:rsidRDefault="004D37F4" w:rsidP="00E9487C">
      <w:pPr>
        <w:tabs>
          <w:tab w:val="left" w:pos="426"/>
        </w:tabs>
        <w:spacing w:before="120" w:after="120" w:line="360" w:lineRule="auto"/>
        <w:jc w:val="both"/>
        <w:rPr>
          <w:rFonts w:ascii="Times New Roman" w:hAnsi="Times New Roman" w:cs="Times New Roman"/>
          <w:sz w:val="24"/>
          <w:szCs w:val="24"/>
        </w:rPr>
      </w:pPr>
      <w:r w:rsidRPr="004D37F4">
        <w:rPr>
          <w:rFonts w:ascii="Times New Roman" w:hAnsi="Times New Roman" w:cs="Times New Roman"/>
          <w:sz w:val="24"/>
          <w:szCs w:val="24"/>
        </w:rPr>
        <w:t>3.</w:t>
      </w:r>
      <w:r w:rsidRPr="004D37F4">
        <w:rPr>
          <w:rFonts w:ascii="Times New Roman" w:hAnsi="Times New Roman" w:cs="Times New Roman"/>
          <w:sz w:val="24"/>
          <w:szCs w:val="24"/>
        </w:rPr>
        <w:tab/>
        <w:t>El trabajo intelectual normado mediante proyectos de innovación a ciclo completo en las empresas estatales cubanas permite el ejercicio del derecho constitucional del creador y de su titularidad en el régimen laboral e instituir cultura y concepción jurídica de la disciplina vinculada desde la Contabilidad con el patrimonio intangible para aprovechar los beneficios que generan estos derechos.</w:t>
      </w:r>
    </w:p>
    <w:p w:rsidR="00C25BDD" w:rsidRPr="004D37F4" w:rsidRDefault="004D37F4" w:rsidP="00E9487C">
      <w:pPr>
        <w:tabs>
          <w:tab w:val="left" w:pos="426"/>
        </w:tabs>
        <w:spacing w:before="120" w:after="120" w:line="360" w:lineRule="auto"/>
        <w:jc w:val="both"/>
        <w:rPr>
          <w:rFonts w:ascii="Times New Roman" w:hAnsi="Times New Roman" w:cs="Times New Roman"/>
          <w:sz w:val="24"/>
          <w:szCs w:val="24"/>
        </w:rPr>
      </w:pPr>
      <w:r w:rsidRPr="004D37F4">
        <w:rPr>
          <w:rFonts w:ascii="Times New Roman" w:hAnsi="Times New Roman" w:cs="Times New Roman"/>
          <w:sz w:val="24"/>
          <w:szCs w:val="24"/>
        </w:rPr>
        <w:t>4.</w:t>
      </w:r>
      <w:r w:rsidRPr="004D37F4">
        <w:rPr>
          <w:rFonts w:ascii="Times New Roman" w:hAnsi="Times New Roman" w:cs="Times New Roman"/>
          <w:sz w:val="24"/>
          <w:szCs w:val="24"/>
        </w:rPr>
        <w:tab/>
        <w:t>El procedimiento propuesto para la valoración y reconocimiento de activos fijos intangibles de Propiedad Intelectual en los estados financieros de la empresa estatal, constituye una herramienta que permite conformar el patrimonio intangible empresarial para su utilización en las negociaciones nacionales e internacionales a través de su valor monetario.</w:t>
      </w:r>
    </w:p>
    <w:p w:rsidR="005A628D" w:rsidRDefault="00C25BDD" w:rsidP="0033307C">
      <w:pPr>
        <w:spacing w:before="120" w:after="120" w:line="360" w:lineRule="auto"/>
        <w:jc w:val="both"/>
        <w:outlineLvl w:val="0"/>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790FE3" w:rsidRPr="00CA41ED" w:rsidRDefault="00533221"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r w:rsidRPr="00CA41ED">
        <w:rPr>
          <w:rFonts w:ascii="Times New Roman" w:hAnsi="Times New Roman" w:cs="Times New Roman"/>
          <w:sz w:val="24"/>
          <w:szCs w:val="24"/>
        </w:rPr>
        <w:fldChar w:fldCharType="begin"/>
      </w:r>
      <w:r w:rsidR="005A628D" w:rsidRPr="00CA41ED">
        <w:rPr>
          <w:rFonts w:ascii="Times New Roman" w:hAnsi="Times New Roman" w:cs="Times New Roman"/>
          <w:sz w:val="24"/>
          <w:szCs w:val="24"/>
        </w:rPr>
        <w:instrText xml:space="preserve"> ADDIN EN.REFLIST </w:instrText>
      </w:r>
      <w:r w:rsidRPr="00CA41ED">
        <w:rPr>
          <w:rFonts w:ascii="Times New Roman" w:hAnsi="Times New Roman" w:cs="Times New Roman"/>
          <w:sz w:val="24"/>
          <w:szCs w:val="24"/>
        </w:rPr>
        <w:fldChar w:fldCharType="separate"/>
      </w:r>
      <w:bookmarkStart w:id="0" w:name="_ENREF_1"/>
      <w:r w:rsidR="00790FE3" w:rsidRPr="00CA41ED">
        <w:rPr>
          <w:rFonts w:ascii="Times New Roman" w:hAnsi="Times New Roman" w:cs="Times New Roman"/>
          <w:noProof/>
          <w:sz w:val="24"/>
          <w:szCs w:val="24"/>
        </w:rPr>
        <w:t xml:space="preserve">Asamblea Nacional del Poder Popular (2014) </w:t>
      </w:r>
      <w:r w:rsidR="00790FE3" w:rsidRPr="00CA41ED">
        <w:rPr>
          <w:rFonts w:ascii="Times New Roman" w:hAnsi="Times New Roman" w:cs="Times New Roman"/>
          <w:i/>
          <w:noProof/>
          <w:sz w:val="24"/>
          <w:szCs w:val="24"/>
        </w:rPr>
        <w:t>«Ley 118/14, De la Inversión Extranjera»</w:t>
      </w:r>
      <w:r w:rsidR="00790FE3" w:rsidRPr="00CA41ED">
        <w:rPr>
          <w:rFonts w:ascii="Times New Roman" w:hAnsi="Times New Roman" w:cs="Times New Roman"/>
          <w:noProof/>
          <w:sz w:val="24"/>
          <w:szCs w:val="24"/>
        </w:rPr>
        <w:t xml:space="preserve">. Disponible en: </w:t>
      </w:r>
      <w:r w:rsidR="00790FE3" w:rsidRPr="00CA41ED">
        <w:rPr>
          <w:rFonts w:ascii="Times New Roman" w:hAnsi="Times New Roman" w:cs="Times New Roman"/>
          <w:noProof/>
          <w:color w:val="0000FF"/>
          <w:sz w:val="24"/>
          <w:szCs w:val="24"/>
          <w:u w:val="single"/>
        </w:rPr>
        <w:t>https://</w:t>
      </w:r>
      <w:hyperlink r:id="rId16" w:history="1">
        <w:r w:rsidR="00790FE3" w:rsidRPr="00CA41ED">
          <w:rPr>
            <w:rStyle w:val="Hipervnculo"/>
            <w:rFonts w:ascii="Times New Roman" w:hAnsi="Times New Roman" w:cs="Times New Roman"/>
            <w:noProof/>
            <w:color w:val="0000FF"/>
            <w:sz w:val="24"/>
            <w:szCs w:val="24"/>
          </w:rPr>
          <w:t>www.gacetaoficial.gob.cu/</w:t>
        </w:r>
      </w:hyperlink>
      <w:r w:rsidR="00790FE3" w:rsidRPr="00CA41ED">
        <w:rPr>
          <w:rFonts w:ascii="Times New Roman" w:hAnsi="Times New Roman" w:cs="Times New Roman"/>
          <w:noProof/>
          <w:sz w:val="24"/>
          <w:szCs w:val="24"/>
        </w:rPr>
        <w:t xml:space="preserve"> [Consultado 15/01/2015].</w:t>
      </w:r>
      <w:bookmarkEnd w:id="0"/>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 w:name="_ENREF_2"/>
      <w:r w:rsidRPr="00CA41ED">
        <w:rPr>
          <w:rFonts w:ascii="Times New Roman" w:hAnsi="Times New Roman" w:cs="Times New Roman"/>
          <w:noProof/>
          <w:sz w:val="24"/>
          <w:szCs w:val="24"/>
        </w:rPr>
        <w:t xml:space="preserve">Astudillo Gómez, F. (2015) «Palabras Intangibles», </w:t>
      </w:r>
      <w:r w:rsidRPr="00CA41ED">
        <w:rPr>
          <w:rFonts w:ascii="Times New Roman" w:hAnsi="Times New Roman" w:cs="Times New Roman"/>
          <w:i/>
          <w:noProof/>
          <w:sz w:val="24"/>
          <w:szCs w:val="24"/>
        </w:rPr>
        <w:t xml:space="preserve">Revista Propiedad Intelectual, Mérida-Venezuela, </w:t>
      </w:r>
      <w:r w:rsidRPr="00CA41ED">
        <w:rPr>
          <w:rFonts w:ascii="Times New Roman" w:hAnsi="Times New Roman" w:cs="Times New Roman"/>
          <w:noProof/>
          <w:sz w:val="24"/>
          <w:szCs w:val="24"/>
        </w:rPr>
        <w:t xml:space="preserve">año XIII, (18). Disponible en: </w:t>
      </w:r>
      <w:hyperlink r:id="rId17" w:history="1">
        <w:r w:rsidRPr="00CA41ED">
          <w:rPr>
            <w:rStyle w:val="Hipervnculo"/>
            <w:rFonts w:ascii="Times New Roman" w:hAnsi="Times New Roman" w:cs="Times New Roman"/>
            <w:noProof/>
            <w:sz w:val="24"/>
            <w:szCs w:val="24"/>
          </w:rPr>
          <w:t>http://www.saber.ula.ve/bitstream/123456789/41677/1/art1.pdf</w:t>
        </w:r>
      </w:hyperlink>
      <w:r w:rsidRPr="00CA41ED">
        <w:rPr>
          <w:rFonts w:ascii="Times New Roman" w:hAnsi="Times New Roman" w:cs="Times New Roman"/>
          <w:noProof/>
          <w:sz w:val="24"/>
          <w:szCs w:val="24"/>
        </w:rPr>
        <w:t xml:space="preserve"> [Consultado 19/01/2016].</w:t>
      </w:r>
      <w:bookmarkEnd w:id="1"/>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2" w:name="_ENREF_3"/>
      <w:r w:rsidRPr="00CA41ED">
        <w:rPr>
          <w:rFonts w:ascii="Times New Roman" w:hAnsi="Times New Roman" w:cs="Times New Roman"/>
          <w:noProof/>
          <w:sz w:val="24"/>
          <w:szCs w:val="24"/>
        </w:rPr>
        <w:lastRenderedPageBreak/>
        <w:t xml:space="preserve">Consejo de Estado (2018) </w:t>
      </w:r>
      <w:r w:rsidRPr="00CA41ED">
        <w:rPr>
          <w:rFonts w:ascii="Times New Roman" w:hAnsi="Times New Roman" w:cs="Times New Roman"/>
          <w:i/>
          <w:noProof/>
          <w:sz w:val="24"/>
          <w:szCs w:val="24"/>
        </w:rPr>
        <w:t>«Decreto-Ley No. 336/2016, De las disposiciones contractuales de propiedad industrial en los negocios jurídico»</w:t>
      </w:r>
      <w:r w:rsidRPr="00CA41ED">
        <w:rPr>
          <w:rFonts w:ascii="Times New Roman" w:hAnsi="Times New Roman" w:cs="Times New Roman"/>
          <w:noProof/>
          <w:sz w:val="24"/>
          <w:szCs w:val="24"/>
        </w:rPr>
        <w:t xml:space="preserve">. Disponible en: </w:t>
      </w:r>
      <w:r w:rsidRPr="00CA41ED">
        <w:rPr>
          <w:rFonts w:ascii="Times New Roman" w:hAnsi="Times New Roman" w:cs="Times New Roman"/>
          <w:noProof/>
          <w:color w:val="0000FF"/>
          <w:sz w:val="24"/>
          <w:szCs w:val="24"/>
          <w:u w:val="single"/>
        </w:rPr>
        <w:t>https://</w:t>
      </w:r>
      <w:hyperlink r:id="rId18" w:history="1">
        <w:r w:rsidRPr="00CA41ED">
          <w:rPr>
            <w:rStyle w:val="Hipervnculo"/>
            <w:rFonts w:ascii="Times New Roman" w:hAnsi="Times New Roman" w:cs="Times New Roman"/>
            <w:noProof/>
            <w:color w:val="0000FF"/>
            <w:sz w:val="24"/>
            <w:szCs w:val="24"/>
          </w:rPr>
          <w:t>www.gacetaoficial.gob.cu/</w:t>
        </w:r>
      </w:hyperlink>
      <w:r w:rsidRPr="00CA41ED">
        <w:rPr>
          <w:rFonts w:ascii="Times New Roman" w:hAnsi="Times New Roman" w:cs="Times New Roman"/>
          <w:noProof/>
          <w:sz w:val="24"/>
          <w:szCs w:val="24"/>
        </w:rPr>
        <w:t xml:space="preserve"> [Consultado 08/09/2018].</w:t>
      </w:r>
      <w:bookmarkEnd w:id="2"/>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3" w:name="_ENREF_4"/>
      <w:r w:rsidRPr="00CA41ED">
        <w:rPr>
          <w:rFonts w:ascii="Times New Roman" w:hAnsi="Times New Roman" w:cs="Times New Roman"/>
          <w:noProof/>
          <w:sz w:val="24"/>
          <w:szCs w:val="24"/>
        </w:rPr>
        <w:t xml:space="preserve">CITMA (2002) </w:t>
      </w:r>
      <w:r w:rsidRPr="00CA41ED">
        <w:rPr>
          <w:rFonts w:ascii="Times New Roman" w:hAnsi="Times New Roman" w:cs="Times New Roman"/>
          <w:i/>
          <w:noProof/>
          <w:sz w:val="24"/>
          <w:szCs w:val="24"/>
        </w:rPr>
        <w:t xml:space="preserve">La situación de la innovación en Cuba. Un análisis de los resultados </w:t>
      </w:r>
      <w:r w:rsidRPr="00CA41ED">
        <w:rPr>
          <w:rFonts w:ascii="Times New Roman" w:hAnsi="Times New Roman" w:cs="Times New Roman"/>
          <w:noProof/>
          <w:sz w:val="24"/>
          <w:szCs w:val="24"/>
        </w:rPr>
        <w:t>La Habana, Cuba: En: primera encuesta nacional sobre esta actividad en el país.</w:t>
      </w:r>
      <w:bookmarkEnd w:id="3"/>
    </w:p>
    <w:p w:rsidR="00E74A1B"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4" w:name="_ENREF_5"/>
      <w:r w:rsidRPr="00CA41ED">
        <w:rPr>
          <w:rFonts w:ascii="Times New Roman" w:hAnsi="Times New Roman" w:cs="Times New Roman"/>
          <w:noProof/>
          <w:sz w:val="24"/>
          <w:szCs w:val="24"/>
        </w:rPr>
        <w:t xml:space="preserve">Ciencia, Tecnología y Medio Ambiente (Ministerio) (2018) </w:t>
      </w:r>
      <w:r w:rsidRPr="00CA41ED">
        <w:rPr>
          <w:rFonts w:ascii="Times New Roman" w:hAnsi="Times New Roman" w:cs="Times New Roman"/>
          <w:i/>
          <w:noProof/>
          <w:sz w:val="24"/>
          <w:szCs w:val="24"/>
        </w:rPr>
        <w:t>«Resolución No.151/2018, Normas para la aplicación en la República de Cuba del Tratado de Cooperación en Materia de Patentes»</w:t>
      </w:r>
      <w:r w:rsidRPr="00CA41ED">
        <w:rPr>
          <w:rFonts w:ascii="Times New Roman" w:hAnsi="Times New Roman" w:cs="Times New Roman"/>
          <w:noProof/>
          <w:sz w:val="24"/>
          <w:szCs w:val="24"/>
        </w:rPr>
        <w:t xml:space="preserve">. Disponible en: </w:t>
      </w:r>
      <w:r w:rsidRPr="00CA41ED">
        <w:rPr>
          <w:rFonts w:ascii="Times New Roman" w:hAnsi="Times New Roman" w:cs="Times New Roman"/>
          <w:noProof/>
          <w:color w:val="0000FF"/>
          <w:sz w:val="24"/>
          <w:szCs w:val="24"/>
          <w:u w:val="single"/>
        </w:rPr>
        <w:t>https://</w:t>
      </w:r>
      <w:hyperlink r:id="rId19" w:history="1">
        <w:r w:rsidRPr="00CA41ED">
          <w:rPr>
            <w:rStyle w:val="Hipervnculo"/>
            <w:rFonts w:ascii="Times New Roman" w:hAnsi="Times New Roman" w:cs="Times New Roman"/>
            <w:noProof/>
            <w:color w:val="0000FF"/>
            <w:sz w:val="24"/>
            <w:szCs w:val="24"/>
          </w:rPr>
          <w:t>www.gacetaoficial.gob.cu/</w:t>
        </w:r>
      </w:hyperlink>
      <w:r w:rsidRPr="00CA41ED">
        <w:rPr>
          <w:rFonts w:ascii="Times New Roman" w:hAnsi="Times New Roman" w:cs="Times New Roman"/>
          <w:noProof/>
          <w:sz w:val="24"/>
          <w:szCs w:val="24"/>
        </w:rPr>
        <w:t xml:space="preserve"> </w:t>
      </w:r>
      <w:bookmarkStart w:id="5" w:name="_ENREF_6"/>
      <w:bookmarkEnd w:id="4"/>
      <w:r w:rsidR="00E74A1B" w:rsidRPr="00CA41ED">
        <w:rPr>
          <w:rFonts w:ascii="Times New Roman" w:hAnsi="Times New Roman" w:cs="Times New Roman"/>
          <w:noProof/>
          <w:sz w:val="24"/>
          <w:szCs w:val="24"/>
        </w:rPr>
        <w:t>[Consultado 08/09/2018]</w:t>
      </w:r>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r w:rsidRPr="00CA41ED">
        <w:rPr>
          <w:rFonts w:ascii="Times New Roman" w:hAnsi="Times New Roman" w:cs="Times New Roman"/>
          <w:noProof/>
          <w:sz w:val="24"/>
          <w:szCs w:val="24"/>
        </w:rPr>
        <w:t xml:space="preserve">Consejo de Ministros (2018a) </w:t>
      </w:r>
      <w:r w:rsidRPr="00CA41ED">
        <w:rPr>
          <w:rFonts w:ascii="Times New Roman" w:hAnsi="Times New Roman" w:cs="Times New Roman"/>
          <w:i/>
          <w:noProof/>
          <w:sz w:val="24"/>
          <w:szCs w:val="24"/>
        </w:rPr>
        <w:t>«Decreto No. 342/2018, Reglamento del Decreto-Ley No. 290 De las invenciones y dibujos y modelos industriales»</w:t>
      </w:r>
      <w:r w:rsidRPr="00CA41ED">
        <w:rPr>
          <w:rFonts w:ascii="Times New Roman" w:hAnsi="Times New Roman" w:cs="Times New Roman"/>
          <w:noProof/>
          <w:sz w:val="24"/>
          <w:szCs w:val="24"/>
        </w:rPr>
        <w:t xml:space="preserve">. Disponible en: </w:t>
      </w:r>
      <w:r w:rsidRPr="00CA41ED">
        <w:rPr>
          <w:rFonts w:ascii="Times New Roman" w:hAnsi="Times New Roman" w:cs="Times New Roman"/>
          <w:noProof/>
          <w:color w:val="0000FF"/>
          <w:sz w:val="24"/>
          <w:szCs w:val="24"/>
          <w:u w:val="single"/>
        </w:rPr>
        <w:t>https://</w:t>
      </w:r>
      <w:hyperlink r:id="rId20" w:history="1">
        <w:r w:rsidRPr="00CA41ED">
          <w:rPr>
            <w:rStyle w:val="Hipervnculo"/>
            <w:rFonts w:ascii="Times New Roman" w:hAnsi="Times New Roman" w:cs="Times New Roman"/>
            <w:noProof/>
            <w:color w:val="0000FF"/>
            <w:sz w:val="24"/>
            <w:szCs w:val="24"/>
          </w:rPr>
          <w:t>www.gacetaoficial.gob.cu/</w:t>
        </w:r>
      </w:hyperlink>
      <w:r w:rsidRPr="00CA41ED">
        <w:rPr>
          <w:rFonts w:ascii="Times New Roman" w:hAnsi="Times New Roman" w:cs="Times New Roman"/>
          <w:noProof/>
          <w:sz w:val="24"/>
          <w:szCs w:val="24"/>
        </w:rPr>
        <w:t xml:space="preserve"> [Consultado 08/09/2018].</w:t>
      </w:r>
      <w:bookmarkEnd w:id="5"/>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6" w:name="_ENREF_7"/>
      <w:r w:rsidRPr="00CA41ED">
        <w:rPr>
          <w:rFonts w:ascii="Times New Roman" w:hAnsi="Times New Roman" w:cs="Times New Roman"/>
          <w:noProof/>
          <w:sz w:val="24"/>
          <w:szCs w:val="24"/>
        </w:rPr>
        <w:t xml:space="preserve">Consejo de Ministro (2018b) </w:t>
      </w:r>
      <w:r w:rsidRPr="00CA41ED">
        <w:rPr>
          <w:rFonts w:ascii="Times New Roman" w:hAnsi="Times New Roman" w:cs="Times New Roman"/>
          <w:i/>
          <w:noProof/>
          <w:sz w:val="24"/>
          <w:szCs w:val="24"/>
        </w:rPr>
        <w:t>«Decreto No. 343/2018, Del Sistema de Propiedad Industrial»</w:t>
      </w:r>
      <w:r w:rsidRPr="00CA41ED">
        <w:rPr>
          <w:rFonts w:ascii="Times New Roman" w:hAnsi="Times New Roman" w:cs="Times New Roman"/>
          <w:noProof/>
          <w:sz w:val="24"/>
          <w:szCs w:val="24"/>
        </w:rPr>
        <w:t xml:space="preserve">. Disponible en: </w:t>
      </w:r>
      <w:r w:rsidRPr="00CA41ED">
        <w:rPr>
          <w:rFonts w:ascii="Times New Roman" w:hAnsi="Times New Roman" w:cs="Times New Roman"/>
          <w:noProof/>
          <w:color w:val="0000FF"/>
          <w:sz w:val="24"/>
          <w:szCs w:val="24"/>
          <w:u w:val="single"/>
        </w:rPr>
        <w:t>https://</w:t>
      </w:r>
      <w:hyperlink r:id="rId21" w:history="1">
        <w:r w:rsidRPr="00CA41ED">
          <w:rPr>
            <w:rStyle w:val="Hipervnculo"/>
            <w:rFonts w:ascii="Times New Roman" w:hAnsi="Times New Roman" w:cs="Times New Roman"/>
            <w:noProof/>
            <w:color w:val="0000FF"/>
            <w:sz w:val="24"/>
            <w:szCs w:val="24"/>
          </w:rPr>
          <w:t>www.gacetaoficial.gob.cu/</w:t>
        </w:r>
      </w:hyperlink>
      <w:r w:rsidRPr="00CA41ED">
        <w:rPr>
          <w:rFonts w:ascii="Times New Roman" w:hAnsi="Times New Roman" w:cs="Times New Roman"/>
          <w:noProof/>
          <w:sz w:val="24"/>
          <w:szCs w:val="24"/>
        </w:rPr>
        <w:t xml:space="preserve"> [Consultado 08/09/2018].</w:t>
      </w:r>
      <w:bookmarkEnd w:id="6"/>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7" w:name="_ENREF_8"/>
      <w:r w:rsidRPr="00CA41ED">
        <w:rPr>
          <w:rFonts w:ascii="Times New Roman" w:hAnsi="Times New Roman" w:cs="Times New Roman"/>
          <w:noProof/>
          <w:sz w:val="24"/>
          <w:szCs w:val="24"/>
        </w:rPr>
        <w:t>Contreras Villavicencio, D. M.</w:t>
      </w:r>
      <w:r w:rsidRPr="00CA41ED">
        <w:rPr>
          <w:rFonts w:ascii="Times New Roman" w:hAnsi="Times New Roman" w:cs="Times New Roman"/>
          <w:i/>
          <w:noProof/>
          <w:sz w:val="24"/>
          <w:szCs w:val="24"/>
        </w:rPr>
        <w:t>, et al.</w:t>
      </w:r>
      <w:r w:rsidRPr="00CA41ED">
        <w:rPr>
          <w:rFonts w:ascii="Times New Roman" w:hAnsi="Times New Roman" w:cs="Times New Roman"/>
          <w:noProof/>
          <w:sz w:val="24"/>
          <w:szCs w:val="24"/>
        </w:rPr>
        <w:t xml:space="preserve"> (2017) «Propiedad industrial para la gestión de ciencia, tecnología e innovación en empresas estatales cubanas», </w:t>
      </w:r>
      <w:r w:rsidRPr="00CA41ED">
        <w:rPr>
          <w:rFonts w:ascii="Times New Roman" w:hAnsi="Times New Roman" w:cs="Times New Roman"/>
          <w:i/>
          <w:noProof/>
          <w:sz w:val="24"/>
          <w:szCs w:val="24"/>
        </w:rPr>
        <w:t xml:space="preserve">Revista La Propiedad Inmaterial, Universidad Externado de Colombia, </w:t>
      </w:r>
      <w:r w:rsidRPr="00CA41ED">
        <w:rPr>
          <w:rFonts w:ascii="Times New Roman" w:hAnsi="Times New Roman" w:cs="Times New Roman"/>
          <w:noProof/>
          <w:sz w:val="24"/>
          <w:szCs w:val="24"/>
        </w:rPr>
        <w:t xml:space="preserve">enero-junio, (23). Disponible en: </w:t>
      </w:r>
      <w:hyperlink r:id="rId22" w:history="1">
        <w:r w:rsidRPr="00CA41ED">
          <w:rPr>
            <w:rStyle w:val="Hipervnculo"/>
            <w:rFonts w:ascii="Times New Roman" w:hAnsi="Times New Roman" w:cs="Times New Roman"/>
            <w:noProof/>
            <w:sz w:val="24"/>
            <w:szCs w:val="24"/>
          </w:rPr>
          <w:t>http://revistas.uexternado.edu.co/index.php/propin/article/view/4980/5968</w:t>
        </w:r>
      </w:hyperlink>
      <w:r w:rsidRPr="00CA41ED">
        <w:rPr>
          <w:rFonts w:ascii="Times New Roman" w:hAnsi="Times New Roman" w:cs="Times New Roman"/>
          <w:noProof/>
          <w:sz w:val="24"/>
          <w:szCs w:val="24"/>
        </w:rPr>
        <w:t xml:space="preserve">  </w:t>
      </w:r>
      <w:r w:rsidRPr="00CA41ED">
        <w:rPr>
          <w:rFonts w:ascii="Times New Roman" w:hAnsi="Times New Roman" w:cs="Times New Roman"/>
          <w:noProof/>
          <w:color w:val="0000FF"/>
          <w:sz w:val="24"/>
          <w:szCs w:val="24"/>
          <w:u w:val="single"/>
        </w:rPr>
        <w:t>https://doi.org/10.18601/16571959.n23.0</w:t>
      </w:r>
      <w:r w:rsidRPr="00CA41ED">
        <w:rPr>
          <w:rFonts w:ascii="Times New Roman" w:hAnsi="Times New Roman" w:cs="Times New Roman"/>
          <w:noProof/>
          <w:sz w:val="24"/>
          <w:szCs w:val="24"/>
        </w:rPr>
        <w:t>6 [Consultado 22/06/2017].</w:t>
      </w:r>
      <w:bookmarkEnd w:id="7"/>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8" w:name="_ENREF_9"/>
      <w:r w:rsidRPr="00CA41ED">
        <w:rPr>
          <w:rFonts w:ascii="Times New Roman" w:hAnsi="Times New Roman" w:cs="Times New Roman"/>
          <w:noProof/>
          <w:sz w:val="24"/>
          <w:szCs w:val="24"/>
        </w:rPr>
        <w:t xml:space="preserve">Del Toro, J. C. (2017) </w:t>
      </w:r>
      <w:r w:rsidRPr="00CA41ED">
        <w:rPr>
          <w:rFonts w:ascii="Times New Roman" w:hAnsi="Times New Roman" w:cs="Times New Roman"/>
          <w:i/>
          <w:noProof/>
          <w:sz w:val="24"/>
          <w:szCs w:val="24"/>
        </w:rPr>
        <w:t>«La Contabilidad en el proceso de Actualización del Modelo Económico Cubano»</w:t>
      </w:r>
      <w:r w:rsidRPr="00CA41ED">
        <w:rPr>
          <w:rFonts w:ascii="Times New Roman" w:hAnsi="Times New Roman" w:cs="Times New Roman"/>
          <w:noProof/>
          <w:sz w:val="24"/>
          <w:szCs w:val="24"/>
        </w:rPr>
        <w:t>. Ponencia presentada en el XI Encuentro Internacional de Contabilidad, Auditoría y Finanzas, Palacio de Convenciones, La Habana, Cuba: Asociación Nacional de Economistas y Contadores de Cuba.</w:t>
      </w:r>
      <w:bookmarkEnd w:id="8"/>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9" w:name="_ENREF_10"/>
      <w:r w:rsidRPr="00CA41ED">
        <w:rPr>
          <w:rFonts w:ascii="Times New Roman" w:hAnsi="Times New Roman" w:cs="Times New Roman"/>
          <w:noProof/>
          <w:sz w:val="24"/>
          <w:szCs w:val="24"/>
        </w:rPr>
        <w:t xml:space="preserve">Díaz Fernández, I. (2018) «La innovación en empresas estatales cubanas: análisis para un debate», </w:t>
      </w:r>
      <w:r w:rsidRPr="00CA41ED">
        <w:rPr>
          <w:rFonts w:ascii="Times New Roman" w:hAnsi="Times New Roman" w:cs="Times New Roman"/>
          <w:i/>
          <w:noProof/>
          <w:sz w:val="24"/>
          <w:szCs w:val="24"/>
        </w:rPr>
        <w:t>Economía y Desarrollo,</w:t>
      </w:r>
      <w:r w:rsidR="005F72CE" w:rsidRPr="00CA41ED">
        <w:rPr>
          <w:rFonts w:ascii="Times New Roman" w:hAnsi="Times New Roman" w:cs="Times New Roman"/>
          <w:noProof/>
          <w:sz w:val="24"/>
          <w:szCs w:val="24"/>
        </w:rPr>
        <w:t xml:space="preserve"> 159, (</w:t>
      </w:r>
      <w:r w:rsidRPr="00CA41ED">
        <w:rPr>
          <w:rFonts w:ascii="Times New Roman" w:hAnsi="Times New Roman" w:cs="Times New Roman"/>
          <w:noProof/>
          <w:sz w:val="24"/>
          <w:szCs w:val="24"/>
        </w:rPr>
        <w:t xml:space="preserve">1). Disponible en: </w:t>
      </w:r>
      <w:hyperlink r:id="rId23" w:history="1">
        <w:r w:rsidRPr="00CA41ED">
          <w:rPr>
            <w:rStyle w:val="Hipervnculo"/>
            <w:rFonts w:ascii="Times New Roman" w:hAnsi="Times New Roman" w:cs="Times New Roman"/>
            <w:noProof/>
            <w:sz w:val="24"/>
            <w:szCs w:val="24"/>
          </w:rPr>
          <w:t>http://scielo.sld.cu/pdf/eyd/v159n1/eyd11118.pdf</w:t>
        </w:r>
      </w:hyperlink>
      <w:r w:rsidRPr="00CA41ED">
        <w:rPr>
          <w:rFonts w:ascii="Times New Roman" w:hAnsi="Times New Roman" w:cs="Times New Roman"/>
          <w:noProof/>
          <w:sz w:val="24"/>
          <w:szCs w:val="24"/>
        </w:rPr>
        <w:t xml:space="preserve"> [Consultado 03/07/2018].</w:t>
      </w:r>
      <w:bookmarkEnd w:id="9"/>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0" w:name="_ENREF_11"/>
      <w:r w:rsidRPr="00CA41ED">
        <w:rPr>
          <w:rFonts w:ascii="Times New Roman" w:hAnsi="Times New Roman" w:cs="Times New Roman"/>
          <w:noProof/>
          <w:sz w:val="24"/>
          <w:szCs w:val="24"/>
        </w:rPr>
        <w:t xml:space="preserve">Domínguez Guillén, M. C. y C. Pérez Fernández (2018) «Notas sobre el patrimonio en el derecho venezolano», </w:t>
      </w:r>
      <w:r w:rsidRPr="00CA41ED">
        <w:rPr>
          <w:rFonts w:ascii="Times New Roman" w:hAnsi="Times New Roman" w:cs="Times New Roman"/>
          <w:i/>
          <w:noProof/>
          <w:sz w:val="24"/>
          <w:szCs w:val="24"/>
        </w:rPr>
        <w:t xml:space="preserve">Revista Boliviana de Derecho, </w:t>
      </w:r>
      <w:r w:rsidRPr="00CA41ED">
        <w:rPr>
          <w:rFonts w:ascii="Times New Roman" w:hAnsi="Times New Roman" w:cs="Times New Roman"/>
          <w:noProof/>
          <w:sz w:val="24"/>
          <w:szCs w:val="24"/>
        </w:rPr>
        <w:t xml:space="preserve">(25). Disponible en: </w:t>
      </w:r>
      <w:hyperlink r:id="rId24" w:history="1">
        <w:r w:rsidRPr="00CA41ED">
          <w:rPr>
            <w:rStyle w:val="Hipervnculo"/>
            <w:rFonts w:ascii="Times New Roman" w:hAnsi="Times New Roman" w:cs="Times New Roman"/>
            <w:noProof/>
            <w:sz w:val="24"/>
            <w:szCs w:val="24"/>
          </w:rPr>
          <w:t>http://www.scielo.org.bo/pdf/rbd/n25/n25_a08.pdf</w:t>
        </w:r>
      </w:hyperlink>
      <w:r w:rsidRPr="00CA41ED">
        <w:rPr>
          <w:rFonts w:ascii="Times New Roman" w:hAnsi="Times New Roman" w:cs="Times New Roman"/>
          <w:noProof/>
          <w:sz w:val="24"/>
          <w:szCs w:val="24"/>
        </w:rPr>
        <w:t xml:space="preserve"> [Consultado 22/02/2018].</w:t>
      </w:r>
      <w:bookmarkEnd w:id="10"/>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1" w:name="_ENREF_12"/>
      <w:r w:rsidRPr="00CA41ED">
        <w:rPr>
          <w:rFonts w:ascii="Times New Roman" w:hAnsi="Times New Roman" w:cs="Times New Roman"/>
          <w:noProof/>
          <w:sz w:val="24"/>
          <w:szCs w:val="24"/>
        </w:rPr>
        <w:lastRenderedPageBreak/>
        <w:t xml:space="preserve">Infante, J. (2011) «La Contabilidad es una sola y no necesita apellido», </w:t>
      </w:r>
      <w:r w:rsidRPr="00CA41ED">
        <w:rPr>
          <w:rFonts w:ascii="Times New Roman" w:hAnsi="Times New Roman" w:cs="Times New Roman"/>
          <w:i/>
          <w:noProof/>
          <w:sz w:val="24"/>
          <w:szCs w:val="24"/>
        </w:rPr>
        <w:t xml:space="preserve">Entrevista exclusiva con Trabajadores digital. (ANEC), </w:t>
      </w:r>
      <w:r w:rsidRPr="00CA41ED">
        <w:rPr>
          <w:rFonts w:ascii="Times New Roman" w:hAnsi="Times New Roman" w:cs="Times New Roman"/>
          <w:noProof/>
          <w:sz w:val="24"/>
          <w:szCs w:val="24"/>
        </w:rPr>
        <w:t xml:space="preserve">(Especial). Disponible en: </w:t>
      </w:r>
      <w:hyperlink r:id="rId25" w:history="1">
        <w:r w:rsidRPr="00CA41ED">
          <w:rPr>
            <w:rStyle w:val="Hipervnculo"/>
            <w:rFonts w:ascii="Times New Roman" w:hAnsi="Times New Roman" w:cs="Times New Roman"/>
            <w:noProof/>
            <w:sz w:val="24"/>
            <w:szCs w:val="24"/>
          </w:rPr>
          <w:t>http://www.anec.cu/</w:t>
        </w:r>
      </w:hyperlink>
      <w:r w:rsidRPr="00CA41ED">
        <w:rPr>
          <w:rFonts w:ascii="Times New Roman" w:hAnsi="Times New Roman" w:cs="Times New Roman"/>
          <w:noProof/>
          <w:sz w:val="24"/>
          <w:szCs w:val="24"/>
        </w:rPr>
        <w:t xml:space="preserve"> [Consultado 26/05/2014].</w:t>
      </w:r>
      <w:bookmarkEnd w:id="11"/>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2" w:name="_ENREF_13"/>
      <w:r w:rsidRPr="00CA41ED">
        <w:rPr>
          <w:rFonts w:ascii="Times New Roman" w:hAnsi="Times New Roman" w:cs="Times New Roman"/>
          <w:noProof/>
          <w:sz w:val="24"/>
          <w:szCs w:val="24"/>
        </w:rPr>
        <w:t>Kalanje, C. M. (2015) «</w:t>
      </w:r>
      <w:r w:rsidRPr="00CA41ED">
        <w:rPr>
          <w:rFonts w:ascii="Times New Roman" w:hAnsi="Times New Roman" w:cs="Times New Roman"/>
          <w:i/>
          <w:noProof/>
          <w:sz w:val="24"/>
          <w:szCs w:val="24"/>
        </w:rPr>
        <w:t>El papel de la propiedad intelectual en la innovación y el desarrollo de nuevos productos»</w:t>
      </w:r>
      <w:r w:rsidRPr="00CA41ED">
        <w:rPr>
          <w:rFonts w:ascii="Times New Roman" w:hAnsi="Times New Roman" w:cs="Times New Roman"/>
          <w:noProof/>
          <w:sz w:val="24"/>
          <w:szCs w:val="24"/>
        </w:rPr>
        <w:t xml:space="preserve">, Disponible en: </w:t>
      </w:r>
      <w:hyperlink r:id="rId26" w:history="1">
        <w:r w:rsidRPr="00CA41ED">
          <w:rPr>
            <w:rStyle w:val="Hipervnculo"/>
            <w:rFonts w:ascii="Times New Roman" w:hAnsi="Times New Roman" w:cs="Times New Roman"/>
            <w:noProof/>
            <w:sz w:val="24"/>
            <w:szCs w:val="24"/>
          </w:rPr>
          <w:t>http://www.wipo.int/export/sites/www/sme/es/documents/pdf/ip_innovation_development.pdf</w:t>
        </w:r>
      </w:hyperlink>
      <w:r w:rsidRPr="00CA41ED">
        <w:rPr>
          <w:rFonts w:ascii="Times New Roman" w:hAnsi="Times New Roman" w:cs="Times New Roman"/>
          <w:noProof/>
          <w:sz w:val="24"/>
          <w:szCs w:val="24"/>
        </w:rPr>
        <w:t xml:space="preserve"> [Consultado 15/01/2016].</w:t>
      </w:r>
      <w:bookmarkEnd w:id="12"/>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3" w:name="_ENREF_14"/>
      <w:r w:rsidRPr="00CA41ED">
        <w:rPr>
          <w:rFonts w:ascii="Times New Roman" w:hAnsi="Times New Roman" w:cs="Times New Roman"/>
          <w:noProof/>
          <w:sz w:val="24"/>
          <w:szCs w:val="24"/>
        </w:rPr>
        <w:t xml:space="preserve">Marx, C. (1965) </w:t>
      </w:r>
      <w:r w:rsidRPr="00CA41ED">
        <w:rPr>
          <w:rFonts w:ascii="Times New Roman" w:hAnsi="Times New Roman" w:cs="Times New Roman"/>
          <w:i/>
          <w:noProof/>
          <w:sz w:val="24"/>
          <w:szCs w:val="24"/>
        </w:rPr>
        <w:t>El Capital.Tomo IV. Historia crítica de la teoría de la plusvalía.</w:t>
      </w:r>
      <w:r w:rsidRPr="00CA41ED">
        <w:rPr>
          <w:rFonts w:ascii="Times New Roman" w:hAnsi="Times New Roman" w:cs="Times New Roman"/>
          <w:noProof/>
          <w:sz w:val="24"/>
          <w:szCs w:val="24"/>
        </w:rPr>
        <w:t xml:space="preserve"> Formato impreso ed. La Habana, Cuba: Venceremos.</w:t>
      </w:r>
      <w:r w:rsidR="005F72CE" w:rsidRPr="00CA41ED">
        <w:rPr>
          <w:rFonts w:ascii="Times New Roman" w:hAnsi="Times New Roman" w:cs="Times New Roman"/>
          <w:noProof/>
          <w:sz w:val="24"/>
          <w:szCs w:val="24"/>
        </w:rPr>
        <w:t xml:space="preserve"> </w:t>
      </w:r>
      <w:r w:rsidRPr="00CA41ED">
        <w:rPr>
          <w:rFonts w:ascii="Times New Roman" w:hAnsi="Times New Roman" w:cs="Times New Roman"/>
          <w:noProof/>
          <w:sz w:val="24"/>
          <w:szCs w:val="24"/>
        </w:rPr>
        <w:t>Volumen I, tomado de la versión de Editorial Cartago. SRL, Buenos Aires, Argentina,1956.</w:t>
      </w:r>
      <w:bookmarkEnd w:id="13"/>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4" w:name="_ENREF_15"/>
      <w:r w:rsidRPr="00CA41ED">
        <w:rPr>
          <w:rFonts w:ascii="Times New Roman" w:hAnsi="Times New Roman" w:cs="Times New Roman"/>
          <w:noProof/>
          <w:sz w:val="24"/>
          <w:szCs w:val="24"/>
        </w:rPr>
        <w:t xml:space="preserve">Marx, C. (1973) </w:t>
      </w:r>
      <w:r w:rsidRPr="00CA41ED">
        <w:rPr>
          <w:rFonts w:ascii="Times New Roman" w:hAnsi="Times New Roman" w:cs="Times New Roman"/>
          <w:i/>
          <w:noProof/>
          <w:sz w:val="24"/>
          <w:szCs w:val="24"/>
        </w:rPr>
        <w:t>El Capital. Crítica de la Economía Política.Tomo II. Libro Segundo. El proceso de circulación del capital.</w:t>
      </w:r>
      <w:r w:rsidRPr="00CA41ED">
        <w:rPr>
          <w:rFonts w:ascii="Times New Roman" w:hAnsi="Times New Roman" w:cs="Times New Roman"/>
          <w:noProof/>
          <w:sz w:val="24"/>
          <w:szCs w:val="24"/>
        </w:rPr>
        <w:t xml:space="preserve"> Impresa ed. La Habana, Cuba: Editorial de Ciencias Sociales, Instituto Cubano del Libro.</w:t>
      </w:r>
      <w:bookmarkEnd w:id="14"/>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5" w:name="_ENREF_16"/>
      <w:r w:rsidRPr="00CA41ED">
        <w:rPr>
          <w:rFonts w:ascii="Times New Roman" w:hAnsi="Times New Roman" w:cs="Times New Roman"/>
          <w:noProof/>
          <w:sz w:val="24"/>
          <w:szCs w:val="24"/>
        </w:rPr>
        <w:t xml:space="preserve">Ministerio de Finanzas y Precios (2018) </w:t>
      </w:r>
      <w:r w:rsidRPr="00CA41ED">
        <w:rPr>
          <w:rFonts w:ascii="Times New Roman" w:hAnsi="Times New Roman" w:cs="Times New Roman"/>
          <w:i/>
          <w:noProof/>
          <w:sz w:val="24"/>
          <w:szCs w:val="24"/>
        </w:rPr>
        <w:t>«Norma Cubana de Contabilidad (NCC No. 8) Activos Fijos Intangibles»</w:t>
      </w:r>
      <w:r w:rsidRPr="00CA41ED">
        <w:rPr>
          <w:rFonts w:ascii="Times New Roman" w:hAnsi="Times New Roman" w:cs="Times New Roman"/>
          <w:noProof/>
          <w:sz w:val="24"/>
          <w:szCs w:val="24"/>
        </w:rPr>
        <w:t xml:space="preserve">. Disponible en: </w:t>
      </w:r>
      <w:r w:rsidRPr="00CA41ED">
        <w:rPr>
          <w:rFonts w:ascii="Times New Roman" w:hAnsi="Times New Roman" w:cs="Times New Roman"/>
          <w:noProof/>
          <w:color w:val="0000FF"/>
          <w:sz w:val="24"/>
          <w:szCs w:val="24"/>
          <w:u w:val="single"/>
        </w:rPr>
        <w:t>https://</w:t>
      </w:r>
      <w:hyperlink r:id="rId27" w:history="1">
        <w:r w:rsidRPr="00CA41ED">
          <w:rPr>
            <w:rStyle w:val="Hipervnculo"/>
            <w:rFonts w:ascii="Times New Roman" w:hAnsi="Times New Roman" w:cs="Times New Roman"/>
            <w:noProof/>
            <w:color w:val="0000FF"/>
            <w:sz w:val="24"/>
            <w:szCs w:val="24"/>
          </w:rPr>
          <w:t>www.gacetaoficial.gob.cu/</w:t>
        </w:r>
      </w:hyperlink>
      <w:r w:rsidRPr="00CA41ED">
        <w:rPr>
          <w:rFonts w:ascii="Times New Roman" w:hAnsi="Times New Roman" w:cs="Times New Roman"/>
          <w:noProof/>
          <w:sz w:val="24"/>
          <w:szCs w:val="24"/>
        </w:rPr>
        <w:t xml:space="preserve"> [Consultado 20/05/2018].</w:t>
      </w:r>
      <w:bookmarkEnd w:id="15"/>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6" w:name="_ENREF_17"/>
      <w:r w:rsidRPr="00CA41ED">
        <w:rPr>
          <w:rFonts w:ascii="Times New Roman" w:hAnsi="Times New Roman" w:cs="Times New Roman"/>
          <w:noProof/>
          <w:sz w:val="24"/>
          <w:szCs w:val="24"/>
        </w:rPr>
        <w:t xml:space="preserve">Morán Martínez, L. (2015) «Anotación de los contratos de licencia de propiedad industrial y sus efectos jurídicos en Cuba», </w:t>
      </w:r>
      <w:r w:rsidRPr="00CA41ED">
        <w:rPr>
          <w:rFonts w:ascii="Times New Roman" w:hAnsi="Times New Roman" w:cs="Times New Roman"/>
          <w:i/>
          <w:noProof/>
          <w:sz w:val="24"/>
          <w:szCs w:val="24"/>
        </w:rPr>
        <w:t xml:space="preserve">Revista de Derecho, Universidad del Norte, Barranquilla, </w:t>
      </w:r>
      <w:r w:rsidRPr="00CA41ED">
        <w:rPr>
          <w:rFonts w:ascii="Times New Roman" w:hAnsi="Times New Roman" w:cs="Times New Roman"/>
          <w:noProof/>
          <w:sz w:val="24"/>
          <w:szCs w:val="24"/>
        </w:rPr>
        <w:t xml:space="preserve">(44). Disponible en: </w:t>
      </w:r>
      <w:hyperlink r:id="rId28" w:history="1">
        <w:r w:rsidRPr="00CA41ED">
          <w:rPr>
            <w:rStyle w:val="Hipervnculo"/>
            <w:rFonts w:ascii="Times New Roman" w:hAnsi="Times New Roman" w:cs="Times New Roman"/>
            <w:noProof/>
            <w:sz w:val="24"/>
            <w:szCs w:val="24"/>
          </w:rPr>
          <w:t>http://dx.doi.org/10.14482/dere.44.7169</w:t>
        </w:r>
      </w:hyperlink>
      <w:r w:rsidRPr="00CA41ED">
        <w:rPr>
          <w:rFonts w:ascii="Times New Roman" w:hAnsi="Times New Roman" w:cs="Times New Roman"/>
          <w:noProof/>
          <w:sz w:val="24"/>
          <w:szCs w:val="24"/>
        </w:rPr>
        <w:t xml:space="preserve"> [Consultado 29/09/2016].</w:t>
      </w:r>
      <w:bookmarkEnd w:id="16"/>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7" w:name="_ENREF_18"/>
      <w:r w:rsidRPr="00CA41ED">
        <w:rPr>
          <w:rFonts w:ascii="Times New Roman" w:hAnsi="Times New Roman" w:cs="Times New Roman"/>
          <w:noProof/>
          <w:sz w:val="24"/>
          <w:szCs w:val="24"/>
        </w:rPr>
        <w:t xml:space="preserve">Morejón Borjas, M. M. (2012) </w:t>
      </w:r>
      <w:r w:rsidRPr="00CA41ED">
        <w:rPr>
          <w:rFonts w:ascii="Times New Roman" w:hAnsi="Times New Roman" w:cs="Times New Roman"/>
          <w:i/>
          <w:noProof/>
          <w:sz w:val="24"/>
          <w:szCs w:val="24"/>
        </w:rPr>
        <w:t>Tecnología para la gestión de la propiedad intelectual en la empresa estatal cubana. Aplicación en organizaciones empresariales de la provincia Holguín</w:t>
      </w:r>
      <w:r w:rsidRPr="00CA41ED">
        <w:rPr>
          <w:rFonts w:ascii="Times New Roman" w:hAnsi="Times New Roman" w:cs="Times New Roman"/>
          <w:noProof/>
          <w:sz w:val="24"/>
          <w:szCs w:val="24"/>
        </w:rPr>
        <w:t>. Tesis presentada en opción al Título de Doctor en Ciencias Técnicas. Instituto Superior de Tecnologías y Ciencias Aplicadas. Ciudad de Holguín, Cuba.</w:t>
      </w:r>
      <w:bookmarkEnd w:id="17"/>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8" w:name="_ENREF_19"/>
      <w:r w:rsidRPr="00CA41ED">
        <w:rPr>
          <w:rFonts w:ascii="Times New Roman" w:hAnsi="Times New Roman" w:cs="Times New Roman"/>
          <w:noProof/>
          <w:sz w:val="24"/>
          <w:szCs w:val="24"/>
        </w:rPr>
        <w:t xml:space="preserve">Moreno Cruz, M. (2017) «Garantías del Sistema Jurídico Cubano para la Promoción y Protección de la Inversión Extranjera», </w:t>
      </w:r>
      <w:r w:rsidRPr="00CA41ED">
        <w:rPr>
          <w:rFonts w:ascii="Times New Roman" w:hAnsi="Times New Roman" w:cs="Times New Roman"/>
          <w:i/>
          <w:noProof/>
          <w:sz w:val="24"/>
          <w:szCs w:val="24"/>
        </w:rPr>
        <w:t>Florida Journal of International Law,</w:t>
      </w:r>
      <w:r w:rsidRPr="00CA41ED">
        <w:rPr>
          <w:rFonts w:ascii="Times New Roman" w:hAnsi="Times New Roman" w:cs="Times New Roman"/>
          <w:noProof/>
          <w:sz w:val="24"/>
          <w:szCs w:val="24"/>
        </w:rPr>
        <w:t xml:space="preserve"> 29, (1). Disponible en: </w:t>
      </w:r>
      <w:hyperlink r:id="rId29" w:history="1">
        <w:r w:rsidRPr="00CA41ED">
          <w:rPr>
            <w:rStyle w:val="Hipervnculo"/>
            <w:rFonts w:ascii="Times New Roman" w:hAnsi="Times New Roman" w:cs="Times New Roman"/>
            <w:noProof/>
            <w:sz w:val="24"/>
            <w:szCs w:val="24"/>
          </w:rPr>
          <w:t>http://scholarship.law.ufl.edu/fjil/vol29/iss1/27</w:t>
        </w:r>
      </w:hyperlink>
      <w:r w:rsidRPr="00CA41ED">
        <w:rPr>
          <w:rFonts w:ascii="Times New Roman" w:hAnsi="Times New Roman" w:cs="Times New Roman"/>
          <w:noProof/>
          <w:sz w:val="24"/>
          <w:szCs w:val="24"/>
        </w:rPr>
        <w:t xml:space="preserve"> [Consultado 21/04/2018].</w:t>
      </w:r>
      <w:bookmarkEnd w:id="18"/>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19" w:name="_ENREF_20"/>
      <w:r w:rsidRPr="00CA41ED">
        <w:rPr>
          <w:rFonts w:ascii="Times New Roman" w:hAnsi="Times New Roman" w:cs="Times New Roman"/>
          <w:noProof/>
          <w:sz w:val="24"/>
          <w:szCs w:val="24"/>
        </w:rPr>
        <w:t xml:space="preserve">Odriozola Guitart, S. y J. Triana Cordoví (2018) Sobre Innovación, La Habana, Cuba, </w:t>
      </w:r>
      <w:r w:rsidRPr="00CA41ED">
        <w:rPr>
          <w:rFonts w:ascii="Times New Roman" w:hAnsi="Times New Roman" w:cs="Times New Roman"/>
          <w:i/>
          <w:noProof/>
          <w:sz w:val="24"/>
          <w:szCs w:val="24"/>
        </w:rPr>
        <w:t>Programa televisivo «En buen Cubano», Cubavisión Internacional, 3 de febrero, 2:30-3:00 pm</w:t>
      </w:r>
      <w:r w:rsidRPr="00CA41ED">
        <w:rPr>
          <w:rFonts w:ascii="Times New Roman" w:hAnsi="Times New Roman" w:cs="Times New Roman"/>
          <w:noProof/>
          <w:sz w:val="24"/>
          <w:szCs w:val="24"/>
        </w:rPr>
        <w:t>.</w:t>
      </w:r>
      <w:bookmarkEnd w:id="19"/>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20" w:name="_ENREF_21"/>
      <w:r w:rsidRPr="00CA41ED">
        <w:rPr>
          <w:rFonts w:ascii="Times New Roman" w:hAnsi="Times New Roman" w:cs="Times New Roman"/>
          <w:noProof/>
          <w:sz w:val="24"/>
          <w:szCs w:val="24"/>
        </w:rPr>
        <w:lastRenderedPageBreak/>
        <w:t>Partido Comunista de Cuba (2017) «</w:t>
      </w:r>
      <w:r w:rsidRPr="00CA41ED">
        <w:rPr>
          <w:rFonts w:ascii="Times New Roman" w:hAnsi="Times New Roman" w:cs="Times New Roman"/>
          <w:i/>
          <w:noProof/>
          <w:sz w:val="24"/>
          <w:szCs w:val="24"/>
        </w:rPr>
        <w:t>Plan Nacional de Desarrollo Económico y Social hasta 2030: Visión de la nación, ejes y sectores estratégicos»,</w:t>
      </w:r>
      <w:r w:rsidRPr="00CA41ED">
        <w:rPr>
          <w:rFonts w:ascii="Times New Roman" w:hAnsi="Times New Roman" w:cs="Times New Roman"/>
          <w:noProof/>
          <w:sz w:val="24"/>
          <w:szCs w:val="24"/>
        </w:rPr>
        <w:t xml:space="preserve">  Especial Impresa ed. La Habana, Cuba: Tabloides I y II Documentos del 7</w:t>
      </w:r>
      <w:r w:rsidRPr="00CA41ED">
        <w:rPr>
          <w:rFonts w:ascii="Times New Roman" w:hAnsi="Times New Roman" w:cs="Times New Roman"/>
          <w:noProof/>
          <w:sz w:val="24"/>
          <w:szCs w:val="24"/>
          <w:vertAlign w:val="superscript"/>
        </w:rPr>
        <w:t>mo</w:t>
      </w:r>
      <w:r w:rsidRPr="00CA41ED">
        <w:rPr>
          <w:rFonts w:ascii="Times New Roman" w:hAnsi="Times New Roman" w:cs="Times New Roman"/>
          <w:noProof/>
          <w:sz w:val="24"/>
          <w:szCs w:val="24"/>
        </w:rPr>
        <w:t xml:space="preserve"> Congreso del Partido.</w:t>
      </w:r>
      <w:bookmarkEnd w:id="20"/>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21" w:name="_ENREF_22"/>
      <w:r w:rsidRPr="00CA41ED">
        <w:rPr>
          <w:rFonts w:ascii="Times New Roman" w:hAnsi="Times New Roman" w:cs="Times New Roman"/>
          <w:noProof/>
          <w:sz w:val="24"/>
          <w:szCs w:val="24"/>
        </w:rPr>
        <w:t xml:space="preserve">Rondón de Sansó, H. (2017) «Régimen de la relación de trabajo relativa a creaciones de derechos intelectuales», </w:t>
      </w:r>
      <w:r w:rsidRPr="00CA41ED">
        <w:rPr>
          <w:rFonts w:ascii="Times New Roman" w:hAnsi="Times New Roman" w:cs="Times New Roman"/>
          <w:i/>
          <w:noProof/>
          <w:sz w:val="24"/>
          <w:szCs w:val="24"/>
        </w:rPr>
        <w:t xml:space="preserve">Revista Propiedad Intelectual, Mérida, Venezuela, </w:t>
      </w:r>
      <w:r w:rsidRPr="00CA41ED">
        <w:rPr>
          <w:rFonts w:ascii="Times New Roman" w:hAnsi="Times New Roman" w:cs="Times New Roman"/>
          <w:noProof/>
          <w:sz w:val="24"/>
          <w:szCs w:val="24"/>
        </w:rPr>
        <w:t xml:space="preserve">enero-diciembre, año XV, (19). Disponible en: </w:t>
      </w:r>
      <w:hyperlink r:id="rId30" w:history="1">
        <w:r w:rsidRPr="00CA41ED">
          <w:rPr>
            <w:rStyle w:val="Hipervnculo"/>
            <w:rFonts w:ascii="Times New Roman" w:hAnsi="Times New Roman" w:cs="Times New Roman"/>
            <w:noProof/>
            <w:sz w:val="24"/>
            <w:szCs w:val="24"/>
          </w:rPr>
          <w:t>http://www.saber.ula.ve/bitstream/handle/123456789/43662/articulo_1.pdf?sequence=2&amp;isAllowed=y</w:t>
        </w:r>
      </w:hyperlink>
      <w:r w:rsidR="006742DC" w:rsidRPr="00CA41ED">
        <w:rPr>
          <w:rFonts w:ascii="Times New Roman" w:hAnsi="Times New Roman" w:cs="Times New Roman"/>
          <w:noProof/>
          <w:sz w:val="24"/>
          <w:szCs w:val="24"/>
        </w:rPr>
        <w:t xml:space="preserve"> </w:t>
      </w:r>
      <w:hyperlink r:id="rId31" w:history="1">
        <w:r w:rsidRPr="00CA41ED">
          <w:rPr>
            <w:rStyle w:val="Hipervnculo"/>
            <w:rFonts w:ascii="Times New Roman" w:hAnsi="Times New Roman" w:cs="Times New Roman"/>
            <w:noProof/>
            <w:sz w:val="24"/>
            <w:szCs w:val="24"/>
          </w:rPr>
          <w:t>http://www.saber.ula.ve/handle/123456789/43662</w:t>
        </w:r>
      </w:hyperlink>
      <w:r w:rsidRPr="00CA41ED">
        <w:rPr>
          <w:rFonts w:ascii="Times New Roman" w:hAnsi="Times New Roman" w:cs="Times New Roman"/>
          <w:noProof/>
          <w:sz w:val="24"/>
          <w:szCs w:val="24"/>
        </w:rPr>
        <w:t xml:space="preserve"> [Consultado 03/05/2018].</w:t>
      </w:r>
      <w:bookmarkEnd w:id="21"/>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22" w:name="_ENREF_23"/>
      <w:r w:rsidRPr="00CA41ED">
        <w:rPr>
          <w:rFonts w:ascii="Times New Roman" w:hAnsi="Times New Roman" w:cs="Times New Roman"/>
          <w:noProof/>
          <w:sz w:val="24"/>
          <w:szCs w:val="24"/>
        </w:rPr>
        <w:t xml:space="preserve">Ruso, F. y N. Porto (2015) «La Contabilidad y su vínculo con los nuevos elementos que protagonizan la gestión en las organizaciones: los intangibles del conocimiento», </w:t>
      </w:r>
      <w:r w:rsidRPr="00CA41ED">
        <w:rPr>
          <w:rFonts w:ascii="Times New Roman" w:hAnsi="Times New Roman" w:cs="Times New Roman"/>
          <w:i/>
          <w:noProof/>
          <w:sz w:val="24"/>
          <w:szCs w:val="24"/>
        </w:rPr>
        <w:t xml:space="preserve">Revista Visión Contable, </w:t>
      </w:r>
      <w:r w:rsidRPr="00CA41ED">
        <w:rPr>
          <w:rFonts w:ascii="Times New Roman" w:hAnsi="Times New Roman" w:cs="Times New Roman"/>
          <w:noProof/>
          <w:sz w:val="24"/>
          <w:szCs w:val="24"/>
        </w:rPr>
        <w:t xml:space="preserve">enero-diciembre, (13). Disponible en: </w:t>
      </w:r>
      <w:hyperlink r:id="rId32" w:history="1">
        <w:r w:rsidRPr="00CA41ED">
          <w:rPr>
            <w:rStyle w:val="Hipervnculo"/>
            <w:rFonts w:ascii="Times New Roman" w:hAnsi="Times New Roman" w:cs="Times New Roman"/>
            <w:noProof/>
            <w:sz w:val="24"/>
            <w:szCs w:val="24"/>
          </w:rPr>
          <w:t>http://publicaciones.unaula.edu.co/index.php/VisionContable/article/download/70/40</w:t>
        </w:r>
      </w:hyperlink>
      <w:r w:rsidRPr="00CA41ED">
        <w:rPr>
          <w:rFonts w:ascii="Times New Roman" w:hAnsi="Times New Roman" w:cs="Times New Roman"/>
          <w:noProof/>
          <w:sz w:val="24"/>
          <w:szCs w:val="24"/>
        </w:rPr>
        <w:t xml:space="preserve"> [Consultado 03/06/2016].</w:t>
      </w:r>
      <w:bookmarkEnd w:id="22"/>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23" w:name="_ENREF_24"/>
      <w:r w:rsidRPr="00CA41ED">
        <w:rPr>
          <w:rFonts w:ascii="Times New Roman" w:hAnsi="Times New Roman" w:cs="Times New Roman"/>
          <w:noProof/>
          <w:sz w:val="24"/>
          <w:szCs w:val="24"/>
        </w:rPr>
        <w:t xml:space="preserve">Suárez Gutiérrez, E. (2018) </w:t>
      </w:r>
      <w:r w:rsidRPr="00CA41ED">
        <w:rPr>
          <w:rFonts w:ascii="Times New Roman" w:hAnsi="Times New Roman" w:cs="Times New Roman"/>
          <w:i/>
          <w:noProof/>
          <w:sz w:val="24"/>
          <w:szCs w:val="24"/>
        </w:rPr>
        <w:t>Procedimiento contable para la valoración y reconocimiento de activos fijos intangibles de propiedad intelectual en empresas estatales cubanas</w:t>
      </w:r>
      <w:r w:rsidRPr="00CA41ED">
        <w:rPr>
          <w:rFonts w:ascii="Times New Roman" w:hAnsi="Times New Roman" w:cs="Times New Roman"/>
          <w:noProof/>
          <w:sz w:val="24"/>
          <w:szCs w:val="24"/>
        </w:rPr>
        <w:t>. Tesis presentada en opción al Título de Doctor en Ciencias Económicas, Especialidad Contabilidad. Universidad Central «Marta Abreu» de Las Villas, Facultad de Ciencias Económicas, Departamento de Contabilidad y Finanzas. La Habana, Cuba.</w:t>
      </w:r>
      <w:bookmarkEnd w:id="23"/>
    </w:p>
    <w:p w:rsidR="00790FE3" w:rsidRPr="00CA41ED" w:rsidRDefault="00790FE3" w:rsidP="00CA41ED">
      <w:pPr>
        <w:pStyle w:val="Prrafodelista"/>
        <w:numPr>
          <w:ilvl w:val="0"/>
          <w:numId w:val="9"/>
        </w:numPr>
        <w:spacing w:after="0" w:line="360" w:lineRule="auto"/>
        <w:ind w:left="0" w:firstLine="0"/>
        <w:jc w:val="both"/>
        <w:rPr>
          <w:rFonts w:ascii="Times New Roman" w:hAnsi="Times New Roman" w:cs="Times New Roman"/>
          <w:noProof/>
          <w:sz w:val="24"/>
          <w:szCs w:val="24"/>
        </w:rPr>
      </w:pPr>
      <w:bookmarkStart w:id="24" w:name="_ENREF_25"/>
      <w:r w:rsidRPr="00CA41ED">
        <w:rPr>
          <w:rFonts w:ascii="Times New Roman" w:hAnsi="Times New Roman" w:cs="Times New Roman"/>
          <w:noProof/>
          <w:sz w:val="24"/>
          <w:szCs w:val="24"/>
        </w:rPr>
        <w:t xml:space="preserve">Suárez Gutiérrez, E. y D. M. Contreras Villavicencio (2016) </w:t>
      </w:r>
      <w:r w:rsidRPr="00CA41ED">
        <w:rPr>
          <w:rFonts w:ascii="Times New Roman" w:hAnsi="Times New Roman" w:cs="Times New Roman"/>
          <w:i/>
          <w:noProof/>
          <w:sz w:val="24"/>
          <w:szCs w:val="24"/>
        </w:rPr>
        <w:t>Contabilidad  de activos intangibles de propiedad intelectual. Necesidad en la Empresa Estatal Socialista Cubana.</w:t>
      </w:r>
      <w:r w:rsidRPr="00CA41ED">
        <w:rPr>
          <w:rFonts w:ascii="Times New Roman" w:hAnsi="Times New Roman" w:cs="Times New Roman"/>
          <w:noProof/>
          <w:sz w:val="24"/>
          <w:szCs w:val="24"/>
        </w:rPr>
        <w:t xml:space="preserve"> Copyright © OmniScriptum GmbH &amp; Co. KG ed. </w:t>
      </w:r>
      <w:hyperlink r:id="rId33" w:history="1">
        <w:r w:rsidRPr="00CA41ED">
          <w:rPr>
            <w:rStyle w:val="Hipervnculo"/>
            <w:rFonts w:ascii="Times New Roman" w:hAnsi="Times New Roman" w:cs="Times New Roman"/>
            <w:noProof/>
            <w:sz w:val="24"/>
            <w:szCs w:val="24"/>
          </w:rPr>
          <w:t>http://www.eae-publishing.com:</w:t>
        </w:r>
      </w:hyperlink>
      <w:r w:rsidRPr="00CA41ED">
        <w:rPr>
          <w:rFonts w:ascii="Times New Roman" w:hAnsi="Times New Roman" w:cs="Times New Roman"/>
          <w:noProof/>
          <w:sz w:val="24"/>
          <w:szCs w:val="24"/>
        </w:rPr>
        <w:t xml:space="preserve"> Editorial Académica Española (eae). ISBN 978-3-639-78606-4.</w:t>
      </w:r>
      <w:bookmarkEnd w:id="24"/>
    </w:p>
    <w:p w:rsidR="00C25BDD" w:rsidRPr="00CA41ED" w:rsidRDefault="00790FE3" w:rsidP="00CA41ED">
      <w:pPr>
        <w:pStyle w:val="Prrafodelista"/>
        <w:numPr>
          <w:ilvl w:val="0"/>
          <w:numId w:val="9"/>
        </w:numPr>
        <w:spacing w:after="0" w:line="360" w:lineRule="auto"/>
        <w:ind w:left="0" w:firstLine="0"/>
        <w:jc w:val="both"/>
        <w:rPr>
          <w:rFonts w:ascii="Times New Roman" w:hAnsi="Times New Roman" w:cs="Times New Roman"/>
          <w:b/>
          <w:sz w:val="24"/>
          <w:szCs w:val="24"/>
        </w:rPr>
      </w:pPr>
      <w:bookmarkStart w:id="25" w:name="_ENREF_26"/>
      <w:r w:rsidRPr="00CA41ED">
        <w:rPr>
          <w:rFonts w:ascii="Times New Roman" w:hAnsi="Times New Roman" w:cs="Times New Roman"/>
          <w:noProof/>
          <w:sz w:val="24"/>
          <w:szCs w:val="24"/>
        </w:rPr>
        <w:t xml:space="preserve">Valdés Trujillo, I. y L. Zueva (2018) </w:t>
      </w:r>
      <w:r w:rsidRPr="00CA41ED">
        <w:rPr>
          <w:rFonts w:ascii="Times New Roman" w:hAnsi="Times New Roman" w:cs="Times New Roman"/>
          <w:i/>
          <w:noProof/>
          <w:sz w:val="24"/>
          <w:szCs w:val="24"/>
        </w:rPr>
        <w:t>«Enfoque estratégico del sistema interno de propiedad industrial de la empresa Génesis: retos e impactos en el contexto de la actualización del modelo económico cubano»</w:t>
      </w:r>
      <w:r w:rsidRPr="00CA41ED">
        <w:rPr>
          <w:rFonts w:ascii="Times New Roman" w:hAnsi="Times New Roman" w:cs="Times New Roman"/>
          <w:noProof/>
          <w:sz w:val="24"/>
          <w:szCs w:val="24"/>
        </w:rPr>
        <w:t xml:space="preserve">. Ponencia presentada en el Seminario Internacional «Innovación, Desarrollo y Propiedad Industrial» celebrado los días 24, 25 y 26 de abril en La Habana, Cuba. Disponible en: </w:t>
      </w:r>
      <w:hyperlink r:id="rId34" w:history="1">
        <w:r w:rsidRPr="00CA41ED">
          <w:rPr>
            <w:rStyle w:val="Hipervnculo"/>
            <w:rFonts w:ascii="Times New Roman" w:hAnsi="Times New Roman" w:cs="Times New Roman"/>
            <w:noProof/>
            <w:sz w:val="24"/>
            <w:szCs w:val="24"/>
          </w:rPr>
          <w:t>http://www.ocpi.cu/eventos/conferencias/1689</w:t>
        </w:r>
      </w:hyperlink>
      <w:r w:rsidRPr="00CA41ED">
        <w:rPr>
          <w:rFonts w:ascii="Times New Roman" w:hAnsi="Times New Roman" w:cs="Times New Roman"/>
          <w:noProof/>
          <w:sz w:val="24"/>
          <w:szCs w:val="24"/>
        </w:rPr>
        <w:t xml:space="preserve"> [Consultado 18/07/2018].</w:t>
      </w:r>
      <w:bookmarkEnd w:id="25"/>
      <w:r w:rsidR="00533221" w:rsidRPr="00CA41ED">
        <w:rPr>
          <w:rFonts w:ascii="Times New Roman" w:hAnsi="Times New Roman" w:cs="Times New Roman"/>
          <w:sz w:val="24"/>
          <w:szCs w:val="24"/>
        </w:rPr>
        <w:fldChar w:fldCharType="end"/>
      </w:r>
    </w:p>
    <w:sectPr w:rsidR="00C25BDD" w:rsidRPr="00CA41ED" w:rsidSect="00C8585B">
      <w:headerReference w:type="even" r:id="rId35"/>
      <w:headerReference w:type="default" r:id="rId36"/>
      <w:footerReference w:type="even" r:id="rId37"/>
      <w:footerReference w:type="default" r:id="rId38"/>
      <w:headerReference w:type="first" r:id="rId39"/>
      <w:footerReference w:type="first" r:id="rId40"/>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7A4" w:rsidRDefault="005D67A4" w:rsidP="00C8585B">
      <w:pPr>
        <w:spacing w:after="0" w:line="240" w:lineRule="auto"/>
      </w:pPr>
      <w:r>
        <w:separator/>
      </w:r>
    </w:p>
  </w:endnote>
  <w:endnote w:type="continuationSeparator" w:id="0">
    <w:p w:rsidR="005D67A4" w:rsidRDefault="005D67A4"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1"/>
    <w:family w:val="swiss"/>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FF3" w:rsidRDefault="00110FF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70190"/>
      <w:docPartObj>
        <w:docPartGallery w:val="Page Numbers (Bottom of Page)"/>
        <w:docPartUnique/>
      </w:docPartObj>
    </w:sdtPr>
    <w:sdtEndPr>
      <w:rPr>
        <w:rFonts w:ascii="Times New Roman" w:hAnsi="Times New Roman" w:cs="Times New Roman"/>
        <w:sz w:val="24"/>
        <w:szCs w:val="24"/>
      </w:rPr>
    </w:sdtEndPr>
    <w:sdtContent>
      <w:p w:rsidR="00306C2D" w:rsidRPr="005B17F7" w:rsidRDefault="00533221">
        <w:pPr>
          <w:pStyle w:val="Piedepgina"/>
          <w:jc w:val="right"/>
          <w:rPr>
            <w:rFonts w:ascii="Times New Roman" w:hAnsi="Times New Roman" w:cs="Times New Roman"/>
            <w:sz w:val="24"/>
            <w:szCs w:val="24"/>
          </w:rPr>
        </w:pPr>
        <w:r w:rsidRPr="005B17F7">
          <w:rPr>
            <w:rFonts w:ascii="Times New Roman" w:hAnsi="Times New Roman" w:cs="Times New Roman"/>
            <w:sz w:val="24"/>
            <w:szCs w:val="24"/>
          </w:rPr>
          <w:fldChar w:fldCharType="begin"/>
        </w:r>
        <w:r w:rsidR="00306C2D" w:rsidRPr="005B17F7">
          <w:rPr>
            <w:rFonts w:ascii="Times New Roman" w:hAnsi="Times New Roman" w:cs="Times New Roman"/>
            <w:sz w:val="24"/>
            <w:szCs w:val="24"/>
          </w:rPr>
          <w:instrText xml:space="preserve"> PAGE   \* MERGEFORMAT </w:instrText>
        </w:r>
        <w:r w:rsidRPr="005B17F7">
          <w:rPr>
            <w:rFonts w:ascii="Times New Roman" w:hAnsi="Times New Roman" w:cs="Times New Roman"/>
            <w:sz w:val="24"/>
            <w:szCs w:val="24"/>
          </w:rPr>
          <w:fldChar w:fldCharType="separate"/>
        </w:r>
        <w:r w:rsidR="00AC7ACD">
          <w:rPr>
            <w:rFonts w:ascii="Times New Roman" w:hAnsi="Times New Roman" w:cs="Times New Roman"/>
            <w:noProof/>
            <w:sz w:val="24"/>
            <w:szCs w:val="24"/>
          </w:rPr>
          <w:t>6</w:t>
        </w:r>
        <w:r w:rsidRPr="005B17F7">
          <w:rPr>
            <w:rFonts w:ascii="Times New Roman" w:hAnsi="Times New Roman" w:cs="Times New Roman"/>
            <w:noProof/>
            <w:sz w:val="24"/>
            <w:szCs w:val="24"/>
          </w:rPr>
          <w:fldChar w:fldCharType="end"/>
        </w:r>
      </w:p>
    </w:sdtContent>
  </w:sdt>
  <w:p w:rsidR="00306C2D" w:rsidRPr="00C8585B" w:rsidRDefault="00306C2D" w:rsidP="00A73C37">
    <w:pPr>
      <w:pStyle w:val="Encabezado"/>
      <w:jc w:val="center"/>
      <w:rPr>
        <w:rFonts w:ascii="Verdana" w:hAnsi="Verdana"/>
        <w:b/>
        <w:sz w:val="16"/>
        <w:szCs w:val="16"/>
        <w:lang w:val="es-ES_tradnl"/>
      </w:rPr>
    </w:pPr>
    <w:r>
      <w:rPr>
        <w:rFonts w:ascii="Verdana" w:hAnsi="Verdana"/>
        <w:b/>
        <w:sz w:val="16"/>
        <w:szCs w:val="16"/>
        <w:lang w:val="es-ES_tradnl"/>
      </w:rPr>
      <w:t>II Convención Científica Internacional 2019</w:t>
    </w:r>
  </w:p>
  <w:p w:rsidR="00306C2D" w:rsidRPr="00C8585B" w:rsidRDefault="00306C2D" w:rsidP="00A73C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306C2D" w:rsidRDefault="00306C2D" w:rsidP="00A73C37">
    <w:pPr>
      <w:pStyle w:val="Encabezado"/>
      <w:jc w:val="center"/>
    </w:pPr>
    <w:r w:rsidRPr="00C8585B">
      <w:rPr>
        <w:rFonts w:ascii="Verdana" w:hAnsi="Verdana"/>
        <w:b/>
        <w:sz w:val="16"/>
        <w:szCs w:val="16"/>
        <w:lang w:val="es-ES_tradnl"/>
      </w:rPr>
      <w:t>CIENCIA, TECNOLOGÍA Y SOCIEDAD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FF3" w:rsidRDefault="00110FF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7A4" w:rsidRDefault="005D67A4" w:rsidP="00C8585B">
      <w:pPr>
        <w:spacing w:after="0" w:line="240" w:lineRule="auto"/>
      </w:pPr>
      <w:r>
        <w:separator/>
      </w:r>
    </w:p>
  </w:footnote>
  <w:footnote w:type="continuationSeparator" w:id="0">
    <w:p w:rsidR="005D67A4" w:rsidRDefault="005D67A4" w:rsidP="00C8585B">
      <w:pPr>
        <w:spacing w:after="0" w:line="240" w:lineRule="auto"/>
      </w:pPr>
      <w:r>
        <w:continuationSeparator/>
      </w:r>
    </w:p>
  </w:footnote>
  <w:footnote w:id="1">
    <w:p w:rsidR="00A92E36" w:rsidRPr="00CE503B" w:rsidRDefault="00A92E36" w:rsidP="00A92E36">
      <w:pPr>
        <w:pStyle w:val="Textonotapie"/>
        <w:rPr>
          <w:rFonts w:ascii="Times New Roman" w:hAnsi="Times New Roman" w:cs="Times New Roman"/>
        </w:rPr>
      </w:pPr>
      <w:r w:rsidRPr="00A1006B">
        <w:rPr>
          <w:rStyle w:val="Refdenotaalpie"/>
        </w:rPr>
        <w:footnoteRef/>
      </w:r>
      <w:r w:rsidRPr="00A1006B">
        <w:t xml:space="preserve"> </w:t>
      </w:r>
      <w:r w:rsidRPr="00CE503B">
        <w:rPr>
          <w:rFonts w:ascii="Times New Roman" w:hAnsi="Times New Roman" w:cs="Times New Roman"/>
        </w:rPr>
        <w:t xml:space="preserve">La </w:t>
      </w:r>
      <w:r w:rsidRPr="00CE503B">
        <w:rPr>
          <w:rFonts w:ascii="Times New Roman" w:hAnsi="Times New Roman" w:cs="Times New Roman"/>
          <w:iCs/>
        </w:rPr>
        <w:t>pr</w:t>
      </w:r>
      <w:r w:rsidRPr="00CE503B">
        <w:rPr>
          <w:rFonts w:ascii="Times New Roman" w:hAnsi="Times New Roman" w:cs="Times New Roman"/>
          <w:iCs/>
          <w:spacing w:val="-3"/>
        </w:rPr>
        <w:t>i</w:t>
      </w:r>
      <w:r w:rsidRPr="00CE503B">
        <w:rPr>
          <w:rFonts w:ascii="Times New Roman" w:hAnsi="Times New Roman" w:cs="Times New Roman"/>
          <w:iCs/>
          <w:spacing w:val="-2"/>
        </w:rPr>
        <w:t>m</w:t>
      </w:r>
      <w:r w:rsidRPr="00CE503B">
        <w:rPr>
          <w:rFonts w:ascii="Times New Roman" w:hAnsi="Times New Roman" w:cs="Times New Roman"/>
          <w:iCs/>
        </w:rPr>
        <w:t>era</w:t>
      </w:r>
      <w:r w:rsidRPr="00CE503B">
        <w:rPr>
          <w:rFonts w:ascii="Times New Roman" w:hAnsi="Times New Roman" w:cs="Times New Roman"/>
          <w:iCs/>
          <w:spacing w:val="5"/>
        </w:rPr>
        <w:t xml:space="preserve"> </w:t>
      </w:r>
      <w:r w:rsidRPr="00CE503B">
        <w:rPr>
          <w:rFonts w:ascii="Times New Roman" w:hAnsi="Times New Roman" w:cs="Times New Roman"/>
          <w:iCs/>
        </w:rPr>
        <w:t>enc</w:t>
      </w:r>
      <w:r w:rsidRPr="00CE503B">
        <w:rPr>
          <w:rFonts w:ascii="Times New Roman" w:hAnsi="Times New Roman" w:cs="Times New Roman"/>
          <w:iCs/>
          <w:spacing w:val="-3"/>
        </w:rPr>
        <w:t>ue</w:t>
      </w:r>
      <w:r w:rsidRPr="00CE503B">
        <w:rPr>
          <w:rFonts w:ascii="Times New Roman" w:hAnsi="Times New Roman" w:cs="Times New Roman"/>
          <w:iCs/>
        </w:rPr>
        <w:t>sta</w:t>
      </w:r>
      <w:r w:rsidRPr="00CE503B">
        <w:rPr>
          <w:rFonts w:ascii="Times New Roman" w:hAnsi="Times New Roman" w:cs="Times New Roman"/>
          <w:iCs/>
          <w:spacing w:val="7"/>
        </w:rPr>
        <w:t xml:space="preserve"> </w:t>
      </w:r>
      <w:r w:rsidRPr="00CE503B">
        <w:rPr>
          <w:rFonts w:ascii="Times New Roman" w:hAnsi="Times New Roman" w:cs="Times New Roman"/>
          <w:iCs/>
        </w:rPr>
        <w:t>naci</w:t>
      </w:r>
      <w:r w:rsidRPr="00CE503B">
        <w:rPr>
          <w:rFonts w:ascii="Times New Roman" w:hAnsi="Times New Roman" w:cs="Times New Roman"/>
          <w:iCs/>
          <w:spacing w:val="-3"/>
        </w:rPr>
        <w:t>o</w:t>
      </w:r>
      <w:r w:rsidRPr="00CE503B">
        <w:rPr>
          <w:rFonts w:ascii="Times New Roman" w:hAnsi="Times New Roman" w:cs="Times New Roman"/>
          <w:iCs/>
        </w:rPr>
        <w:t>nal</w:t>
      </w:r>
      <w:r w:rsidRPr="00CE503B">
        <w:rPr>
          <w:rFonts w:ascii="Times New Roman" w:hAnsi="Times New Roman" w:cs="Times New Roman"/>
          <w:iCs/>
          <w:spacing w:val="4"/>
        </w:rPr>
        <w:t xml:space="preserve"> </w:t>
      </w:r>
      <w:r w:rsidRPr="00CE503B">
        <w:rPr>
          <w:rFonts w:ascii="Times New Roman" w:hAnsi="Times New Roman" w:cs="Times New Roman"/>
          <w:iCs/>
        </w:rPr>
        <w:t>s</w:t>
      </w:r>
      <w:r w:rsidRPr="00CE503B">
        <w:rPr>
          <w:rFonts w:ascii="Times New Roman" w:hAnsi="Times New Roman" w:cs="Times New Roman"/>
          <w:iCs/>
          <w:spacing w:val="-3"/>
        </w:rPr>
        <w:t>o</w:t>
      </w:r>
      <w:r w:rsidRPr="00CE503B">
        <w:rPr>
          <w:rFonts w:ascii="Times New Roman" w:hAnsi="Times New Roman" w:cs="Times New Roman"/>
          <w:iCs/>
        </w:rPr>
        <w:t>bre</w:t>
      </w:r>
      <w:r w:rsidRPr="00CE503B">
        <w:rPr>
          <w:rFonts w:ascii="Times New Roman" w:hAnsi="Times New Roman" w:cs="Times New Roman"/>
          <w:iCs/>
          <w:spacing w:val="5"/>
        </w:rPr>
        <w:t xml:space="preserve"> </w:t>
      </w:r>
      <w:r w:rsidRPr="00CE503B">
        <w:rPr>
          <w:rFonts w:ascii="Times New Roman" w:hAnsi="Times New Roman" w:cs="Times New Roman"/>
          <w:iCs/>
        </w:rPr>
        <w:t>la</w:t>
      </w:r>
      <w:r w:rsidRPr="00CE503B">
        <w:rPr>
          <w:rFonts w:ascii="Times New Roman" w:hAnsi="Times New Roman" w:cs="Times New Roman"/>
          <w:iCs/>
          <w:spacing w:val="7"/>
        </w:rPr>
        <w:t xml:space="preserve"> </w:t>
      </w:r>
      <w:r w:rsidRPr="00CE503B">
        <w:rPr>
          <w:rFonts w:ascii="Times New Roman" w:hAnsi="Times New Roman" w:cs="Times New Roman"/>
          <w:iCs/>
        </w:rPr>
        <w:t>activi</w:t>
      </w:r>
      <w:r w:rsidRPr="00CE503B">
        <w:rPr>
          <w:rFonts w:ascii="Times New Roman" w:hAnsi="Times New Roman" w:cs="Times New Roman"/>
          <w:iCs/>
          <w:spacing w:val="-3"/>
        </w:rPr>
        <w:t>d</w:t>
      </w:r>
      <w:r w:rsidRPr="00CE503B">
        <w:rPr>
          <w:rFonts w:ascii="Times New Roman" w:hAnsi="Times New Roman" w:cs="Times New Roman"/>
          <w:iCs/>
        </w:rPr>
        <w:t>ad</w:t>
      </w:r>
      <w:r w:rsidRPr="00CE503B">
        <w:rPr>
          <w:rFonts w:ascii="Times New Roman" w:hAnsi="Times New Roman" w:cs="Times New Roman"/>
          <w:iCs/>
          <w:spacing w:val="5"/>
        </w:rPr>
        <w:t xml:space="preserve"> </w:t>
      </w:r>
      <w:r w:rsidRPr="00CE503B">
        <w:rPr>
          <w:rFonts w:ascii="Times New Roman" w:hAnsi="Times New Roman" w:cs="Times New Roman"/>
          <w:iCs/>
        </w:rPr>
        <w:t>de</w:t>
      </w:r>
      <w:r w:rsidRPr="00CE503B">
        <w:rPr>
          <w:rFonts w:ascii="Times New Roman" w:hAnsi="Times New Roman" w:cs="Times New Roman"/>
          <w:iCs/>
          <w:spacing w:val="5"/>
        </w:rPr>
        <w:t xml:space="preserve"> </w:t>
      </w:r>
      <w:r w:rsidRPr="00CE503B">
        <w:rPr>
          <w:rFonts w:ascii="Times New Roman" w:hAnsi="Times New Roman" w:cs="Times New Roman"/>
          <w:iCs/>
          <w:spacing w:val="-3"/>
        </w:rPr>
        <w:t>i</w:t>
      </w:r>
      <w:r w:rsidRPr="00CE503B">
        <w:rPr>
          <w:rFonts w:ascii="Times New Roman" w:hAnsi="Times New Roman" w:cs="Times New Roman"/>
          <w:iCs/>
        </w:rPr>
        <w:t>nno</w:t>
      </w:r>
      <w:r w:rsidRPr="00CE503B">
        <w:rPr>
          <w:rFonts w:ascii="Times New Roman" w:hAnsi="Times New Roman" w:cs="Times New Roman"/>
          <w:iCs/>
          <w:spacing w:val="-4"/>
        </w:rPr>
        <w:t>v</w:t>
      </w:r>
      <w:r w:rsidRPr="00CE503B">
        <w:rPr>
          <w:rFonts w:ascii="Times New Roman" w:hAnsi="Times New Roman" w:cs="Times New Roman"/>
          <w:iCs/>
        </w:rPr>
        <w:t xml:space="preserve">ación </w:t>
      </w:r>
      <w:r w:rsidRPr="00CE503B">
        <w:rPr>
          <w:rFonts w:ascii="Times New Roman" w:hAnsi="Times New Roman" w:cs="Times New Roman"/>
        </w:rPr>
        <w:t>en</w:t>
      </w:r>
      <w:r w:rsidRPr="00CE503B">
        <w:rPr>
          <w:rFonts w:ascii="Times New Roman" w:hAnsi="Times New Roman" w:cs="Times New Roman"/>
          <w:spacing w:val="3"/>
        </w:rPr>
        <w:t xml:space="preserve"> </w:t>
      </w:r>
      <w:r w:rsidRPr="00CE503B">
        <w:rPr>
          <w:rFonts w:ascii="Times New Roman" w:hAnsi="Times New Roman" w:cs="Times New Roman"/>
        </w:rPr>
        <w:t>el</w:t>
      </w:r>
      <w:r w:rsidRPr="00CE503B">
        <w:rPr>
          <w:rFonts w:ascii="Times New Roman" w:hAnsi="Times New Roman" w:cs="Times New Roman"/>
          <w:spacing w:val="4"/>
        </w:rPr>
        <w:t xml:space="preserve"> </w:t>
      </w:r>
      <w:r w:rsidRPr="00CE503B">
        <w:rPr>
          <w:rFonts w:ascii="Times New Roman" w:hAnsi="Times New Roman" w:cs="Times New Roman"/>
        </w:rPr>
        <w:t>a</w:t>
      </w:r>
      <w:r w:rsidRPr="00CE503B">
        <w:rPr>
          <w:rFonts w:ascii="Times New Roman" w:hAnsi="Times New Roman" w:cs="Times New Roman"/>
          <w:spacing w:val="-3"/>
        </w:rPr>
        <w:t>ñ</w:t>
      </w:r>
      <w:r w:rsidRPr="00CE503B">
        <w:rPr>
          <w:rFonts w:ascii="Times New Roman" w:hAnsi="Times New Roman" w:cs="Times New Roman"/>
        </w:rPr>
        <w:t>o</w:t>
      </w:r>
      <w:r w:rsidRPr="00CE503B">
        <w:rPr>
          <w:rFonts w:ascii="Times New Roman" w:hAnsi="Times New Roman" w:cs="Times New Roman"/>
          <w:spacing w:val="5"/>
        </w:rPr>
        <w:t xml:space="preserve"> </w:t>
      </w:r>
      <w:r w:rsidRPr="00CE503B">
        <w:rPr>
          <w:rFonts w:ascii="Times New Roman" w:hAnsi="Times New Roman" w:cs="Times New Roman"/>
        </w:rPr>
        <w:t>2</w:t>
      </w:r>
      <w:r w:rsidRPr="00CE503B">
        <w:rPr>
          <w:rFonts w:ascii="Times New Roman" w:hAnsi="Times New Roman" w:cs="Times New Roman"/>
          <w:spacing w:val="-3"/>
        </w:rPr>
        <w:t>0</w:t>
      </w:r>
      <w:r w:rsidRPr="00CE503B">
        <w:rPr>
          <w:rFonts w:ascii="Times New Roman" w:hAnsi="Times New Roman" w:cs="Times New Roman"/>
        </w:rPr>
        <w:t>00,</w:t>
      </w:r>
      <w:r w:rsidRPr="00CE503B">
        <w:rPr>
          <w:rFonts w:ascii="Times New Roman" w:hAnsi="Times New Roman" w:cs="Times New Roman"/>
          <w:spacing w:val="6"/>
        </w:rPr>
        <w:t xml:space="preserve"> </w:t>
      </w:r>
      <w:r w:rsidRPr="00CE503B">
        <w:rPr>
          <w:rFonts w:ascii="Times New Roman" w:hAnsi="Times New Roman" w:cs="Times New Roman"/>
        </w:rPr>
        <w:t>a 600 e</w:t>
      </w:r>
      <w:r w:rsidRPr="00CE503B">
        <w:rPr>
          <w:rFonts w:ascii="Times New Roman" w:hAnsi="Times New Roman" w:cs="Times New Roman"/>
          <w:spacing w:val="-2"/>
        </w:rPr>
        <w:t>m</w:t>
      </w:r>
      <w:r w:rsidRPr="00CE503B">
        <w:rPr>
          <w:rFonts w:ascii="Times New Roman" w:hAnsi="Times New Roman" w:cs="Times New Roman"/>
        </w:rPr>
        <w:t>presas es</w:t>
      </w:r>
      <w:r w:rsidRPr="00CE503B">
        <w:rPr>
          <w:rFonts w:ascii="Times New Roman" w:hAnsi="Times New Roman" w:cs="Times New Roman"/>
          <w:spacing w:val="-3"/>
        </w:rPr>
        <w:t>t</w:t>
      </w:r>
      <w:r w:rsidRPr="00CE503B">
        <w:rPr>
          <w:rFonts w:ascii="Times New Roman" w:hAnsi="Times New Roman" w:cs="Times New Roman"/>
        </w:rPr>
        <w:t>ata</w:t>
      </w:r>
      <w:r w:rsidRPr="00CE503B">
        <w:rPr>
          <w:rFonts w:ascii="Times New Roman" w:hAnsi="Times New Roman" w:cs="Times New Roman"/>
          <w:spacing w:val="-4"/>
        </w:rPr>
        <w:t>l</w:t>
      </w:r>
      <w:r w:rsidRPr="00CE503B">
        <w:rPr>
          <w:rFonts w:ascii="Times New Roman" w:hAnsi="Times New Roman" w:cs="Times New Roman"/>
        </w:rPr>
        <w:t>es, socie</w:t>
      </w:r>
      <w:r w:rsidRPr="00CE503B">
        <w:rPr>
          <w:rFonts w:ascii="Times New Roman" w:hAnsi="Times New Roman" w:cs="Times New Roman"/>
          <w:spacing w:val="-2"/>
        </w:rPr>
        <w:t>d</w:t>
      </w:r>
      <w:r w:rsidRPr="00CE503B">
        <w:rPr>
          <w:rFonts w:ascii="Times New Roman" w:hAnsi="Times New Roman" w:cs="Times New Roman"/>
        </w:rPr>
        <w:t xml:space="preserve">ades </w:t>
      </w:r>
      <w:r w:rsidRPr="00CE503B">
        <w:rPr>
          <w:rFonts w:ascii="Times New Roman" w:hAnsi="Times New Roman" w:cs="Times New Roman"/>
          <w:spacing w:val="-2"/>
        </w:rPr>
        <w:t>m</w:t>
      </w:r>
      <w:r w:rsidRPr="00CE503B">
        <w:rPr>
          <w:rFonts w:ascii="Times New Roman" w:hAnsi="Times New Roman" w:cs="Times New Roman"/>
        </w:rPr>
        <w:t>erca</w:t>
      </w:r>
      <w:r w:rsidRPr="00CE503B">
        <w:rPr>
          <w:rFonts w:ascii="Times New Roman" w:hAnsi="Times New Roman" w:cs="Times New Roman"/>
          <w:spacing w:val="-3"/>
        </w:rPr>
        <w:t>n</w:t>
      </w:r>
      <w:r w:rsidRPr="00CE503B">
        <w:rPr>
          <w:rFonts w:ascii="Times New Roman" w:hAnsi="Times New Roman" w:cs="Times New Roman"/>
        </w:rPr>
        <w:t>tiles y e</w:t>
      </w:r>
      <w:r w:rsidRPr="00CE503B">
        <w:rPr>
          <w:rFonts w:ascii="Times New Roman" w:hAnsi="Times New Roman" w:cs="Times New Roman"/>
          <w:spacing w:val="-2"/>
        </w:rPr>
        <w:t>m</w:t>
      </w:r>
      <w:r w:rsidRPr="00CE503B">
        <w:rPr>
          <w:rFonts w:ascii="Times New Roman" w:hAnsi="Times New Roman" w:cs="Times New Roman"/>
        </w:rPr>
        <w:t>pre</w:t>
      </w:r>
      <w:r w:rsidRPr="00CE503B">
        <w:rPr>
          <w:rFonts w:ascii="Times New Roman" w:hAnsi="Times New Roman" w:cs="Times New Roman"/>
          <w:spacing w:val="-4"/>
        </w:rPr>
        <w:t>s</w:t>
      </w:r>
      <w:r w:rsidRPr="00CE503B">
        <w:rPr>
          <w:rFonts w:ascii="Times New Roman" w:hAnsi="Times New Roman" w:cs="Times New Roman"/>
        </w:rPr>
        <w:t xml:space="preserve">as </w:t>
      </w:r>
      <w:r w:rsidRPr="00CE503B">
        <w:rPr>
          <w:rFonts w:ascii="Times New Roman" w:hAnsi="Times New Roman" w:cs="Times New Roman"/>
          <w:spacing w:val="-2"/>
        </w:rPr>
        <w:t>m</w:t>
      </w:r>
      <w:r w:rsidRPr="00CE503B">
        <w:rPr>
          <w:rFonts w:ascii="Times New Roman" w:hAnsi="Times New Roman" w:cs="Times New Roman"/>
        </w:rPr>
        <w:t>ixtas de varios sec</w:t>
      </w:r>
      <w:r w:rsidRPr="00CE503B">
        <w:rPr>
          <w:rFonts w:ascii="Times New Roman" w:hAnsi="Times New Roman" w:cs="Times New Roman"/>
          <w:spacing w:val="-3"/>
        </w:rPr>
        <w:t>t</w:t>
      </w:r>
      <w:r w:rsidRPr="00CE503B">
        <w:rPr>
          <w:rFonts w:ascii="Times New Roman" w:hAnsi="Times New Roman" w:cs="Times New Roman"/>
        </w:rPr>
        <w:t xml:space="preserve">ores </w:t>
      </w:r>
      <w:r w:rsidRPr="00CE503B">
        <w:rPr>
          <w:rFonts w:ascii="Times New Roman" w:hAnsi="Times New Roman" w:cs="Times New Roman"/>
          <w:spacing w:val="-3"/>
        </w:rPr>
        <w:t>d</w:t>
      </w:r>
      <w:r w:rsidRPr="00CE503B">
        <w:rPr>
          <w:rFonts w:ascii="Times New Roman" w:hAnsi="Times New Roman" w:cs="Times New Roman"/>
        </w:rPr>
        <w:t>e s</w:t>
      </w:r>
      <w:r w:rsidRPr="00CE503B">
        <w:rPr>
          <w:rFonts w:ascii="Times New Roman" w:hAnsi="Times New Roman" w:cs="Times New Roman"/>
          <w:spacing w:val="-3"/>
        </w:rPr>
        <w:t>u</w:t>
      </w:r>
      <w:r w:rsidRPr="00CE503B">
        <w:rPr>
          <w:rFonts w:ascii="Times New Roman" w:hAnsi="Times New Roman" w:cs="Times New Roman"/>
        </w:rPr>
        <w:t>bordi</w:t>
      </w:r>
      <w:r w:rsidRPr="00CE503B">
        <w:rPr>
          <w:rFonts w:ascii="Times New Roman" w:hAnsi="Times New Roman" w:cs="Times New Roman"/>
          <w:spacing w:val="-3"/>
        </w:rPr>
        <w:t>n</w:t>
      </w:r>
      <w:r w:rsidRPr="00CE503B">
        <w:rPr>
          <w:rFonts w:ascii="Times New Roman" w:hAnsi="Times New Roman" w:cs="Times New Roman"/>
        </w:rPr>
        <w:t xml:space="preserve">ación </w:t>
      </w:r>
      <w:r w:rsidRPr="00CE503B">
        <w:rPr>
          <w:rFonts w:ascii="Times New Roman" w:hAnsi="Times New Roman" w:cs="Times New Roman"/>
          <w:spacing w:val="-3"/>
        </w:rPr>
        <w:t>n</w:t>
      </w:r>
      <w:r w:rsidRPr="00CE503B">
        <w:rPr>
          <w:rFonts w:ascii="Times New Roman" w:hAnsi="Times New Roman" w:cs="Times New Roman"/>
        </w:rPr>
        <w:t xml:space="preserve">acional y en la </w:t>
      </w:r>
      <w:r w:rsidRPr="00CE503B">
        <w:rPr>
          <w:rFonts w:ascii="Times New Roman" w:hAnsi="Times New Roman" w:cs="Times New Roman"/>
          <w:iCs/>
          <w:spacing w:val="-3"/>
        </w:rPr>
        <w:t>s</w:t>
      </w:r>
      <w:r w:rsidRPr="00CE503B">
        <w:rPr>
          <w:rFonts w:ascii="Times New Roman" w:hAnsi="Times New Roman" w:cs="Times New Roman"/>
          <w:iCs/>
        </w:rPr>
        <w:t>eg</w:t>
      </w:r>
      <w:r w:rsidRPr="00CE503B">
        <w:rPr>
          <w:rFonts w:ascii="Times New Roman" w:hAnsi="Times New Roman" w:cs="Times New Roman"/>
          <w:iCs/>
          <w:spacing w:val="-3"/>
        </w:rPr>
        <w:t>u</w:t>
      </w:r>
      <w:r w:rsidRPr="00CE503B">
        <w:rPr>
          <w:rFonts w:ascii="Times New Roman" w:hAnsi="Times New Roman" w:cs="Times New Roman"/>
          <w:iCs/>
        </w:rPr>
        <w:t>n</w:t>
      </w:r>
      <w:r w:rsidRPr="00CE503B">
        <w:rPr>
          <w:rFonts w:ascii="Times New Roman" w:hAnsi="Times New Roman" w:cs="Times New Roman"/>
          <w:iCs/>
          <w:spacing w:val="-3"/>
        </w:rPr>
        <w:t>d</w:t>
      </w:r>
      <w:r w:rsidRPr="00CE503B">
        <w:rPr>
          <w:rFonts w:ascii="Times New Roman" w:hAnsi="Times New Roman" w:cs="Times New Roman"/>
          <w:iCs/>
        </w:rPr>
        <w:t xml:space="preserve">a en 2006 </w:t>
      </w:r>
      <w:r w:rsidRPr="00CE503B">
        <w:rPr>
          <w:rFonts w:ascii="Times New Roman" w:hAnsi="Times New Roman" w:cs="Times New Roman"/>
        </w:rPr>
        <w:t>ar</w:t>
      </w:r>
      <w:r w:rsidRPr="00CE503B">
        <w:rPr>
          <w:rFonts w:ascii="Times New Roman" w:hAnsi="Times New Roman" w:cs="Times New Roman"/>
          <w:spacing w:val="-3"/>
        </w:rPr>
        <w:t>r</w:t>
      </w:r>
      <w:r w:rsidRPr="00CE503B">
        <w:rPr>
          <w:rFonts w:ascii="Times New Roman" w:hAnsi="Times New Roman" w:cs="Times New Roman"/>
        </w:rPr>
        <w:t>ojó co</w:t>
      </w:r>
      <w:r w:rsidRPr="00CE503B">
        <w:rPr>
          <w:rFonts w:ascii="Times New Roman" w:hAnsi="Times New Roman" w:cs="Times New Roman"/>
          <w:spacing w:val="-2"/>
        </w:rPr>
        <w:t>m</w:t>
      </w:r>
      <w:r w:rsidRPr="00CE503B">
        <w:rPr>
          <w:rFonts w:ascii="Times New Roman" w:hAnsi="Times New Roman" w:cs="Times New Roman"/>
        </w:rPr>
        <w:t xml:space="preserve">o </w:t>
      </w:r>
      <w:r w:rsidRPr="00CE503B">
        <w:rPr>
          <w:rFonts w:ascii="Times New Roman" w:hAnsi="Times New Roman" w:cs="Times New Roman"/>
          <w:spacing w:val="-5"/>
        </w:rPr>
        <w:t>r</w:t>
      </w:r>
      <w:r w:rsidRPr="00CE503B">
        <w:rPr>
          <w:rFonts w:ascii="Times New Roman" w:hAnsi="Times New Roman" w:cs="Times New Roman"/>
        </w:rPr>
        <w:t>esult</w:t>
      </w:r>
      <w:r w:rsidRPr="00CE503B">
        <w:rPr>
          <w:rFonts w:ascii="Times New Roman" w:hAnsi="Times New Roman" w:cs="Times New Roman"/>
          <w:spacing w:val="-3"/>
        </w:rPr>
        <w:t>a</w:t>
      </w:r>
      <w:r w:rsidRPr="00CE503B">
        <w:rPr>
          <w:rFonts w:ascii="Times New Roman" w:hAnsi="Times New Roman" w:cs="Times New Roman"/>
        </w:rPr>
        <w:t>dos que existía des</w:t>
      </w:r>
      <w:r w:rsidRPr="00CE503B">
        <w:rPr>
          <w:rFonts w:ascii="Times New Roman" w:hAnsi="Times New Roman" w:cs="Times New Roman"/>
          <w:spacing w:val="-4"/>
        </w:rPr>
        <w:t>c</w:t>
      </w:r>
      <w:r w:rsidRPr="00CE503B">
        <w:rPr>
          <w:rFonts w:ascii="Times New Roman" w:hAnsi="Times New Roman" w:cs="Times New Roman"/>
        </w:rPr>
        <w:t>onoci</w:t>
      </w:r>
      <w:r w:rsidRPr="00CE503B">
        <w:rPr>
          <w:rFonts w:ascii="Times New Roman" w:hAnsi="Times New Roman" w:cs="Times New Roman"/>
          <w:spacing w:val="-3"/>
        </w:rPr>
        <w:t>m</w:t>
      </w:r>
      <w:r w:rsidRPr="00CE503B">
        <w:rPr>
          <w:rFonts w:ascii="Times New Roman" w:hAnsi="Times New Roman" w:cs="Times New Roman"/>
        </w:rPr>
        <w:t>ie</w:t>
      </w:r>
      <w:r w:rsidRPr="00CE503B">
        <w:rPr>
          <w:rFonts w:ascii="Times New Roman" w:hAnsi="Times New Roman" w:cs="Times New Roman"/>
          <w:spacing w:val="-2"/>
        </w:rPr>
        <w:t>n</w:t>
      </w:r>
      <w:r w:rsidRPr="00CE503B">
        <w:rPr>
          <w:rFonts w:ascii="Times New Roman" w:hAnsi="Times New Roman" w:cs="Times New Roman"/>
          <w:spacing w:val="-3"/>
        </w:rPr>
        <w:t>t</w:t>
      </w:r>
      <w:r w:rsidRPr="00CE503B">
        <w:rPr>
          <w:rFonts w:ascii="Times New Roman" w:hAnsi="Times New Roman" w:cs="Times New Roman"/>
        </w:rPr>
        <w:t>o</w:t>
      </w:r>
      <w:r w:rsidRPr="00CE503B">
        <w:rPr>
          <w:rFonts w:ascii="Times New Roman" w:hAnsi="Times New Roman" w:cs="Times New Roman"/>
          <w:spacing w:val="3"/>
        </w:rPr>
        <w:t xml:space="preserve"> </w:t>
      </w:r>
      <w:r w:rsidRPr="00CE503B">
        <w:rPr>
          <w:rFonts w:ascii="Times New Roman" w:hAnsi="Times New Roman" w:cs="Times New Roman"/>
        </w:rPr>
        <w:t>sobre la</w:t>
      </w:r>
      <w:r w:rsidRPr="00CE503B">
        <w:rPr>
          <w:rFonts w:ascii="Times New Roman" w:hAnsi="Times New Roman" w:cs="Times New Roman"/>
          <w:spacing w:val="3"/>
        </w:rPr>
        <w:t xml:space="preserve"> </w:t>
      </w:r>
      <w:r w:rsidRPr="00CE503B">
        <w:rPr>
          <w:rFonts w:ascii="Times New Roman" w:hAnsi="Times New Roman" w:cs="Times New Roman"/>
        </w:rPr>
        <w:t>activi</w:t>
      </w:r>
      <w:r w:rsidRPr="00CE503B">
        <w:rPr>
          <w:rFonts w:ascii="Times New Roman" w:hAnsi="Times New Roman" w:cs="Times New Roman"/>
          <w:spacing w:val="-3"/>
        </w:rPr>
        <w:t>d</w:t>
      </w:r>
      <w:r w:rsidRPr="00CE503B">
        <w:rPr>
          <w:rFonts w:ascii="Times New Roman" w:hAnsi="Times New Roman" w:cs="Times New Roman"/>
        </w:rPr>
        <w:t>ad</w:t>
      </w:r>
      <w:r w:rsidRPr="00CE503B">
        <w:rPr>
          <w:rFonts w:ascii="Times New Roman" w:hAnsi="Times New Roman" w:cs="Times New Roman"/>
          <w:spacing w:val="5"/>
        </w:rPr>
        <w:t xml:space="preserve"> </w:t>
      </w:r>
      <w:r w:rsidRPr="00CE503B">
        <w:rPr>
          <w:rFonts w:ascii="Times New Roman" w:hAnsi="Times New Roman" w:cs="Times New Roman"/>
        </w:rPr>
        <w:t>de</w:t>
      </w:r>
      <w:r w:rsidRPr="00CE503B">
        <w:rPr>
          <w:rFonts w:ascii="Times New Roman" w:hAnsi="Times New Roman" w:cs="Times New Roman"/>
          <w:spacing w:val="1"/>
        </w:rPr>
        <w:t xml:space="preserve"> </w:t>
      </w:r>
      <w:r w:rsidRPr="00CE503B">
        <w:rPr>
          <w:rFonts w:ascii="Times New Roman" w:hAnsi="Times New Roman" w:cs="Times New Roman"/>
        </w:rPr>
        <w:t>PI</w:t>
      </w:r>
      <w:r w:rsidRPr="00CE503B">
        <w:rPr>
          <w:rFonts w:ascii="Times New Roman" w:hAnsi="Times New Roman" w:cs="Times New Roman"/>
          <w:spacing w:val="3"/>
        </w:rPr>
        <w:t xml:space="preserve"> </w:t>
      </w:r>
      <w:r w:rsidRPr="00CE503B">
        <w:rPr>
          <w:rFonts w:ascii="Times New Roman" w:hAnsi="Times New Roman" w:cs="Times New Roman"/>
        </w:rPr>
        <w:t>y de</w:t>
      </w:r>
      <w:r w:rsidRPr="00CE503B">
        <w:rPr>
          <w:rFonts w:ascii="Times New Roman" w:hAnsi="Times New Roman" w:cs="Times New Roman"/>
          <w:spacing w:val="3"/>
        </w:rPr>
        <w:t xml:space="preserve"> </w:t>
      </w:r>
      <w:r w:rsidRPr="00CE503B">
        <w:rPr>
          <w:rFonts w:ascii="Times New Roman" w:hAnsi="Times New Roman" w:cs="Times New Roman"/>
        </w:rPr>
        <w:t>sus</w:t>
      </w:r>
      <w:r w:rsidRPr="00CE503B">
        <w:rPr>
          <w:rFonts w:ascii="Times New Roman" w:hAnsi="Times New Roman" w:cs="Times New Roman"/>
          <w:spacing w:val="2"/>
        </w:rPr>
        <w:t xml:space="preserve"> </w:t>
      </w:r>
      <w:r w:rsidRPr="00CE503B">
        <w:rPr>
          <w:rFonts w:ascii="Times New Roman" w:hAnsi="Times New Roman" w:cs="Times New Roman"/>
        </w:rPr>
        <w:t>i</w:t>
      </w:r>
      <w:r w:rsidRPr="00CE503B">
        <w:rPr>
          <w:rFonts w:ascii="Times New Roman" w:hAnsi="Times New Roman" w:cs="Times New Roman"/>
          <w:spacing w:val="-3"/>
        </w:rPr>
        <w:t>m</w:t>
      </w:r>
      <w:r w:rsidRPr="00CE503B">
        <w:rPr>
          <w:rFonts w:ascii="Times New Roman" w:hAnsi="Times New Roman" w:cs="Times New Roman"/>
        </w:rPr>
        <w:t>pl</w:t>
      </w:r>
      <w:r w:rsidRPr="00CE503B">
        <w:rPr>
          <w:rFonts w:ascii="Times New Roman" w:hAnsi="Times New Roman" w:cs="Times New Roman"/>
          <w:spacing w:val="-2"/>
        </w:rPr>
        <w:t>i</w:t>
      </w:r>
      <w:r w:rsidRPr="00CE503B">
        <w:rPr>
          <w:rFonts w:ascii="Times New Roman" w:hAnsi="Times New Roman" w:cs="Times New Roman"/>
        </w:rPr>
        <w:t>caci</w:t>
      </w:r>
      <w:r w:rsidRPr="00CE503B">
        <w:rPr>
          <w:rFonts w:ascii="Times New Roman" w:hAnsi="Times New Roman" w:cs="Times New Roman"/>
          <w:spacing w:val="-3"/>
        </w:rPr>
        <w:t>o</w:t>
      </w:r>
      <w:r w:rsidRPr="00CE503B">
        <w:rPr>
          <w:rFonts w:ascii="Times New Roman" w:hAnsi="Times New Roman" w:cs="Times New Roman"/>
        </w:rPr>
        <w:t>nes en</w:t>
      </w:r>
      <w:r w:rsidRPr="00CE503B">
        <w:rPr>
          <w:rFonts w:ascii="Times New Roman" w:hAnsi="Times New Roman" w:cs="Times New Roman"/>
          <w:spacing w:val="3"/>
        </w:rPr>
        <w:t xml:space="preserve"> </w:t>
      </w:r>
      <w:r w:rsidRPr="00CE503B">
        <w:rPr>
          <w:rFonts w:ascii="Times New Roman" w:hAnsi="Times New Roman" w:cs="Times New Roman"/>
        </w:rPr>
        <w:t>l</w:t>
      </w:r>
      <w:r w:rsidRPr="00CE503B">
        <w:rPr>
          <w:rFonts w:ascii="Times New Roman" w:hAnsi="Times New Roman" w:cs="Times New Roman"/>
          <w:spacing w:val="-3"/>
        </w:rPr>
        <w:t>a</w:t>
      </w:r>
      <w:r w:rsidRPr="00CE503B">
        <w:rPr>
          <w:rFonts w:ascii="Times New Roman" w:hAnsi="Times New Roman" w:cs="Times New Roman"/>
        </w:rPr>
        <w:t xml:space="preserve"> gesti</w:t>
      </w:r>
      <w:r w:rsidRPr="00CE503B">
        <w:rPr>
          <w:rFonts w:ascii="Times New Roman" w:hAnsi="Times New Roman" w:cs="Times New Roman"/>
          <w:spacing w:val="-3"/>
        </w:rPr>
        <w:t>ó</w:t>
      </w:r>
      <w:r w:rsidRPr="00CE503B">
        <w:rPr>
          <w:rFonts w:ascii="Times New Roman" w:hAnsi="Times New Roman" w:cs="Times New Roman"/>
        </w:rPr>
        <w:t>n</w:t>
      </w:r>
      <w:r w:rsidRPr="00CE503B">
        <w:rPr>
          <w:rFonts w:ascii="Times New Roman" w:hAnsi="Times New Roman" w:cs="Times New Roman"/>
          <w:spacing w:val="3"/>
        </w:rPr>
        <w:t xml:space="preserve"> </w:t>
      </w:r>
      <w:r w:rsidRPr="00CE503B">
        <w:rPr>
          <w:rFonts w:ascii="Times New Roman" w:hAnsi="Times New Roman" w:cs="Times New Roman"/>
        </w:rPr>
        <w:t>e</w:t>
      </w:r>
      <w:r w:rsidRPr="00CE503B">
        <w:rPr>
          <w:rFonts w:ascii="Times New Roman" w:hAnsi="Times New Roman" w:cs="Times New Roman"/>
          <w:spacing w:val="-2"/>
        </w:rPr>
        <w:t>m</w:t>
      </w:r>
      <w:r w:rsidRPr="00CE503B">
        <w:rPr>
          <w:rFonts w:ascii="Times New Roman" w:hAnsi="Times New Roman" w:cs="Times New Roman"/>
        </w:rPr>
        <w:t>pre</w:t>
      </w:r>
      <w:r w:rsidRPr="00CE503B">
        <w:rPr>
          <w:rFonts w:ascii="Times New Roman" w:hAnsi="Times New Roman" w:cs="Times New Roman"/>
          <w:spacing w:val="-4"/>
        </w:rPr>
        <w:t>s</w:t>
      </w:r>
      <w:r w:rsidRPr="00CE503B">
        <w:rPr>
          <w:rFonts w:ascii="Times New Roman" w:hAnsi="Times New Roman" w:cs="Times New Roman"/>
        </w:rPr>
        <w:t>ar</w:t>
      </w:r>
      <w:r w:rsidRPr="00CE503B">
        <w:rPr>
          <w:rFonts w:ascii="Times New Roman" w:hAnsi="Times New Roman" w:cs="Times New Roman"/>
          <w:spacing w:val="-3"/>
        </w:rPr>
        <w:t>i</w:t>
      </w:r>
      <w:r w:rsidRPr="00CE503B">
        <w:rPr>
          <w:rFonts w:ascii="Times New Roman" w:hAnsi="Times New Roman" w:cs="Times New Roman"/>
        </w:rPr>
        <w:t xml:space="preserve">al. </w:t>
      </w:r>
      <w:r w:rsidRPr="00CE503B">
        <w:rPr>
          <w:rFonts w:ascii="Times New Roman" w:hAnsi="Times New Roman" w:cs="Times New Roman"/>
          <w:i/>
        </w:rPr>
        <w:t>Vid</w:t>
      </w:r>
      <w:r w:rsidRPr="00CE503B">
        <w:rPr>
          <w:rFonts w:ascii="Times New Roman" w:hAnsi="Times New Roman" w:cs="Times New Roman"/>
        </w:rPr>
        <w:t xml:space="preserve">, </w:t>
      </w:r>
      <w:r w:rsidRPr="00CE503B">
        <w:rPr>
          <w:rFonts w:ascii="Times New Roman" w:hAnsi="Times New Roman" w:cs="Times New Roman"/>
          <w:iCs/>
        </w:rPr>
        <w:t>Morejón,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FF3" w:rsidRDefault="00110FF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64" w:type="dxa"/>
      <w:tblLayout w:type="fixed"/>
      <w:tblLook w:val="04A0"/>
    </w:tblPr>
    <w:tblGrid>
      <w:gridCol w:w="1242"/>
      <w:gridCol w:w="5890"/>
      <w:gridCol w:w="1632"/>
    </w:tblGrid>
    <w:tr w:rsidR="00306C2D" w:rsidRPr="004D77C8" w:rsidTr="005754D8">
      <w:trPr>
        <w:trHeight w:val="991"/>
      </w:trPr>
      <w:tc>
        <w:tcPr>
          <w:tcW w:w="1242" w:type="dxa"/>
        </w:tcPr>
        <w:p w:rsidR="00306C2D" w:rsidRPr="004D77C8" w:rsidRDefault="00306C2D"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62336"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5890" w:type="dxa"/>
        </w:tcPr>
        <w:p w:rsidR="00306C2D" w:rsidRDefault="00306C2D" w:rsidP="00C8585B">
          <w:pPr>
            <w:pStyle w:val="Encabezado"/>
            <w:jc w:val="center"/>
            <w:rPr>
              <w:rFonts w:ascii="Verdana" w:hAnsi="Verdana"/>
              <w:b/>
              <w:sz w:val="16"/>
              <w:szCs w:val="16"/>
              <w:lang w:val="es-ES_tradnl"/>
            </w:rPr>
          </w:pPr>
        </w:p>
        <w:p w:rsidR="00306C2D" w:rsidRPr="00C8585B" w:rsidRDefault="00306C2D" w:rsidP="005754D8">
          <w:pPr>
            <w:pStyle w:val="Encabezado"/>
            <w:jc w:val="center"/>
            <w:rPr>
              <w:rFonts w:ascii="Verdana" w:hAnsi="Verdana"/>
              <w:b/>
              <w:sz w:val="16"/>
              <w:szCs w:val="16"/>
              <w:lang w:val="es-ES_tradnl"/>
            </w:rPr>
          </w:pPr>
          <w:r>
            <w:rPr>
              <w:rFonts w:ascii="Verdana" w:hAnsi="Verdana"/>
              <w:b/>
              <w:sz w:val="16"/>
              <w:szCs w:val="16"/>
              <w:lang w:val="es-ES_tradnl"/>
            </w:rPr>
            <w:t>II Convención Científica Internacional 2019</w:t>
          </w:r>
        </w:p>
        <w:p w:rsidR="00306C2D" w:rsidRPr="00C8585B" w:rsidRDefault="00306C2D" w:rsidP="005754D8">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306C2D" w:rsidRPr="00125F56" w:rsidRDefault="00306C2D" w:rsidP="00A73C37">
          <w:pPr>
            <w:pStyle w:val="Encabezado"/>
            <w:jc w:val="center"/>
            <w:rPr>
              <w:rFonts w:ascii="Verdana" w:hAnsi="Verdana"/>
              <w:b/>
              <w:sz w:val="16"/>
              <w:szCs w:val="16"/>
              <w:lang w:val="es-ES_tradnl"/>
            </w:rPr>
          </w:pPr>
          <w:r w:rsidRPr="00C8585B">
            <w:rPr>
              <w:rFonts w:ascii="Verdana" w:hAnsi="Verdana"/>
              <w:b/>
              <w:sz w:val="16"/>
              <w:szCs w:val="16"/>
              <w:lang w:val="es-ES_tradnl"/>
            </w:rPr>
            <w:t>CIENCIA, TECNOLOGÍA Y SOCIEDAD</w:t>
          </w:r>
        </w:p>
      </w:tc>
      <w:tc>
        <w:tcPr>
          <w:tcW w:w="1632" w:type="dxa"/>
        </w:tcPr>
        <w:p w:rsidR="00306C2D" w:rsidRPr="004D77C8" w:rsidRDefault="00306C2D" w:rsidP="009061A5">
          <w:pPr>
            <w:pStyle w:val="Encabezado"/>
            <w:jc w:val="right"/>
            <w:rPr>
              <w:rFonts w:ascii="Verdana" w:hAnsi="Verdana"/>
              <w:b/>
              <w:sz w:val="18"/>
              <w:szCs w:val="18"/>
              <w:lang w:val="es-ES_tradnl"/>
            </w:rPr>
          </w:pPr>
          <w:r w:rsidRPr="000E72AD">
            <w:rPr>
              <w:rFonts w:ascii="Verdana" w:hAnsi="Verdana"/>
              <w:b/>
              <w:noProof/>
              <w:sz w:val="18"/>
              <w:szCs w:val="18"/>
              <w:lang w:val="es-MX" w:eastAsia="es-MX"/>
            </w:rPr>
            <w:drawing>
              <wp:inline distT="0" distB="0" distL="0" distR="0">
                <wp:extent cx="329184" cy="700405"/>
                <wp:effectExtent l="0" t="0" r="0" b="0"/>
                <wp:docPr id="1" name="Imagen 1" descr="C:\Users\IRIAN\Downloads\logo-convencionuniversidadsantacl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AN\Downloads\logo-convencionuniversidadsantaclara.png"/>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880" cy="782738"/>
                        </a:xfrm>
                        <a:prstGeom prst="rect">
                          <a:avLst/>
                        </a:prstGeom>
                        <a:noFill/>
                        <a:ln>
                          <a:noFill/>
                        </a:ln>
                      </pic:spPr>
                    </pic:pic>
                  </a:graphicData>
                </a:graphic>
              </wp:inline>
            </w:drawing>
          </w:r>
        </w:p>
      </w:tc>
    </w:tr>
  </w:tbl>
  <w:p w:rsidR="00306C2D" w:rsidRDefault="00306C2D">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FF3" w:rsidRDefault="00110FF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2A58"/>
    <w:multiLevelType w:val="hybridMultilevel"/>
    <w:tmpl w:val="93361D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903BB9"/>
    <w:multiLevelType w:val="hybridMultilevel"/>
    <w:tmpl w:val="2F68F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C413E8"/>
    <w:multiLevelType w:val="hybridMultilevel"/>
    <w:tmpl w:val="B78605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4AD0708"/>
    <w:multiLevelType w:val="hybridMultilevel"/>
    <w:tmpl w:val="E06E59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7377E51"/>
    <w:multiLevelType w:val="hybridMultilevel"/>
    <w:tmpl w:val="723E4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174640F"/>
    <w:multiLevelType w:val="hybridMultilevel"/>
    <w:tmpl w:val="5030B0C0"/>
    <w:lvl w:ilvl="0" w:tplc="6932FB5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E777A6A"/>
    <w:multiLevelType w:val="hybridMultilevel"/>
    <w:tmpl w:val="3C8C4390"/>
    <w:lvl w:ilvl="0" w:tplc="555C1070">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F943037"/>
    <w:multiLevelType w:val="hybridMultilevel"/>
    <w:tmpl w:val="B4C43520"/>
    <w:lvl w:ilvl="0" w:tplc="6932FB5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1"/>
  </w:num>
  <w:num w:numId="5">
    <w:abstractNumId w:val="0"/>
  </w:num>
  <w:num w:numId="6">
    <w:abstractNumId w:val="3"/>
  </w:num>
  <w:num w:numId="7">
    <w:abstractNumId w:val="2"/>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6656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Estilo Harvard Eveli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5x2rzfvvuw9228e2t9m5tsv7ptsvza9dsv2d&quot;&gt;Dulce 2018&lt;record-ids&gt;&lt;item&gt;1&lt;/item&gt;&lt;item&gt;66&lt;/item&gt;&lt;item&gt;203&lt;/item&gt;&lt;item&gt;466&lt;/item&gt;&lt;item&gt;579&lt;/item&gt;&lt;item&gt;625&lt;/item&gt;&lt;item&gt;630&lt;/item&gt;&lt;item&gt;637&lt;/item&gt;&lt;item&gt;662&lt;/item&gt;&lt;item&gt;703&lt;/item&gt;&lt;item&gt;776&lt;/item&gt;&lt;item&gt;875&lt;/item&gt;&lt;item&gt;877&lt;/item&gt;&lt;item&gt;878&lt;/item&gt;&lt;item&gt;879&lt;/item&gt;&lt;item&gt;884&lt;/item&gt;&lt;item&gt;912&lt;/item&gt;&lt;item&gt;919&lt;/item&gt;&lt;item&gt;937&lt;/item&gt;&lt;item&gt;944&lt;/item&gt;&lt;item&gt;946&lt;/item&gt;&lt;item&gt;980&lt;/item&gt;&lt;item&gt;995&lt;/item&gt;&lt;/record-ids&gt;&lt;/item&gt;&lt;/Libraries&gt;"/>
  </w:docVars>
  <w:rsids>
    <w:rsidRoot w:val="00C8585B"/>
    <w:rsid w:val="00001176"/>
    <w:rsid w:val="00011F04"/>
    <w:rsid w:val="000125FE"/>
    <w:rsid w:val="00014027"/>
    <w:rsid w:val="000220F2"/>
    <w:rsid w:val="00033710"/>
    <w:rsid w:val="00041250"/>
    <w:rsid w:val="00052D9A"/>
    <w:rsid w:val="000539BD"/>
    <w:rsid w:val="000578FB"/>
    <w:rsid w:val="00063AE6"/>
    <w:rsid w:val="000652FF"/>
    <w:rsid w:val="00096701"/>
    <w:rsid w:val="000A77CE"/>
    <w:rsid w:val="000B025C"/>
    <w:rsid w:val="000B0F78"/>
    <w:rsid w:val="000B6BF0"/>
    <w:rsid w:val="000C14DC"/>
    <w:rsid w:val="000C4B51"/>
    <w:rsid w:val="000C5837"/>
    <w:rsid w:val="000D188D"/>
    <w:rsid w:val="000D41C0"/>
    <w:rsid w:val="000E72AD"/>
    <w:rsid w:val="0010104B"/>
    <w:rsid w:val="0010353D"/>
    <w:rsid w:val="00105F3D"/>
    <w:rsid w:val="0011048A"/>
    <w:rsid w:val="00110FF3"/>
    <w:rsid w:val="00117F96"/>
    <w:rsid w:val="00123D50"/>
    <w:rsid w:val="0012684D"/>
    <w:rsid w:val="001316AE"/>
    <w:rsid w:val="00135617"/>
    <w:rsid w:val="0014224D"/>
    <w:rsid w:val="00165D6C"/>
    <w:rsid w:val="00171AEF"/>
    <w:rsid w:val="001737CC"/>
    <w:rsid w:val="00176422"/>
    <w:rsid w:val="00176497"/>
    <w:rsid w:val="001848A3"/>
    <w:rsid w:val="00192F96"/>
    <w:rsid w:val="00193448"/>
    <w:rsid w:val="00194BCC"/>
    <w:rsid w:val="001974C2"/>
    <w:rsid w:val="001C061C"/>
    <w:rsid w:val="001C1E81"/>
    <w:rsid w:val="001C57B4"/>
    <w:rsid w:val="001C61C9"/>
    <w:rsid w:val="001D01BE"/>
    <w:rsid w:val="001D422B"/>
    <w:rsid w:val="001E034C"/>
    <w:rsid w:val="001F1450"/>
    <w:rsid w:val="001F29FB"/>
    <w:rsid w:val="001F6B54"/>
    <w:rsid w:val="00203D75"/>
    <w:rsid w:val="0021356C"/>
    <w:rsid w:val="002200DB"/>
    <w:rsid w:val="00224227"/>
    <w:rsid w:val="00225595"/>
    <w:rsid w:val="002355FB"/>
    <w:rsid w:val="00237DED"/>
    <w:rsid w:val="002475E0"/>
    <w:rsid w:val="00250F1D"/>
    <w:rsid w:val="002750B9"/>
    <w:rsid w:val="002A2957"/>
    <w:rsid w:val="002B0C19"/>
    <w:rsid w:val="002C4E3F"/>
    <w:rsid w:val="002E0345"/>
    <w:rsid w:val="002E0882"/>
    <w:rsid w:val="002E2590"/>
    <w:rsid w:val="002E272A"/>
    <w:rsid w:val="00306C2D"/>
    <w:rsid w:val="00310239"/>
    <w:rsid w:val="0031059B"/>
    <w:rsid w:val="00321C6D"/>
    <w:rsid w:val="0033307C"/>
    <w:rsid w:val="003500C2"/>
    <w:rsid w:val="00350B7C"/>
    <w:rsid w:val="00353D57"/>
    <w:rsid w:val="003655FA"/>
    <w:rsid w:val="00365FB5"/>
    <w:rsid w:val="00366069"/>
    <w:rsid w:val="00393E3B"/>
    <w:rsid w:val="003A7E42"/>
    <w:rsid w:val="003D732F"/>
    <w:rsid w:val="003E00A4"/>
    <w:rsid w:val="003E3D08"/>
    <w:rsid w:val="003E561B"/>
    <w:rsid w:val="003E737B"/>
    <w:rsid w:val="00403285"/>
    <w:rsid w:val="00451A71"/>
    <w:rsid w:val="00455396"/>
    <w:rsid w:val="00457239"/>
    <w:rsid w:val="00462011"/>
    <w:rsid w:val="00490B07"/>
    <w:rsid w:val="00496D84"/>
    <w:rsid w:val="004C0556"/>
    <w:rsid w:val="004C43D7"/>
    <w:rsid w:val="004C7DB9"/>
    <w:rsid w:val="004D0AD0"/>
    <w:rsid w:val="004D1A84"/>
    <w:rsid w:val="004D37F4"/>
    <w:rsid w:val="004D44DD"/>
    <w:rsid w:val="004E6C27"/>
    <w:rsid w:val="004F748C"/>
    <w:rsid w:val="0052577E"/>
    <w:rsid w:val="00527F37"/>
    <w:rsid w:val="00533221"/>
    <w:rsid w:val="00535EB2"/>
    <w:rsid w:val="0054227B"/>
    <w:rsid w:val="00543948"/>
    <w:rsid w:val="00554820"/>
    <w:rsid w:val="00567A2F"/>
    <w:rsid w:val="005754D8"/>
    <w:rsid w:val="00580DC8"/>
    <w:rsid w:val="00583745"/>
    <w:rsid w:val="00590565"/>
    <w:rsid w:val="00593F06"/>
    <w:rsid w:val="00594656"/>
    <w:rsid w:val="00596416"/>
    <w:rsid w:val="005A2730"/>
    <w:rsid w:val="005A628D"/>
    <w:rsid w:val="005B17F7"/>
    <w:rsid w:val="005B6CDA"/>
    <w:rsid w:val="005C4D25"/>
    <w:rsid w:val="005D67A4"/>
    <w:rsid w:val="005F3BD8"/>
    <w:rsid w:val="005F4A13"/>
    <w:rsid w:val="005F72CE"/>
    <w:rsid w:val="00603355"/>
    <w:rsid w:val="006069A2"/>
    <w:rsid w:val="0060754B"/>
    <w:rsid w:val="00613459"/>
    <w:rsid w:val="00614669"/>
    <w:rsid w:val="00617690"/>
    <w:rsid w:val="006217AB"/>
    <w:rsid w:val="006271E4"/>
    <w:rsid w:val="00637A82"/>
    <w:rsid w:val="0064055F"/>
    <w:rsid w:val="00667F10"/>
    <w:rsid w:val="00670CDB"/>
    <w:rsid w:val="006726AF"/>
    <w:rsid w:val="006742DC"/>
    <w:rsid w:val="006762AF"/>
    <w:rsid w:val="006771BD"/>
    <w:rsid w:val="006826A8"/>
    <w:rsid w:val="006A21D2"/>
    <w:rsid w:val="006B3216"/>
    <w:rsid w:val="006B6118"/>
    <w:rsid w:val="006F19C7"/>
    <w:rsid w:val="006F2E89"/>
    <w:rsid w:val="006F63B9"/>
    <w:rsid w:val="0070088E"/>
    <w:rsid w:val="007126CE"/>
    <w:rsid w:val="00715006"/>
    <w:rsid w:val="0072505D"/>
    <w:rsid w:val="00734FF2"/>
    <w:rsid w:val="00744213"/>
    <w:rsid w:val="007657A5"/>
    <w:rsid w:val="007672FF"/>
    <w:rsid w:val="00776FE9"/>
    <w:rsid w:val="00790FE3"/>
    <w:rsid w:val="00792BE4"/>
    <w:rsid w:val="007A185C"/>
    <w:rsid w:val="007C436B"/>
    <w:rsid w:val="007C48C7"/>
    <w:rsid w:val="007D3CBD"/>
    <w:rsid w:val="007E0C46"/>
    <w:rsid w:val="007E2FF8"/>
    <w:rsid w:val="007E7B61"/>
    <w:rsid w:val="00817FD8"/>
    <w:rsid w:val="00822402"/>
    <w:rsid w:val="00826164"/>
    <w:rsid w:val="00834E77"/>
    <w:rsid w:val="008368D7"/>
    <w:rsid w:val="008462E5"/>
    <w:rsid w:val="00850D3C"/>
    <w:rsid w:val="0085219B"/>
    <w:rsid w:val="008649FD"/>
    <w:rsid w:val="0088159E"/>
    <w:rsid w:val="00882C84"/>
    <w:rsid w:val="00892051"/>
    <w:rsid w:val="00895474"/>
    <w:rsid w:val="008A1C16"/>
    <w:rsid w:val="008A3535"/>
    <w:rsid w:val="008A5A95"/>
    <w:rsid w:val="008C326C"/>
    <w:rsid w:val="008D018B"/>
    <w:rsid w:val="008D16C9"/>
    <w:rsid w:val="008F5A46"/>
    <w:rsid w:val="00904747"/>
    <w:rsid w:val="009061A5"/>
    <w:rsid w:val="00907EC0"/>
    <w:rsid w:val="0092511A"/>
    <w:rsid w:val="00936B5F"/>
    <w:rsid w:val="00953E66"/>
    <w:rsid w:val="00955541"/>
    <w:rsid w:val="00970997"/>
    <w:rsid w:val="009815DA"/>
    <w:rsid w:val="009820DE"/>
    <w:rsid w:val="00995651"/>
    <w:rsid w:val="009A3CC0"/>
    <w:rsid w:val="009B1EF2"/>
    <w:rsid w:val="009B4C52"/>
    <w:rsid w:val="009C5F74"/>
    <w:rsid w:val="009C7B12"/>
    <w:rsid w:val="009D0CD7"/>
    <w:rsid w:val="009D5E02"/>
    <w:rsid w:val="009D67CD"/>
    <w:rsid w:val="009F230D"/>
    <w:rsid w:val="00A005CC"/>
    <w:rsid w:val="00A01B17"/>
    <w:rsid w:val="00A1076B"/>
    <w:rsid w:val="00A10FD9"/>
    <w:rsid w:val="00A13ECA"/>
    <w:rsid w:val="00A21A1F"/>
    <w:rsid w:val="00A2360D"/>
    <w:rsid w:val="00A26E4C"/>
    <w:rsid w:val="00A369B6"/>
    <w:rsid w:val="00A43427"/>
    <w:rsid w:val="00A45BC3"/>
    <w:rsid w:val="00A4742E"/>
    <w:rsid w:val="00A53F48"/>
    <w:rsid w:val="00A543D1"/>
    <w:rsid w:val="00A62A14"/>
    <w:rsid w:val="00A73C37"/>
    <w:rsid w:val="00A81410"/>
    <w:rsid w:val="00A81854"/>
    <w:rsid w:val="00A822EF"/>
    <w:rsid w:val="00A92B70"/>
    <w:rsid w:val="00A92E36"/>
    <w:rsid w:val="00AA3525"/>
    <w:rsid w:val="00AA54B3"/>
    <w:rsid w:val="00AC7ACD"/>
    <w:rsid w:val="00AD11D0"/>
    <w:rsid w:val="00AD2F10"/>
    <w:rsid w:val="00AE490F"/>
    <w:rsid w:val="00AE70F8"/>
    <w:rsid w:val="00AF1DC1"/>
    <w:rsid w:val="00AF72E7"/>
    <w:rsid w:val="00B04641"/>
    <w:rsid w:val="00B1510B"/>
    <w:rsid w:val="00B2024E"/>
    <w:rsid w:val="00B21795"/>
    <w:rsid w:val="00B36240"/>
    <w:rsid w:val="00B40E34"/>
    <w:rsid w:val="00B41D3F"/>
    <w:rsid w:val="00B56F5D"/>
    <w:rsid w:val="00B641E4"/>
    <w:rsid w:val="00B80E97"/>
    <w:rsid w:val="00B836BA"/>
    <w:rsid w:val="00B8582D"/>
    <w:rsid w:val="00BA2B34"/>
    <w:rsid w:val="00BC5E12"/>
    <w:rsid w:val="00BD55EB"/>
    <w:rsid w:val="00BE0304"/>
    <w:rsid w:val="00BE6D97"/>
    <w:rsid w:val="00BE754D"/>
    <w:rsid w:val="00BE78C6"/>
    <w:rsid w:val="00BF2404"/>
    <w:rsid w:val="00C13A85"/>
    <w:rsid w:val="00C17EE2"/>
    <w:rsid w:val="00C25BDD"/>
    <w:rsid w:val="00C30B74"/>
    <w:rsid w:val="00C40B39"/>
    <w:rsid w:val="00C4422C"/>
    <w:rsid w:val="00C451C1"/>
    <w:rsid w:val="00C5785D"/>
    <w:rsid w:val="00C63F3E"/>
    <w:rsid w:val="00C6777F"/>
    <w:rsid w:val="00C713BD"/>
    <w:rsid w:val="00C73C45"/>
    <w:rsid w:val="00C73C9C"/>
    <w:rsid w:val="00C8585B"/>
    <w:rsid w:val="00C85B07"/>
    <w:rsid w:val="00CA41ED"/>
    <w:rsid w:val="00CD2BC3"/>
    <w:rsid w:val="00CD2E4B"/>
    <w:rsid w:val="00CD427A"/>
    <w:rsid w:val="00CE503B"/>
    <w:rsid w:val="00D0073F"/>
    <w:rsid w:val="00D03F3B"/>
    <w:rsid w:val="00D124E1"/>
    <w:rsid w:val="00D12868"/>
    <w:rsid w:val="00D23076"/>
    <w:rsid w:val="00D36C38"/>
    <w:rsid w:val="00D36D1C"/>
    <w:rsid w:val="00D409ED"/>
    <w:rsid w:val="00D50CF8"/>
    <w:rsid w:val="00D52130"/>
    <w:rsid w:val="00D73DE9"/>
    <w:rsid w:val="00D80070"/>
    <w:rsid w:val="00D822FF"/>
    <w:rsid w:val="00D937B3"/>
    <w:rsid w:val="00D94B4C"/>
    <w:rsid w:val="00D9537E"/>
    <w:rsid w:val="00DA109C"/>
    <w:rsid w:val="00DA1BF1"/>
    <w:rsid w:val="00DA3FCE"/>
    <w:rsid w:val="00DA4948"/>
    <w:rsid w:val="00DB51D6"/>
    <w:rsid w:val="00DD02AB"/>
    <w:rsid w:val="00DE4490"/>
    <w:rsid w:val="00DE6965"/>
    <w:rsid w:val="00DF2C74"/>
    <w:rsid w:val="00E0111A"/>
    <w:rsid w:val="00E01C4F"/>
    <w:rsid w:val="00E07EB4"/>
    <w:rsid w:val="00E121A6"/>
    <w:rsid w:val="00E15952"/>
    <w:rsid w:val="00E1702A"/>
    <w:rsid w:val="00E1795C"/>
    <w:rsid w:val="00E238D3"/>
    <w:rsid w:val="00E33659"/>
    <w:rsid w:val="00E34B58"/>
    <w:rsid w:val="00E40384"/>
    <w:rsid w:val="00E51192"/>
    <w:rsid w:val="00E51D6E"/>
    <w:rsid w:val="00E53589"/>
    <w:rsid w:val="00E57A09"/>
    <w:rsid w:val="00E67A37"/>
    <w:rsid w:val="00E74274"/>
    <w:rsid w:val="00E74A1B"/>
    <w:rsid w:val="00E752F2"/>
    <w:rsid w:val="00E7549C"/>
    <w:rsid w:val="00E912D0"/>
    <w:rsid w:val="00E91E07"/>
    <w:rsid w:val="00E92B11"/>
    <w:rsid w:val="00E9487C"/>
    <w:rsid w:val="00EA3111"/>
    <w:rsid w:val="00EA7C5E"/>
    <w:rsid w:val="00EB39C2"/>
    <w:rsid w:val="00EB39F0"/>
    <w:rsid w:val="00EB66AA"/>
    <w:rsid w:val="00EC39CB"/>
    <w:rsid w:val="00EC5337"/>
    <w:rsid w:val="00EE0AC6"/>
    <w:rsid w:val="00EE4080"/>
    <w:rsid w:val="00EF360C"/>
    <w:rsid w:val="00EF7205"/>
    <w:rsid w:val="00F02B52"/>
    <w:rsid w:val="00F06656"/>
    <w:rsid w:val="00F069F2"/>
    <w:rsid w:val="00F11353"/>
    <w:rsid w:val="00F135FE"/>
    <w:rsid w:val="00F2421F"/>
    <w:rsid w:val="00F31ADB"/>
    <w:rsid w:val="00F34DDA"/>
    <w:rsid w:val="00F612B1"/>
    <w:rsid w:val="00F616CC"/>
    <w:rsid w:val="00F746B8"/>
    <w:rsid w:val="00F8174E"/>
    <w:rsid w:val="00F93BE8"/>
    <w:rsid w:val="00FB621F"/>
    <w:rsid w:val="00FB6DF5"/>
    <w:rsid w:val="00FC06CF"/>
    <w:rsid w:val="00FC3A51"/>
    <w:rsid w:val="00FC5A69"/>
    <w:rsid w:val="00FD3128"/>
    <w:rsid w:val="00FD31E5"/>
    <w:rsid w:val="00FD514C"/>
    <w:rsid w:val="00FD7480"/>
    <w:rsid w:val="00FF3346"/>
    <w:rsid w:val="00FF733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Mapadeldocumento">
    <w:name w:val="Document Map"/>
    <w:basedOn w:val="Normal"/>
    <w:link w:val="MapadeldocumentoCar"/>
    <w:uiPriority w:val="99"/>
    <w:semiHidden/>
    <w:unhideWhenUsed/>
    <w:rsid w:val="00DE696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E6965"/>
    <w:rPr>
      <w:rFonts w:ascii="Tahoma" w:hAnsi="Tahoma" w:cs="Tahoma"/>
      <w:sz w:val="16"/>
      <w:szCs w:val="16"/>
    </w:rPr>
  </w:style>
  <w:style w:type="character" w:customStyle="1" w:styleId="tlid-translation">
    <w:name w:val="tlid-translation"/>
    <w:basedOn w:val="Fuentedeprrafopredeter"/>
    <w:rsid w:val="00D124E1"/>
  </w:style>
  <w:style w:type="paragraph" w:styleId="Textoindependiente3">
    <w:name w:val="Body Text 3"/>
    <w:basedOn w:val="Normal"/>
    <w:link w:val="Textoindependiente3Car"/>
    <w:rsid w:val="004C7DB9"/>
    <w:pPr>
      <w:autoSpaceDE w:val="0"/>
      <w:autoSpaceDN w:val="0"/>
      <w:spacing w:after="0" w:line="240" w:lineRule="auto"/>
      <w:jc w:val="both"/>
    </w:pPr>
    <w:rPr>
      <w:rFonts w:ascii="Times New Roman" w:eastAsia="Times New Roman" w:hAnsi="Times New Roman" w:cs="Times New Roman"/>
      <w:sz w:val="24"/>
      <w:szCs w:val="24"/>
      <w:lang w:val="es-ES_tradnl" w:eastAsia="es-ES" w:bidi="he-IL"/>
    </w:rPr>
  </w:style>
  <w:style w:type="character" w:customStyle="1" w:styleId="Textoindependiente3Car">
    <w:name w:val="Texto independiente 3 Car"/>
    <w:basedOn w:val="Fuentedeprrafopredeter"/>
    <w:link w:val="Textoindependiente3"/>
    <w:rsid w:val="004C7DB9"/>
    <w:rPr>
      <w:rFonts w:ascii="Times New Roman" w:eastAsia="Times New Roman" w:hAnsi="Times New Roman" w:cs="Times New Roman"/>
      <w:sz w:val="24"/>
      <w:szCs w:val="24"/>
      <w:lang w:val="es-ES_tradnl" w:eastAsia="es-ES" w:bidi="he-IL"/>
    </w:rPr>
  </w:style>
  <w:style w:type="paragraph" w:styleId="Textonotapie">
    <w:name w:val="footnote text"/>
    <w:basedOn w:val="Normal"/>
    <w:link w:val="TextonotapieCar"/>
    <w:autoRedefine/>
    <w:semiHidden/>
    <w:rsid w:val="00D822FF"/>
    <w:pPr>
      <w:tabs>
        <w:tab w:val="left" w:pos="0"/>
      </w:tabs>
      <w:spacing w:after="0" w:line="240" w:lineRule="auto"/>
      <w:jc w:val="both"/>
    </w:pPr>
    <w:rPr>
      <w:rFonts w:ascii="Arial" w:eastAsia="Times New Roman" w:hAnsi="Arial" w:cs="Arial"/>
      <w:sz w:val="20"/>
      <w:szCs w:val="20"/>
    </w:rPr>
  </w:style>
  <w:style w:type="character" w:customStyle="1" w:styleId="TextonotapieCar">
    <w:name w:val="Texto nota pie Car"/>
    <w:basedOn w:val="Fuentedeprrafopredeter"/>
    <w:link w:val="Textonotapie"/>
    <w:semiHidden/>
    <w:rsid w:val="00D822FF"/>
    <w:rPr>
      <w:rFonts w:ascii="Arial" w:eastAsia="Times New Roman" w:hAnsi="Arial" w:cs="Arial"/>
      <w:sz w:val="20"/>
      <w:szCs w:val="20"/>
    </w:rPr>
  </w:style>
  <w:style w:type="character" w:styleId="Refdenotaalpie">
    <w:name w:val="footnote reference"/>
    <w:basedOn w:val="Fuentedeprrafopredeter"/>
    <w:rsid w:val="00D822FF"/>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lcemaria@vc.hidro.cu" TargetMode="External"/><Relationship Id="rId13" Type="http://schemas.openxmlformats.org/officeDocument/2006/relationships/hyperlink" Target="mailto:abelsq@uclv.edu.cu" TargetMode="External"/><Relationship Id="rId18" Type="http://schemas.openxmlformats.org/officeDocument/2006/relationships/hyperlink" Target="http://www.gacetaoficial.gob.cu/" TargetMode="External"/><Relationship Id="rId26" Type="http://schemas.openxmlformats.org/officeDocument/2006/relationships/hyperlink" Target="http://www.wipo.int/export/sites/www/sme/es/documents/pdf/ip_innovation_development.pdf"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gacetaoficial.gob.cu/" TargetMode="External"/><Relationship Id="rId34" Type="http://schemas.openxmlformats.org/officeDocument/2006/relationships/hyperlink" Target="http://www.ocpi.cu/eventos/conferencias/168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azco@uclv.edu.cu" TargetMode="External"/><Relationship Id="rId17" Type="http://schemas.openxmlformats.org/officeDocument/2006/relationships/hyperlink" Target="http://www.saber.ula.ve/bitstream/123456789/41677/1/art1.pdf" TargetMode="External"/><Relationship Id="rId25" Type="http://schemas.openxmlformats.org/officeDocument/2006/relationships/hyperlink" Target="http://www.anec.cu/" TargetMode="External"/><Relationship Id="rId33" Type="http://schemas.openxmlformats.org/officeDocument/2006/relationships/hyperlink" Target="http://www.eae-publishing.com:"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gacetaoficial.gob.cu/" TargetMode="External"/><Relationship Id="rId20" Type="http://schemas.openxmlformats.org/officeDocument/2006/relationships/hyperlink" Target="http://www.gacetaoficial.gob.cu/" TargetMode="External"/><Relationship Id="rId29" Type="http://schemas.openxmlformats.org/officeDocument/2006/relationships/hyperlink" Target="http://scholarship.law.ufl.edu/fjil/vol29/iss1/2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udmila@lex.uh.cu." TargetMode="External"/><Relationship Id="rId24" Type="http://schemas.openxmlformats.org/officeDocument/2006/relationships/hyperlink" Target="http://www.scielo.org.bo/pdf/rbd/n25/n25_a08.pdf" TargetMode="External"/><Relationship Id="rId32" Type="http://schemas.openxmlformats.org/officeDocument/2006/relationships/hyperlink" Target="http://publicaciones.unaula.edu.co/index.php/VisionContable/article/download/70/4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cielo.sld.cu/pdf/eyd/v159n1/eyd11118.pdf" TargetMode="External"/><Relationship Id="rId28" Type="http://schemas.openxmlformats.org/officeDocument/2006/relationships/hyperlink" Target="http://dx.doi.org/10.14482/dere.44.7169" TargetMode="External"/><Relationship Id="rId36" Type="http://schemas.openxmlformats.org/officeDocument/2006/relationships/header" Target="header2.xml"/><Relationship Id="rId10" Type="http://schemas.openxmlformats.org/officeDocument/2006/relationships/hyperlink" Target="mailto:liudmila.moran@gmail.com" TargetMode="External"/><Relationship Id="rId19" Type="http://schemas.openxmlformats.org/officeDocument/2006/relationships/hyperlink" Target="http://www.gacetaoficial.gob.cu/" TargetMode="External"/><Relationship Id="rId31" Type="http://schemas.openxmlformats.org/officeDocument/2006/relationships/hyperlink" Target="http://www.saber.ula.ve/handle/123456789/43662" TargetMode="External"/><Relationship Id="rId4" Type="http://schemas.openxmlformats.org/officeDocument/2006/relationships/settings" Target="settings.xml"/><Relationship Id="rId9" Type="http://schemas.openxmlformats.org/officeDocument/2006/relationships/hyperlink" Target="mailto:evelio@vc.hidro.cu" TargetMode="External"/><Relationship Id="rId14" Type="http://schemas.openxmlformats.org/officeDocument/2006/relationships/image" Target="media/image1.png"/><Relationship Id="rId22" Type="http://schemas.openxmlformats.org/officeDocument/2006/relationships/hyperlink" Target="http://revistas.uexternado.edu.co/index.php/propin/article/view/4980/5968" TargetMode="External"/><Relationship Id="rId27" Type="http://schemas.openxmlformats.org/officeDocument/2006/relationships/hyperlink" Target="http://www.gacetaoficial.gob.cu/" TargetMode="External"/><Relationship Id="rId30" Type="http://schemas.openxmlformats.org/officeDocument/2006/relationships/hyperlink" Target="http://www.saber.ula.ve/bitstream/handle/123456789/43662/articulo_1.pdf?sequence=2&amp;isAllowed=y"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615E7-817C-43B6-80AF-DB5D2C3E2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15</Pages>
  <Words>7938</Words>
  <Characters>43665</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Evelio Suárez Gutiérrez</dc:creator>
  <cp:lastModifiedBy>Evelio Suárez Gutiérrez</cp:lastModifiedBy>
  <cp:revision>126</cp:revision>
  <dcterms:created xsi:type="dcterms:W3CDTF">2019-01-15T21:28:00Z</dcterms:created>
  <dcterms:modified xsi:type="dcterms:W3CDTF">2019-03-28T12:56:00Z</dcterms:modified>
</cp:coreProperties>
</file>