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Default="005E1238" w:rsidP="00667F10">
      <w:pPr>
        <w:spacing w:after="0"/>
        <w:jc w:val="center"/>
        <w:rPr>
          <w:rFonts w:ascii="Times New Roman" w:hAnsi="Times New Roman"/>
          <w:b/>
          <w:sz w:val="28"/>
          <w:szCs w:val="28"/>
        </w:rPr>
      </w:pPr>
      <w:r>
        <w:rPr>
          <w:rFonts w:ascii="Times New Roman" w:hAnsi="Times New Roman"/>
          <w:b/>
          <w:sz w:val="28"/>
          <w:szCs w:val="28"/>
        </w:rPr>
        <w:t>X</w:t>
      </w:r>
      <w:r w:rsidR="00156CAF">
        <w:rPr>
          <w:rFonts w:ascii="Times New Roman" w:hAnsi="Times New Roman"/>
          <w:b/>
          <w:sz w:val="28"/>
          <w:szCs w:val="28"/>
        </w:rPr>
        <w:t>I</w:t>
      </w:r>
      <w:r>
        <w:rPr>
          <w:rFonts w:ascii="Times New Roman" w:hAnsi="Times New Roman"/>
          <w:b/>
          <w:sz w:val="28"/>
          <w:szCs w:val="28"/>
        </w:rPr>
        <w:t>V</w:t>
      </w:r>
      <w:r w:rsidR="00156CAF">
        <w:rPr>
          <w:rFonts w:ascii="Times New Roman" w:hAnsi="Times New Roman"/>
          <w:b/>
          <w:sz w:val="28"/>
          <w:szCs w:val="28"/>
        </w:rPr>
        <w:t xml:space="preserve"> TALLER INTERNACIONAL COMUNIDADES: HISTORIA Y DESARROLLO</w:t>
      </w:r>
    </w:p>
    <w:p w:rsidR="00E912D0" w:rsidRDefault="00E912D0" w:rsidP="00667F10">
      <w:pPr>
        <w:spacing w:after="0"/>
        <w:jc w:val="center"/>
        <w:rPr>
          <w:rFonts w:ascii="Times New Roman" w:hAnsi="Times New Roman"/>
          <w:b/>
          <w:sz w:val="24"/>
          <w:szCs w:val="24"/>
        </w:rPr>
      </w:pPr>
    </w:p>
    <w:p w:rsidR="008A1C16" w:rsidRDefault="008A1C16" w:rsidP="00667F10">
      <w:pPr>
        <w:spacing w:after="0"/>
        <w:jc w:val="center"/>
        <w:rPr>
          <w:rFonts w:ascii="Times New Roman" w:hAnsi="Times New Roman"/>
          <w:b/>
          <w:sz w:val="28"/>
          <w:szCs w:val="28"/>
        </w:rPr>
      </w:pPr>
      <w:r w:rsidRPr="009D5E02">
        <w:rPr>
          <w:rFonts w:ascii="Times New Roman" w:hAnsi="Times New Roman"/>
          <w:b/>
          <w:sz w:val="28"/>
          <w:szCs w:val="28"/>
        </w:rPr>
        <w:t>Título</w:t>
      </w:r>
    </w:p>
    <w:p w:rsidR="00156CAF" w:rsidRPr="00E97DFE" w:rsidRDefault="00E97DFE" w:rsidP="00667F10">
      <w:pPr>
        <w:spacing w:after="0"/>
        <w:jc w:val="center"/>
        <w:rPr>
          <w:rFonts w:ascii="Times New Roman" w:hAnsi="Times New Roman"/>
          <w:sz w:val="28"/>
          <w:szCs w:val="28"/>
        </w:rPr>
      </w:pPr>
      <w:r w:rsidRPr="00E97DFE">
        <w:rPr>
          <w:rFonts w:ascii="Times New Roman" w:hAnsi="Times New Roman"/>
          <w:sz w:val="28"/>
          <w:szCs w:val="28"/>
          <w:lang w:val="es-EC"/>
        </w:rPr>
        <w:t>Matemáticas y sociología para el estudio de la participación diferenciada</w:t>
      </w:r>
    </w:p>
    <w:p w:rsidR="00156CAF" w:rsidRPr="00B06F78" w:rsidRDefault="00156CAF" w:rsidP="00156CAF">
      <w:pPr>
        <w:spacing w:after="0"/>
        <w:jc w:val="center"/>
        <w:rPr>
          <w:rFonts w:ascii="Times New Roman" w:hAnsi="Times New Roman"/>
          <w:b/>
          <w:i/>
          <w:sz w:val="28"/>
          <w:szCs w:val="28"/>
        </w:rPr>
      </w:pPr>
    </w:p>
    <w:p w:rsidR="008A1C16" w:rsidRDefault="009D5E02" w:rsidP="00C35BA1">
      <w:pPr>
        <w:spacing w:after="0" w:line="360" w:lineRule="auto"/>
        <w:rPr>
          <w:rFonts w:ascii="Times New Roman" w:hAnsi="Times New Roman"/>
          <w:b/>
          <w:sz w:val="24"/>
          <w:szCs w:val="24"/>
        </w:rPr>
      </w:pPr>
      <w:r>
        <w:rPr>
          <w:rFonts w:ascii="Times New Roman" w:hAnsi="Times New Roman"/>
          <w:b/>
          <w:sz w:val="24"/>
          <w:szCs w:val="24"/>
        </w:rPr>
        <w:t>Nombre y Apellidos</w:t>
      </w:r>
    </w:p>
    <w:p w:rsidR="00156CAF" w:rsidRPr="00E97DFE" w:rsidRDefault="00156CAF" w:rsidP="00C35BA1">
      <w:pPr>
        <w:pStyle w:val="Prrafodelista"/>
        <w:numPr>
          <w:ilvl w:val="0"/>
          <w:numId w:val="2"/>
        </w:numPr>
        <w:spacing w:after="0"/>
        <w:ind w:left="426"/>
        <w:rPr>
          <w:rFonts w:ascii="Times New Roman" w:hAnsi="Times New Roman"/>
          <w:sz w:val="24"/>
          <w:szCs w:val="24"/>
        </w:rPr>
      </w:pPr>
      <w:r w:rsidRPr="00156CAF">
        <w:rPr>
          <w:rFonts w:ascii="Times New Roman" w:hAnsi="Times New Roman"/>
          <w:sz w:val="24"/>
          <w:szCs w:val="24"/>
        </w:rPr>
        <w:t xml:space="preserve">Autor: </w:t>
      </w:r>
      <w:r w:rsidR="00E97DFE" w:rsidRPr="00E97DFE">
        <w:rPr>
          <w:rFonts w:ascii="Times New Roman" w:hAnsi="Times New Roman"/>
          <w:sz w:val="24"/>
          <w:szCs w:val="24"/>
          <w:lang w:val="es-EC"/>
        </w:rPr>
        <w:t>Javier Alonso del Río</w:t>
      </w:r>
    </w:p>
    <w:p w:rsidR="00156CAF" w:rsidRDefault="00156CAF" w:rsidP="00C35BA1">
      <w:pPr>
        <w:spacing w:after="0"/>
        <w:ind w:left="426"/>
        <w:rPr>
          <w:rFonts w:ascii="Times New Roman" w:hAnsi="Times New Roman"/>
          <w:sz w:val="24"/>
          <w:szCs w:val="24"/>
        </w:rPr>
      </w:pPr>
      <w:r>
        <w:rPr>
          <w:rFonts w:ascii="Times New Roman" w:hAnsi="Times New Roman"/>
          <w:sz w:val="24"/>
          <w:szCs w:val="24"/>
        </w:rPr>
        <w:t>Institución de procedencia:</w:t>
      </w:r>
      <w:r w:rsidR="005E1238">
        <w:rPr>
          <w:rFonts w:ascii="Times New Roman" w:hAnsi="Times New Roman"/>
          <w:sz w:val="24"/>
          <w:szCs w:val="24"/>
        </w:rPr>
        <w:t xml:space="preserve"> </w:t>
      </w:r>
      <w:r w:rsidR="00E97DFE">
        <w:rPr>
          <w:rFonts w:ascii="Times New Roman" w:hAnsi="Times New Roman"/>
          <w:sz w:val="24"/>
          <w:szCs w:val="24"/>
        </w:rPr>
        <w:t>UCLV</w:t>
      </w:r>
    </w:p>
    <w:p w:rsidR="00156CAF" w:rsidRDefault="005E1238" w:rsidP="00C35BA1">
      <w:pPr>
        <w:spacing w:after="0"/>
        <w:ind w:left="426" w:hanging="1"/>
        <w:rPr>
          <w:rFonts w:ascii="Times New Roman" w:hAnsi="Times New Roman"/>
          <w:sz w:val="24"/>
          <w:szCs w:val="24"/>
        </w:rPr>
      </w:pPr>
      <w:r>
        <w:rPr>
          <w:rFonts w:ascii="Times New Roman" w:hAnsi="Times New Roman"/>
          <w:sz w:val="24"/>
          <w:szCs w:val="24"/>
        </w:rPr>
        <w:t xml:space="preserve">País: </w:t>
      </w:r>
      <w:r w:rsidR="00E97DFE">
        <w:rPr>
          <w:rFonts w:ascii="Times New Roman" w:hAnsi="Times New Roman"/>
          <w:sz w:val="24"/>
          <w:szCs w:val="24"/>
        </w:rPr>
        <w:t>Cuba</w:t>
      </w:r>
    </w:p>
    <w:p w:rsidR="00156CAF" w:rsidRDefault="00156CAF" w:rsidP="00C35BA1">
      <w:pPr>
        <w:spacing w:after="120"/>
        <w:ind w:left="426" w:hanging="1"/>
        <w:rPr>
          <w:rFonts w:ascii="Times New Roman" w:hAnsi="Times New Roman"/>
          <w:sz w:val="24"/>
          <w:szCs w:val="24"/>
        </w:rPr>
      </w:pPr>
      <w:r>
        <w:rPr>
          <w:rFonts w:ascii="Times New Roman" w:hAnsi="Times New Roman"/>
          <w:sz w:val="24"/>
          <w:szCs w:val="24"/>
        </w:rPr>
        <w:t xml:space="preserve">Correo: </w:t>
      </w:r>
      <w:hyperlink r:id="rId7" w:history="1">
        <w:r w:rsidR="00E97DFE" w:rsidRPr="00E97DFE">
          <w:rPr>
            <w:rStyle w:val="Hipervnculo"/>
            <w:rFonts w:ascii="Times New Roman" w:hAnsi="Times New Roman"/>
            <w:sz w:val="24"/>
            <w:szCs w:val="24"/>
            <w:lang w:val="es-EC"/>
          </w:rPr>
          <w:t>jaadelrio@uclv.cu</w:t>
        </w:r>
      </w:hyperlink>
    </w:p>
    <w:p w:rsidR="00E97DFE" w:rsidRPr="00E97DFE" w:rsidRDefault="00E97DFE" w:rsidP="00C35BA1">
      <w:pPr>
        <w:pStyle w:val="Prrafodelista"/>
        <w:numPr>
          <w:ilvl w:val="0"/>
          <w:numId w:val="2"/>
        </w:numPr>
        <w:spacing w:after="0"/>
        <w:ind w:left="426"/>
        <w:rPr>
          <w:rFonts w:ascii="Times New Roman" w:hAnsi="Times New Roman"/>
          <w:sz w:val="24"/>
          <w:szCs w:val="24"/>
        </w:rPr>
      </w:pPr>
      <w:r w:rsidRPr="00156CAF">
        <w:rPr>
          <w:rFonts w:ascii="Times New Roman" w:hAnsi="Times New Roman"/>
          <w:sz w:val="24"/>
          <w:szCs w:val="24"/>
        </w:rPr>
        <w:t xml:space="preserve">Autor: </w:t>
      </w:r>
      <w:r w:rsidRPr="00E97DFE">
        <w:rPr>
          <w:rFonts w:ascii="Times New Roman" w:hAnsi="Times New Roman"/>
          <w:sz w:val="24"/>
          <w:szCs w:val="24"/>
          <w:lang w:val="es-EC"/>
        </w:rPr>
        <w:t>Joaquín Alonso Freyre</w:t>
      </w:r>
    </w:p>
    <w:p w:rsidR="00E97DFE" w:rsidRDefault="00E97DFE" w:rsidP="00C35BA1">
      <w:pPr>
        <w:spacing w:after="0"/>
        <w:ind w:left="426"/>
        <w:rPr>
          <w:rFonts w:ascii="Times New Roman" w:hAnsi="Times New Roman"/>
          <w:sz w:val="24"/>
          <w:szCs w:val="24"/>
        </w:rPr>
      </w:pPr>
      <w:r>
        <w:rPr>
          <w:rFonts w:ascii="Times New Roman" w:hAnsi="Times New Roman"/>
          <w:sz w:val="24"/>
          <w:szCs w:val="24"/>
        </w:rPr>
        <w:t>Institución de procedencia: UCLV</w:t>
      </w:r>
    </w:p>
    <w:p w:rsidR="00E97DFE" w:rsidRDefault="00E97DFE" w:rsidP="00C35BA1">
      <w:pPr>
        <w:spacing w:after="0"/>
        <w:ind w:left="426" w:hanging="1"/>
        <w:rPr>
          <w:rFonts w:ascii="Times New Roman" w:hAnsi="Times New Roman"/>
          <w:sz w:val="24"/>
          <w:szCs w:val="24"/>
        </w:rPr>
      </w:pPr>
      <w:r>
        <w:rPr>
          <w:rFonts w:ascii="Times New Roman" w:hAnsi="Times New Roman"/>
          <w:sz w:val="24"/>
          <w:szCs w:val="24"/>
        </w:rPr>
        <w:t>País: Cuba</w:t>
      </w:r>
    </w:p>
    <w:p w:rsidR="00E97DFE" w:rsidRDefault="00E97DFE" w:rsidP="00C35BA1">
      <w:pPr>
        <w:spacing w:after="120"/>
        <w:ind w:left="426" w:hanging="1"/>
        <w:rPr>
          <w:rFonts w:ascii="Times New Roman" w:hAnsi="Times New Roman"/>
          <w:sz w:val="24"/>
          <w:szCs w:val="24"/>
        </w:rPr>
      </w:pPr>
      <w:r>
        <w:rPr>
          <w:rFonts w:ascii="Times New Roman" w:hAnsi="Times New Roman"/>
          <w:sz w:val="24"/>
          <w:szCs w:val="24"/>
        </w:rPr>
        <w:t xml:space="preserve">Correo: </w:t>
      </w:r>
      <w:hyperlink r:id="rId8" w:history="1">
        <w:r w:rsidRPr="00F54A5B">
          <w:rPr>
            <w:rStyle w:val="Hipervnculo"/>
            <w:rFonts w:ascii="Times New Roman" w:hAnsi="Times New Roman"/>
            <w:sz w:val="24"/>
            <w:szCs w:val="24"/>
          </w:rPr>
          <w:t>joaquin@uclv.edu.cu</w:t>
        </w:r>
      </w:hyperlink>
      <w:r>
        <w:rPr>
          <w:rFonts w:ascii="Times New Roman" w:hAnsi="Times New Roman"/>
          <w:sz w:val="24"/>
          <w:szCs w:val="24"/>
        </w:rPr>
        <w:t xml:space="preserve"> </w:t>
      </w:r>
    </w:p>
    <w:p w:rsidR="00E97DFE" w:rsidRPr="00B06F78" w:rsidRDefault="00E97DFE" w:rsidP="00E97DFE">
      <w:pPr>
        <w:spacing w:after="120" w:line="360" w:lineRule="auto"/>
        <w:rPr>
          <w:rFonts w:ascii="Times New Roman" w:hAnsi="Times New Roman"/>
          <w:b/>
          <w:sz w:val="24"/>
          <w:szCs w:val="24"/>
        </w:rPr>
      </w:pPr>
      <w:r w:rsidRPr="00B06F78">
        <w:rPr>
          <w:rFonts w:ascii="Times New Roman" w:hAnsi="Times New Roman"/>
          <w:b/>
          <w:sz w:val="24"/>
          <w:szCs w:val="24"/>
        </w:rPr>
        <w:t>Resumen</w:t>
      </w:r>
    </w:p>
    <w:p w:rsidR="00E97DFE" w:rsidRDefault="00E97DFE" w:rsidP="00E97DFE">
      <w:pPr>
        <w:spacing w:after="0" w:line="360" w:lineRule="auto"/>
        <w:jc w:val="both"/>
        <w:rPr>
          <w:rFonts w:ascii="Times New Roman" w:hAnsi="Times New Roman"/>
          <w:sz w:val="24"/>
          <w:szCs w:val="24"/>
          <w:lang w:val="es-EC"/>
        </w:rPr>
      </w:pPr>
      <w:r>
        <w:rPr>
          <w:rFonts w:ascii="Times New Roman" w:hAnsi="Times New Roman"/>
          <w:sz w:val="24"/>
          <w:szCs w:val="24"/>
          <w:lang w:val="es-EC"/>
        </w:rPr>
        <w:t>Siempre está el número en la producción intelectual contemporánea desde que el positivismo, en arremetida contra la especulación medieval, impuso la exigencia de la prueba en todo discurso que se pretendiera científico. La prueba dejó claro que la ciencia integra dos aspectos del conocimiento: lo teórico y lo empírico.</w:t>
      </w:r>
    </w:p>
    <w:p w:rsidR="00E97DFE" w:rsidRDefault="00E97DFE" w:rsidP="00E97DFE">
      <w:pPr>
        <w:spacing w:after="0" w:line="360" w:lineRule="auto"/>
        <w:jc w:val="both"/>
        <w:rPr>
          <w:rFonts w:ascii="Times New Roman" w:hAnsi="Times New Roman"/>
          <w:sz w:val="24"/>
          <w:szCs w:val="24"/>
          <w:lang w:val="es-EC"/>
        </w:rPr>
      </w:pPr>
      <w:r>
        <w:rPr>
          <w:rFonts w:ascii="Times New Roman" w:hAnsi="Times New Roman"/>
          <w:sz w:val="24"/>
          <w:szCs w:val="24"/>
          <w:lang w:val="es-EC"/>
        </w:rPr>
        <w:t>El punto de partida de la prueba empírica ya involucra una teoría matemática: la teoría de la selección muestral pues en el trabajo de campo el dato siempre se obtiene de un número finito de unidades de observación, es de decir, de fuentes de datos. Este número debe cumplir el requisito de estar fundamentado para que pueda servir de evidencia que se constituya en prueba de las afirmaciones que desde la teoría se hagan en cualquier investigación.</w:t>
      </w:r>
    </w:p>
    <w:p w:rsidR="00E97DFE" w:rsidRDefault="00E97DFE" w:rsidP="00E97DFE">
      <w:pPr>
        <w:spacing w:after="0" w:line="360" w:lineRule="auto"/>
        <w:jc w:val="both"/>
        <w:rPr>
          <w:rFonts w:ascii="Times New Roman" w:hAnsi="Times New Roman"/>
          <w:sz w:val="24"/>
          <w:szCs w:val="24"/>
          <w:lang w:val="es-EC"/>
        </w:rPr>
      </w:pPr>
      <w:r>
        <w:rPr>
          <w:rFonts w:ascii="Times New Roman" w:hAnsi="Times New Roman"/>
          <w:sz w:val="24"/>
          <w:szCs w:val="24"/>
          <w:lang w:val="es-EC"/>
        </w:rPr>
        <w:t xml:space="preserve">A ese número se puede llegar mediante un procedimiento estadístico que permita sostener para toda la población involucrada en el estudio, los hallazgos que se obtengan en la muestra pues se ubica en un segmento de probabilidad donde, si la población es idealmente homogénea, basta con una unidad de observación y, si es idealmente heterogénea se necesitan todas las unidades de observación. Como las poblaciones realmente existentes se </w:t>
      </w:r>
      <w:r>
        <w:rPr>
          <w:rFonts w:ascii="Times New Roman" w:hAnsi="Times New Roman"/>
          <w:sz w:val="24"/>
          <w:szCs w:val="24"/>
          <w:lang w:val="es-EC"/>
        </w:rPr>
        <w:lastRenderedPageBreak/>
        <w:t>ubican en un punto intermedio de homogeneidad-heterogeneidad, entonces el tamaño muestral necesario es un número que estadísticamente se define en ese punto intermedio mediante métodos de muestreo que le pueden dar una alta precisión.</w:t>
      </w:r>
    </w:p>
    <w:p w:rsidR="00E97DFE" w:rsidRDefault="00E97DFE" w:rsidP="00E97DFE">
      <w:pPr>
        <w:spacing w:after="0" w:line="360" w:lineRule="auto"/>
        <w:jc w:val="both"/>
        <w:rPr>
          <w:rFonts w:ascii="Times New Roman" w:hAnsi="Times New Roman"/>
          <w:sz w:val="24"/>
          <w:szCs w:val="24"/>
          <w:lang w:val="es-EC"/>
        </w:rPr>
      </w:pPr>
      <w:r>
        <w:rPr>
          <w:rFonts w:ascii="Times New Roman" w:hAnsi="Times New Roman"/>
          <w:sz w:val="24"/>
          <w:szCs w:val="24"/>
          <w:lang w:val="es-EC"/>
        </w:rPr>
        <w:t>Sin embargo, a ese número se puede llegar también desde una técnica intencional de selección muestral donde se argumente desde la teoría aquellas variables de más peso en lo que se estudia y, desde ellas, se defina la unidad o los estratos poblacionales a incluir en la muestra, que siempre será un número finito pues no se indaga en abstracto, sino desde unidades de observación concretas.</w:t>
      </w:r>
    </w:p>
    <w:p w:rsidR="00E97DFE" w:rsidRDefault="00E97DFE" w:rsidP="00E97DFE">
      <w:pPr>
        <w:spacing w:after="0" w:line="360" w:lineRule="auto"/>
        <w:jc w:val="both"/>
        <w:rPr>
          <w:rFonts w:ascii="Times New Roman" w:hAnsi="Times New Roman"/>
          <w:sz w:val="24"/>
          <w:szCs w:val="24"/>
          <w:lang w:val="es-EC"/>
        </w:rPr>
      </w:pPr>
      <w:r>
        <w:rPr>
          <w:rFonts w:ascii="Times New Roman" w:hAnsi="Times New Roman"/>
          <w:sz w:val="24"/>
          <w:szCs w:val="24"/>
          <w:lang w:val="es-EC"/>
        </w:rPr>
        <w:t xml:space="preserve">El primer modo de obtención del número se asienta en el principio de generalización de la muestra a la población y el segundo en el principio de la ilustración. Ambos sirven de prueba de que lo afirmado teóricamente tiene un correlato a nivel empírico que coloca al discurso fuera de duda sobre su </w:t>
      </w:r>
      <w:proofErr w:type="spellStart"/>
      <w:r>
        <w:rPr>
          <w:rFonts w:ascii="Times New Roman" w:hAnsi="Times New Roman"/>
          <w:sz w:val="24"/>
          <w:szCs w:val="24"/>
          <w:lang w:val="es-EC"/>
        </w:rPr>
        <w:t>terrenalidad</w:t>
      </w:r>
      <w:proofErr w:type="spellEnd"/>
      <w:r>
        <w:rPr>
          <w:rFonts w:ascii="Times New Roman" w:hAnsi="Times New Roman"/>
          <w:sz w:val="24"/>
          <w:szCs w:val="24"/>
          <w:lang w:val="es-EC"/>
        </w:rPr>
        <w:t>.</w:t>
      </w:r>
    </w:p>
    <w:p w:rsidR="00E97DFE" w:rsidRDefault="00E97DFE" w:rsidP="00E97DFE">
      <w:pPr>
        <w:spacing w:after="0" w:line="360" w:lineRule="auto"/>
        <w:jc w:val="both"/>
        <w:rPr>
          <w:rFonts w:ascii="Times New Roman" w:hAnsi="Times New Roman"/>
          <w:sz w:val="24"/>
          <w:szCs w:val="24"/>
          <w:lang w:val="es-EC"/>
        </w:rPr>
      </w:pPr>
      <w:r>
        <w:rPr>
          <w:rFonts w:ascii="Times New Roman" w:hAnsi="Times New Roman"/>
          <w:sz w:val="24"/>
          <w:szCs w:val="24"/>
          <w:lang w:val="es-EC"/>
        </w:rPr>
        <w:t>Luego viene la aplicación de métodos y técnicas para la recogida de datos que pueden ser cuantitativos (en su expresión numérica objetivamente constatable) o cualitativos (como cadenas verbales que expresan un estado de subjetividad). Tal aplicación se concreta en instrumentos de investigación, siempre finitos, que deben combinar datos de los dos tipos para llegar al punto de la explicación y comprensión de la lógica interna del objeto en lo que es y en su trascendencia y significaciones.</w:t>
      </w:r>
    </w:p>
    <w:p w:rsidR="00E97DFE" w:rsidRDefault="00E97DFE" w:rsidP="00E97DFE">
      <w:pPr>
        <w:spacing w:line="360" w:lineRule="auto"/>
        <w:jc w:val="both"/>
        <w:rPr>
          <w:rFonts w:ascii="Times New Roman" w:hAnsi="Times New Roman"/>
          <w:sz w:val="24"/>
          <w:szCs w:val="24"/>
          <w:lang w:val="es-EC"/>
        </w:rPr>
      </w:pPr>
      <w:r>
        <w:rPr>
          <w:rFonts w:ascii="Times New Roman" w:hAnsi="Times New Roman"/>
          <w:sz w:val="24"/>
          <w:szCs w:val="24"/>
          <w:lang w:val="es-EC"/>
        </w:rPr>
        <w:t>La aplicación de métodos matemáticos al estudio de la participación puede incluir un amplio repertorio de métodos matemáticos, en nuestro caso, nos ocuparemos de la “</w:t>
      </w:r>
      <w:r w:rsidRPr="002844B4">
        <w:rPr>
          <w:rFonts w:ascii="Times New Roman" w:hAnsi="Times New Roman"/>
          <w:i/>
          <w:sz w:val="24"/>
          <w:szCs w:val="24"/>
        </w:rPr>
        <w:t>participación diferenciada</w:t>
      </w:r>
      <w:r w:rsidRPr="002844B4">
        <w:rPr>
          <w:rFonts w:ascii="Times New Roman" w:hAnsi="Times New Roman"/>
          <w:sz w:val="24"/>
          <w:szCs w:val="24"/>
        </w:rPr>
        <w:t>,</w:t>
      </w:r>
      <w:r>
        <w:rPr>
          <w:rFonts w:ascii="Times New Roman" w:hAnsi="Times New Roman"/>
          <w:sz w:val="24"/>
          <w:szCs w:val="24"/>
        </w:rPr>
        <w:t xml:space="preserve"> </w:t>
      </w:r>
      <w:r w:rsidRPr="00407625">
        <w:rPr>
          <w:rFonts w:ascii="Times New Roman" w:hAnsi="Times New Roman"/>
          <w:sz w:val="24"/>
          <w:szCs w:val="24"/>
          <w:lang w:val="es-ES_tradnl"/>
        </w:rPr>
        <w:t>que permite establecer una distinción respecto al involucramiento activo que corresponde a cada sujeto tipo desde la lógica de la actividad social en que está presente</w:t>
      </w:r>
      <w:r>
        <w:rPr>
          <w:rFonts w:ascii="Times New Roman" w:hAnsi="Times New Roman"/>
          <w:sz w:val="24"/>
          <w:szCs w:val="24"/>
          <w:lang w:val="es-ES_tradnl"/>
        </w:rPr>
        <w:t>” (Alonso y Jara, 2016: 5) donde se parte de que “</w:t>
      </w:r>
      <w:r w:rsidRPr="00407625">
        <w:rPr>
          <w:rFonts w:ascii="Times New Roman" w:hAnsi="Times New Roman"/>
          <w:sz w:val="24"/>
          <w:szCs w:val="24"/>
          <w:lang w:val="es-ES_tradnl"/>
        </w:rPr>
        <w:t>la participación es real o no es, a la hora de hacer el registro en cada distribución de frecuencia, los valores posibles para cada sujeto son uno y cero</w:t>
      </w:r>
      <w:r>
        <w:rPr>
          <w:rFonts w:ascii="Times New Roman" w:hAnsi="Times New Roman"/>
          <w:sz w:val="24"/>
          <w:szCs w:val="24"/>
          <w:lang w:val="es-ES_tradnl"/>
        </w:rPr>
        <w:t>”. (ídem)</w:t>
      </w:r>
    </w:p>
    <w:p w:rsidR="00E97DFE" w:rsidRDefault="00E97DFE" w:rsidP="00E97DFE">
      <w:pPr>
        <w:spacing w:line="360" w:lineRule="auto"/>
        <w:jc w:val="both"/>
        <w:rPr>
          <w:rFonts w:ascii="Times New Roman" w:hAnsi="Times New Roman"/>
          <w:sz w:val="24"/>
          <w:szCs w:val="24"/>
          <w:lang w:val="es-EC"/>
        </w:rPr>
      </w:pPr>
      <w:r>
        <w:rPr>
          <w:rFonts w:ascii="Times New Roman" w:hAnsi="Times New Roman"/>
          <w:sz w:val="24"/>
          <w:szCs w:val="24"/>
          <w:lang w:val="es-EC"/>
        </w:rPr>
        <w:t xml:space="preserve">Ello permite su registro en una tabla Excel en la que se listan sujetos y acciones según se muestra en una matriz de elementos </w:t>
      </w:r>
      <m:oMath>
        <m:sSub>
          <m:sSubPr>
            <m:ctrlPr>
              <w:rPr>
                <w:rFonts w:ascii="Cambria Math" w:hAnsi="Cambria Math"/>
                <w:i/>
                <w:sz w:val="24"/>
                <w:szCs w:val="24"/>
                <w:lang w:val="es-EC"/>
              </w:rPr>
            </m:ctrlPr>
          </m:sSubPr>
          <m:e>
            <m:r>
              <w:rPr>
                <w:rFonts w:ascii="Cambria Math" w:hAnsi="Cambria Math"/>
                <w:sz w:val="24"/>
                <w:szCs w:val="24"/>
                <w:lang w:val="es-EC"/>
              </w:rPr>
              <m:t>c</m:t>
            </m:r>
          </m:e>
          <m:sub>
            <m:r>
              <w:rPr>
                <w:rFonts w:ascii="Cambria Math" w:hAnsi="Cambria Math"/>
                <w:sz w:val="24"/>
                <w:szCs w:val="24"/>
                <w:lang w:val="es-EC"/>
              </w:rPr>
              <m:t>ij</m:t>
            </m:r>
          </m:sub>
        </m:sSub>
      </m:oMath>
      <w:r>
        <w:rPr>
          <w:rFonts w:ascii="Times New Roman" w:eastAsiaTheme="minorEastAsia" w:hAnsi="Times New Roman"/>
          <w:sz w:val="24"/>
          <w:szCs w:val="24"/>
          <w:lang w:val="es-EC"/>
        </w:rPr>
        <w:t xml:space="preserve"> donde </w:t>
      </w:r>
      <m:oMath>
        <m:r>
          <w:rPr>
            <w:rFonts w:ascii="Cambria Math" w:eastAsiaTheme="minorEastAsia" w:hAnsi="Cambria Math"/>
            <w:sz w:val="24"/>
            <w:szCs w:val="24"/>
            <w:lang w:val="es-EC"/>
          </w:rPr>
          <m:t>i</m:t>
        </m:r>
      </m:oMath>
      <w:r>
        <w:rPr>
          <w:rFonts w:ascii="Times New Roman" w:eastAsiaTheme="minorEastAsia" w:hAnsi="Times New Roman"/>
          <w:sz w:val="24"/>
          <w:szCs w:val="24"/>
          <w:lang w:val="es-EC"/>
        </w:rPr>
        <w:t xml:space="preserve"> indica el sujeto y </w:t>
      </w:r>
      <m:oMath>
        <m:r>
          <w:rPr>
            <w:rFonts w:ascii="Cambria Math" w:eastAsiaTheme="minorEastAsia" w:hAnsi="Cambria Math"/>
            <w:sz w:val="24"/>
            <w:szCs w:val="24"/>
            <w:lang w:val="es-EC"/>
          </w:rPr>
          <m:t>j</m:t>
        </m:r>
      </m:oMath>
      <w:r>
        <w:rPr>
          <w:rFonts w:ascii="Times New Roman" w:eastAsiaTheme="minorEastAsia" w:hAnsi="Times New Roman"/>
          <w:sz w:val="24"/>
          <w:szCs w:val="24"/>
          <w:lang w:val="es-EC"/>
        </w:rPr>
        <w:t xml:space="preserve"> la acción, como se muestra en </w:t>
      </w:r>
      <w:r>
        <w:rPr>
          <w:rFonts w:ascii="Times New Roman" w:hAnsi="Times New Roman"/>
          <w:sz w:val="24"/>
          <w:szCs w:val="24"/>
          <w:lang w:val="es-EC"/>
        </w:rPr>
        <w:t>“</w:t>
      </w:r>
      <w:r w:rsidRPr="00225B0F">
        <w:rPr>
          <w:rFonts w:ascii="Times New Roman" w:hAnsi="Times New Roman"/>
          <w:sz w:val="24"/>
          <w:szCs w:val="24"/>
          <w:lang w:val="es-EC"/>
        </w:rPr>
        <w:t>una distribución supuesta para ilustrar lo expresado</w:t>
      </w:r>
      <w:r>
        <w:rPr>
          <w:rFonts w:ascii="Times New Roman" w:hAnsi="Times New Roman"/>
          <w:sz w:val="24"/>
          <w:szCs w:val="24"/>
          <w:lang w:val="es-EC"/>
        </w:rPr>
        <w:t>” (Ginley y colectivo, 2019: 64)</w:t>
      </w:r>
    </w:p>
    <w:tbl>
      <w:tblPr>
        <w:tblStyle w:val="Tablaconcuadrcula1"/>
        <w:tblW w:w="0" w:type="auto"/>
        <w:jc w:val="center"/>
        <w:tblLook w:val="04A0" w:firstRow="1" w:lastRow="0" w:firstColumn="1" w:lastColumn="0" w:noHBand="0" w:noVBand="1"/>
      </w:tblPr>
      <w:tblGrid>
        <w:gridCol w:w="1110"/>
        <w:gridCol w:w="671"/>
        <w:gridCol w:w="671"/>
        <w:gridCol w:w="671"/>
        <w:gridCol w:w="672"/>
        <w:gridCol w:w="671"/>
        <w:gridCol w:w="671"/>
        <w:gridCol w:w="671"/>
        <w:gridCol w:w="672"/>
        <w:gridCol w:w="671"/>
        <w:gridCol w:w="671"/>
        <w:gridCol w:w="672"/>
      </w:tblGrid>
      <w:tr w:rsidR="00E97DFE" w:rsidRPr="003205EE" w:rsidTr="00A4260D">
        <w:trPr>
          <w:jc w:val="center"/>
        </w:trPr>
        <w:tc>
          <w:tcPr>
            <w:tcW w:w="1110" w:type="dxa"/>
          </w:tcPr>
          <w:p w:rsidR="00E97DFE" w:rsidRPr="003205EE" w:rsidRDefault="00E97DFE" w:rsidP="00E97DFE">
            <w:pPr>
              <w:spacing w:after="0" w:line="240" w:lineRule="auto"/>
              <w:rPr>
                <w:rFonts w:ascii="Times New Roman" w:hAnsi="Times New Roman" w:cs="Times New Roman"/>
                <w:sz w:val="20"/>
                <w:szCs w:val="20"/>
                <w:lang w:val="es-EC"/>
              </w:rPr>
            </w:pPr>
            <w:proofErr w:type="spellStart"/>
            <w:r w:rsidRPr="003205EE">
              <w:rPr>
                <w:rFonts w:ascii="Times New Roman" w:hAnsi="Times New Roman" w:cs="Times New Roman"/>
                <w:sz w:val="20"/>
                <w:szCs w:val="20"/>
                <w:lang w:val="es-EC"/>
              </w:rPr>
              <w:lastRenderedPageBreak/>
              <w:t>Suj</w:t>
            </w:r>
            <w:proofErr w:type="spellEnd"/>
            <w:r w:rsidRPr="003205EE">
              <w:rPr>
                <w:rFonts w:ascii="Times New Roman" w:hAnsi="Times New Roman" w:cs="Times New Roman"/>
                <w:sz w:val="20"/>
                <w:szCs w:val="20"/>
                <w:lang w:val="es-EC"/>
              </w:rPr>
              <w:t>.\</w:t>
            </w:r>
            <w:proofErr w:type="spellStart"/>
            <w:r w:rsidRPr="003205EE">
              <w:rPr>
                <w:rFonts w:ascii="Times New Roman" w:hAnsi="Times New Roman" w:cs="Times New Roman"/>
                <w:sz w:val="20"/>
                <w:szCs w:val="20"/>
                <w:lang w:val="es-EC"/>
              </w:rPr>
              <w:t>Acc</w:t>
            </w:r>
            <w:proofErr w:type="spellEnd"/>
            <w:r w:rsidRPr="003205EE">
              <w:rPr>
                <w:rFonts w:ascii="Times New Roman" w:hAnsi="Times New Roman" w:cs="Times New Roman"/>
                <w:sz w:val="20"/>
                <w:szCs w:val="20"/>
                <w:lang w:val="es-EC"/>
              </w:rPr>
              <w:t xml:space="preserve">. </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A</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B</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C</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D</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E</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F</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G</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H</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I</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J</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m:oMathPara>
              <m:oMath>
                <m:r>
                  <w:rPr>
                    <w:rFonts w:ascii="Cambria Math" w:hAnsi="Cambria Math" w:cs="Times New Roman"/>
                    <w:sz w:val="20"/>
                    <w:szCs w:val="20"/>
                    <w:lang w:val="es-EC"/>
                  </w:rPr>
                  <m:t>j</m:t>
                </m:r>
              </m:oMath>
            </m:oMathPara>
          </w:p>
        </w:tc>
      </w:tr>
      <w:tr w:rsidR="00E97DFE" w:rsidRPr="003205EE" w:rsidTr="00A4260D">
        <w:trPr>
          <w:jc w:val="center"/>
        </w:trPr>
        <w:tc>
          <w:tcPr>
            <w:tcW w:w="1110"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r>
      <w:tr w:rsidR="00E97DFE" w:rsidRPr="003205EE" w:rsidTr="00A4260D">
        <w:trPr>
          <w:jc w:val="center"/>
        </w:trPr>
        <w:tc>
          <w:tcPr>
            <w:tcW w:w="1110"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2</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r>
      <w:tr w:rsidR="00E97DFE" w:rsidRPr="003205EE" w:rsidTr="00A4260D">
        <w:trPr>
          <w:jc w:val="center"/>
        </w:trPr>
        <w:tc>
          <w:tcPr>
            <w:tcW w:w="1110"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3</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r>
      <w:tr w:rsidR="00E97DFE" w:rsidRPr="003205EE" w:rsidTr="00A4260D">
        <w:trPr>
          <w:jc w:val="center"/>
        </w:trPr>
        <w:tc>
          <w:tcPr>
            <w:tcW w:w="1110"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4</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r>
      <w:tr w:rsidR="00E97DFE" w:rsidRPr="003205EE" w:rsidTr="00A4260D">
        <w:trPr>
          <w:jc w:val="center"/>
        </w:trPr>
        <w:tc>
          <w:tcPr>
            <w:tcW w:w="1110"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5</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0</w:t>
            </w: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r w:rsidRPr="003205EE">
              <w:rPr>
                <w:rFonts w:ascii="Times New Roman" w:hAnsi="Times New Roman" w:cs="Times New Roman"/>
                <w:sz w:val="20"/>
                <w:szCs w:val="20"/>
                <w:lang w:val="es-EC"/>
              </w:rPr>
              <w:t>1</w:t>
            </w: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r>
      <w:tr w:rsidR="00E97DFE" w:rsidRPr="003205EE" w:rsidTr="00A4260D">
        <w:trPr>
          <w:jc w:val="center"/>
        </w:trPr>
        <w:tc>
          <w:tcPr>
            <w:tcW w:w="1110" w:type="dxa"/>
          </w:tcPr>
          <w:p w:rsidR="00E97DFE" w:rsidRPr="003205EE" w:rsidRDefault="00E97DFE" w:rsidP="00E97DFE">
            <w:pPr>
              <w:spacing w:after="0" w:line="240" w:lineRule="auto"/>
              <w:jc w:val="center"/>
              <w:rPr>
                <w:rFonts w:ascii="Times New Roman" w:hAnsi="Times New Roman" w:cs="Times New Roman"/>
                <w:sz w:val="20"/>
                <w:szCs w:val="20"/>
                <w:lang w:val="es-EC"/>
              </w:rPr>
            </w:pPr>
            <m:oMathPara>
              <m:oMath>
                <m:r>
                  <w:rPr>
                    <w:rFonts w:ascii="Cambria Math" w:hAnsi="Cambria Math" w:cs="Times New Roman"/>
                    <w:sz w:val="20"/>
                    <w:szCs w:val="20"/>
                    <w:lang w:val="es-EC"/>
                  </w:rPr>
                  <m:t>i</m:t>
                </m:r>
              </m:oMath>
            </m:oMathPara>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c>
          <w:tcPr>
            <w:tcW w:w="671"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c>
          <w:tcPr>
            <w:tcW w:w="672" w:type="dxa"/>
          </w:tcPr>
          <w:p w:rsidR="00E97DFE" w:rsidRPr="003205EE" w:rsidRDefault="00E97DFE" w:rsidP="00E97DFE">
            <w:pPr>
              <w:spacing w:after="0" w:line="240" w:lineRule="auto"/>
              <w:jc w:val="center"/>
              <w:rPr>
                <w:rFonts w:ascii="Times New Roman" w:hAnsi="Times New Roman" w:cs="Times New Roman"/>
                <w:sz w:val="20"/>
                <w:szCs w:val="20"/>
                <w:lang w:val="es-EC"/>
              </w:rPr>
            </w:pPr>
          </w:p>
        </w:tc>
      </w:tr>
    </w:tbl>
    <w:p w:rsidR="00E97DFE" w:rsidRDefault="00E97DFE" w:rsidP="00E97DFE">
      <w:pPr>
        <w:spacing w:before="240" w:after="0" w:line="360" w:lineRule="auto"/>
        <w:jc w:val="both"/>
        <w:rPr>
          <w:rFonts w:ascii="Times New Roman" w:hAnsi="Times New Roman"/>
          <w:sz w:val="24"/>
          <w:szCs w:val="24"/>
          <w:lang w:val="es-EC"/>
        </w:rPr>
      </w:pPr>
      <w:r>
        <w:rPr>
          <w:rFonts w:ascii="Times New Roman" w:hAnsi="Times New Roman"/>
          <w:sz w:val="24"/>
          <w:szCs w:val="24"/>
          <w:lang w:val="es-EC"/>
        </w:rPr>
        <w:t xml:space="preserve">Para el análisis estadístico de una matriz de datos como la anterior siempre existirá desviación de la distribución empírica y la distribución teórica, por tanto la cuestión es definir si esta desviación es debido al azar o haber tomado una desviación teórica inadecuada, para eso se utiliza </w:t>
      </w:r>
      <m:oMath>
        <m:sSup>
          <m:sSupPr>
            <m:ctrlPr>
              <w:rPr>
                <w:rFonts w:ascii="Cambria Math" w:hAnsi="Cambria Math"/>
                <w:i/>
                <w:sz w:val="24"/>
                <w:szCs w:val="24"/>
                <w:lang w:val="es-EC"/>
              </w:rPr>
            </m:ctrlPr>
          </m:sSupPr>
          <m:e>
            <m:r>
              <w:rPr>
                <w:rFonts w:ascii="Cambria Math" w:hAnsi="Cambria Math"/>
                <w:sz w:val="24"/>
                <w:szCs w:val="24"/>
                <w:lang w:val="es-EC"/>
              </w:rPr>
              <m:t>χ</m:t>
            </m:r>
          </m:e>
          <m:sup>
            <m:r>
              <w:rPr>
                <w:rFonts w:ascii="Cambria Math" w:hAnsi="Cambria Math"/>
                <w:sz w:val="24"/>
                <w:szCs w:val="24"/>
                <w:lang w:val="es-EC"/>
              </w:rPr>
              <m:t>2</m:t>
            </m:r>
          </m:sup>
        </m:sSup>
        <m:r>
          <w:rPr>
            <w:rFonts w:ascii="Cambria Math" w:hAnsi="Cambria Math"/>
            <w:sz w:val="24"/>
            <w:szCs w:val="24"/>
            <w:lang w:val="es-EC"/>
          </w:rPr>
          <m:t xml:space="preserve"> </m:t>
        </m:r>
      </m:oMath>
      <w:r>
        <w:rPr>
          <w:rFonts w:ascii="Times New Roman" w:hAnsi="Times New Roman"/>
          <w:sz w:val="24"/>
          <w:szCs w:val="24"/>
          <w:lang w:val="es-EC"/>
        </w:rPr>
        <w:t xml:space="preserve">(Chi cuadrado) con aplicación en estudios de participación (Jara, 2015) para decidir si una serie de datos (observaciones) se ajusta o no a una función teórica previamente determinada y que puede expresarse en diferentes modos [Binomial, </w:t>
      </w:r>
      <w:proofErr w:type="spellStart"/>
      <w:r>
        <w:rPr>
          <w:rFonts w:ascii="Times New Roman" w:hAnsi="Times New Roman"/>
          <w:sz w:val="24"/>
          <w:szCs w:val="24"/>
          <w:lang w:val="es-EC"/>
        </w:rPr>
        <w:t>Poisson</w:t>
      </w:r>
      <w:proofErr w:type="spellEnd"/>
      <w:r>
        <w:rPr>
          <w:rFonts w:ascii="Times New Roman" w:hAnsi="Times New Roman"/>
          <w:sz w:val="24"/>
          <w:szCs w:val="24"/>
          <w:lang w:val="es-EC"/>
        </w:rPr>
        <w:t>, Normal, etc.].</w:t>
      </w:r>
    </w:p>
    <w:p w:rsidR="00E97DFE" w:rsidRDefault="00E97DFE" w:rsidP="00E97DFE">
      <w:pPr>
        <w:spacing w:after="0" w:line="360" w:lineRule="auto"/>
        <w:jc w:val="both"/>
        <w:rPr>
          <w:rFonts w:ascii="Times New Roman" w:hAnsi="Times New Roman"/>
          <w:sz w:val="24"/>
          <w:szCs w:val="24"/>
          <w:lang w:val="es-EC"/>
        </w:rPr>
      </w:pPr>
      <w:r>
        <w:rPr>
          <w:rFonts w:ascii="Times New Roman" w:hAnsi="Times New Roman"/>
          <w:sz w:val="24"/>
          <w:szCs w:val="24"/>
          <w:lang w:val="es-EC"/>
        </w:rPr>
        <w:t>También es posible aplicar el método de dispersión de los datos, como medidas de regresión matemática, para comprobar si existe dependencia entre dos o más variables. A partir de una recta de ajuste o de regresión se puede establecer una dependencia entre listas de variables, es decir, se establece una relación funcional entre las variables, de modo que se puede predecir el valor de una en base a la otra (u otras). Donde generalmente las variables que predicen se les llama independientes y a la variable que se va a predecir, dependiente. Para la obtención de esa recta de ajuste se emplea el método de mínimos cuadrados.</w:t>
      </w:r>
    </w:p>
    <w:p w:rsidR="00E97DFE" w:rsidRDefault="00E97DFE" w:rsidP="00E97DFE">
      <w:pPr>
        <w:spacing w:after="0" w:line="360" w:lineRule="auto"/>
        <w:jc w:val="both"/>
        <w:rPr>
          <w:rFonts w:ascii="Times New Roman" w:hAnsi="Times New Roman"/>
          <w:sz w:val="24"/>
          <w:szCs w:val="24"/>
          <w:lang w:val="es-EC"/>
        </w:rPr>
      </w:pPr>
      <w:r>
        <w:rPr>
          <w:rFonts w:ascii="Times New Roman" w:hAnsi="Times New Roman"/>
          <w:sz w:val="24"/>
          <w:szCs w:val="24"/>
          <w:lang w:val="es-EC"/>
        </w:rPr>
        <w:t xml:space="preserve">Por otro lado, bajo el nombre de análisis factorial se agrupan un conjunto de técnicas estadísticas que se caracterizan por la capacidad de reducción de los datos originales. </w:t>
      </w:r>
      <w:r>
        <w:rPr>
          <w:rFonts w:ascii="Times New Roman" w:hAnsi="Times New Roman"/>
          <w:sz w:val="24"/>
          <w:szCs w:val="24"/>
          <w:lang w:val="es-PA"/>
        </w:rPr>
        <w:t>S</w:t>
      </w:r>
      <w:r w:rsidRPr="00EF703E">
        <w:rPr>
          <w:rFonts w:ascii="Times New Roman" w:hAnsi="Times New Roman"/>
          <w:sz w:val="24"/>
          <w:szCs w:val="24"/>
          <w:lang w:val="es-PA"/>
        </w:rPr>
        <w:t>e parte de un conjunto de variables correlacionadas que caracterizan cierto fenómeno y buscan relaciones " subyacentes" entre ellas, de manera que los datos puedan reordenarse o reducirse a un conjunto más pequeño de factores o componentes que en buena medida expliquen el fenómeno.</w:t>
      </w:r>
    </w:p>
    <w:p w:rsidR="00E97DFE" w:rsidRPr="0088022E" w:rsidRDefault="00E97DFE" w:rsidP="00E97DFE">
      <w:pPr>
        <w:spacing w:after="0" w:line="360" w:lineRule="auto"/>
        <w:jc w:val="both"/>
        <w:rPr>
          <w:rFonts w:ascii="Times New Roman" w:hAnsi="Times New Roman"/>
          <w:sz w:val="24"/>
          <w:szCs w:val="24"/>
        </w:rPr>
      </w:pPr>
      <w:r>
        <w:rPr>
          <w:rFonts w:ascii="Times New Roman" w:hAnsi="Times New Roman"/>
          <w:sz w:val="24"/>
          <w:szCs w:val="24"/>
          <w:lang w:val="es-EC"/>
        </w:rPr>
        <w:t xml:space="preserve">En el comportamiento de la participación pueden darse variaciones que permiten establecer grupos para lo cual el </w:t>
      </w:r>
      <w:r w:rsidRPr="0088022E">
        <w:rPr>
          <w:rFonts w:ascii="Times New Roman" w:hAnsi="Times New Roman"/>
          <w:sz w:val="24"/>
          <w:szCs w:val="24"/>
        </w:rPr>
        <w:t>análisis de clúster</w:t>
      </w:r>
      <w:r>
        <w:rPr>
          <w:rFonts w:ascii="Times New Roman" w:hAnsi="Times New Roman"/>
          <w:sz w:val="24"/>
          <w:szCs w:val="24"/>
        </w:rPr>
        <w:t>,</w:t>
      </w:r>
      <w:r w:rsidRPr="0088022E">
        <w:rPr>
          <w:rFonts w:ascii="Times New Roman" w:hAnsi="Times New Roman"/>
          <w:sz w:val="24"/>
          <w:szCs w:val="24"/>
        </w:rPr>
        <w:t xml:space="preserve"> </w:t>
      </w:r>
      <w:r>
        <w:rPr>
          <w:rFonts w:ascii="Times New Roman" w:hAnsi="Times New Roman"/>
          <w:sz w:val="24"/>
          <w:szCs w:val="24"/>
        </w:rPr>
        <w:t xml:space="preserve">como </w:t>
      </w:r>
      <w:r w:rsidRPr="0088022E">
        <w:rPr>
          <w:rFonts w:ascii="Times New Roman" w:hAnsi="Times New Roman"/>
          <w:sz w:val="24"/>
          <w:szCs w:val="24"/>
        </w:rPr>
        <w:t>técnica estadística</w:t>
      </w:r>
      <w:r>
        <w:rPr>
          <w:rFonts w:ascii="Times New Roman" w:hAnsi="Times New Roman"/>
          <w:sz w:val="24"/>
          <w:szCs w:val="24"/>
        </w:rPr>
        <w:t>, permite</w:t>
      </w:r>
      <w:r w:rsidRPr="0088022E">
        <w:rPr>
          <w:rFonts w:ascii="Times New Roman" w:hAnsi="Times New Roman"/>
          <w:sz w:val="24"/>
          <w:szCs w:val="24"/>
        </w:rPr>
        <w:t xml:space="preserve"> identificar grupos de objetos o casos similares a partir de un conjunto de atributos. </w:t>
      </w:r>
      <w:r>
        <w:rPr>
          <w:rFonts w:ascii="Times New Roman" w:hAnsi="Times New Roman"/>
          <w:sz w:val="24"/>
          <w:szCs w:val="24"/>
        </w:rPr>
        <w:t>Resulta utilizable pues se trata de un caso en que</w:t>
      </w:r>
      <w:r w:rsidRPr="0088022E">
        <w:rPr>
          <w:rFonts w:ascii="Times New Roman" w:hAnsi="Times New Roman"/>
          <w:sz w:val="24"/>
          <w:szCs w:val="24"/>
        </w:rPr>
        <w:t xml:space="preserve"> no </w:t>
      </w:r>
      <w:r>
        <w:rPr>
          <w:rFonts w:ascii="Times New Roman" w:hAnsi="Times New Roman"/>
          <w:sz w:val="24"/>
          <w:szCs w:val="24"/>
        </w:rPr>
        <w:t>existen</w:t>
      </w:r>
      <w:r w:rsidRPr="0088022E">
        <w:rPr>
          <w:rFonts w:ascii="Times New Roman" w:hAnsi="Times New Roman"/>
          <w:sz w:val="24"/>
          <w:szCs w:val="24"/>
        </w:rPr>
        <w:t xml:space="preserve"> grupos previamente formados y es deseable hacerlo, o por </w:t>
      </w:r>
      <w:r w:rsidRPr="0088022E">
        <w:rPr>
          <w:rFonts w:ascii="Times New Roman" w:hAnsi="Times New Roman"/>
          <w:sz w:val="24"/>
          <w:szCs w:val="24"/>
        </w:rPr>
        <w:lastRenderedPageBreak/>
        <w:t>el contrario hay demasiados grupos que dificulten la comparación vertical y se necesita una delimitación. Estas técnicas ayudan a definir o reducir los grupos sobre la base de criterios topológicos.</w:t>
      </w:r>
    </w:p>
    <w:p w:rsidR="00E97DFE" w:rsidRDefault="00E97DFE" w:rsidP="00E97DFE">
      <w:pPr>
        <w:spacing w:after="0" w:line="360" w:lineRule="auto"/>
        <w:jc w:val="both"/>
        <w:rPr>
          <w:rFonts w:ascii="Times New Roman" w:hAnsi="Times New Roman"/>
          <w:sz w:val="24"/>
          <w:szCs w:val="24"/>
          <w:lang w:val="es-EC"/>
        </w:rPr>
      </w:pPr>
      <w:r>
        <w:rPr>
          <w:rFonts w:ascii="Times New Roman" w:hAnsi="Times New Roman"/>
          <w:sz w:val="24"/>
          <w:szCs w:val="24"/>
          <w:lang w:val="es-EC"/>
        </w:rPr>
        <w:t>Al inicio se dijo que siempre hay un número, pues siempre también hay interpretación porque para superar el empirismo se debe trascender el dato, interpretarlo a la luz de la teoría, encontrarle su significación particular y universal. Esa interpretación supera lo especulativo cuando, en ciencias sociales, es sociológica para que profundice en la lógica social incrustada en el dato, numérico o no.</w:t>
      </w:r>
    </w:p>
    <w:p w:rsidR="00E97DFE" w:rsidRDefault="00E97DFE" w:rsidP="00E97DFE">
      <w:pPr>
        <w:spacing w:after="0" w:line="360" w:lineRule="auto"/>
        <w:jc w:val="both"/>
        <w:rPr>
          <w:rFonts w:ascii="Times New Roman" w:hAnsi="Times New Roman"/>
          <w:sz w:val="24"/>
          <w:szCs w:val="24"/>
          <w:lang w:val="es-EC"/>
        </w:rPr>
      </w:pPr>
      <w:r w:rsidRPr="00F8565B">
        <w:rPr>
          <w:rFonts w:ascii="Times New Roman" w:hAnsi="Times New Roman"/>
          <w:sz w:val="24"/>
          <w:szCs w:val="24"/>
          <w:lang w:val="es-EC"/>
        </w:rPr>
        <w:t>En la actualidad “es interesante observar como muchas investigaciones se desarrollan paralelamente en matemáticas y sociología, otras ciencias sociales, motivadas por las necesidades de una y otra. Es el caso de la programación matemática, la teoría de juegos, la sistémica, la estadística teórica, la lógica difusa, etc.” (</w:t>
      </w:r>
      <w:proofErr w:type="spellStart"/>
      <w:r w:rsidRPr="00F8565B">
        <w:rPr>
          <w:rFonts w:ascii="Times New Roman" w:hAnsi="Times New Roman"/>
          <w:sz w:val="24"/>
          <w:szCs w:val="24"/>
          <w:lang w:val="es-EC"/>
        </w:rPr>
        <w:t>Alaminos</w:t>
      </w:r>
      <w:proofErr w:type="spellEnd"/>
      <w:r w:rsidRPr="00F8565B">
        <w:rPr>
          <w:rFonts w:ascii="Times New Roman" w:hAnsi="Times New Roman"/>
          <w:sz w:val="24"/>
          <w:szCs w:val="24"/>
          <w:lang w:val="es-EC"/>
        </w:rPr>
        <w:t>, 2005: 155) a lo cual se puede agregar la optimización matemática de procesos.</w:t>
      </w:r>
    </w:p>
    <w:p w:rsidR="00E97DFE" w:rsidRDefault="00E97DFE" w:rsidP="00E97DFE">
      <w:pPr>
        <w:spacing w:after="0" w:line="360" w:lineRule="auto"/>
        <w:jc w:val="both"/>
        <w:rPr>
          <w:rFonts w:ascii="Times New Roman" w:hAnsi="Times New Roman"/>
          <w:sz w:val="24"/>
          <w:szCs w:val="24"/>
          <w:lang w:val="es-EC"/>
        </w:rPr>
      </w:pPr>
      <w:r w:rsidRPr="00F8565B">
        <w:rPr>
          <w:rFonts w:ascii="Times New Roman" w:hAnsi="Times New Roman"/>
          <w:sz w:val="24"/>
          <w:szCs w:val="24"/>
          <w:lang w:val="es-EC"/>
        </w:rPr>
        <w:t>En contextos comunitarios los estudios de redes sociales</w:t>
      </w:r>
      <w:r>
        <w:rPr>
          <w:rFonts w:ascii="Times New Roman" w:hAnsi="Times New Roman"/>
          <w:sz w:val="24"/>
          <w:szCs w:val="24"/>
          <w:lang w:val="es-EC"/>
        </w:rPr>
        <w:t>, por ejemplo,</w:t>
      </w:r>
      <w:r w:rsidRPr="00F8565B">
        <w:rPr>
          <w:rFonts w:ascii="Times New Roman" w:hAnsi="Times New Roman"/>
          <w:sz w:val="24"/>
          <w:szCs w:val="24"/>
          <w:lang w:val="es-EC"/>
        </w:rPr>
        <w:t xml:space="preserve"> </w:t>
      </w:r>
      <w:r>
        <w:rPr>
          <w:rFonts w:ascii="Times New Roman" w:hAnsi="Times New Roman"/>
          <w:sz w:val="24"/>
          <w:szCs w:val="24"/>
          <w:lang w:val="es-EC"/>
        </w:rPr>
        <w:t xml:space="preserve">se </w:t>
      </w:r>
      <w:r w:rsidRPr="00F8565B">
        <w:rPr>
          <w:rFonts w:ascii="Times New Roman" w:hAnsi="Times New Roman"/>
          <w:sz w:val="24"/>
          <w:szCs w:val="24"/>
          <w:lang w:val="es-EC"/>
        </w:rPr>
        <w:t>vienen utilizando como herramienta de inves</w:t>
      </w:r>
      <w:r>
        <w:rPr>
          <w:rFonts w:ascii="Times New Roman" w:hAnsi="Times New Roman"/>
          <w:sz w:val="24"/>
          <w:szCs w:val="24"/>
          <w:lang w:val="es-EC"/>
        </w:rPr>
        <w:t>tigación y acción (Holgado, 2016</w:t>
      </w:r>
      <w:r w:rsidRPr="00F8565B">
        <w:rPr>
          <w:rFonts w:ascii="Times New Roman" w:hAnsi="Times New Roman"/>
          <w:sz w:val="24"/>
          <w:szCs w:val="24"/>
          <w:lang w:val="es-EC"/>
        </w:rPr>
        <w:t xml:space="preserve">) </w:t>
      </w:r>
      <w:r>
        <w:rPr>
          <w:rFonts w:ascii="Times New Roman" w:hAnsi="Times New Roman"/>
          <w:sz w:val="24"/>
          <w:szCs w:val="24"/>
          <w:lang w:val="es-EC"/>
        </w:rPr>
        <w:t xml:space="preserve">lo </w:t>
      </w:r>
      <w:r w:rsidRPr="00F8565B">
        <w:rPr>
          <w:rFonts w:ascii="Times New Roman" w:hAnsi="Times New Roman"/>
          <w:sz w:val="24"/>
          <w:szCs w:val="24"/>
          <w:lang w:val="es-EC"/>
        </w:rPr>
        <w:t xml:space="preserve">que permite “la evaluación de programas, la gobernanza participativa, la selección de agentes de salud, los </w:t>
      </w:r>
      <w:proofErr w:type="spellStart"/>
      <w:r w:rsidRPr="00F8565B">
        <w:rPr>
          <w:rFonts w:ascii="Times New Roman" w:hAnsi="Times New Roman"/>
          <w:sz w:val="24"/>
          <w:szCs w:val="24"/>
          <w:lang w:val="es-EC"/>
        </w:rPr>
        <w:t>sociogramas</w:t>
      </w:r>
      <w:proofErr w:type="spellEnd"/>
      <w:r w:rsidRPr="00F8565B">
        <w:rPr>
          <w:rFonts w:ascii="Times New Roman" w:hAnsi="Times New Roman"/>
          <w:sz w:val="24"/>
          <w:szCs w:val="24"/>
          <w:lang w:val="es-EC"/>
        </w:rPr>
        <w:t xml:space="preserve"> participativos y la determinación e implicación de personas clave en los procesos de intervención social; además forma parte de estrategias de empoderamiento, mediación, coaliciones comunitarias y difusión de mensajes”</w:t>
      </w:r>
      <w:r>
        <w:rPr>
          <w:rFonts w:ascii="Times New Roman" w:hAnsi="Times New Roman"/>
          <w:sz w:val="24"/>
          <w:szCs w:val="24"/>
          <w:lang w:val="es-EC"/>
        </w:rPr>
        <w:t>.</w:t>
      </w:r>
      <w:r w:rsidRPr="00F8565B">
        <w:rPr>
          <w:rFonts w:ascii="Times New Roman" w:hAnsi="Times New Roman"/>
          <w:sz w:val="24"/>
          <w:szCs w:val="24"/>
          <w:lang w:val="es-EC"/>
        </w:rPr>
        <w:t xml:space="preserve"> </w:t>
      </w:r>
      <w:r>
        <w:rPr>
          <w:rFonts w:ascii="Times New Roman" w:hAnsi="Times New Roman"/>
          <w:sz w:val="24"/>
          <w:szCs w:val="24"/>
          <w:lang w:val="es-EC"/>
        </w:rPr>
        <w:t>(</w:t>
      </w:r>
      <w:r w:rsidRPr="00F8565B">
        <w:rPr>
          <w:rFonts w:ascii="Times New Roman" w:hAnsi="Times New Roman"/>
          <w:sz w:val="24"/>
          <w:szCs w:val="24"/>
          <w:lang w:val="es-EC"/>
        </w:rPr>
        <w:t>García, 2018: 38)</w:t>
      </w:r>
    </w:p>
    <w:p w:rsidR="00E97DFE" w:rsidRDefault="00E97DFE" w:rsidP="00E97DFE">
      <w:pPr>
        <w:spacing w:after="0" w:line="360" w:lineRule="auto"/>
        <w:jc w:val="both"/>
        <w:rPr>
          <w:rFonts w:ascii="Times New Roman" w:hAnsi="Times New Roman"/>
          <w:sz w:val="24"/>
          <w:szCs w:val="24"/>
          <w:lang w:val="es-EC"/>
        </w:rPr>
      </w:pPr>
      <w:r>
        <w:rPr>
          <w:rFonts w:ascii="Times New Roman" w:hAnsi="Times New Roman"/>
          <w:sz w:val="24"/>
          <w:szCs w:val="24"/>
          <w:lang w:val="es-EC"/>
        </w:rPr>
        <w:t>Sobre estas cuestiones trata el trabajo que aquí se resume.</w:t>
      </w:r>
    </w:p>
    <w:p w:rsidR="00F53269" w:rsidRPr="00B06F78" w:rsidRDefault="00FF3346" w:rsidP="00EB6ED3">
      <w:pPr>
        <w:spacing w:before="240" w:after="0" w:line="360" w:lineRule="auto"/>
        <w:jc w:val="both"/>
        <w:rPr>
          <w:rFonts w:ascii="Times New Roman" w:hAnsi="Times New Roman"/>
          <w:b/>
          <w:sz w:val="24"/>
          <w:szCs w:val="24"/>
        </w:rPr>
      </w:pPr>
      <w:r w:rsidRPr="00B06F78">
        <w:rPr>
          <w:rFonts w:ascii="Times New Roman" w:hAnsi="Times New Roman"/>
          <w:b/>
          <w:sz w:val="24"/>
          <w:szCs w:val="24"/>
        </w:rPr>
        <w:t>Referencias bibliográficas</w:t>
      </w:r>
    </w:p>
    <w:p w:rsidR="00E97DFE" w:rsidRDefault="00E97DFE" w:rsidP="00E97DFE">
      <w:pPr>
        <w:spacing w:after="0" w:line="360" w:lineRule="auto"/>
        <w:ind w:left="284" w:hanging="284"/>
        <w:jc w:val="both"/>
        <w:rPr>
          <w:rFonts w:ascii="Times New Roman" w:hAnsi="Times New Roman"/>
          <w:sz w:val="24"/>
          <w:szCs w:val="24"/>
          <w:lang w:val="es-EC"/>
        </w:rPr>
      </w:pPr>
      <w:r>
        <w:rPr>
          <w:rFonts w:ascii="Times New Roman" w:hAnsi="Times New Roman"/>
          <w:sz w:val="24"/>
          <w:szCs w:val="24"/>
          <w:lang w:val="es-EC"/>
        </w:rPr>
        <w:t xml:space="preserve">Durán Castellón, G. y colectivo (2019) </w:t>
      </w:r>
      <w:r w:rsidRPr="00BF6B54">
        <w:rPr>
          <w:rFonts w:ascii="Times New Roman" w:hAnsi="Times New Roman"/>
          <w:i/>
          <w:sz w:val="24"/>
          <w:szCs w:val="24"/>
          <w:lang w:val="es-EC"/>
        </w:rPr>
        <w:t>Gestión cultural del patrimonio para el d</w:t>
      </w:r>
      <w:r>
        <w:rPr>
          <w:rFonts w:ascii="Times New Roman" w:hAnsi="Times New Roman"/>
          <w:i/>
          <w:sz w:val="24"/>
          <w:szCs w:val="24"/>
          <w:lang w:val="es-EC"/>
        </w:rPr>
        <w:t xml:space="preserve">esarrollo local comunitario en </w:t>
      </w:r>
      <w:r w:rsidRPr="00BF6B54">
        <w:rPr>
          <w:rFonts w:ascii="Times New Roman" w:hAnsi="Times New Roman"/>
          <w:i/>
          <w:sz w:val="24"/>
          <w:szCs w:val="24"/>
          <w:lang w:val="es-EC"/>
        </w:rPr>
        <w:t>Cuba. Tomo I – Fundamentos</w:t>
      </w:r>
      <w:r>
        <w:rPr>
          <w:rFonts w:ascii="Times New Roman" w:hAnsi="Times New Roman"/>
          <w:sz w:val="24"/>
          <w:szCs w:val="24"/>
          <w:lang w:val="es-EC"/>
        </w:rPr>
        <w:t>. Informe de investigación. Santa Clara, UCLV-FCS-Centro de Estudios Comunitarios.</w:t>
      </w:r>
    </w:p>
    <w:p w:rsidR="00E97DFE" w:rsidRDefault="00E97DFE" w:rsidP="00E97DFE">
      <w:pPr>
        <w:spacing w:after="0" w:line="360" w:lineRule="auto"/>
        <w:ind w:left="284" w:hanging="284"/>
        <w:jc w:val="both"/>
        <w:rPr>
          <w:rFonts w:ascii="Times New Roman" w:hAnsi="Times New Roman"/>
          <w:sz w:val="24"/>
          <w:szCs w:val="24"/>
          <w:lang w:val="es-EC"/>
        </w:rPr>
      </w:pPr>
      <w:r w:rsidRPr="00726DEE">
        <w:rPr>
          <w:rFonts w:ascii="Times New Roman" w:hAnsi="Times New Roman"/>
          <w:sz w:val="24"/>
          <w:szCs w:val="24"/>
          <w:lang w:val="es-PA"/>
        </w:rPr>
        <w:t xml:space="preserve">García Dueñas, R.Y. (2018) </w:t>
      </w:r>
      <w:r w:rsidRPr="00726DEE">
        <w:rPr>
          <w:rFonts w:ascii="Times New Roman" w:hAnsi="Times New Roman"/>
          <w:bCs/>
          <w:i/>
          <w:sz w:val="24"/>
          <w:szCs w:val="24"/>
        </w:rPr>
        <w:t>Redes sociales de conocimiento tradicional vinculadas con la actividad de la pesca para el manejo integrado de zonas costeras en el Castillo Jagua-Perché, Cienfuegos</w:t>
      </w:r>
      <w:r w:rsidRPr="00726DEE">
        <w:rPr>
          <w:rFonts w:ascii="Times New Roman" w:hAnsi="Times New Roman"/>
          <w:bCs/>
          <w:sz w:val="24"/>
          <w:szCs w:val="24"/>
        </w:rPr>
        <w:t xml:space="preserve"> (2016-2017). Santa Clara, </w:t>
      </w:r>
      <w:r>
        <w:rPr>
          <w:rFonts w:ascii="Times New Roman" w:hAnsi="Times New Roman"/>
          <w:bCs/>
          <w:sz w:val="24"/>
          <w:szCs w:val="24"/>
        </w:rPr>
        <w:t>UCLV-FCS-Centro de Estudios Comunitarios, Tesis de doctorado</w:t>
      </w:r>
      <w:r w:rsidRPr="00726DEE">
        <w:rPr>
          <w:rFonts w:ascii="Times New Roman" w:hAnsi="Times New Roman"/>
          <w:bCs/>
          <w:sz w:val="24"/>
          <w:szCs w:val="24"/>
        </w:rPr>
        <w:t>.</w:t>
      </w:r>
      <w:bookmarkStart w:id="0" w:name="_GoBack"/>
      <w:bookmarkEnd w:id="0"/>
    </w:p>
    <w:p w:rsidR="00E97DFE" w:rsidRDefault="00E97DFE" w:rsidP="00E97DFE">
      <w:pPr>
        <w:spacing w:after="0" w:line="360" w:lineRule="auto"/>
        <w:ind w:left="284" w:hanging="284"/>
        <w:jc w:val="both"/>
        <w:rPr>
          <w:rFonts w:ascii="Times New Roman" w:hAnsi="Times New Roman"/>
          <w:sz w:val="24"/>
          <w:szCs w:val="24"/>
          <w:lang w:val="es-EC"/>
        </w:rPr>
      </w:pPr>
      <w:proofErr w:type="spellStart"/>
      <w:r w:rsidRPr="00726DEE">
        <w:rPr>
          <w:rFonts w:ascii="Times New Roman" w:hAnsi="Times New Roman"/>
          <w:sz w:val="24"/>
          <w:szCs w:val="24"/>
          <w:lang w:val="en-US"/>
        </w:rPr>
        <w:lastRenderedPageBreak/>
        <w:t>Holgado</w:t>
      </w:r>
      <w:proofErr w:type="spellEnd"/>
      <w:r w:rsidRPr="00726DEE">
        <w:rPr>
          <w:rFonts w:ascii="Times New Roman" w:hAnsi="Times New Roman"/>
          <w:sz w:val="24"/>
          <w:szCs w:val="24"/>
          <w:lang w:val="en-US"/>
        </w:rPr>
        <w:t xml:space="preserve">, D. (2016). Analyzing Social Networks. </w:t>
      </w:r>
      <w:r w:rsidRPr="00726DEE">
        <w:rPr>
          <w:rFonts w:ascii="Times New Roman" w:hAnsi="Times New Roman"/>
          <w:i/>
          <w:iCs/>
          <w:sz w:val="24"/>
          <w:szCs w:val="24"/>
        </w:rPr>
        <w:t>Redes. Revista Hispana para el Análisis de Redes Sociales</w:t>
      </w:r>
      <w:r w:rsidRPr="00726DEE">
        <w:rPr>
          <w:rFonts w:ascii="Times New Roman" w:hAnsi="Times New Roman"/>
          <w:sz w:val="24"/>
          <w:szCs w:val="24"/>
        </w:rPr>
        <w:t xml:space="preserve">, </w:t>
      </w:r>
      <w:r w:rsidRPr="00726DEE">
        <w:rPr>
          <w:rFonts w:ascii="Times New Roman" w:hAnsi="Times New Roman"/>
          <w:i/>
          <w:iCs/>
          <w:sz w:val="24"/>
          <w:szCs w:val="24"/>
        </w:rPr>
        <w:t>27</w:t>
      </w:r>
      <w:r w:rsidRPr="00726DEE">
        <w:rPr>
          <w:rFonts w:ascii="Times New Roman" w:hAnsi="Times New Roman"/>
          <w:sz w:val="24"/>
          <w:szCs w:val="24"/>
        </w:rPr>
        <w:t>(2), 141–145.</w:t>
      </w:r>
    </w:p>
    <w:p w:rsidR="00F53269" w:rsidRPr="00E97DFE" w:rsidRDefault="00E97DFE" w:rsidP="00E97DFE">
      <w:pPr>
        <w:spacing w:after="0" w:line="360" w:lineRule="auto"/>
        <w:ind w:left="284" w:hanging="284"/>
        <w:jc w:val="both"/>
        <w:rPr>
          <w:rFonts w:ascii="Times New Roman" w:hAnsi="Times New Roman"/>
          <w:bCs/>
          <w:sz w:val="24"/>
          <w:szCs w:val="24"/>
        </w:rPr>
      </w:pPr>
      <w:r>
        <w:rPr>
          <w:rFonts w:ascii="Times New Roman" w:hAnsi="Times New Roman"/>
          <w:sz w:val="24"/>
          <w:szCs w:val="24"/>
          <w:lang w:val="es-EC"/>
        </w:rPr>
        <w:t xml:space="preserve">Jara Solenzar, Dunia, </w:t>
      </w:r>
      <w:proofErr w:type="spellStart"/>
      <w:r>
        <w:rPr>
          <w:rFonts w:ascii="Times New Roman" w:hAnsi="Times New Roman"/>
          <w:sz w:val="24"/>
          <w:szCs w:val="24"/>
          <w:lang w:val="es-EC"/>
        </w:rPr>
        <w:t>Eduvijes</w:t>
      </w:r>
      <w:proofErr w:type="spellEnd"/>
      <w:r>
        <w:rPr>
          <w:rFonts w:ascii="Times New Roman" w:hAnsi="Times New Roman"/>
          <w:sz w:val="24"/>
          <w:szCs w:val="24"/>
          <w:lang w:val="es-EC"/>
        </w:rPr>
        <w:t xml:space="preserve"> (2015) </w:t>
      </w:r>
      <w:r w:rsidRPr="00407625">
        <w:rPr>
          <w:rFonts w:ascii="Times New Roman" w:hAnsi="Times New Roman"/>
          <w:bCs/>
          <w:i/>
          <w:sz w:val="24"/>
          <w:szCs w:val="24"/>
        </w:rPr>
        <w:t>Expresión de la participación en la tradición parrandera en Chambas</w:t>
      </w:r>
      <w:r>
        <w:rPr>
          <w:rFonts w:ascii="Times New Roman" w:hAnsi="Times New Roman"/>
          <w:bCs/>
          <w:sz w:val="24"/>
          <w:szCs w:val="24"/>
        </w:rPr>
        <w:t>. Santa Clara, UCLV-FCS-Centro de Estudios Comunitarios, Tesis de doctorado.</w:t>
      </w:r>
    </w:p>
    <w:sectPr w:rsidR="00F53269" w:rsidRPr="00E97DFE" w:rsidSect="00EB6ED3">
      <w:headerReference w:type="default" r:id="rId9"/>
      <w:footerReference w:type="default" r:id="rId10"/>
      <w:pgSz w:w="11906" w:h="16838"/>
      <w:pgMar w:top="1418" w:right="1418"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9D" w:rsidRDefault="00AD529D" w:rsidP="00C8585B">
      <w:pPr>
        <w:spacing w:after="0" w:line="240" w:lineRule="auto"/>
      </w:pPr>
      <w:r>
        <w:separator/>
      </w:r>
    </w:p>
  </w:endnote>
  <w:endnote w:type="continuationSeparator" w:id="0">
    <w:p w:rsidR="00AD529D" w:rsidRDefault="00AD529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sz w:val="24"/>
      </w:rPr>
    </w:pPr>
  </w:p>
  <w:p w:rsidR="00362E5F" w:rsidRPr="007559FA" w:rsidRDefault="005E2497" w:rsidP="005E2497">
    <w:pPr>
      <w:pStyle w:val="Piedepgina"/>
      <w:jc w:val="center"/>
      <w:rPr>
        <w:rFonts w:ascii="Times New Roman" w:hAnsi="Times New Roman"/>
        <w:sz w:val="28"/>
      </w:rPr>
    </w:pPr>
    <w:r w:rsidRPr="007559FA">
      <w:rPr>
        <w:rFonts w:ascii="Times New Roman" w:hAnsi="Times New Roman"/>
        <w:sz w:val="28"/>
      </w:rPr>
      <w:t>Información de contacto</w:t>
    </w:r>
  </w:p>
  <w:p w:rsidR="005E2497" w:rsidRPr="007559FA" w:rsidRDefault="005E2497" w:rsidP="005E2497">
    <w:pPr>
      <w:pStyle w:val="Piedepgina"/>
      <w:jc w:val="center"/>
      <w:rPr>
        <w:rFonts w:ascii="Times New Roman" w:hAnsi="Times New Roman"/>
        <w:sz w:val="28"/>
      </w:rPr>
    </w:pPr>
    <w:r w:rsidRPr="007559FA">
      <w:rPr>
        <w:rFonts w:ascii="Times New Roman" w:hAnsi="Times New Roman"/>
        <w:sz w:val="28"/>
      </w:rPr>
      <w:t xml:space="preserve"> </w:t>
    </w:r>
    <w:hyperlink r:id="rId1" w:history="1">
      <w:r w:rsidRPr="007559FA">
        <w:rPr>
          <w:rStyle w:val="Hipervnculo"/>
          <w:rFonts w:ascii="Times New Roman" w:hAnsi="Times New Roman"/>
          <w:sz w:val="28"/>
        </w:rPr>
        <w:t>convencionuclv@uclv.cu</w:t>
      </w:r>
    </w:hyperlink>
  </w:p>
  <w:p w:rsidR="005E2497" w:rsidRPr="007559FA" w:rsidRDefault="00AD529D" w:rsidP="005E2497">
    <w:pPr>
      <w:pStyle w:val="Piedepgina"/>
      <w:jc w:val="center"/>
      <w:rPr>
        <w:rFonts w:ascii="Times New Roman" w:hAnsi="Times New Roman"/>
        <w:sz w:val="28"/>
      </w:rPr>
    </w:pPr>
    <w:hyperlink r:id="rId2" w:history="1">
      <w:r w:rsidR="005E2497" w:rsidRPr="007559FA">
        <w:rPr>
          <w:rStyle w:val="Hipervnculo"/>
          <w:rFonts w:ascii="Times New Roman" w:hAnsi="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9D" w:rsidRDefault="00AD529D" w:rsidP="00C8585B">
      <w:pPr>
        <w:spacing w:after="0" w:line="240" w:lineRule="auto"/>
      </w:pPr>
      <w:r>
        <w:separator/>
      </w:r>
    </w:p>
  </w:footnote>
  <w:footnote w:type="continuationSeparator" w:id="0">
    <w:p w:rsidR="00AD529D" w:rsidRDefault="00AD529D"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BF3456" w:rsidP="00E83573">
    <w:pPr>
      <w:pStyle w:val="Encabezado"/>
      <w:jc w:val="center"/>
      <w:rPr>
        <w:rFonts w:ascii="Times New Roman" w:hAnsi="Times New Roman"/>
        <w:b/>
        <w:sz w:val="24"/>
      </w:rPr>
    </w:pPr>
    <w:r>
      <w:rPr>
        <w:noProof/>
        <w:lang w:eastAsia="es-ES"/>
      </w:rPr>
      <w:drawing>
        <wp:anchor distT="0" distB="0" distL="114300" distR="114300" simplePos="0" relativeHeight="251657216" behindDoc="1" locked="0" layoutInCell="1" allowOverlap="1">
          <wp:simplePos x="0" y="0"/>
          <wp:positionH relativeFrom="column">
            <wp:posOffset>5387340</wp:posOffset>
          </wp:positionH>
          <wp:positionV relativeFrom="paragraph">
            <wp:posOffset>-169545</wp:posOffset>
          </wp:positionV>
          <wp:extent cx="714375" cy="836295"/>
          <wp:effectExtent l="0" t="0" r="0" b="0"/>
          <wp:wrapNone/>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573" w:rsidRPr="00640758">
      <w:rPr>
        <w:rFonts w:ascii="Times New Roman" w:hAnsi="Times New Roman"/>
        <w:b/>
        <w:sz w:val="24"/>
      </w:rPr>
      <w:t xml:space="preserve">PLANTILLA OFICIAL PARA LA </w:t>
    </w:r>
    <w:r w:rsidR="00640758" w:rsidRPr="00640758">
      <w:rPr>
        <w:rFonts w:ascii="Times New Roman" w:hAnsi="Times New Roman"/>
        <w:b/>
        <w:sz w:val="24"/>
      </w:rPr>
      <w:t>PRESENTACIÓ</w:t>
    </w:r>
    <w:r w:rsidR="00E83573" w:rsidRPr="00640758">
      <w:rPr>
        <w:rFonts w:ascii="Times New Roman" w:hAnsi="Times New Roman"/>
        <w:b/>
        <w:sz w:val="24"/>
      </w:rPr>
      <w:t>N DE TRA</w:t>
    </w:r>
    <w:r w:rsidR="00640758" w:rsidRPr="00640758">
      <w:rPr>
        <w:rFonts w:ascii="Times New Roman" w:hAnsi="Times New Roman"/>
        <w:b/>
        <w:sz w:val="24"/>
      </w:rPr>
      <w:t xml:space="preserve">BAJOS </w:t>
    </w:r>
  </w:p>
  <w:p w:rsidR="005E2497" w:rsidRDefault="00640758" w:rsidP="00E83573">
    <w:pPr>
      <w:pStyle w:val="Encabezado"/>
      <w:jc w:val="center"/>
      <w:rPr>
        <w:rFonts w:ascii="Times New Roman" w:hAnsi="Times New Roman"/>
        <w:b/>
        <w:sz w:val="24"/>
      </w:rPr>
    </w:pPr>
    <w:r w:rsidRPr="00640758">
      <w:rPr>
        <w:rFonts w:ascii="Times New Roman" w:hAnsi="Times New Roman"/>
        <w:b/>
        <w:sz w:val="24"/>
      </w:rPr>
      <w:t>II C</w:t>
    </w:r>
    <w:r>
      <w:rPr>
        <w:rFonts w:ascii="Times New Roman" w:hAnsi="Times New Roman"/>
        <w:b/>
        <w:sz w:val="24"/>
      </w:rPr>
      <w:t>ONVENCIÓ</w:t>
    </w:r>
    <w:r w:rsidRPr="00640758">
      <w:rPr>
        <w:rFonts w:ascii="Times New Roman" w:hAnsi="Times New Roman"/>
        <w:b/>
        <w:sz w:val="24"/>
      </w:rPr>
      <w:t>N CIENTÍ</w:t>
    </w:r>
    <w:r w:rsidR="00E83573" w:rsidRPr="00640758">
      <w:rPr>
        <w:rFonts w:ascii="Times New Roman" w:hAnsi="Times New Roman"/>
        <w:b/>
        <w:sz w:val="24"/>
      </w:rPr>
      <w:t xml:space="preserve">FICA INTERNACIONAL </w:t>
    </w:r>
  </w:p>
  <w:p w:rsidR="009D5E02" w:rsidRDefault="00E83573" w:rsidP="00E83573">
    <w:pPr>
      <w:pStyle w:val="Encabezado"/>
      <w:jc w:val="center"/>
      <w:rPr>
        <w:rFonts w:ascii="Times New Roman" w:hAnsi="Times New Roman"/>
        <w:sz w:val="24"/>
        <w:szCs w:val="24"/>
      </w:rPr>
    </w:pPr>
    <w:r w:rsidRPr="00640758">
      <w:rPr>
        <w:rFonts w:ascii="Times New Roman" w:hAnsi="Times New Roman"/>
        <w:b/>
        <w:sz w:val="24"/>
      </w:rPr>
      <w:t>“</w:t>
    </w:r>
    <w:r w:rsidR="008A2E7E">
      <w:rPr>
        <w:rFonts w:ascii="Times New Roman" w:hAnsi="Times New Roman"/>
        <w:b/>
        <w:sz w:val="24"/>
      </w:rPr>
      <w:t xml:space="preserve">II </w:t>
    </w:r>
    <w:r w:rsidR="00640758">
      <w:rPr>
        <w:rFonts w:ascii="Times New Roman" w:hAnsi="Times New Roman"/>
        <w:b/>
        <w:sz w:val="24"/>
      </w:rPr>
      <w:t xml:space="preserve">CCI </w:t>
    </w:r>
    <w:r w:rsidRPr="00640758">
      <w:rPr>
        <w:rFonts w:ascii="Times New Roman" w:hAnsi="Times New Roman"/>
        <w:b/>
        <w:sz w:val="24"/>
      </w:rPr>
      <w:t>UCLV 2019”</w:t>
    </w:r>
    <w:r w:rsidR="00640758" w:rsidRPr="00640758">
      <w:rPr>
        <w:rFonts w:ascii="Times New Roman" w:hAnsi="Times New Roman"/>
        <w:sz w:val="24"/>
        <w:szCs w:val="24"/>
      </w:rPr>
      <w:t xml:space="preserve"> </w:t>
    </w:r>
  </w:p>
  <w:p w:rsidR="005E2497" w:rsidRPr="00640758" w:rsidRDefault="00BF3456" w:rsidP="00E83573">
    <w:pPr>
      <w:pStyle w:val="Encabezado"/>
      <w:jc w:val="center"/>
      <w:rPr>
        <w:rFonts w:ascii="Times New Roman" w:hAnsi="Times New Roman"/>
        <w:b/>
        <w:sz w:val="24"/>
      </w:rPr>
    </w:pPr>
    <w:r>
      <w:rPr>
        <w:noProof/>
        <w:lang w:eastAsia="es-ES"/>
      </w:rPr>
      <w:drawing>
        <wp:anchor distT="0" distB="0" distL="114300" distR="114300" simplePos="0" relativeHeight="251658240" behindDoc="1" locked="0" layoutInCell="1" allowOverlap="1">
          <wp:simplePos x="0" y="0"/>
          <wp:positionH relativeFrom="column">
            <wp:posOffset>5390515</wp:posOffset>
          </wp:positionH>
          <wp:positionV relativeFrom="paragraph">
            <wp:posOffset>140970</wp:posOffset>
          </wp:positionV>
          <wp:extent cx="729615" cy="815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b/>
        <w:sz w:val="24"/>
      </w:rPr>
    </w:pPr>
    <w:r w:rsidRPr="00640758">
      <w:rPr>
        <w:rFonts w:ascii="Times New Roman" w:hAnsi="Times New Roman"/>
        <w:b/>
        <w:sz w:val="24"/>
      </w:rPr>
      <w:t xml:space="preserve">DEL 23 AL 30 DE JUNIO </w:t>
    </w:r>
    <w:r w:rsidR="008A2E7E">
      <w:rPr>
        <w:rFonts w:ascii="Times New Roman" w:hAnsi="Times New Roman"/>
        <w:b/>
        <w:sz w:val="24"/>
      </w:rPr>
      <w:t xml:space="preserve">DEL </w:t>
    </w:r>
    <w:r w:rsidRPr="00640758">
      <w:rPr>
        <w:rFonts w:ascii="Times New Roman" w:hAnsi="Times New Roman"/>
        <w:b/>
        <w:sz w:val="24"/>
      </w:rPr>
      <w:t xml:space="preserve">2019. </w:t>
    </w:r>
  </w:p>
  <w:p w:rsidR="00640758" w:rsidRDefault="00640758" w:rsidP="00E83573">
    <w:pPr>
      <w:pStyle w:val="Encabezado"/>
      <w:jc w:val="center"/>
      <w:rPr>
        <w:rFonts w:ascii="Times New Roman" w:hAnsi="Times New Roman"/>
        <w:b/>
        <w:sz w:val="24"/>
      </w:rPr>
    </w:pPr>
    <w:r>
      <w:rPr>
        <w:rFonts w:ascii="Times New Roman" w:hAnsi="Times New Roman"/>
        <w:b/>
        <w:sz w:val="24"/>
      </w:rPr>
      <w:t xml:space="preserve">CAYOS DE VILLA CLARA. </w:t>
    </w:r>
    <w:r w:rsidRPr="00640758">
      <w:rPr>
        <w:rFonts w:ascii="Times New Roman" w:hAnsi="Times New Roman"/>
        <w:b/>
        <w:sz w:val="24"/>
      </w:rPr>
      <w:t>CUBA</w:t>
    </w:r>
    <w:r w:rsidR="00EA1598">
      <w:rPr>
        <w:rFonts w:ascii="Times New Roman" w:hAnsi="Times New Roman"/>
        <w:b/>
        <w:sz w:val="24"/>
      </w:rPr>
      <w:t>.</w:t>
    </w:r>
  </w:p>
  <w:p w:rsidR="00EA1598" w:rsidRDefault="00EA1598" w:rsidP="00E83573">
    <w:pPr>
      <w:pStyle w:val="Encabezado"/>
      <w:jc w:val="center"/>
      <w:rPr>
        <w:rFonts w:ascii="Times New Roman" w:hAnsi="Times New Roman"/>
        <w:b/>
        <w:sz w:val="24"/>
      </w:rPr>
    </w:pPr>
  </w:p>
  <w:p w:rsidR="00EA1598" w:rsidRDefault="00EA1598" w:rsidP="00E83573">
    <w:pPr>
      <w:pStyle w:val="Encabezado"/>
      <w:jc w:val="center"/>
      <w:rPr>
        <w:rFonts w:ascii="Times New Roman" w:hAnsi="Times New Roman"/>
        <w:b/>
        <w:sz w:val="24"/>
      </w:rPr>
    </w:pPr>
  </w:p>
  <w:p w:rsidR="00640758" w:rsidRDefault="00640758" w:rsidP="00E83573">
    <w:pPr>
      <w:pStyle w:val="Encabezado"/>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A80"/>
    <w:multiLevelType w:val="hybridMultilevel"/>
    <w:tmpl w:val="60DA27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0D2B78"/>
    <w:multiLevelType w:val="hybridMultilevel"/>
    <w:tmpl w:val="9A0C6810"/>
    <w:lvl w:ilvl="0" w:tplc="0C0A000F">
      <w:start w:val="1"/>
      <w:numFmt w:val="decimal"/>
      <w:lvlText w:val="%1."/>
      <w:lvlJc w:val="left"/>
      <w:pPr>
        <w:ind w:left="-131" w:hanging="360"/>
      </w:p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12DB"/>
    <w:rsid w:val="00016020"/>
    <w:rsid w:val="00046F14"/>
    <w:rsid w:val="000C14DC"/>
    <w:rsid w:val="00114C82"/>
    <w:rsid w:val="0012608A"/>
    <w:rsid w:val="00156CAF"/>
    <w:rsid w:val="00170FD1"/>
    <w:rsid w:val="00271671"/>
    <w:rsid w:val="002C4923"/>
    <w:rsid w:val="002E0882"/>
    <w:rsid w:val="002E272A"/>
    <w:rsid w:val="003068F5"/>
    <w:rsid w:val="003554CA"/>
    <w:rsid w:val="0035694A"/>
    <w:rsid w:val="00362E5F"/>
    <w:rsid w:val="003A523C"/>
    <w:rsid w:val="00403285"/>
    <w:rsid w:val="00493F52"/>
    <w:rsid w:val="00533828"/>
    <w:rsid w:val="00543433"/>
    <w:rsid w:val="005642AD"/>
    <w:rsid w:val="005754D8"/>
    <w:rsid w:val="005E1238"/>
    <w:rsid w:val="005E2497"/>
    <w:rsid w:val="005F311C"/>
    <w:rsid w:val="006271E4"/>
    <w:rsid w:val="00640758"/>
    <w:rsid w:val="00667F10"/>
    <w:rsid w:val="00712A31"/>
    <w:rsid w:val="007559FA"/>
    <w:rsid w:val="00832521"/>
    <w:rsid w:val="008449C0"/>
    <w:rsid w:val="00872B2C"/>
    <w:rsid w:val="0088159E"/>
    <w:rsid w:val="008A1C16"/>
    <w:rsid w:val="008A2E7E"/>
    <w:rsid w:val="008B06F8"/>
    <w:rsid w:val="008C53A8"/>
    <w:rsid w:val="009061A5"/>
    <w:rsid w:val="0091621C"/>
    <w:rsid w:val="00972325"/>
    <w:rsid w:val="009B1EF2"/>
    <w:rsid w:val="009D5E02"/>
    <w:rsid w:val="009D67CD"/>
    <w:rsid w:val="009F6749"/>
    <w:rsid w:val="00A128A1"/>
    <w:rsid w:val="00A156A5"/>
    <w:rsid w:val="00A21A1F"/>
    <w:rsid w:val="00A33B29"/>
    <w:rsid w:val="00A62A14"/>
    <w:rsid w:val="00AD529D"/>
    <w:rsid w:val="00AE455C"/>
    <w:rsid w:val="00B06F78"/>
    <w:rsid w:val="00B2024E"/>
    <w:rsid w:val="00B80E97"/>
    <w:rsid w:val="00BF08CF"/>
    <w:rsid w:val="00BF107B"/>
    <w:rsid w:val="00BF3456"/>
    <w:rsid w:val="00BF4104"/>
    <w:rsid w:val="00C35BA1"/>
    <w:rsid w:val="00C56288"/>
    <w:rsid w:val="00C6208A"/>
    <w:rsid w:val="00C84595"/>
    <w:rsid w:val="00C8585B"/>
    <w:rsid w:val="00CD2BC3"/>
    <w:rsid w:val="00D05242"/>
    <w:rsid w:val="00D36D1C"/>
    <w:rsid w:val="00D63A28"/>
    <w:rsid w:val="00D73DE9"/>
    <w:rsid w:val="00DB4EFF"/>
    <w:rsid w:val="00E83573"/>
    <w:rsid w:val="00E912D0"/>
    <w:rsid w:val="00E97DFE"/>
    <w:rsid w:val="00EA1598"/>
    <w:rsid w:val="00EA7584"/>
    <w:rsid w:val="00EB6ED3"/>
    <w:rsid w:val="00F21BA2"/>
    <w:rsid w:val="00F21DED"/>
    <w:rsid w:val="00F53269"/>
    <w:rsid w:val="00FD004F"/>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0BC0D7-C353-4FED-8985-951A5CDD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uiPriority w:val="99"/>
    <w:unhideWhenUsed/>
    <w:rsid w:val="00D36D1C"/>
    <w:rPr>
      <w:color w:val="0000FF"/>
      <w:u w:val="single"/>
    </w:rPr>
  </w:style>
  <w:style w:type="paragraph" w:styleId="HTMLconformatoprevio">
    <w:name w:val="HTML Preformatted"/>
    <w:basedOn w:val="Normal"/>
    <w:link w:val="HTMLconformatoprevioCar"/>
    <w:uiPriority w:val="99"/>
    <w:semiHidden/>
    <w:unhideWhenUsed/>
    <w:rsid w:val="0015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semiHidden/>
    <w:rsid w:val="00156CAF"/>
    <w:rPr>
      <w:rFonts w:ascii="Courier New" w:eastAsia="Times New Roman" w:hAnsi="Courier New" w:cs="Courier New"/>
      <w:sz w:val="20"/>
      <w:szCs w:val="20"/>
      <w:lang w:eastAsia="es-ES"/>
    </w:rPr>
  </w:style>
  <w:style w:type="paragraph" w:styleId="Textonotapie">
    <w:name w:val="footnote text"/>
    <w:basedOn w:val="Normal"/>
    <w:link w:val="TextonotapieCar"/>
    <w:uiPriority w:val="99"/>
    <w:semiHidden/>
    <w:unhideWhenUsed/>
    <w:rsid w:val="005642AD"/>
    <w:pPr>
      <w:spacing w:after="0" w:line="240" w:lineRule="auto"/>
    </w:pPr>
    <w:rPr>
      <w:sz w:val="20"/>
      <w:szCs w:val="20"/>
      <w:lang w:val="x-none" w:eastAsia="x-none"/>
    </w:rPr>
  </w:style>
  <w:style w:type="character" w:customStyle="1" w:styleId="TextonotapieCar">
    <w:name w:val="Texto nota pie Car"/>
    <w:link w:val="Textonotapie"/>
    <w:uiPriority w:val="99"/>
    <w:semiHidden/>
    <w:rsid w:val="005642AD"/>
    <w:rPr>
      <w:rFonts w:ascii="Calibri" w:eastAsia="Calibri" w:hAnsi="Calibri" w:cs="Times New Roman"/>
      <w:sz w:val="20"/>
      <w:szCs w:val="20"/>
      <w:lang w:val="x-none" w:eastAsia="x-none"/>
    </w:rPr>
  </w:style>
  <w:style w:type="character" w:styleId="Refdenotaalpie">
    <w:name w:val="footnote reference"/>
    <w:uiPriority w:val="99"/>
    <w:semiHidden/>
    <w:unhideWhenUsed/>
    <w:rsid w:val="005642AD"/>
    <w:rPr>
      <w:vertAlign w:val="superscript"/>
    </w:rPr>
  </w:style>
  <w:style w:type="paragraph" w:styleId="NormalWeb">
    <w:name w:val="Normal (Web)"/>
    <w:basedOn w:val="Normal"/>
    <w:uiPriority w:val="99"/>
    <w:semiHidden/>
    <w:unhideWhenUsed/>
    <w:rsid w:val="005642AD"/>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39"/>
    <w:rsid w:val="00E97D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97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16">
      <w:bodyDiv w:val="1"/>
      <w:marLeft w:val="0"/>
      <w:marRight w:val="0"/>
      <w:marTop w:val="0"/>
      <w:marBottom w:val="0"/>
      <w:divBdr>
        <w:top w:val="none" w:sz="0" w:space="0" w:color="auto"/>
        <w:left w:val="none" w:sz="0" w:space="0" w:color="auto"/>
        <w:bottom w:val="none" w:sz="0" w:space="0" w:color="auto"/>
        <w:right w:val="none" w:sz="0" w:space="0" w:color="auto"/>
      </w:divBdr>
    </w:div>
    <w:div w:id="826215037">
      <w:bodyDiv w:val="1"/>
      <w:marLeft w:val="0"/>
      <w:marRight w:val="0"/>
      <w:marTop w:val="0"/>
      <w:marBottom w:val="0"/>
      <w:divBdr>
        <w:top w:val="none" w:sz="0" w:space="0" w:color="auto"/>
        <w:left w:val="none" w:sz="0" w:space="0" w:color="auto"/>
        <w:bottom w:val="none" w:sz="0" w:space="0" w:color="auto"/>
        <w:right w:val="none" w:sz="0" w:space="0" w:color="auto"/>
      </w:divBdr>
    </w:div>
    <w:div w:id="852911825">
      <w:bodyDiv w:val="1"/>
      <w:marLeft w:val="0"/>
      <w:marRight w:val="0"/>
      <w:marTop w:val="0"/>
      <w:marBottom w:val="0"/>
      <w:divBdr>
        <w:top w:val="none" w:sz="0" w:space="0" w:color="auto"/>
        <w:left w:val="none" w:sz="0" w:space="0" w:color="auto"/>
        <w:bottom w:val="none" w:sz="0" w:space="0" w:color="auto"/>
        <w:right w:val="none" w:sz="0" w:space="0" w:color="auto"/>
      </w:divBdr>
    </w:div>
    <w:div w:id="1570655211">
      <w:bodyDiv w:val="1"/>
      <w:marLeft w:val="0"/>
      <w:marRight w:val="0"/>
      <w:marTop w:val="0"/>
      <w:marBottom w:val="0"/>
      <w:divBdr>
        <w:top w:val="none" w:sz="0" w:space="0" w:color="auto"/>
        <w:left w:val="none" w:sz="0" w:space="0" w:color="auto"/>
        <w:bottom w:val="none" w:sz="0" w:space="0" w:color="auto"/>
        <w:right w:val="none" w:sz="0" w:space="0" w:color="auto"/>
      </w:divBdr>
    </w:div>
    <w:div w:id="21338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quin@uclv.edu.cu" TargetMode="External"/><Relationship Id="rId3" Type="http://schemas.openxmlformats.org/officeDocument/2006/relationships/settings" Target="settings.xml"/><Relationship Id="rId7" Type="http://schemas.openxmlformats.org/officeDocument/2006/relationships/hyperlink" Target="mailto:jaadelrio@uclv.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1316</Words>
  <Characters>7243</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8542</CharactersWithSpaces>
  <SharedDoc>false</SharedDoc>
  <HLinks>
    <vt:vector size="12" baseType="variant">
      <vt:variant>
        <vt:i4>2293814</vt:i4>
      </vt:variant>
      <vt:variant>
        <vt:i4>3</vt:i4>
      </vt:variant>
      <vt:variant>
        <vt:i4>0</vt:i4>
      </vt:variant>
      <vt:variant>
        <vt:i4>5</vt:i4>
      </vt:variant>
      <vt:variant>
        <vt:lpwstr>http://www.uclv.edu.cu/</vt:lpwstr>
      </vt:variant>
      <vt:variant>
        <vt:lpwstr/>
      </vt:variant>
      <vt:variant>
        <vt:i4>2687000</vt:i4>
      </vt:variant>
      <vt:variant>
        <vt:i4>0</vt:i4>
      </vt:variant>
      <vt:variant>
        <vt:i4>0</vt:i4>
      </vt:variant>
      <vt:variant>
        <vt:i4>5</vt:i4>
      </vt:variant>
      <vt:variant>
        <vt:lpwstr>mailto:convencionuclv@uclv.cu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cp:lastModifiedBy>Joaquin</cp:lastModifiedBy>
  <cp:revision>5</cp:revision>
  <cp:lastPrinted>2017-03-02T18:45:00Z</cp:lastPrinted>
  <dcterms:created xsi:type="dcterms:W3CDTF">2019-03-23T06:12:00Z</dcterms:created>
  <dcterms:modified xsi:type="dcterms:W3CDTF">2019-03-30T05:28:00Z</dcterms:modified>
</cp:coreProperties>
</file>