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6F0" w:rsidRPr="009D5E02" w:rsidRDefault="002926F0" w:rsidP="00F6346D">
      <w:pPr>
        <w:spacing w:after="0"/>
        <w:ind w:left="-426" w:right="-427"/>
        <w:jc w:val="center"/>
        <w:rPr>
          <w:rFonts w:ascii="Times New Roman" w:hAnsi="Times New Roman" w:cs="Times New Roman"/>
          <w:b/>
          <w:sz w:val="28"/>
          <w:szCs w:val="28"/>
        </w:rPr>
      </w:pPr>
      <w:r>
        <w:rPr>
          <w:rFonts w:ascii="Times New Roman" w:hAnsi="Times New Roman" w:cs="Times New Roman"/>
          <w:b/>
          <w:sz w:val="28"/>
          <w:szCs w:val="28"/>
        </w:rPr>
        <w:t>AGROCENTRO</w:t>
      </w:r>
    </w:p>
    <w:p w:rsidR="001677D7" w:rsidRPr="00EB1F9B" w:rsidRDefault="001677D7" w:rsidP="001677D7">
      <w:pPr>
        <w:spacing w:after="0"/>
        <w:ind w:right="-710"/>
        <w:jc w:val="center"/>
        <w:rPr>
          <w:rFonts w:ascii="Times New Roman" w:hAnsi="Times New Roman" w:cs="Times New Roman"/>
          <w:b/>
          <w:sz w:val="28"/>
          <w:szCs w:val="28"/>
        </w:rPr>
      </w:pPr>
      <w:r>
        <w:rPr>
          <w:rFonts w:ascii="Times New Roman" w:hAnsi="Times New Roman" w:cs="Times New Roman"/>
          <w:b/>
          <w:sz w:val="28"/>
          <w:szCs w:val="28"/>
        </w:rPr>
        <w:t>IX CONFERENCIA CIENTÍFI</w:t>
      </w:r>
      <w:r w:rsidRPr="00EB1F9B">
        <w:rPr>
          <w:rFonts w:ascii="Times New Roman" w:hAnsi="Times New Roman" w:cs="Times New Roman"/>
          <w:b/>
          <w:sz w:val="28"/>
          <w:szCs w:val="28"/>
        </w:rPr>
        <w:t xml:space="preserve">CA INTERNACIONAL DESARROLLO AGROPECUARIO Y SOSTENIBILIDAD AGROCENTRO 2019 </w:t>
      </w:r>
    </w:p>
    <w:p w:rsidR="001677D7" w:rsidRPr="00EB1F9B" w:rsidRDefault="001677D7" w:rsidP="001677D7">
      <w:pPr>
        <w:spacing w:after="0"/>
        <w:jc w:val="center"/>
        <w:rPr>
          <w:rFonts w:ascii="Times New Roman" w:hAnsi="Times New Roman" w:cs="Times New Roman"/>
          <w:b/>
          <w:sz w:val="28"/>
          <w:szCs w:val="28"/>
        </w:rPr>
      </w:pPr>
      <w:r w:rsidRPr="00EB1F9B">
        <w:rPr>
          <w:rFonts w:ascii="Times New Roman" w:hAnsi="Times New Roman" w:cs="Times New Roman"/>
          <w:b/>
          <w:sz w:val="28"/>
          <w:szCs w:val="28"/>
        </w:rPr>
        <w:t>IX SIMPOSIO DE INGENIERÍA AGRÍCOLA</w:t>
      </w:r>
    </w:p>
    <w:p w:rsidR="002926F0" w:rsidRDefault="002926F0" w:rsidP="00F6346D">
      <w:pPr>
        <w:spacing w:after="0"/>
        <w:ind w:left="-426" w:right="-427"/>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2926F0" w:rsidRPr="009A1D0D" w:rsidRDefault="009A1D0D" w:rsidP="00F6346D">
      <w:pPr>
        <w:spacing w:line="360" w:lineRule="auto"/>
        <w:ind w:left="-426" w:right="-427"/>
        <w:jc w:val="center"/>
        <w:rPr>
          <w:rFonts w:ascii="Times New Roman" w:hAnsi="Times New Roman"/>
          <w:b/>
          <w:bCs/>
          <w:sz w:val="28"/>
          <w:szCs w:val="24"/>
        </w:rPr>
      </w:pPr>
      <w:r w:rsidRPr="009A1D0D">
        <w:rPr>
          <w:rFonts w:ascii="Times New Roman" w:hAnsi="Times New Roman"/>
          <w:b/>
          <w:bCs/>
          <w:sz w:val="28"/>
          <w:szCs w:val="24"/>
        </w:rPr>
        <w:t>Efectos de la cosecha mecanizada sobre las plantaciones de caña de azúcar en suelos arcillosos pesados</w:t>
      </w:r>
    </w:p>
    <w:p w:rsidR="002926F0" w:rsidRPr="00B5530B" w:rsidRDefault="002926F0" w:rsidP="00F6346D">
      <w:pPr>
        <w:spacing w:after="0"/>
        <w:ind w:left="-426" w:right="-427"/>
        <w:jc w:val="center"/>
        <w:rPr>
          <w:rFonts w:ascii="Times New Roman" w:hAnsi="Times New Roman" w:cs="Times New Roman"/>
          <w:b/>
          <w:i/>
          <w:sz w:val="28"/>
          <w:szCs w:val="28"/>
          <w:lang w:val="en-US"/>
        </w:rPr>
      </w:pPr>
      <w:r w:rsidRPr="00B5530B">
        <w:rPr>
          <w:rFonts w:ascii="Times New Roman" w:hAnsi="Times New Roman" w:cs="Times New Roman"/>
          <w:b/>
          <w:i/>
          <w:sz w:val="28"/>
          <w:szCs w:val="28"/>
          <w:lang w:val="en-US"/>
        </w:rPr>
        <w:t>Title</w:t>
      </w:r>
    </w:p>
    <w:p w:rsidR="001677D7" w:rsidRPr="00B5530B" w:rsidRDefault="001677D7" w:rsidP="001677D7">
      <w:pPr>
        <w:spacing w:after="0"/>
        <w:ind w:left="-426" w:right="-427"/>
        <w:jc w:val="center"/>
        <w:rPr>
          <w:rFonts w:ascii="Times New Roman" w:hAnsi="Times New Roman" w:cs="Times New Roman"/>
          <w:b/>
          <w:i/>
          <w:sz w:val="28"/>
          <w:szCs w:val="28"/>
          <w:lang w:val="en-US"/>
        </w:rPr>
      </w:pPr>
      <w:r w:rsidRPr="00B5530B">
        <w:rPr>
          <w:rFonts w:ascii="Times New Roman" w:hAnsi="Times New Roman" w:cs="Times New Roman"/>
          <w:b/>
          <w:i/>
          <w:sz w:val="28"/>
          <w:szCs w:val="28"/>
          <w:lang w:val="en-US"/>
        </w:rPr>
        <w:t>Effects of mechanized harvesting on sugarcane plantations in heavy clay soils</w:t>
      </w:r>
    </w:p>
    <w:p w:rsidR="002926F0" w:rsidRPr="001677D7" w:rsidRDefault="002926F0" w:rsidP="00F6346D">
      <w:pPr>
        <w:spacing w:after="0" w:line="360" w:lineRule="auto"/>
        <w:ind w:left="-426" w:right="-427"/>
        <w:rPr>
          <w:rFonts w:ascii="Times New Roman" w:hAnsi="Times New Roman" w:cs="Times New Roman"/>
          <w:sz w:val="24"/>
          <w:szCs w:val="24"/>
          <w:lang w:val="en-US"/>
        </w:rPr>
      </w:pPr>
    </w:p>
    <w:p w:rsidR="002926F0" w:rsidRDefault="002926F0" w:rsidP="00F6346D">
      <w:pPr>
        <w:spacing w:after="0" w:line="360" w:lineRule="auto"/>
        <w:ind w:left="-426" w:right="-427"/>
        <w:jc w:val="both"/>
        <w:rPr>
          <w:rFonts w:ascii="Times New Roman" w:hAnsi="Times New Roman" w:cs="Times New Roman"/>
          <w:sz w:val="24"/>
          <w:szCs w:val="24"/>
          <w:vertAlign w:val="superscript"/>
        </w:rPr>
      </w:pPr>
      <w:r w:rsidRPr="002926F0">
        <w:rPr>
          <w:rFonts w:ascii="Times New Roman" w:hAnsi="Times New Roman" w:cs="Times New Roman"/>
          <w:sz w:val="24"/>
          <w:szCs w:val="24"/>
        </w:rPr>
        <w:t>Eduardo Rafael Saucedo Levi</w:t>
      </w:r>
      <w:r w:rsidR="009A1D0D">
        <w:rPr>
          <w:rFonts w:ascii="Times New Roman" w:hAnsi="Times New Roman" w:cs="Times New Roman"/>
          <w:sz w:val="24"/>
          <w:szCs w:val="24"/>
          <w:vertAlign w:val="superscript"/>
        </w:rPr>
        <w:t>1</w:t>
      </w:r>
    </w:p>
    <w:p w:rsidR="00662BD4" w:rsidRPr="00662BD4" w:rsidRDefault="00662BD4" w:rsidP="00F6346D">
      <w:pPr>
        <w:spacing w:after="0" w:line="360" w:lineRule="auto"/>
        <w:ind w:left="-426" w:right="-427"/>
        <w:jc w:val="both"/>
        <w:rPr>
          <w:rFonts w:ascii="Times New Roman" w:hAnsi="Times New Roman" w:cs="Times New Roman"/>
          <w:sz w:val="24"/>
          <w:szCs w:val="24"/>
          <w:vertAlign w:val="superscript"/>
        </w:rPr>
      </w:pPr>
      <w:r>
        <w:rPr>
          <w:rFonts w:ascii="Times New Roman" w:hAnsi="Times New Roman" w:cs="Times New Roman"/>
          <w:sz w:val="24"/>
          <w:szCs w:val="24"/>
        </w:rPr>
        <w:t>Dayana Pérez Santos</w:t>
      </w:r>
      <w:r>
        <w:rPr>
          <w:rFonts w:ascii="Times New Roman" w:hAnsi="Times New Roman" w:cs="Times New Roman"/>
          <w:sz w:val="24"/>
          <w:szCs w:val="24"/>
          <w:vertAlign w:val="superscript"/>
        </w:rPr>
        <w:t>2</w:t>
      </w:r>
    </w:p>
    <w:p w:rsidR="00B5530B" w:rsidRDefault="002926F0" w:rsidP="00F6346D">
      <w:pPr>
        <w:spacing w:after="0" w:line="360" w:lineRule="auto"/>
        <w:ind w:left="-426" w:right="-427"/>
        <w:jc w:val="both"/>
        <w:rPr>
          <w:rFonts w:ascii="Times New Roman" w:hAnsi="Times New Roman" w:cs="Times New Roman"/>
          <w:sz w:val="24"/>
          <w:szCs w:val="24"/>
        </w:rPr>
      </w:pPr>
      <w:r w:rsidRPr="00E912D0">
        <w:rPr>
          <w:rFonts w:ascii="Times New Roman" w:hAnsi="Times New Roman" w:cs="Times New Roman"/>
          <w:sz w:val="24"/>
          <w:szCs w:val="24"/>
        </w:rPr>
        <w:t>1-</w:t>
      </w:r>
      <w:r>
        <w:rPr>
          <w:rFonts w:ascii="Times New Roman" w:hAnsi="Times New Roman" w:cs="Times New Roman"/>
          <w:sz w:val="24"/>
          <w:szCs w:val="24"/>
        </w:rPr>
        <w:t xml:space="preserve">Eduardo Rafael Saucedo Levi. </w:t>
      </w:r>
      <w:r w:rsidR="00B5530B">
        <w:rPr>
          <w:rFonts w:ascii="Times New Roman" w:hAnsi="Times New Roman" w:cs="Times New Roman"/>
          <w:sz w:val="24"/>
          <w:szCs w:val="24"/>
        </w:rPr>
        <w:t>Delegación Provincial del MINAG en Sancti Spíritus</w:t>
      </w:r>
      <w:r>
        <w:rPr>
          <w:rFonts w:ascii="Times New Roman" w:hAnsi="Times New Roman" w:cs="Times New Roman"/>
          <w:sz w:val="24"/>
          <w:szCs w:val="24"/>
        </w:rPr>
        <w:t xml:space="preserve">, Cuba. </w:t>
      </w:r>
    </w:p>
    <w:p w:rsidR="002926F0" w:rsidRDefault="002926F0" w:rsidP="00F6346D">
      <w:pPr>
        <w:spacing w:after="0" w:line="360" w:lineRule="auto"/>
        <w:ind w:left="-426" w:right="-427"/>
        <w:jc w:val="both"/>
        <w:rPr>
          <w:rFonts w:ascii="Times New Roman" w:hAnsi="Times New Roman" w:cs="Times New Roman"/>
          <w:sz w:val="24"/>
          <w:szCs w:val="24"/>
        </w:rPr>
      </w:pPr>
      <w:r>
        <w:rPr>
          <w:rFonts w:ascii="Times New Roman" w:hAnsi="Times New Roman" w:cs="Times New Roman"/>
          <w:sz w:val="24"/>
          <w:szCs w:val="24"/>
        </w:rPr>
        <w:t xml:space="preserve">E-mail: </w:t>
      </w:r>
      <w:r w:rsidR="00B5530B" w:rsidRPr="00B5530B">
        <w:rPr>
          <w:rFonts w:ascii="Times New Roman" w:hAnsi="Times New Roman" w:cs="Times New Roman"/>
          <w:sz w:val="24"/>
          <w:szCs w:val="24"/>
        </w:rPr>
        <w:t>esp9-dia@dlg.ssp.minag.gob.cu</w:t>
      </w:r>
    </w:p>
    <w:p w:rsidR="00662BD4" w:rsidRPr="00662BD4" w:rsidRDefault="00662BD4" w:rsidP="00662BD4">
      <w:pPr>
        <w:spacing w:after="0" w:line="360" w:lineRule="auto"/>
        <w:ind w:left="-426"/>
        <w:jc w:val="both"/>
        <w:rPr>
          <w:rFonts w:ascii="Times New Roman" w:hAnsi="Times New Roman" w:cs="Times New Roman"/>
          <w:sz w:val="24"/>
          <w:szCs w:val="28"/>
        </w:rPr>
      </w:pPr>
      <w:r w:rsidRPr="00662BD4">
        <w:rPr>
          <w:rFonts w:ascii="Times New Roman" w:hAnsi="Times New Roman" w:cs="Times New Roman"/>
          <w:sz w:val="24"/>
          <w:szCs w:val="24"/>
        </w:rPr>
        <w:t xml:space="preserve">2- </w:t>
      </w:r>
      <w:r w:rsidRPr="00662BD4">
        <w:rPr>
          <w:rFonts w:ascii="Times New Roman" w:hAnsi="Times New Roman" w:cs="Times New Roman"/>
          <w:sz w:val="24"/>
          <w:szCs w:val="28"/>
        </w:rPr>
        <w:t xml:space="preserve">Dayana Pérez Santos. EES Empresa Integral Agropecuaria Sancti Spíritus, Cuba. </w:t>
      </w:r>
      <w:r w:rsidR="00B5530B">
        <w:rPr>
          <w:rFonts w:ascii="Times New Roman" w:hAnsi="Times New Roman" w:cs="Times New Roman"/>
          <w:sz w:val="24"/>
          <w:szCs w:val="28"/>
        </w:rPr>
        <w:t xml:space="preserve">E- mail: </w:t>
      </w:r>
      <w:bookmarkStart w:id="0" w:name="_GoBack"/>
      <w:bookmarkEnd w:id="0"/>
      <w:r w:rsidRPr="00662BD4">
        <w:rPr>
          <w:rFonts w:ascii="Times New Roman" w:hAnsi="Times New Roman" w:cs="Times New Roman"/>
          <w:sz w:val="24"/>
          <w:szCs w:val="28"/>
        </w:rPr>
        <w:t>mecanización@eiass.ssp.minag.cu</w:t>
      </w:r>
    </w:p>
    <w:p w:rsidR="002926F0" w:rsidRDefault="002926F0" w:rsidP="00F6346D">
      <w:pPr>
        <w:spacing w:after="0" w:line="360" w:lineRule="auto"/>
        <w:ind w:left="-426" w:right="-427"/>
        <w:jc w:val="both"/>
        <w:rPr>
          <w:rFonts w:ascii="Times New Roman" w:hAnsi="Times New Roman" w:cs="Times New Roman"/>
          <w:sz w:val="24"/>
          <w:szCs w:val="24"/>
        </w:rPr>
      </w:pPr>
      <w:r>
        <w:rPr>
          <w:rFonts w:ascii="Times New Roman" w:hAnsi="Times New Roman" w:cs="Times New Roman"/>
          <w:b/>
          <w:sz w:val="24"/>
          <w:szCs w:val="24"/>
        </w:rPr>
        <w:t>Resumen:</w:t>
      </w:r>
      <w:r w:rsidRPr="009061A5">
        <w:rPr>
          <w:rFonts w:ascii="Times New Roman" w:hAnsi="Times New Roman" w:cs="Times New Roman"/>
          <w:sz w:val="24"/>
          <w:szCs w:val="24"/>
        </w:rPr>
        <w:t xml:space="preserve"> </w:t>
      </w:r>
    </w:p>
    <w:p w:rsidR="00662BD4" w:rsidRDefault="009A1D0D" w:rsidP="00662BD4">
      <w:pPr>
        <w:spacing w:line="360" w:lineRule="auto"/>
        <w:ind w:left="-426" w:right="-427"/>
        <w:jc w:val="both"/>
        <w:rPr>
          <w:rFonts w:ascii="Times New Roman" w:hAnsi="Times New Roman" w:cs="Times New Roman"/>
          <w:sz w:val="24"/>
          <w:szCs w:val="24"/>
        </w:rPr>
      </w:pPr>
      <w:r w:rsidRPr="009A1D0D">
        <w:rPr>
          <w:rFonts w:ascii="Times New Roman" w:hAnsi="Times New Roman" w:cs="Times New Roman"/>
          <w:sz w:val="24"/>
          <w:szCs w:val="24"/>
        </w:rPr>
        <w:t xml:space="preserve">Con el objetivo de determinar el efecto sobre el suelo del paso del sistema de máquinas para la cosecha de caña de azúcar, en condiciones de alta humedad se realizó el presente trabajo. La investigación tuvo lugar en áreas de </w:t>
      </w:r>
      <w:r w:rsidRPr="009A1D0D">
        <w:rPr>
          <w:rFonts w:ascii="Times New Roman" w:hAnsi="Times New Roman" w:cs="Times New Roman"/>
          <w:bCs/>
          <w:iCs/>
          <w:sz w:val="24"/>
          <w:szCs w:val="24"/>
        </w:rPr>
        <w:t xml:space="preserve">tres unidades de producción de caña, de la UEB Héctor Rodríguez, en la costa Norte de Villa Clara, con la participación de la cosechadora CASE IH 8 800 y el autobasculante tirado por los tractores Belarus 1523 y Maxxum CASE 150. Se determinaron </w:t>
      </w:r>
      <w:r w:rsidRPr="009A1D0D">
        <w:rPr>
          <w:rFonts w:ascii="Times New Roman" w:hAnsi="Times New Roman" w:cs="Times New Roman"/>
          <w:sz w:val="24"/>
          <w:szCs w:val="24"/>
        </w:rPr>
        <w:t xml:space="preserve">las principales características de los suelos predominantes y las malezas encontradas, así como las variaciones del microrrelieve del suelo, la densidad aparente, los valores de humedad y de resistencia a la penetración en las zonas evaluadas. Los resultados demostraron afectaciones debido al tráfico de los equipos durante la cosecha, destacándose el agregado tractor-autobasculante que afecta considerablemente el microrrelieve por desplazarse sobre el cantero. Se encontraron valores de densidad aparente característicos de los suelos arcillosos pesados, y elevados niveles de humedad, alcanzando hasta un 64.0%, provocando serios problemas de traficabilidad para los agregados tractor-autobasculante y ocasionando reiterados atascaderos. Se determinó un incremento elevado de la compactación con respecto a la profundidad, posterior a la cosecha, en el centro del surco y más ligero en el centro del  espacio entre hileras. También se </w:t>
      </w:r>
      <w:r w:rsidRPr="009A1D0D">
        <w:rPr>
          <w:rFonts w:ascii="Times New Roman" w:hAnsi="Times New Roman" w:cs="Times New Roman"/>
          <w:sz w:val="24"/>
          <w:szCs w:val="24"/>
        </w:rPr>
        <w:lastRenderedPageBreak/>
        <w:t>definió un ancho de vía aceptable, recomendándose adecuar los remolques autobasculantes y evaluar la estabilidad del equipo a partir de la reducción del ancho de vía propuesto.</w:t>
      </w:r>
    </w:p>
    <w:p w:rsidR="002926F0" w:rsidRPr="00662BD4" w:rsidRDefault="002926F0" w:rsidP="00662BD4">
      <w:pPr>
        <w:spacing w:line="360" w:lineRule="auto"/>
        <w:ind w:left="-426" w:right="-427"/>
        <w:jc w:val="both"/>
        <w:rPr>
          <w:rFonts w:ascii="Times New Roman" w:hAnsi="Times New Roman" w:cs="Times New Roman"/>
          <w:sz w:val="24"/>
          <w:szCs w:val="24"/>
        </w:rPr>
      </w:pPr>
      <w:r w:rsidRPr="001677D7">
        <w:rPr>
          <w:rFonts w:ascii="Times New Roman" w:hAnsi="Times New Roman" w:cs="Times New Roman"/>
          <w:b/>
          <w:i/>
          <w:sz w:val="24"/>
          <w:szCs w:val="24"/>
          <w:lang w:val="en-US"/>
        </w:rPr>
        <w:t>Abstract:</w:t>
      </w:r>
      <w:r w:rsidRPr="001677D7">
        <w:rPr>
          <w:rFonts w:ascii="Times New Roman" w:hAnsi="Times New Roman" w:cs="Times New Roman"/>
          <w:sz w:val="24"/>
          <w:szCs w:val="24"/>
          <w:lang w:val="en-US"/>
        </w:rPr>
        <w:t xml:space="preserve"> </w:t>
      </w:r>
    </w:p>
    <w:p w:rsidR="009A1D0D" w:rsidRPr="001677D7" w:rsidRDefault="009A1D0D" w:rsidP="00F6346D">
      <w:pPr>
        <w:pStyle w:val="HTMLconformatoprevio"/>
        <w:spacing w:line="360" w:lineRule="auto"/>
        <w:ind w:left="-426" w:right="-427"/>
        <w:jc w:val="both"/>
        <w:rPr>
          <w:rFonts w:ascii="Times New Roman" w:eastAsiaTheme="minorEastAsia" w:hAnsi="Times New Roman"/>
          <w:sz w:val="24"/>
          <w:szCs w:val="24"/>
          <w:lang w:val="en-US" w:eastAsia="es-ES"/>
        </w:rPr>
      </w:pPr>
      <w:r w:rsidRPr="001677D7">
        <w:rPr>
          <w:rFonts w:ascii="Times New Roman" w:eastAsiaTheme="minorEastAsia" w:hAnsi="Times New Roman"/>
          <w:sz w:val="24"/>
          <w:szCs w:val="24"/>
          <w:lang w:val="en-US" w:eastAsia="es-ES"/>
        </w:rPr>
        <w:t xml:space="preserve">In order to determine the effect on the soil system step machines for harvesting sugar cane in high humidity conditions, the following diploma work was performed. The research took place in areas of three units for production of sugar cane, the UEB Hector Rodriguez, on the north coast of Villa Clara, with the participation of the harvester CASE IH 8,800 and cantilever pulled by Belarus 1523 and </w:t>
      </w:r>
      <w:proofErr w:type="spellStart"/>
      <w:r w:rsidRPr="001677D7">
        <w:rPr>
          <w:rFonts w:ascii="Times New Roman" w:eastAsiaTheme="minorEastAsia" w:hAnsi="Times New Roman"/>
          <w:sz w:val="24"/>
          <w:szCs w:val="24"/>
          <w:lang w:val="en-US" w:eastAsia="es-ES"/>
        </w:rPr>
        <w:t>Maxxum</w:t>
      </w:r>
      <w:proofErr w:type="spellEnd"/>
      <w:r w:rsidRPr="001677D7">
        <w:rPr>
          <w:rFonts w:ascii="Times New Roman" w:eastAsiaTheme="minorEastAsia" w:hAnsi="Times New Roman"/>
          <w:sz w:val="24"/>
          <w:szCs w:val="24"/>
          <w:lang w:val="en-US" w:eastAsia="es-ES"/>
        </w:rPr>
        <w:t xml:space="preserve"> tractors CASE 150. The main characteristics of the predominant soils and weeds found and variations of soil profile were determined, the dry bulk density, moisture values and compaction in the areas evaluated. The results showed significant affectations due to traffic during harvesting equipment, highlighting the tractor-cantilever added that significantly affects the topographic profile scroll over the stonemason and affect the headwaters of the grooves for the turn and inadequate equipment parking. Characteristic values of apparent density of heavy clay soil and high humidity, reaching up to 64.0%, causing serious problems of </w:t>
      </w:r>
      <w:proofErr w:type="spellStart"/>
      <w:r w:rsidRPr="001677D7">
        <w:rPr>
          <w:rFonts w:ascii="Times New Roman" w:eastAsiaTheme="minorEastAsia" w:hAnsi="Times New Roman"/>
          <w:sz w:val="24"/>
          <w:szCs w:val="24"/>
          <w:lang w:val="en-US" w:eastAsia="es-ES"/>
        </w:rPr>
        <w:t>trafficability</w:t>
      </w:r>
      <w:proofErr w:type="spellEnd"/>
      <w:r w:rsidRPr="001677D7">
        <w:rPr>
          <w:rFonts w:ascii="Times New Roman" w:eastAsiaTheme="minorEastAsia" w:hAnsi="Times New Roman"/>
          <w:sz w:val="24"/>
          <w:szCs w:val="24"/>
          <w:lang w:val="en-US" w:eastAsia="es-ES"/>
        </w:rPr>
        <w:t xml:space="preserve"> for tractor-cantilever aggregates and causing repeated miry were found. </w:t>
      </w:r>
      <w:proofErr w:type="gramStart"/>
      <w:r w:rsidRPr="001677D7">
        <w:rPr>
          <w:rFonts w:ascii="Times New Roman" w:eastAsiaTheme="minorEastAsia" w:hAnsi="Times New Roman"/>
          <w:sz w:val="24"/>
          <w:szCs w:val="24"/>
          <w:lang w:val="en-US" w:eastAsia="es-ES"/>
        </w:rPr>
        <w:t>Increases in compaction was</w:t>
      </w:r>
      <w:proofErr w:type="gramEnd"/>
      <w:r w:rsidRPr="001677D7">
        <w:rPr>
          <w:rFonts w:ascii="Times New Roman" w:eastAsiaTheme="minorEastAsia" w:hAnsi="Times New Roman"/>
          <w:sz w:val="24"/>
          <w:szCs w:val="24"/>
          <w:lang w:val="en-US" w:eastAsia="es-ES"/>
        </w:rPr>
        <w:t xml:space="preserve"> also determined with respect to depth, after harvesting, in the center groove and lighter in the center of the ridge. It was recommended to adapt the cantilever trailers, swerve and avoid parking machinery inside the field.</w:t>
      </w:r>
    </w:p>
    <w:p w:rsidR="009A1D0D" w:rsidRDefault="002926F0" w:rsidP="00F6346D">
      <w:pPr>
        <w:spacing w:after="0" w:line="360" w:lineRule="auto"/>
        <w:ind w:left="-426" w:right="-427"/>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9A1D0D">
        <w:rPr>
          <w:rFonts w:ascii="Times New Roman" w:hAnsi="Times New Roman" w:cs="Times New Roman"/>
          <w:sz w:val="24"/>
          <w:szCs w:val="24"/>
        </w:rPr>
        <w:t>Sistema de Máquinas; Compactación; Suelo; Caña de Azúcar</w:t>
      </w:r>
    </w:p>
    <w:p w:rsidR="009A1D0D" w:rsidRPr="001677D7" w:rsidRDefault="002926F0" w:rsidP="00F6346D">
      <w:pPr>
        <w:spacing w:after="0" w:line="360" w:lineRule="auto"/>
        <w:ind w:left="-426" w:right="-427"/>
        <w:jc w:val="both"/>
        <w:rPr>
          <w:lang w:val="en-US"/>
        </w:rPr>
      </w:pPr>
      <w:r w:rsidRPr="001677D7">
        <w:rPr>
          <w:rFonts w:ascii="Times New Roman" w:hAnsi="Times New Roman" w:cs="Times New Roman"/>
          <w:b/>
          <w:i/>
          <w:sz w:val="24"/>
          <w:szCs w:val="24"/>
          <w:lang w:val="en-US"/>
        </w:rPr>
        <w:t>Keywords:</w:t>
      </w:r>
      <w:r w:rsidR="009A1D0D" w:rsidRPr="001677D7">
        <w:rPr>
          <w:rFonts w:ascii="Times New Roman" w:hAnsi="Times New Roman" w:cs="Times New Roman"/>
          <w:sz w:val="24"/>
          <w:szCs w:val="24"/>
          <w:lang w:val="en-US"/>
        </w:rPr>
        <w:t xml:space="preserve"> System Machines; Compaction; Soil; Sugar Cane</w:t>
      </w:r>
    </w:p>
    <w:p w:rsidR="002926F0" w:rsidRDefault="002926F0" w:rsidP="00F6346D">
      <w:pPr>
        <w:spacing w:after="0" w:line="360" w:lineRule="auto"/>
        <w:ind w:left="-426" w:right="-427"/>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7A2DCD" w:rsidRDefault="007A2DCD" w:rsidP="00F6346D">
      <w:pPr>
        <w:spacing w:line="360" w:lineRule="auto"/>
        <w:ind w:left="-426" w:right="-427"/>
        <w:jc w:val="both"/>
        <w:rPr>
          <w:rFonts w:ascii="Times New Roman" w:hAnsi="Times New Roman" w:cs="Times New Roman"/>
          <w:sz w:val="24"/>
          <w:szCs w:val="24"/>
        </w:rPr>
      </w:pPr>
      <w:r w:rsidRPr="007A2DCD">
        <w:rPr>
          <w:rFonts w:ascii="Times New Roman" w:hAnsi="Times New Roman" w:cs="Times New Roman"/>
          <w:sz w:val="24"/>
          <w:szCs w:val="24"/>
        </w:rPr>
        <w:t>La producción de azúcar de caña en el mundo y en particular en Cuba en los momentos actuales merece una valoración integral teniendo en cuenta los componentes ambiental, económico y social, como pilares fundamentales de la sostenibilidad</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&lt;EndNote&gt;&lt;Cite&gt;&lt;Author&gt;Martínez&lt;/Author&gt;&lt;Year&gt;2015&lt;/Year&gt;&lt;RecNum&gt;49&lt;/RecNum&gt;&lt;DisplayText&gt;(Martínez, Betancourt, Rodríguez, Vidal, &amp;amp; Guillén, 2015)&lt;/DisplayText&gt;&lt;record&gt;&lt;rec-number&gt;49&lt;/rec-number&gt;&lt;foreign-keys&gt;&lt;key app="EN" db-id="vfz9zrxzystawueeez7pxrxm9w0f59sw0dva"&gt;49&lt;/key&gt;&lt;/foreign-keys&gt;&lt;ref-type name="Conference Paper"&gt;47&lt;/ref-type&gt;&lt;contributors&gt;&lt;authors&gt;&lt;author&gt;Martínez, R.&lt;/author&gt;&lt;author&gt;Betancourt, Y.&lt;/author&gt;&lt;author&gt;Rodríguez, M.&lt;/author&gt;&lt;author&gt;Vidal, L. &lt;/author&gt;&lt;author&gt;Guillén, S.&lt;/author&gt;&lt;/authors&gt;&lt;/contributors&gt;&lt;titles&gt;&lt;title&gt;Evaluación Agrotécnica de la Combinada Cosechadora de Caña de Azúcar CASE IH 8800 y del Semirremolque Autobasculante de Fabricación Cubana en Suelos Arcillosos Pesados con Superficies Acanterada.&lt;/title&gt;&lt;/titles&gt;&lt;dates&gt;&lt;year&gt;2015&lt;/year&gt;&lt;/dates&gt;&lt;urls&gt;&lt;/urls&gt;&lt;/record&gt;&lt;/Cite&gt;&lt;/EndNote&gt;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 w:tooltip="Martínez, 2015 #49" w:history="1">
        <w:r w:rsidR="00091134">
          <w:rPr>
            <w:rFonts w:ascii="Times New Roman" w:hAnsi="Times New Roman" w:cs="Times New Roman"/>
            <w:noProof/>
            <w:sz w:val="24"/>
            <w:szCs w:val="24"/>
          </w:rPr>
          <w:t>Martínez, Betancourt, Rodríguez, Vidal, &amp; Guillén, 2015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A2DCD">
        <w:rPr>
          <w:rFonts w:ascii="Times New Roman" w:hAnsi="Times New Roman" w:cs="Times New Roman"/>
          <w:sz w:val="24"/>
          <w:szCs w:val="24"/>
        </w:rPr>
        <w:t xml:space="preserve">En Cuba existen alrededor de </w:t>
      </w:r>
      <w:smartTag w:uri="urn:schemas-microsoft-com:office:smarttags" w:element="metricconverter">
        <w:smartTagPr>
          <w:attr w:name="ProductID" w:val="257 700 ha"/>
        </w:smartTagPr>
        <w:r w:rsidRPr="007A2DCD">
          <w:rPr>
            <w:rFonts w:ascii="Times New Roman" w:hAnsi="Times New Roman" w:cs="Times New Roman"/>
            <w:sz w:val="24"/>
            <w:szCs w:val="24"/>
          </w:rPr>
          <w:t>257 700 ha</w:t>
        </w:r>
      </w:smartTag>
      <w:r w:rsidRPr="007A2DCD">
        <w:rPr>
          <w:rFonts w:ascii="Times New Roman" w:hAnsi="Times New Roman" w:cs="Times New Roman"/>
          <w:sz w:val="24"/>
          <w:szCs w:val="24"/>
        </w:rPr>
        <w:t xml:space="preserve"> con suelos arcillosos pesados y problemas de mal drenaje dedicados al cultivo de la caña de azúcar (37%). Dentro de dichos suelos se encuentra una parte con características edafoclimáticas específicas, muy susceptibles al sobre-humedecimiento creado por los períodos lluviosos, que requieren de la atención fitotécnica de la caña, mediante un manejo diferenciado en el proceso de su cosecha. A las áreas con estas características se le ha denominado condiciones de alta humedad</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&lt;EndNote&gt;&lt;Cite&gt;&lt;Author&gt;Betancourt&lt;/Author&gt;&lt;Year&gt;2015&lt;/Year&gt;&lt;RecNum&gt;81&lt;/RecNum&gt;&lt;DisplayText&gt;(Betancourt, 2015)&lt;/DisplayText&gt;&lt;record&gt;&lt;rec-number&gt;81&lt;/rec-number&gt;&lt;foreign-keys&gt;&lt;key app="EN" db-id="fa0z9a0dt290aae2z95520x85fs2vavza55f"&gt;81&lt;/key&gt;&lt;/foreign-keys&gt;&lt;ref-type name="Journal Article"&gt;17&lt;/ref-type&gt;&lt;contributors&gt;&lt;authors&gt;&lt;author&gt;Betancourt, Y.&lt;/author&gt;&lt;/authors&gt;&lt;/contributors&gt;&lt;titles&gt;&lt;title&gt;Labranza de Suelos destinados a caña de azucar&lt;/title&gt;&lt;secondary-title&gt;Revista Ciencias Técnicas Agropecuarias&lt;/secondary-title&gt;&lt;/titles&gt;&lt;dates&gt;&lt;year&gt;2015&lt;/year&gt;&lt;/dates&gt;&lt;urls&gt;&lt;/urls&gt;&lt;/record&gt;&lt;/Cite&gt;&lt;/EndNote&gt;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Betancourt, 2015 #81" w:history="1">
        <w:r w:rsidR="00091134">
          <w:rPr>
            <w:rFonts w:ascii="Times New Roman" w:hAnsi="Times New Roman" w:cs="Times New Roman"/>
            <w:noProof/>
            <w:sz w:val="24"/>
            <w:szCs w:val="24"/>
          </w:rPr>
          <w:t>Betancourt, 2015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9A1D0D" w:rsidRDefault="009A1D0D" w:rsidP="00F6346D">
      <w:pPr>
        <w:spacing w:line="360" w:lineRule="auto"/>
        <w:ind w:left="-426" w:right="-427"/>
        <w:jc w:val="both"/>
        <w:rPr>
          <w:rFonts w:ascii="Times New Roman" w:hAnsi="Times New Roman" w:cs="Times New Roman"/>
          <w:sz w:val="24"/>
          <w:szCs w:val="24"/>
        </w:rPr>
      </w:pPr>
      <w:r w:rsidRPr="009A1D0D">
        <w:rPr>
          <w:rFonts w:ascii="Times New Roman" w:hAnsi="Times New Roman" w:cs="Times New Roman"/>
          <w:sz w:val="24"/>
          <w:szCs w:val="24"/>
        </w:rPr>
        <w:lastRenderedPageBreak/>
        <w:t>En Cuba se han empleado las variantes de cosecha manual, semi-mecanizada y mecanizada, esta última la más extendida y en la que se utilizan principalmente cosechadoras autopropulsadas de procedencia nacional; KTP con sus diferentes modelos. Por otra parte, el sistema de cosecha empleado durante décadas ha sido el corte mecanizado sin corta-cogollo para centro de limpieza; con el empleo del tractor con carretas y del camión con remolque como medios de transporte para el tiro de la caña hacia el centro de recepción desde los campos cañeros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&lt;EndNote&gt;&lt;Cite&gt;&lt;Author&gt;Matos&lt;/Author&gt;&lt;Year&gt;2014&lt;/Year&gt;&lt;RecNum&gt;25&lt;/RecNum&gt;&lt;DisplayText&gt;(Matos, Iglesias, &amp;amp; García, 2014)&lt;/DisplayText&gt;&lt;record&gt;&lt;rec-number&gt;25&lt;/rec-number&gt;&lt;foreign-keys&gt;&lt;key app="EN" db-id="vfz9zrxzystawueeez7pxrxm9w0f59sw0dva"&gt;25&lt;/key&gt;&lt;/foreign-keys&gt;&lt;ref-type name="Journal Article"&gt;17&lt;/ref-type&gt;&lt;contributors&gt;&lt;authors&gt;&lt;author&gt;Matos, N.&lt;/author&gt;&lt;author&gt;Iglesias, C.&lt;/author&gt;&lt;author&gt;García, E.&lt;/author&gt;&lt;/authors&gt;&lt;/contributors&gt;&lt;titles&gt;&lt;title&gt;Organización racional del complejo de máquinas en la cosecha - transporte - recepción de la caña de azúcar en la Empresa Azucarera  Argentina &lt;/title&gt;&lt;secondary-title&gt;Revista Ciencias Técnicas Agropecuarias&lt;/secondary-title&gt;&lt;/titles&gt;&lt;periodical&gt;&lt;full-title&gt;Revista Ciencias Técnicas Agropecuarias&lt;/full-title&gt;&lt;/periodical&gt;&lt;pages&gt;27-33&lt;/pages&gt;&lt;volume&gt;23&lt;/volume&gt;&lt;dates&gt;&lt;year&gt;2014&lt;/year&gt;&lt;/dates&gt;&lt;isbn&gt;2071-0054&lt;/isbn&gt;&lt;urls&gt;&lt;related-urls&gt;&lt;url&gt;http://scielo.sld.cu/scielo.php?script=sci_arttext&amp;amp;pid=S2071-00542014000200005&amp;amp;nrm=iso&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 w:tooltip="Matos, 2014 #25" w:history="1">
        <w:r w:rsidR="00091134">
          <w:rPr>
            <w:rFonts w:ascii="Times New Roman" w:hAnsi="Times New Roman" w:cs="Times New Roman"/>
            <w:noProof/>
            <w:sz w:val="24"/>
            <w:szCs w:val="24"/>
          </w:rPr>
          <w:t>Matos, Iglesias, &amp; García, 2014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9A1D0D" w:rsidRDefault="009A1D0D" w:rsidP="00F6346D">
      <w:pPr>
        <w:spacing w:line="360" w:lineRule="auto"/>
        <w:ind w:left="-426" w:right="-427"/>
        <w:jc w:val="both"/>
        <w:rPr>
          <w:rFonts w:ascii="Times New Roman" w:hAnsi="Times New Roman" w:cs="Times New Roman"/>
          <w:sz w:val="24"/>
          <w:szCs w:val="24"/>
        </w:rPr>
      </w:pPr>
      <w:r w:rsidRPr="009A1D0D">
        <w:rPr>
          <w:rFonts w:ascii="Times New Roman" w:hAnsi="Times New Roman" w:cs="Times New Roman"/>
          <w:sz w:val="24"/>
          <w:szCs w:val="24"/>
        </w:rPr>
        <w:t>En la actualidad se ha potenciado el sistema de corte mecanizado con corta cogollo para tiro al basculador, con el que se introduce el sistema de transporte denominado tiro partido o trasbordo de caña mediante remolques o semirremolques auto basculantes tirados por tractor para el transporte dentro del campo y camiones con remolques para el tiro hacia el basculador. El sistema se caracteriza por aportar beneficios tales como: reducción de los daños a los campos cañeros producto de la cosecha mecanizada, aumento de la productividad, disminución de los costos de la cosecha y mejora de la calidad del material que va a la industria</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7A2DCD">
        <w:rPr>
          <w:rFonts w:ascii="Times New Roman" w:hAnsi="Times New Roman" w:cs="Times New Roman"/>
          <w:sz w:val="24"/>
          <w:szCs w:val="24"/>
        </w:rPr>
        <w:instrText xml:space="preserve"> ADDIN EN.CITE &lt;EndNote&gt;&lt;Cite&gt;&lt;Author&gt;Martínez&lt;/Author&gt;&lt;Year&gt;2015&lt;/Year&gt;&lt;RecNum&gt;49&lt;/RecNum&gt;&lt;DisplayText&gt;(Martínez et al., 2015)&lt;/DisplayText&gt;&lt;record&gt;&lt;rec-number&gt;49&lt;/rec-number&gt;&lt;foreign-keys&gt;&lt;key app="EN" db-id="vfz9zrxzystawueeez7pxrxm9w0f59sw0dva"&gt;49&lt;/key&gt;&lt;/foreign-keys&gt;&lt;ref-type name="Conference Paper"&gt;47&lt;/ref-type&gt;&lt;contributors&gt;&lt;authors&gt;&lt;author&gt;Martínez, R.&lt;/author&gt;&lt;author&gt;Betancourt, Y.&lt;/author&gt;&lt;author&gt;Rodríguez, M.&lt;/author&gt;&lt;author&gt;Vidal, L. &lt;/author&gt;&lt;author&gt;Guillén, S.&lt;/author&gt;&lt;/authors&gt;&lt;/contributors&gt;&lt;titles&gt;&lt;title&gt;Evaluación Agrotécnica de la Combinada Cosechadora de Caña de Azúcar CASE IH 8800 y del Semirremolque Autobasculante de Fabricación Cubana en Suelos Arcillosos Pesados con Superficies Acanterada.&lt;/title&gt;&lt;/titles&gt;&lt;dates&gt;&lt;year&gt;2015&lt;/year&gt;&lt;/dates&gt;&lt;urls&gt;&lt;/urls&gt;&lt;/record&gt;&lt;/Cite&gt;&lt;/EndNote&gt;</w:instrText>
      </w:r>
      <w:r>
        <w:rPr>
          <w:rFonts w:ascii="Times New Roman" w:hAnsi="Times New Roman" w:cs="Times New Roman"/>
          <w:sz w:val="24"/>
          <w:szCs w:val="24"/>
        </w:rPr>
        <w:fldChar w:fldCharType="separate"/>
      </w:r>
      <w:r w:rsidR="007A2DCD">
        <w:rPr>
          <w:rFonts w:ascii="Times New Roman" w:hAnsi="Times New Roman" w:cs="Times New Roman"/>
          <w:noProof/>
          <w:sz w:val="24"/>
          <w:szCs w:val="24"/>
        </w:rPr>
        <w:t>(</w:t>
      </w:r>
      <w:hyperlink w:anchor="_ENREF_8" w:tooltip="Martínez, 2015 #49" w:history="1">
        <w:r w:rsidR="00091134">
          <w:rPr>
            <w:rFonts w:ascii="Times New Roman" w:hAnsi="Times New Roman" w:cs="Times New Roman"/>
            <w:noProof/>
            <w:sz w:val="24"/>
            <w:szCs w:val="24"/>
          </w:rPr>
          <w:t>Martínez et al., 2015</w:t>
        </w:r>
      </w:hyperlink>
      <w:r w:rsidR="007A2DC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7A2DCD" w:rsidRDefault="007A2DCD" w:rsidP="00F6346D">
      <w:pPr>
        <w:spacing w:line="360" w:lineRule="auto"/>
        <w:ind w:left="-426" w:right="-427"/>
        <w:jc w:val="both"/>
        <w:rPr>
          <w:rFonts w:ascii="Times New Roman" w:hAnsi="Times New Roman" w:cs="Times New Roman"/>
          <w:sz w:val="24"/>
          <w:szCs w:val="24"/>
        </w:rPr>
      </w:pPr>
      <w:r w:rsidRPr="007A2DCD">
        <w:rPr>
          <w:rFonts w:ascii="Times New Roman" w:hAnsi="Times New Roman" w:cs="Times New Roman"/>
          <w:sz w:val="24"/>
          <w:szCs w:val="24"/>
        </w:rPr>
        <w:t xml:space="preserve">La compactación en los suelos agrícolas es un problema que conlleva a la utilización de energía en las labores, alto consumo de recursos y la degradación del suelo haciendo que se pierdan sus propiedades así como obteniéndose bajas tasas de rendimiento en la producción </w:t>
      </w:r>
      <w:r w:rsidRPr="007A2DCD">
        <w:rPr>
          <w:rFonts w:ascii="Times New Roman" w:hAnsi="Times New Roman" w:cs="Times New Roman"/>
          <w:sz w:val="24"/>
          <w:szCs w:val="24"/>
        </w:rPr>
        <w:fldChar w:fldCharType="begin"/>
      </w:r>
      <w:r w:rsidRPr="007A2DCD">
        <w:rPr>
          <w:rFonts w:ascii="Times New Roman" w:hAnsi="Times New Roman" w:cs="Times New Roman"/>
          <w:sz w:val="24"/>
          <w:szCs w:val="24"/>
        </w:rPr>
        <w:instrText xml:space="preserve"> ADDIN EN.CITE &lt;EndNote&gt;&lt;Cite&gt;&lt;Author&gt;Demuner&lt;/Author&gt;&lt;Year&gt;2013&lt;/Year&gt;&lt;RecNum&gt;21&lt;/RecNum&gt;&lt;DisplayText&gt;(Demuner, Cadena, &amp;amp; Campos, 2013)&lt;/DisplayText&gt;&lt;record&gt;&lt;rec-number&gt;21&lt;/rec-number&gt;&lt;foreign-keys&gt;&lt;key app="EN" db-id="vfz9zrxzystawueeez7pxrxm9w0f59sw0dva"&gt;21&lt;/key&gt;&lt;/foreign-keys&gt;&lt;ref-type name="Journal Article"&gt;17&lt;/ref-type&gt;&lt;contributors&gt;&lt;authors&gt;&lt;author&gt;Demuner, G.&lt;/author&gt;&lt;author&gt;Cadena, M.&lt;/author&gt;&lt;author&gt;Campos, S. G.&lt;/author&gt;&lt;/authors&gt;&lt;/contributors&gt;&lt;titles&gt;&lt;title&gt;Resistencia a la penetración en un suelo franco arcilloso a dos años de manejo con tres sistemas de labranza&lt;/title&gt;&lt;secondary-title&gt;Revista Ciencias Técnicas Agropecuarias&lt;/secondary-title&gt;&lt;/titles&gt;&lt;periodical&gt;&lt;full-title&gt;Revista Ciencias Técnicas Agropecuarias&lt;/full-title&gt;&lt;/periodical&gt;&lt;pages&gt;68-71&lt;/pages&gt;&lt;volume&gt;22&lt;/volume&gt;&lt;dates&gt;&lt;year&gt;2013&lt;/year&gt;&lt;/dates&gt;&lt;isbn&gt;2071-0054&lt;/isbn&gt;&lt;urls&gt;&lt;related-urls&gt;&lt;url&gt;http://scieloprueba.sld.cu/scielo.php?script=sci_arttext&amp;amp;pid=S2071-00542013000500012&amp;amp;nrm=iso&lt;/url&gt;&lt;/related-urls&gt;&lt;/urls&gt;&lt;/record&gt;&lt;/Cite&gt;&lt;/EndNote&gt;</w:instrText>
      </w:r>
      <w:r w:rsidRPr="007A2DCD">
        <w:rPr>
          <w:rFonts w:ascii="Times New Roman" w:hAnsi="Times New Roman" w:cs="Times New Roman"/>
          <w:sz w:val="24"/>
          <w:szCs w:val="24"/>
        </w:rPr>
        <w:fldChar w:fldCharType="separate"/>
      </w:r>
      <w:r w:rsidRPr="007A2DCD">
        <w:rPr>
          <w:rFonts w:ascii="Times New Roman" w:hAnsi="Times New Roman" w:cs="Times New Roman"/>
          <w:sz w:val="24"/>
          <w:szCs w:val="24"/>
        </w:rPr>
        <w:t>(</w:t>
      </w:r>
      <w:hyperlink w:anchor="_ENREF_5" w:tooltip="Demuner, 2013 #21" w:history="1">
        <w:r w:rsidR="00091134" w:rsidRPr="007A2DCD">
          <w:rPr>
            <w:rFonts w:ascii="Times New Roman" w:hAnsi="Times New Roman" w:cs="Times New Roman"/>
            <w:sz w:val="24"/>
            <w:szCs w:val="24"/>
          </w:rPr>
          <w:t>Demuner, Cadena, &amp; Campos, 2013</w:t>
        </w:r>
      </w:hyperlink>
      <w:r w:rsidRPr="007A2DCD">
        <w:rPr>
          <w:rFonts w:ascii="Times New Roman" w:hAnsi="Times New Roman" w:cs="Times New Roman"/>
          <w:sz w:val="24"/>
          <w:szCs w:val="24"/>
        </w:rPr>
        <w:t>)</w:t>
      </w:r>
      <w:r w:rsidRPr="007A2DCD">
        <w:rPr>
          <w:rFonts w:ascii="Times New Roman" w:hAnsi="Times New Roman" w:cs="Times New Roman"/>
          <w:sz w:val="24"/>
          <w:szCs w:val="24"/>
        </w:rPr>
        <w:fldChar w:fldCharType="end"/>
      </w:r>
      <w:r w:rsidRPr="007A2DCD">
        <w:rPr>
          <w:rFonts w:ascii="Times New Roman" w:hAnsi="Times New Roman" w:cs="Times New Roman"/>
          <w:sz w:val="24"/>
          <w:szCs w:val="24"/>
        </w:rPr>
        <w:t>. Dicho factor ocurre cuando se aplica presión o carga a la superficie del mismo, como resultado de pisoteo de animales, personas y la inadecuada utilización de equipos como tractores especialmente cuando el suelo está húmedo. La compactación causa cambios en las propiedades físicas del suelo, aumentando la resistencia a la penetración, la densidad aparente, provocando una reducción de la porosidad.</w:t>
      </w:r>
    </w:p>
    <w:p w:rsidR="009A1D0D" w:rsidRPr="009A1D0D" w:rsidRDefault="009A1D0D" w:rsidP="00F6346D">
      <w:pPr>
        <w:spacing w:line="360" w:lineRule="auto"/>
        <w:ind w:left="-426" w:right="-427"/>
        <w:jc w:val="both"/>
        <w:rPr>
          <w:rFonts w:ascii="Times New Roman" w:hAnsi="Times New Roman" w:cs="Times New Roman"/>
          <w:sz w:val="24"/>
          <w:szCs w:val="24"/>
        </w:rPr>
      </w:pPr>
      <w:r w:rsidRPr="009A1D0D">
        <w:rPr>
          <w:rFonts w:ascii="Times New Roman" w:hAnsi="Times New Roman" w:cs="Times New Roman"/>
          <w:sz w:val="24"/>
          <w:szCs w:val="24"/>
        </w:rPr>
        <w:t xml:space="preserve">Considerando la importancia del cultivo de la caña en la zona norte de la provincia de Villa Clara tanto en rendimiento como en área cultivada, las cuales tienen lugar en suelos pesados que se caracterizan por mal drenaje y condiciones de cosecha adversas por la elevada humedad se define el siguiente problema científico: </w:t>
      </w:r>
    </w:p>
    <w:p w:rsidR="009A1D0D" w:rsidRPr="009A1D0D" w:rsidRDefault="009A1D0D" w:rsidP="00F6346D">
      <w:pPr>
        <w:spacing w:line="360" w:lineRule="auto"/>
        <w:ind w:left="-426" w:right="-427"/>
        <w:jc w:val="both"/>
        <w:rPr>
          <w:rFonts w:ascii="Times New Roman" w:hAnsi="Times New Roman" w:cs="Times New Roman"/>
          <w:sz w:val="24"/>
          <w:szCs w:val="24"/>
        </w:rPr>
      </w:pPr>
      <w:r w:rsidRPr="009A1D0D">
        <w:rPr>
          <w:rFonts w:ascii="Times New Roman" w:hAnsi="Times New Roman" w:cs="Times New Roman"/>
          <w:b/>
          <w:sz w:val="24"/>
          <w:szCs w:val="24"/>
        </w:rPr>
        <w:t xml:space="preserve">Problema Científico: </w:t>
      </w:r>
      <w:r w:rsidRPr="009A1D0D">
        <w:rPr>
          <w:rFonts w:ascii="Times New Roman" w:hAnsi="Times New Roman" w:cs="Times New Roman"/>
          <w:sz w:val="24"/>
          <w:szCs w:val="24"/>
        </w:rPr>
        <w:t>¿Cuáles son los efectos a las propiedades del suelo que ocasiona el paso del sistema de máquinas en la cosecha de la caña de azúcar en la zona norte de Villa Clara?</w:t>
      </w:r>
    </w:p>
    <w:p w:rsidR="009A1D0D" w:rsidRPr="009A1D0D" w:rsidRDefault="009A1D0D" w:rsidP="00F6346D">
      <w:pPr>
        <w:spacing w:line="360" w:lineRule="auto"/>
        <w:ind w:left="-426" w:right="-427"/>
        <w:jc w:val="both"/>
        <w:rPr>
          <w:rFonts w:ascii="Times New Roman" w:hAnsi="Times New Roman" w:cs="Times New Roman"/>
          <w:sz w:val="24"/>
          <w:szCs w:val="24"/>
        </w:rPr>
      </w:pPr>
      <w:r w:rsidRPr="009A1D0D">
        <w:rPr>
          <w:rFonts w:ascii="Times New Roman" w:hAnsi="Times New Roman" w:cs="Times New Roman"/>
          <w:b/>
          <w:sz w:val="24"/>
          <w:szCs w:val="24"/>
        </w:rPr>
        <w:t xml:space="preserve">Objeto de estudio: </w:t>
      </w:r>
      <w:r w:rsidRPr="009A1D0D">
        <w:rPr>
          <w:rFonts w:ascii="Times New Roman" w:hAnsi="Times New Roman" w:cs="Times New Roman"/>
          <w:sz w:val="24"/>
          <w:szCs w:val="24"/>
        </w:rPr>
        <w:t>Los suelos destinados al cultivo de la caña de azúcar en condiciones de alta humedad.</w:t>
      </w:r>
    </w:p>
    <w:p w:rsidR="009A1D0D" w:rsidRPr="009A1D0D" w:rsidRDefault="009A1D0D" w:rsidP="00F6346D">
      <w:pPr>
        <w:spacing w:line="360" w:lineRule="auto"/>
        <w:ind w:left="-426" w:right="-427"/>
        <w:jc w:val="both"/>
        <w:rPr>
          <w:rFonts w:ascii="Times New Roman" w:hAnsi="Times New Roman" w:cs="Times New Roman"/>
          <w:b/>
          <w:sz w:val="24"/>
        </w:rPr>
      </w:pPr>
      <w:r w:rsidRPr="009A1D0D">
        <w:rPr>
          <w:rFonts w:ascii="Times New Roman" w:hAnsi="Times New Roman" w:cs="Times New Roman"/>
          <w:b/>
          <w:sz w:val="24"/>
        </w:rPr>
        <w:lastRenderedPageBreak/>
        <w:t xml:space="preserve">Hipótesis: </w:t>
      </w:r>
      <w:r w:rsidRPr="009A1D0D">
        <w:rPr>
          <w:rFonts w:ascii="Times New Roman" w:hAnsi="Times New Roman" w:cs="Times New Roman"/>
          <w:sz w:val="24"/>
        </w:rPr>
        <w:t>Si se determinan las variaciones de las propiedades del suelo tales como: la humedad, el perfilado del suelo, la densidad así como la resistencia a la penetración del suelo, a diferentes profundidades y en diferentes momentos en la cosecha, es posible establecer el efecto del sistema de máquinas sobre el mismo empleadas en la cosecha de la caña de azúcar.</w:t>
      </w:r>
    </w:p>
    <w:p w:rsidR="009A1D0D" w:rsidRPr="009A1D0D" w:rsidRDefault="009A1D0D" w:rsidP="00F6346D">
      <w:pPr>
        <w:spacing w:line="360" w:lineRule="auto"/>
        <w:ind w:left="-426" w:right="-427"/>
        <w:jc w:val="both"/>
        <w:rPr>
          <w:rFonts w:ascii="Times New Roman" w:hAnsi="Times New Roman" w:cs="Times New Roman"/>
          <w:b/>
          <w:sz w:val="24"/>
        </w:rPr>
      </w:pPr>
      <w:r w:rsidRPr="009A1D0D">
        <w:rPr>
          <w:rFonts w:ascii="Times New Roman" w:hAnsi="Times New Roman" w:cs="Times New Roman"/>
          <w:b/>
          <w:sz w:val="24"/>
        </w:rPr>
        <w:t>Objetivo general:</w:t>
      </w:r>
      <w:r w:rsidRPr="009A1D0D">
        <w:rPr>
          <w:rFonts w:ascii="Times New Roman" w:hAnsi="Times New Roman" w:cs="Times New Roman"/>
          <w:sz w:val="24"/>
        </w:rPr>
        <w:t xml:space="preserve"> Determinar los efectos sobre el suelo relacionados con el paso del sistema de máquinas durante la cosecha de la caña de azúcar en condiciones de alta humedad en la costa norte de la provincia de Villa Clara.</w:t>
      </w:r>
    </w:p>
    <w:p w:rsidR="009A1D0D" w:rsidRPr="009A1D0D" w:rsidRDefault="009A1D0D" w:rsidP="00F6346D">
      <w:pPr>
        <w:spacing w:line="360" w:lineRule="auto"/>
        <w:ind w:left="-426" w:right="-427"/>
        <w:jc w:val="both"/>
        <w:rPr>
          <w:rFonts w:ascii="Times New Roman" w:hAnsi="Times New Roman" w:cs="Times New Roman"/>
          <w:b/>
          <w:sz w:val="24"/>
          <w:szCs w:val="24"/>
        </w:rPr>
      </w:pPr>
      <w:r w:rsidRPr="009A1D0D">
        <w:rPr>
          <w:rFonts w:ascii="Times New Roman" w:hAnsi="Times New Roman" w:cs="Times New Roman"/>
          <w:b/>
          <w:sz w:val="24"/>
        </w:rPr>
        <w:t xml:space="preserve">Objetivos específicos: </w:t>
      </w:r>
    </w:p>
    <w:p w:rsidR="009A1D0D" w:rsidRPr="009A1D0D" w:rsidRDefault="009A1D0D" w:rsidP="00F6346D">
      <w:pPr>
        <w:pStyle w:val="Prrafodelista"/>
        <w:numPr>
          <w:ilvl w:val="0"/>
          <w:numId w:val="2"/>
        </w:numPr>
        <w:spacing w:line="360" w:lineRule="auto"/>
        <w:ind w:left="-426" w:right="-427" w:firstLine="0"/>
        <w:jc w:val="both"/>
        <w:rPr>
          <w:rFonts w:ascii="Times New Roman" w:hAnsi="Times New Roman" w:cs="Times New Roman"/>
          <w:sz w:val="24"/>
          <w:szCs w:val="24"/>
        </w:rPr>
      </w:pPr>
      <w:r w:rsidRPr="009A1D0D">
        <w:rPr>
          <w:rFonts w:ascii="Times New Roman" w:hAnsi="Times New Roman" w:cs="Times New Roman"/>
          <w:sz w:val="24"/>
          <w:szCs w:val="24"/>
        </w:rPr>
        <w:t>Caracterizar los suelos y las tecnologías empleadas para la cosecha de la caña de azúcar en la UEB Héctor Rodríguez.</w:t>
      </w:r>
    </w:p>
    <w:p w:rsidR="009A1D0D" w:rsidRPr="009A1D0D" w:rsidRDefault="009A1D0D" w:rsidP="00F6346D">
      <w:pPr>
        <w:pStyle w:val="Prrafodelista"/>
        <w:numPr>
          <w:ilvl w:val="0"/>
          <w:numId w:val="2"/>
        </w:numPr>
        <w:spacing w:line="360" w:lineRule="auto"/>
        <w:ind w:left="-426" w:right="-427" w:firstLine="0"/>
        <w:jc w:val="both"/>
        <w:rPr>
          <w:rFonts w:ascii="Times New Roman" w:hAnsi="Times New Roman" w:cs="Times New Roman"/>
          <w:sz w:val="24"/>
          <w:szCs w:val="24"/>
        </w:rPr>
      </w:pPr>
      <w:r w:rsidRPr="009A1D0D">
        <w:rPr>
          <w:rFonts w:ascii="Times New Roman" w:hAnsi="Times New Roman" w:cs="Times New Roman"/>
          <w:sz w:val="24"/>
          <w:szCs w:val="24"/>
        </w:rPr>
        <w:t>Obtener las variaciones de la humedad del suelo en función de la profundidad del mismo.</w:t>
      </w:r>
    </w:p>
    <w:p w:rsidR="009A1D0D" w:rsidRPr="009A1D0D" w:rsidRDefault="009A1D0D" w:rsidP="00F6346D">
      <w:pPr>
        <w:pStyle w:val="Prrafodelista"/>
        <w:numPr>
          <w:ilvl w:val="0"/>
          <w:numId w:val="2"/>
        </w:numPr>
        <w:spacing w:line="360" w:lineRule="auto"/>
        <w:ind w:left="-426" w:right="-427" w:firstLine="0"/>
        <w:jc w:val="both"/>
        <w:rPr>
          <w:rFonts w:ascii="Times New Roman" w:hAnsi="Times New Roman" w:cs="Times New Roman"/>
          <w:sz w:val="24"/>
          <w:szCs w:val="24"/>
        </w:rPr>
      </w:pPr>
      <w:r w:rsidRPr="009A1D0D">
        <w:rPr>
          <w:rFonts w:ascii="Times New Roman" w:hAnsi="Times New Roman" w:cs="Times New Roman"/>
          <w:sz w:val="24"/>
          <w:szCs w:val="24"/>
        </w:rPr>
        <w:t>Determinar las variaciones del perfilado del suelo relacionados al paso de la maquinaria.</w:t>
      </w:r>
    </w:p>
    <w:p w:rsidR="009A1D0D" w:rsidRPr="009A1D0D" w:rsidRDefault="009A1D0D" w:rsidP="00F6346D">
      <w:pPr>
        <w:pStyle w:val="Prrafodelista"/>
        <w:numPr>
          <w:ilvl w:val="0"/>
          <w:numId w:val="2"/>
        </w:numPr>
        <w:spacing w:line="360" w:lineRule="auto"/>
        <w:ind w:left="-426" w:right="-427" w:firstLine="0"/>
        <w:jc w:val="both"/>
        <w:rPr>
          <w:rFonts w:ascii="Times New Roman" w:hAnsi="Times New Roman" w:cs="Times New Roman"/>
          <w:sz w:val="24"/>
          <w:szCs w:val="24"/>
        </w:rPr>
      </w:pPr>
      <w:r w:rsidRPr="009A1D0D">
        <w:rPr>
          <w:rFonts w:ascii="Times New Roman" w:hAnsi="Times New Roman" w:cs="Times New Roman"/>
          <w:sz w:val="24"/>
          <w:szCs w:val="24"/>
        </w:rPr>
        <w:t>Determinar la densidad aparente y la resistencia del suelo respecto a la profundidad.</w:t>
      </w:r>
    </w:p>
    <w:p w:rsidR="002926F0" w:rsidRPr="007A2DCD" w:rsidRDefault="009A1D0D" w:rsidP="00F6346D">
      <w:pPr>
        <w:pStyle w:val="Prrafodelista"/>
        <w:numPr>
          <w:ilvl w:val="0"/>
          <w:numId w:val="2"/>
        </w:numPr>
        <w:spacing w:after="0" w:line="360" w:lineRule="auto"/>
        <w:ind w:left="-426" w:right="-427" w:firstLine="0"/>
        <w:jc w:val="both"/>
        <w:rPr>
          <w:rFonts w:ascii="Times New Roman" w:hAnsi="Times New Roman" w:cs="Times New Roman"/>
          <w:sz w:val="24"/>
          <w:szCs w:val="24"/>
        </w:rPr>
      </w:pPr>
      <w:r w:rsidRPr="007A2DCD">
        <w:rPr>
          <w:rFonts w:ascii="Times New Roman" w:hAnsi="Times New Roman" w:cs="Times New Roman"/>
          <w:sz w:val="24"/>
          <w:szCs w:val="24"/>
        </w:rPr>
        <w:t xml:space="preserve">Realizar el cálculo del ancho de vía del autobasculante en correspondencia con el marco de siembra. </w:t>
      </w:r>
    </w:p>
    <w:p w:rsidR="002926F0" w:rsidRDefault="002926F0" w:rsidP="00F6346D">
      <w:pPr>
        <w:spacing w:after="0" w:line="360" w:lineRule="auto"/>
        <w:ind w:left="-426" w:right="-427"/>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2926F0" w:rsidRDefault="003E1F3F" w:rsidP="00F6346D">
      <w:pPr>
        <w:spacing w:after="0" w:line="360" w:lineRule="auto"/>
        <w:ind w:left="-426" w:right="-427"/>
        <w:jc w:val="both"/>
        <w:rPr>
          <w:rFonts w:ascii="Times New Roman" w:eastAsiaTheme="minorHAnsi" w:hAnsi="Times New Roman" w:cs="Times New Roman"/>
          <w:b/>
          <w:sz w:val="24"/>
          <w:szCs w:val="24"/>
          <w:lang w:eastAsia="en-US"/>
        </w:rPr>
      </w:pPr>
      <w:r w:rsidRPr="003E1F3F">
        <w:rPr>
          <w:rFonts w:ascii="Times New Roman" w:hAnsi="Times New Roman" w:cs="Times New Roman"/>
          <w:b/>
          <w:sz w:val="24"/>
          <w:szCs w:val="24"/>
        </w:rPr>
        <w:t xml:space="preserve">2.1 Metodología </w:t>
      </w:r>
      <w:r w:rsidRPr="003E1F3F">
        <w:rPr>
          <w:rFonts w:ascii="Times New Roman" w:eastAsiaTheme="minorHAnsi" w:hAnsi="Times New Roman" w:cs="Times New Roman"/>
          <w:b/>
          <w:sz w:val="24"/>
          <w:szCs w:val="24"/>
          <w:lang w:eastAsia="en-US"/>
        </w:rPr>
        <w:t>para la descripción del área de estudio</w:t>
      </w:r>
    </w:p>
    <w:p w:rsidR="003E1F3F" w:rsidRDefault="003E1F3F" w:rsidP="00072971">
      <w:pPr>
        <w:spacing w:after="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Para caracterizar el área de estudio se realizaron visitas dirigidas a observar los diferentes aspectos de la actividad productiva de tres unidades de producción de caña (UBPC), de la UEB Héctor Rodríguez. Se consultó la información archivada en la empresa respecto a las actividades productivas y la ubicación geográfica del área objeto de estudio. Se identificó la estructura de las UBPC así como las principales características de los suelos predominantes. Se realizaron visitas a las diferentes áreas de estudio donde se tomaron muestras de malezas encontradas. Los equipos que participaron en la cosecha de la caña en las zonas evaluadas fueron la cosechadora CASE IH 8 800 y el Autobasculante tirado por</w:t>
      </w:r>
      <w:r>
        <w:rPr>
          <w:rFonts w:ascii="Times New Roman" w:hAnsi="Times New Roman" w:cs="Times New Roman"/>
          <w:sz w:val="24"/>
          <w:szCs w:val="24"/>
        </w:rPr>
        <w:t xml:space="preserve"> el Tractor Maxxum Case IH 150.</w:t>
      </w:r>
    </w:p>
    <w:p w:rsidR="003E1F3F" w:rsidRPr="003E1F3F" w:rsidRDefault="003E1F3F" w:rsidP="00072971">
      <w:pPr>
        <w:spacing w:after="0" w:line="360" w:lineRule="auto"/>
        <w:ind w:left="-426" w:right="-427"/>
        <w:jc w:val="both"/>
        <w:rPr>
          <w:rFonts w:ascii="Times New Roman" w:hAnsi="Times New Roman" w:cs="Times New Roman"/>
          <w:b/>
          <w:sz w:val="24"/>
          <w:szCs w:val="24"/>
        </w:rPr>
      </w:pPr>
      <w:r w:rsidRPr="003E1F3F">
        <w:rPr>
          <w:rFonts w:ascii="Times New Roman" w:hAnsi="Times New Roman" w:cs="Times New Roman"/>
          <w:b/>
          <w:sz w:val="24"/>
          <w:szCs w:val="24"/>
        </w:rPr>
        <w:t>2.2 Metodología para determinar la humedad del suelo.</w:t>
      </w:r>
    </w:p>
    <w:p w:rsidR="003E1F3F" w:rsidRPr="003E1F3F" w:rsidRDefault="003E1F3F" w:rsidP="00072971">
      <w:pPr>
        <w:spacing w:before="24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 xml:space="preserve">La humedad en base al suelo seco (hbss) %, se determinó por el método Gravimétrico. Se tomaron varias muestras de suelo con una profundidad de </w:t>
      </w:r>
      <w:smartTag w:uri="urn:schemas-microsoft-com:office:smarttags" w:element="metricconverter">
        <w:smartTagPr>
          <w:attr w:name="ProductID" w:val="10 cm"/>
        </w:smartTagPr>
        <w:r w:rsidRPr="003E1F3F">
          <w:rPr>
            <w:rFonts w:ascii="Times New Roman" w:hAnsi="Times New Roman" w:cs="Times New Roman"/>
            <w:sz w:val="24"/>
            <w:szCs w:val="24"/>
          </w:rPr>
          <w:t>10 cm</w:t>
        </w:r>
      </w:smartTag>
      <w:r w:rsidRPr="003E1F3F">
        <w:rPr>
          <w:rFonts w:ascii="Times New Roman" w:hAnsi="Times New Roman" w:cs="Times New Roman"/>
          <w:sz w:val="24"/>
          <w:szCs w:val="24"/>
        </w:rPr>
        <w:t xml:space="preserve"> hasta los </w:t>
      </w:r>
      <w:smartTag w:uri="urn:schemas-microsoft-com:office:smarttags" w:element="metricconverter">
        <w:smartTagPr>
          <w:attr w:name="ProductID" w:val="30 cm"/>
        </w:smartTagPr>
        <w:r w:rsidRPr="003E1F3F">
          <w:rPr>
            <w:rFonts w:ascii="Times New Roman" w:hAnsi="Times New Roman" w:cs="Times New Roman"/>
            <w:sz w:val="24"/>
            <w:szCs w:val="24"/>
          </w:rPr>
          <w:t>30 cm</w:t>
        </w:r>
      </w:smartTag>
      <w:r w:rsidRPr="003E1F3F">
        <w:rPr>
          <w:rFonts w:ascii="Times New Roman" w:hAnsi="Times New Roman" w:cs="Times New Roman"/>
          <w:sz w:val="24"/>
          <w:szCs w:val="24"/>
        </w:rPr>
        <w:t xml:space="preserve"> en el centro del surco y del  espacio entre hileras previo a la cosecha. El tratamiento de las muestras en el laboratorio se realizó conforme a la NC 3447-2003</w:t>
      </w:r>
      <w:r>
        <w:rPr>
          <w:rFonts w:ascii="Times New Roman" w:hAnsi="Times New Roman" w:cs="Times New Roman"/>
          <w:sz w:val="24"/>
          <w:szCs w:val="24"/>
        </w:rPr>
        <w:t xml:space="preserve">, </w:t>
      </w:r>
      <w:r w:rsidRPr="003E1F3F">
        <w:rPr>
          <w:rFonts w:ascii="Times New Roman" w:hAnsi="Times New Roman" w:cs="Times New Roman"/>
          <w:sz w:val="24"/>
          <w:szCs w:val="24"/>
        </w:rPr>
        <w:t xml:space="preserve">secando en la estufa todas las muestras tomadas a una </w:t>
      </w:r>
      <w:r w:rsidRPr="003E1F3F">
        <w:rPr>
          <w:rFonts w:ascii="Times New Roman" w:hAnsi="Times New Roman" w:cs="Times New Roman"/>
          <w:sz w:val="24"/>
          <w:szCs w:val="24"/>
        </w:rPr>
        <w:lastRenderedPageBreak/>
        <w:t xml:space="preserve">temperatura constante de </w:t>
      </w:r>
      <w:smartTag w:uri="urn:schemas-microsoft-com:office:smarttags" w:element="metricconverter">
        <w:smartTagPr>
          <w:attr w:name="ProductID" w:val="105 ﾰC"/>
        </w:smartTagPr>
        <w:r w:rsidRPr="003E1F3F">
          <w:rPr>
            <w:rFonts w:ascii="Times New Roman" w:hAnsi="Times New Roman" w:cs="Times New Roman"/>
            <w:sz w:val="24"/>
            <w:szCs w:val="24"/>
          </w:rPr>
          <w:t>105 °C</w:t>
        </w:r>
      </w:smartTag>
      <w:r w:rsidRPr="003E1F3F">
        <w:rPr>
          <w:rFonts w:ascii="Times New Roman" w:hAnsi="Times New Roman" w:cs="Times New Roman"/>
          <w:sz w:val="24"/>
          <w:szCs w:val="24"/>
        </w:rPr>
        <w:t xml:space="preserve">, durante 24 h. Se enfriaron las muestras en una desecadora durante 20 min, a partir de lo cual las muestras se pesaron cada dos horas hasta alcanzar una masa constante. El pesaje de las muestras antes y después del secado se realizó con una balanza de precisión ± </w:t>
      </w:r>
      <w:smartTag w:uri="urn:schemas-microsoft-com:office:smarttags" w:element="metricconverter">
        <w:smartTagPr>
          <w:attr w:name="ProductID" w:val="0,1 g"/>
        </w:smartTagPr>
        <w:r w:rsidRPr="003E1F3F">
          <w:rPr>
            <w:rFonts w:ascii="Times New Roman" w:hAnsi="Times New Roman" w:cs="Times New Roman"/>
            <w:sz w:val="24"/>
            <w:szCs w:val="24"/>
          </w:rPr>
          <w:t>0,1 g</w:t>
        </w:r>
      </w:smartTag>
      <w:r w:rsidRPr="003E1F3F">
        <w:rPr>
          <w:rFonts w:ascii="Times New Roman" w:hAnsi="Times New Roman" w:cs="Times New Roman"/>
          <w:sz w:val="24"/>
          <w:szCs w:val="24"/>
        </w:rPr>
        <w:t>.</w:t>
      </w:r>
    </w:p>
    <w:p w:rsidR="003E1F3F" w:rsidRPr="003E1F3F" w:rsidRDefault="003E1F3F" w:rsidP="00072971">
      <w:pPr>
        <w:spacing w:after="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El valor de la humedad se calculó mediante la siguiente expresión:</w:t>
      </w:r>
    </w:p>
    <w:p w:rsidR="003E1F3F" w:rsidRPr="003E1F3F" w:rsidRDefault="003E1F3F" w:rsidP="00072971">
      <w:pPr>
        <w:spacing w:after="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ɷ= (P1-P2 / P2-T) x100                                                (1)</w:t>
      </w:r>
    </w:p>
    <w:p w:rsidR="003E1F3F" w:rsidRPr="003E1F3F" w:rsidRDefault="003E1F3F" w:rsidP="00072971">
      <w:pPr>
        <w:spacing w:after="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Donde:</w:t>
      </w:r>
    </w:p>
    <w:p w:rsidR="003E1F3F" w:rsidRPr="003E1F3F" w:rsidRDefault="003E1F3F" w:rsidP="00072971">
      <w:pPr>
        <w:spacing w:after="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ɷ - es el contenido de humedad respecto a la masa seca, en %hbss</w:t>
      </w:r>
    </w:p>
    <w:p w:rsidR="003E1F3F" w:rsidRPr="003E1F3F" w:rsidRDefault="003E1F3F" w:rsidP="00072971">
      <w:pPr>
        <w:spacing w:after="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P1 - es la masa húmeda más la masa del recipiente (pesa filtro), en g;</w:t>
      </w:r>
    </w:p>
    <w:p w:rsidR="003E1F3F" w:rsidRPr="003E1F3F" w:rsidRDefault="003E1F3F" w:rsidP="00072971">
      <w:pPr>
        <w:spacing w:after="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P2 - es la masa seca más la masa del recipiente, en g;</w:t>
      </w:r>
    </w:p>
    <w:p w:rsidR="003E1F3F" w:rsidRDefault="003E1F3F" w:rsidP="00072971">
      <w:pPr>
        <w:spacing w:after="0"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T - es la masa del recipiente (tara), en g.</w:t>
      </w:r>
    </w:p>
    <w:p w:rsidR="003E1F3F" w:rsidRPr="003E1F3F" w:rsidRDefault="003E1F3F" w:rsidP="00072971">
      <w:pPr>
        <w:spacing w:after="0" w:line="360" w:lineRule="auto"/>
        <w:ind w:left="-426" w:right="-427"/>
        <w:jc w:val="both"/>
        <w:rPr>
          <w:rFonts w:ascii="Times New Roman" w:hAnsi="Times New Roman" w:cs="Times New Roman"/>
          <w:b/>
          <w:sz w:val="24"/>
          <w:szCs w:val="24"/>
        </w:rPr>
      </w:pPr>
      <w:r w:rsidRPr="003E1F3F">
        <w:rPr>
          <w:rFonts w:ascii="Times New Roman" w:hAnsi="Times New Roman" w:cs="Times New Roman"/>
          <w:b/>
          <w:sz w:val="24"/>
          <w:szCs w:val="24"/>
        </w:rPr>
        <w:t>2.3 Metodología para determinar la presión media específica</w:t>
      </w:r>
    </w:p>
    <w:p w:rsidR="003E1F3F" w:rsidRDefault="003E1F3F" w:rsidP="00072971">
      <w:pPr>
        <w:pStyle w:val="Textoindependiente"/>
        <w:spacing w:line="360" w:lineRule="auto"/>
        <w:ind w:left="-426" w:right="-427"/>
        <w:rPr>
          <w:rFonts w:eastAsiaTheme="minorEastAsia"/>
          <w:sz w:val="24"/>
          <w:szCs w:val="24"/>
          <w:lang w:val="es-ES" w:eastAsia="es-ES"/>
        </w:rPr>
      </w:pPr>
      <w:r>
        <w:rPr>
          <w:rFonts w:eastAsiaTheme="minorEastAsia"/>
          <w:sz w:val="24"/>
          <w:szCs w:val="24"/>
          <w:lang w:val="es-ES" w:eastAsia="es-ES"/>
        </w:rPr>
        <w:t>S</w:t>
      </w:r>
      <w:r w:rsidRPr="003E1F3F">
        <w:rPr>
          <w:rFonts w:eastAsiaTheme="minorEastAsia"/>
          <w:sz w:val="24"/>
          <w:szCs w:val="24"/>
          <w:lang w:val="es-ES" w:eastAsia="es-ES"/>
        </w:rPr>
        <w:t>e define como Condiciones Normales de Trabajo (CNT) a aquellas donde el semirremolque pone en contacto con el suelo toda el área de apoyo de los neumáticos, según diseño; y Condiciones Reales (CR) donde solo una parte de la superficie de apoyo del neumático se pone en contacto con el suelo</w:t>
      </w: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La presión media específica para condiciones normales (</w:t>
      </w:r>
      <w:proofErr w:type="spellStart"/>
      <w:r w:rsidRPr="003E1F3F">
        <w:rPr>
          <w:rFonts w:eastAsiaTheme="minorEastAsia"/>
          <w:sz w:val="24"/>
          <w:szCs w:val="24"/>
          <w:lang w:val="es-ES" w:eastAsia="es-ES"/>
        </w:rPr>
        <w:t>Pn</w:t>
      </w:r>
      <w:proofErr w:type="spellEnd"/>
      <w:r w:rsidRPr="003E1F3F">
        <w:rPr>
          <w:rFonts w:eastAsiaTheme="minorEastAsia"/>
          <w:sz w:val="24"/>
          <w:szCs w:val="24"/>
          <w:lang w:val="es-ES" w:eastAsia="es-ES"/>
        </w:rPr>
        <w:t xml:space="preserve">) fue determinada utilizando la siguiente expresión: </w:t>
      </w: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noProof/>
          <w:sz w:val="24"/>
          <w:szCs w:val="24"/>
          <w:lang w:val="es-ES" w:eastAsia="es-ES"/>
        </w:rPr>
        <w:drawing>
          <wp:anchor distT="0" distB="0" distL="114300" distR="114300" simplePos="0" relativeHeight="251649536" behindDoc="0" locked="0" layoutInCell="1" allowOverlap="1" wp14:anchorId="449304CB" wp14:editId="572BAD25">
            <wp:simplePos x="0" y="0"/>
            <wp:positionH relativeFrom="column">
              <wp:posOffset>-187325</wp:posOffset>
            </wp:positionH>
            <wp:positionV relativeFrom="paragraph">
              <wp:posOffset>116205</wp:posOffset>
            </wp:positionV>
            <wp:extent cx="1031240" cy="508635"/>
            <wp:effectExtent l="0" t="0" r="0"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240" cy="508635"/>
                    </a:xfrm>
                    <a:prstGeom prst="rect">
                      <a:avLst/>
                    </a:prstGeom>
                    <a:noFill/>
                  </pic:spPr>
                </pic:pic>
              </a:graphicData>
            </a:graphic>
          </wp:anchor>
        </w:drawing>
      </w: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 xml:space="preserve">                                                     </w:t>
      </w:r>
      <w:r w:rsidR="00F6346D">
        <w:rPr>
          <w:rFonts w:eastAsiaTheme="minorEastAsia"/>
          <w:sz w:val="24"/>
          <w:szCs w:val="24"/>
          <w:lang w:val="es-ES" w:eastAsia="es-ES"/>
        </w:rPr>
        <w:t xml:space="preserve">                              (2</w:t>
      </w:r>
      <w:r w:rsidRPr="003E1F3F">
        <w:rPr>
          <w:rFonts w:eastAsiaTheme="minorEastAsia"/>
          <w:sz w:val="24"/>
          <w:szCs w:val="24"/>
          <w:lang w:val="es-ES" w:eastAsia="es-ES"/>
        </w:rPr>
        <w:t>)</w:t>
      </w:r>
    </w:p>
    <w:p w:rsidR="003E1F3F" w:rsidRPr="003E1F3F" w:rsidRDefault="003E1F3F" w:rsidP="00072971">
      <w:pPr>
        <w:pStyle w:val="Textoindependiente"/>
        <w:spacing w:line="360" w:lineRule="auto"/>
        <w:ind w:left="-426" w:right="-427"/>
        <w:rPr>
          <w:rFonts w:eastAsiaTheme="minorEastAsia"/>
          <w:sz w:val="24"/>
          <w:szCs w:val="24"/>
          <w:lang w:val="es-ES" w:eastAsia="es-ES"/>
        </w:rPr>
      </w:pP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 xml:space="preserve">Dónde: </w:t>
      </w:r>
      <w:proofErr w:type="spellStart"/>
      <w:r w:rsidRPr="003E1F3F">
        <w:rPr>
          <w:rFonts w:eastAsiaTheme="minorEastAsia"/>
          <w:sz w:val="24"/>
          <w:szCs w:val="24"/>
          <w:lang w:val="es-ES" w:eastAsia="es-ES"/>
        </w:rPr>
        <w:t>Wn</w:t>
      </w:r>
      <w:proofErr w:type="spellEnd"/>
      <w:r w:rsidRPr="003E1F3F">
        <w:rPr>
          <w:rFonts w:eastAsiaTheme="minorEastAsia"/>
          <w:sz w:val="24"/>
          <w:szCs w:val="24"/>
          <w:lang w:val="es-ES" w:eastAsia="es-ES"/>
        </w:rPr>
        <w:t>, Peso o carga sobre el neumático (</w:t>
      </w:r>
      <w:proofErr w:type="spellStart"/>
      <w:r w:rsidRPr="003E1F3F">
        <w:rPr>
          <w:rFonts w:eastAsiaTheme="minorEastAsia"/>
          <w:sz w:val="24"/>
          <w:szCs w:val="24"/>
          <w:lang w:val="es-ES" w:eastAsia="es-ES"/>
        </w:rPr>
        <w:t>kN</w:t>
      </w:r>
      <w:proofErr w:type="spellEnd"/>
      <w:r w:rsidRPr="003E1F3F">
        <w:rPr>
          <w:rFonts w:eastAsiaTheme="minorEastAsia"/>
          <w:sz w:val="24"/>
          <w:szCs w:val="24"/>
          <w:lang w:val="es-ES" w:eastAsia="es-ES"/>
        </w:rPr>
        <w:t xml:space="preserve">) y </w:t>
      </w:r>
      <w:proofErr w:type="spellStart"/>
      <w:r w:rsidRPr="003E1F3F">
        <w:rPr>
          <w:rFonts w:eastAsiaTheme="minorEastAsia"/>
          <w:sz w:val="24"/>
          <w:szCs w:val="24"/>
          <w:lang w:val="es-ES" w:eastAsia="es-ES"/>
        </w:rPr>
        <w:t>An</w:t>
      </w:r>
      <w:proofErr w:type="spellEnd"/>
      <w:r w:rsidRPr="003E1F3F">
        <w:rPr>
          <w:rFonts w:eastAsiaTheme="minorEastAsia"/>
          <w:sz w:val="24"/>
          <w:szCs w:val="24"/>
          <w:lang w:val="es-ES" w:eastAsia="es-ES"/>
        </w:rPr>
        <w:t>, Área de contacto del neumático con el suelo en condiciones normales, m².</w:t>
      </w: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 xml:space="preserve">Para la determinación de </w:t>
      </w:r>
      <w:proofErr w:type="spellStart"/>
      <w:r w:rsidRPr="003E1F3F">
        <w:rPr>
          <w:rFonts w:eastAsiaTheme="minorEastAsia"/>
          <w:sz w:val="24"/>
          <w:szCs w:val="24"/>
          <w:lang w:val="es-ES" w:eastAsia="es-ES"/>
        </w:rPr>
        <w:t>An</w:t>
      </w:r>
      <w:proofErr w:type="spellEnd"/>
      <w:r w:rsidRPr="003E1F3F">
        <w:rPr>
          <w:rFonts w:eastAsiaTheme="minorEastAsia"/>
          <w:sz w:val="24"/>
          <w:szCs w:val="24"/>
          <w:lang w:val="es-ES" w:eastAsia="es-ES"/>
        </w:rPr>
        <w:t xml:space="preserve"> se emplearon las expresiones siguientes propuestas por </w:t>
      </w:r>
      <w:r w:rsidRPr="003E1F3F">
        <w:rPr>
          <w:rFonts w:eastAsiaTheme="minorEastAsia"/>
          <w:sz w:val="24"/>
          <w:szCs w:val="24"/>
          <w:lang w:val="es-ES" w:eastAsia="es-ES"/>
        </w:rPr>
        <w:fldChar w:fldCharType="begin"/>
      </w:r>
      <w:r>
        <w:rPr>
          <w:rFonts w:eastAsiaTheme="minorEastAsia"/>
          <w:sz w:val="24"/>
          <w:szCs w:val="24"/>
          <w:lang w:val="es-ES" w:eastAsia="es-ES"/>
        </w:rPr>
        <w:instrText xml:space="preserve"> ADDIN EN.CITE &lt;EndNote&gt;&lt;Cite AuthorYear="1"&gt;&lt;Author&gt;Sánchez&lt;/Author&gt;&lt;Year&gt;1996&lt;/Year&gt;&lt;RecNum&gt;48&lt;/RecNum&gt;&lt;DisplayText&gt;Sánchez (1996)&lt;/DisplayText&gt;&lt;record&gt;&lt;rec-number&gt;48&lt;/rec-number&gt;&lt;foreign-keys&gt;&lt;key app="EN" db-id="9sdxw0dt6v29w5ex5pfp20pxvxtv0fs0frft"&gt;48&lt;/key&gt;&lt;/foreign-keys&gt;&lt;ref-type name="Book"&gt;6&lt;/ref-type&gt;&lt;contributors&gt;&lt;authors&gt;&lt;author&gt;Sánchez, V.&lt;/author&gt;&lt;/authors&gt;&lt;tertiary-authors&gt;&lt;author&gt;Ediciones Agrotécnicas, Madrid&lt;/author&gt;&lt;/tertiary-authors&gt;&lt;/contributors&gt;&lt;titles&gt;&lt;title&gt;Dinámica y mecánica de Suelos. &lt;/title&gt;&lt;/titles&gt;&lt;section&gt;269-300&lt;/section&gt;&lt;dates&gt;&lt;year&gt;1996&lt;/year&gt;&lt;/dates&gt;&lt;urls&gt;&lt;/urls&gt;&lt;/record&gt;&lt;/Cite&gt;&lt;/EndNote&gt;</w:instrText>
      </w:r>
      <w:r w:rsidRPr="003E1F3F">
        <w:rPr>
          <w:rFonts w:eastAsiaTheme="minorEastAsia"/>
          <w:sz w:val="24"/>
          <w:szCs w:val="24"/>
          <w:lang w:val="es-ES" w:eastAsia="es-ES"/>
        </w:rPr>
        <w:fldChar w:fldCharType="separate"/>
      </w:r>
      <w:hyperlink w:anchor="_ENREF_10" w:tooltip="Sánchez, 1996 #48" w:history="1">
        <w:r w:rsidR="00091134">
          <w:rPr>
            <w:rFonts w:eastAsiaTheme="minorEastAsia"/>
            <w:noProof/>
            <w:sz w:val="24"/>
            <w:szCs w:val="24"/>
            <w:lang w:val="es-ES" w:eastAsia="es-ES"/>
          </w:rPr>
          <w:t>Sánchez (1996</w:t>
        </w:r>
      </w:hyperlink>
      <w:r>
        <w:rPr>
          <w:rFonts w:eastAsiaTheme="minorEastAsia"/>
          <w:noProof/>
          <w:sz w:val="24"/>
          <w:szCs w:val="24"/>
          <w:lang w:val="es-ES" w:eastAsia="es-ES"/>
        </w:rPr>
        <w:t>)</w:t>
      </w:r>
      <w:r w:rsidRPr="003E1F3F">
        <w:rPr>
          <w:rFonts w:eastAsiaTheme="minorEastAsia"/>
          <w:sz w:val="24"/>
          <w:szCs w:val="24"/>
          <w:lang w:val="es-ES" w:eastAsia="es-ES"/>
        </w:rPr>
        <w:fldChar w:fldCharType="end"/>
      </w:r>
      <w:r w:rsidRPr="003E1F3F">
        <w:rPr>
          <w:rFonts w:eastAsiaTheme="minorEastAsia"/>
          <w:sz w:val="24"/>
          <w:szCs w:val="24"/>
          <w:lang w:val="es-ES" w:eastAsia="es-ES"/>
        </w:rPr>
        <w:t>:</w:t>
      </w:r>
    </w:p>
    <w:p w:rsidR="003E1F3F" w:rsidRPr="003E1F3F" w:rsidRDefault="00F6346D" w:rsidP="00072971">
      <w:pPr>
        <w:pStyle w:val="Textoindependiente"/>
        <w:spacing w:line="360" w:lineRule="auto"/>
        <w:ind w:left="-426" w:right="-427"/>
        <w:rPr>
          <w:rFonts w:eastAsiaTheme="minorEastAsia"/>
          <w:sz w:val="24"/>
          <w:szCs w:val="24"/>
          <w:lang w:val="es-ES" w:eastAsia="es-ES"/>
        </w:rPr>
      </w:pPr>
      <w:r w:rsidRPr="003E1F3F">
        <w:rPr>
          <w:rFonts w:eastAsiaTheme="minorEastAsia"/>
          <w:noProof/>
          <w:sz w:val="24"/>
          <w:szCs w:val="24"/>
          <w:lang w:val="es-ES" w:eastAsia="es-ES"/>
        </w:rPr>
        <w:drawing>
          <wp:anchor distT="0" distB="0" distL="114300" distR="114300" simplePos="0" relativeHeight="251650560" behindDoc="0" locked="0" layoutInCell="1" allowOverlap="1" wp14:anchorId="3C644729" wp14:editId="6E0AB367">
            <wp:simplePos x="0" y="0"/>
            <wp:positionH relativeFrom="column">
              <wp:posOffset>-228600</wp:posOffset>
            </wp:positionH>
            <wp:positionV relativeFrom="paragraph">
              <wp:posOffset>10160</wp:posOffset>
            </wp:positionV>
            <wp:extent cx="846455" cy="2990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455" cy="299085"/>
                    </a:xfrm>
                    <a:prstGeom prst="rect">
                      <a:avLst/>
                    </a:prstGeom>
                    <a:noFill/>
                  </pic:spPr>
                </pic:pic>
              </a:graphicData>
            </a:graphic>
          </wp:anchor>
        </w:drawing>
      </w:r>
      <w:r w:rsidR="003E1F3F" w:rsidRPr="003E1F3F">
        <w:rPr>
          <w:rFonts w:eastAsiaTheme="minorEastAsia"/>
          <w:sz w:val="24"/>
          <w:szCs w:val="24"/>
          <w:lang w:val="es-ES" w:eastAsia="es-ES"/>
        </w:rPr>
        <w:t xml:space="preserve">                                                                                                    </w:t>
      </w:r>
      <w:r>
        <w:rPr>
          <w:rFonts w:eastAsiaTheme="minorEastAsia"/>
          <w:sz w:val="24"/>
          <w:szCs w:val="24"/>
          <w:lang w:val="es-ES" w:eastAsia="es-ES"/>
        </w:rPr>
        <w:t>(3</w:t>
      </w:r>
      <w:r w:rsidR="003E1F3F" w:rsidRPr="003E1F3F">
        <w:rPr>
          <w:rFonts w:eastAsiaTheme="minorEastAsia"/>
          <w:sz w:val="24"/>
          <w:szCs w:val="24"/>
          <w:lang w:val="es-ES" w:eastAsia="es-ES"/>
        </w:rPr>
        <w:t>)</w:t>
      </w:r>
    </w:p>
    <w:p w:rsidR="00F6346D" w:rsidRDefault="00F6346D" w:rsidP="00072971">
      <w:pPr>
        <w:pStyle w:val="Textoindependiente"/>
        <w:spacing w:line="360" w:lineRule="auto"/>
        <w:ind w:left="-426" w:right="-427"/>
        <w:rPr>
          <w:rFonts w:eastAsiaTheme="minorEastAsia"/>
          <w:sz w:val="24"/>
          <w:szCs w:val="24"/>
          <w:lang w:val="es-ES" w:eastAsia="es-ES"/>
        </w:rPr>
      </w:pP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 xml:space="preserve">Siendo: </w:t>
      </w:r>
      <w:r w:rsidRPr="003E1F3F">
        <w:rPr>
          <w:rFonts w:eastAsiaTheme="minorEastAsia"/>
          <w:sz w:val="24"/>
          <w:szCs w:val="24"/>
          <w:lang w:val="es-ES" w:eastAsia="es-ES"/>
        </w:rPr>
        <w:object w:dxaOrig="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v:imagedata r:id="rId11" o:title=""/>
          </v:shape>
          <o:OLEObject Type="Embed" ProgID="Equation.3" ShapeID="_x0000_i1025" DrawAspect="Content" ObjectID="_1617087489" r:id="rId12"/>
        </w:object>
      </w:r>
      <w:r w:rsidRPr="003E1F3F">
        <w:rPr>
          <w:rFonts w:eastAsiaTheme="minorEastAsia"/>
          <w:sz w:val="24"/>
          <w:szCs w:val="24"/>
          <w:lang w:val="es-ES" w:eastAsia="es-ES"/>
        </w:rPr>
        <w:t xml:space="preserve"> ancho de la huella, m; para condiciones normales de trabajo, la cual está en relación con el ancho constructivo del neumático (bc), se halla como: </w:t>
      </w:r>
    </w:p>
    <w:p w:rsidR="003E1F3F" w:rsidRPr="003E1F3F" w:rsidRDefault="003E1F3F" w:rsidP="00072971">
      <w:pPr>
        <w:pStyle w:val="Textoindependiente"/>
        <w:spacing w:line="360" w:lineRule="auto"/>
        <w:ind w:left="-426" w:right="-427"/>
        <w:rPr>
          <w:rFonts w:eastAsiaTheme="minorEastAsia"/>
          <w:sz w:val="24"/>
          <w:szCs w:val="24"/>
          <w:lang w:val="es-ES" w:eastAsia="es-ES"/>
        </w:rPr>
      </w:pPr>
      <w:proofErr w:type="spellStart"/>
      <w:proofErr w:type="gramStart"/>
      <w:r w:rsidRPr="003E1F3F">
        <w:rPr>
          <w:rFonts w:eastAsiaTheme="minorEastAsia"/>
          <w:sz w:val="24"/>
          <w:szCs w:val="24"/>
          <w:lang w:val="es-ES" w:eastAsia="es-ES"/>
        </w:rPr>
        <w:t>bn</w:t>
      </w:r>
      <w:proofErr w:type="spellEnd"/>
      <w:proofErr w:type="gramEnd"/>
      <w:r w:rsidRPr="003E1F3F">
        <w:rPr>
          <w:rFonts w:eastAsiaTheme="minorEastAsia"/>
          <w:sz w:val="24"/>
          <w:szCs w:val="24"/>
          <w:lang w:val="es-ES" w:eastAsia="es-ES"/>
        </w:rPr>
        <w:t xml:space="preserve"> = </w:t>
      </w:r>
      <w:proofErr w:type="spellStart"/>
      <w:r w:rsidRPr="003E1F3F">
        <w:rPr>
          <w:rFonts w:eastAsiaTheme="minorEastAsia"/>
          <w:sz w:val="24"/>
          <w:szCs w:val="24"/>
          <w:lang w:val="es-ES" w:eastAsia="es-ES"/>
        </w:rPr>
        <w:t>bc</w:t>
      </w:r>
      <w:proofErr w:type="spellEnd"/>
      <w:r w:rsidRPr="003E1F3F">
        <w:rPr>
          <w:rFonts w:eastAsiaTheme="minorEastAsia"/>
          <w:sz w:val="24"/>
          <w:szCs w:val="24"/>
          <w:lang w:val="es-ES" w:eastAsia="es-ES"/>
        </w:rPr>
        <w:object w:dxaOrig="180" w:dyaOrig="200">
          <v:shape id="_x0000_i1026" type="#_x0000_t75" style="width:7.5pt;height:7.5pt" o:ole="">
            <v:imagedata r:id="rId13" o:title=""/>
          </v:shape>
          <o:OLEObject Type="Embed" ProgID="Equation.3" ShapeID="_x0000_i1026" DrawAspect="Content" ObjectID="_1617087490" r:id="rId14"/>
        </w:object>
      </w:r>
      <w:r w:rsidRPr="003E1F3F">
        <w:rPr>
          <w:rFonts w:eastAsiaTheme="minorEastAsia"/>
          <w:sz w:val="24"/>
          <w:szCs w:val="24"/>
          <w:lang w:val="es-ES" w:eastAsia="es-ES"/>
        </w:rPr>
        <w:t xml:space="preserve"> 0.87                             </w:t>
      </w:r>
      <w:r w:rsidR="00F6346D">
        <w:rPr>
          <w:rFonts w:eastAsiaTheme="minorEastAsia"/>
          <w:sz w:val="24"/>
          <w:szCs w:val="24"/>
          <w:lang w:val="es-ES" w:eastAsia="es-ES"/>
        </w:rPr>
        <w:t xml:space="preserve">                                                                                              (4</w:t>
      </w:r>
      <w:r w:rsidRPr="003E1F3F">
        <w:rPr>
          <w:rFonts w:eastAsiaTheme="minorEastAsia"/>
          <w:sz w:val="24"/>
          <w:szCs w:val="24"/>
          <w:lang w:val="es-ES" w:eastAsia="es-ES"/>
        </w:rPr>
        <w:t>)</w:t>
      </w:r>
    </w:p>
    <w:p w:rsidR="003E1F3F" w:rsidRPr="003E1F3F" w:rsidRDefault="003E1F3F" w:rsidP="00072971">
      <w:pPr>
        <w:pStyle w:val="Textoindependiente"/>
        <w:tabs>
          <w:tab w:val="center" w:pos="5306"/>
        </w:tabs>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 xml:space="preserve">El valor de </w:t>
      </w:r>
      <w:r w:rsidRPr="003E1F3F">
        <w:rPr>
          <w:rFonts w:eastAsiaTheme="minorEastAsia"/>
          <w:sz w:val="24"/>
          <w:szCs w:val="24"/>
          <w:lang w:val="es-ES" w:eastAsia="es-ES"/>
        </w:rPr>
        <w:object w:dxaOrig="139" w:dyaOrig="279">
          <v:shape id="_x0000_i1027" type="#_x0000_t75" style="width:7.5pt;height:14.25pt" o:ole="">
            <v:imagedata r:id="rId15" o:title=""/>
          </v:shape>
          <o:OLEObject Type="Embed" ProgID="Equation.3" ShapeID="_x0000_i1027" DrawAspect="Content" ObjectID="_1617087491" r:id="rId16"/>
        </w:object>
      </w:r>
      <w:r w:rsidRPr="003E1F3F">
        <w:rPr>
          <w:rFonts w:eastAsiaTheme="minorEastAsia"/>
          <w:sz w:val="24"/>
          <w:szCs w:val="24"/>
          <w:lang w:val="es-ES" w:eastAsia="es-ES"/>
        </w:rPr>
        <w:t>, ancho de la huella en condiciones normales de trabajo, m; se determina como:</w:t>
      </w:r>
    </w:p>
    <w:p w:rsidR="003E1F3F" w:rsidRPr="003E1F3F" w:rsidRDefault="00F6346D" w:rsidP="00072971">
      <w:pPr>
        <w:pStyle w:val="Textoindependiente"/>
        <w:tabs>
          <w:tab w:val="center" w:pos="5306"/>
        </w:tabs>
        <w:spacing w:line="360" w:lineRule="auto"/>
        <w:ind w:left="-426" w:right="-427"/>
        <w:rPr>
          <w:rFonts w:eastAsiaTheme="minorEastAsia"/>
          <w:sz w:val="24"/>
          <w:szCs w:val="24"/>
          <w:lang w:val="es-ES" w:eastAsia="es-ES"/>
        </w:rPr>
      </w:pPr>
      <w:r w:rsidRPr="00F6346D">
        <w:rPr>
          <w:rFonts w:eastAsiaTheme="minorEastAsia"/>
          <w:position w:val="-12"/>
          <w:sz w:val="24"/>
          <w:szCs w:val="24"/>
          <w:lang w:val="es-ES" w:eastAsia="es-ES"/>
        </w:rPr>
        <w:object w:dxaOrig="1900" w:dyaOrig="400">
          <v:shape id="_x0000_i1028" type="#_x0000_t75" style="width:116.25pt;height:21.75pt" o:ole="">
            <v:imagedata r:id="rId17" o:title=""/>
          </v:shape>
          <o:OLEObject Type="Embed" ProgID="Equation.3" ShapeID="_x0000_i1028" DrawAspect="Content" ObjectID="_1617087492" r:id="rId18"/>
        </w:object>
      </w:r>
      <w:r w:rsidR="003E1F3F" w:rsidRPr="003E1F3F">
        <w:rPr>
          <w:rFonts w:eastAsiaTheme="minorEastAsia"/>
          <w:sz w:val="24"/>
          <w:szCs w:val="24"/>
          <w:lang w:val="es-ES" w:eastAsia="es-ES"/>
        </w:rPr>
        <w:t xml:space="preserve">                   </w:t>
      </w:r>
      <w:r>
        <w:rPr>
          <w:rFonts w:eastAsiaTheme="minorEastAsia"/>
          <w:sz w:val="24"/>
          <w:szCs w:val="24"/>
          <w:lang w:val="es-ES" w:eastAsia="es-ES"/>
        </w:rPr>
        <w:t xml:space="preserve">                                                                                        (5</w:t>
      </w:r>
      <w:r w:rsidR="003E1F3F" w:rsidRPr="003E1F3F">
        <w:rPr>
          <w:rFonts w:eastAsiaTheme="minorEastAsia"/>
          <w:sz w:val="24"/>
          <w:szCs w:val="24"/>
          <w:lang w:val="es-ES" w:eastAsia="es-ES"/>
        </w:rPr>
        <w:t>)</w:t>
      </w:r>
    </w:p>
    <w:p w:rsidR="003E1F3F" w:rsidRPr="003E1F3F" w:rsidRDefault="003E1F3F" w:rsidP="00072971">
      <w:pPr>
        <w:pStyle w:val="Textoindependiente"/>
        <w:tabs>
          <w:tab w:val="center" w:pos="5306"/>
        </w:tabs>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Dónde: δ, Deformación del neumático, m; considerando una deformación del 20% respecto a la altura del neumático (h), entonces:</w:t>
      </w:r>
    </w:p>
    <w:p w:rsidR="003E1F3F" w:rsidRPr="003E1F3F" w:rsidRDefault="003E1F3F" w:rsidP="00072971">
      <w:pPr>
        <w:pStyle w:val="Textoindependiente"/>
        <w:spacing w:line="360" w:lineRule="auto"/>
        <w:ind w:left="-426" w:right="-427" w:firstLine="74"/>
        <w:rPr>
          <w:rFonts w:eastAsiaTheme="minorEastAsia"/>
          <w:sz w:val="24"/>
          <w:szCs w:val="24"/>
          <w:lang w:val="es-ES" w:eastAsia="es-ES"/>
        </w:rPr>
      </w:pPr>
      <w:r w:rsidRPr="003E1F3F">
        <w:rPr>
          <w:rFonts w:eastAsiaTheme="minorEastAsia"/>
          <w:sz w:val="24"/>
          <w:szCs w:val="24"/>
          <w:lang w:val="es-ES" w:eastAsia="es-ES"/>
        </w:rPr>
        <w:t xml:space="preserve">Δ = 0.2 </w:t>
      </w:r>
      <w:r w:rsidRPr="003E1F3F">
        <w:rPr>
          <w:rFonts w:eastAsiaTheme="minorEastAsia"/>
          <w:sz w:val="24"/>
          <w:szCs w:val="24"/>
          <w:lang w:val="es-ES" w:eastAsia="es-ES"/>
        </w:rPr>
        <w:object w:dxaOrig="180" w:dyaOrig="200">
          <v:shape id="_x0000_i1029" type="#_x0000_t75" style="width:7.5pt;height:7.5pt" o:ole="">
            <v:imagedata r:id="rId19" o:title=""/>
          </v:shape>
          <o:OLEObject Type="Embed" ProgID="Equation.3" ShapeID="_x0000_i1029" DrawAspect="Content" ObjectID="_1617087493" r:id="rId20"/>
        </w:object>
      </w:r>
      <w:r w:rsidRPr="003E1F3F">
        <w:rPr>
          <w:rFonts w:eastAsiaTheme="minorEastAsia"/>
          <w:sz w:val="24"/>
          <w:szCs w:val="24"/>
          <w:lang w:val="es-ES" w:eastAsia="es-ES"/>
        </w:rPr>
        <w:t xml:space="preserve">h                                         </w:t>
      </w:r>
      <w:r w:rsidR="00F6346D">
        <w:rPr>
          <w:rFonts w:eastAsiaTheme="minorEastAsia"/>
          <w:sz w:val="24"/>
          <w:szCs w:val="24"/>
          <w:lang w:val="es-ES" w:eastAsia="es-ES"/>
        </w:rPr>
        <w:t xml:space="preserve">                                                                                      (6</w:t>
      </w:r>
      <w:r w:rsidRPr="003E1F3F">
        <w:rPr>
          <w:rFonts w:eastAsiaTheme="minorEastAsia"/>
          <w:sz w:val="24"/>
          <w:szCs w:val="24"/>
          <w:lang w:val="es-ES" w:eastAsia="es-ES"/>
        </w:rPr>
        <w:t>)</w:t>
      </w: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Hallándose h por la expresión:</w:t>
      </w:r>
    </w:p>
    <w:p w:rsidR="00F6346D" w:rsidRDefault="000A61B7" w:rsidP="00072971">
      <w:pPr>
        <w:pStyle w:val="Textoindependiente"/>
        <w:spacing w:line="360" w:lineRule="auto"/>
        <w:ind w:left="-426" w:right="-427" w:firstLine="74"/>
        <w:rPr>
          <w:rFonts w:eastAsiaTheme="minorEastAsia"/>
          <w:sz w:val="24"/>
          <w:szCs w:val="24"/>
          <w:lang w:val="es-ES" w:eastAsia="es-ES"/>
        </w:rPr>
      </w:pPr>
      <w:r>
        <w:rPr>
          <w:rFonts w:eastAsiaTheme="minorEastAsia"/>
          <w:sz w:val="24"/>
          <w:szCs w:val="24"/>
          <w:lang w:val="es-ES" w:eastAsia="es-ES"/>
        </w:rPr>
        <w:pict>
          <v:shape id="_x0000_s1026" type="#_x0000_t75" style="position:absolute;left:0;text-align:left;margin-left:-19.4pt;margin-top:7.4pt;width:75.35pt;height:34.85pt;z-index:251655680">
            <v:imagedata r:id="rId21" o:title=""/>
            <w10:wrap type="square"/>
          </v:shape>
          <o:OLEObject Type="Embed" ProgID="Equation.3" ShapeID="_x0000_s1026" DrawAspect="Content" ObjectID="_1617087494" r:id="rId22"/>
        </w:pict>
      </w:r>
      <w:r w:rsidR="003E1F3F" w:rsidRPr="003E1F3F">
        <w:rPr>
          <w:rFonts w:eastAsiaTheme="minorEastAsia"/>
          <w:sz w:val="24"/>
          <w:szCs w:val="24"/>
          <w:lang w:val="es-ES" w:eastAsia="es-ES"/>
        </w:rPr>
        <w:t xml:space="preserve">                                                        </w:t>
      </w:r>
      <w:r w:rsidR="00F6346D">
        <w:rPr>
          <w:rFonts w:eastAsiaTheme="minorEastAsia"/>
          <w:sz w:val="24"/>
          <w:szCs w:val="24"/>
          <w:lang w:val="es-ES" w:eastAsia="es-ES"/>
        </w:rPr>
        <w:t xml:space="preserve">                            </w:t>
      </w:r>
    </w:p>
    <w:p w:rsidR="003E1F3F" w:rsidRPr="003E1F3F" w:rsidRDefault="00F6346D" w:rsidP="00072971">
      <w:pPr>
        <w:pStyle w:val="Textoindependiente"/>
        <w:spacing w:line="360" w:lineRule="auto"/>
        <w:ind w:left="-426" w:right="-427" w:firstLine="74"/>
        <w:rPr>
          <w:rFonts w:eastAsiaTheme="minorEastAsia"/>
          <w:sz w:val="24"/>
          <w:szCs w:val="24"/>
          <w:lang w:val="es-ES" w:eastAsia="es-ES"/>
        </w:rPr>
      </w:pPr>
      <w:r>
        <w:rPr>
          <w:rFonts w:eastAsiaTheme="minorEastAsia"/>
          <w:sz w:val="24"/>
          <w:szCs w:val="24"/>
          <w:lang w:val="es-ES" w:eastAsia="es-ES"/>
        </w:rPr>
        <w:t xml:space="preserve">                                                                                                           (7</w:t>
      </w:r>
      <w:r w:rsidR="003E1F3F" w:rsidRPr="003E1F3F">
        <w:rPr>
          <w:rFonts w:eastAsiaTheme="minorEastAsia"/>
          <w:sz w:val="24"/>
          <w:szCs w:val="24"/>
          <w:lang w:val="es-ES" w:eastAsia="es-ES"/>
        </w:rPr>
        <w:t>)</w:t>
      </w: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Siendo: dc y di, Diámetros exterior e interior del neumático, m.</w:t>
      </w: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 xml:space="preserve">La presión media específica para condiciones reales (Pr) fue determinada utilizando la misma expresión (2), pero en este caso: </w:t>
      </w:r>
    </w:p>
    <w:p w:rsidR="003E1F3F" w:rsidRPr="003E1F3F" w:rsidRDefault="000A61B7" w:rsidP="00072971">
      <w:pPr>
        <w:pStyle w:val="Textoindependiente"/>
        <w:spacing w:line="360" w:lineRule="auto"/>
        <w:ind w:left="-426" w:right="-427"/>
        <w:rPr>
          <w:rFonts w:eastAsiaTheme="minorEastAsia"/>
          <w:sz w:val="24"/>
          <w:szCs w:val="24"/>
          <w:lang w:val="es-ES" w:eastAsia="es-ES"/>
        </w:rPr>
      </w:pPr>
      <w:r>
        <w:rPr>
          <w:rFonts w:eastAsiaTheme="minorEastAsia"/>
          <w:sz w:val="24"/>
          <w:szCs w:val="24"/>
          <w:lang w:val="es-ES" w:eastAsia="es-ES"/>
        </w:rPr>
        <w:pict>
          <v:shape id="_x0000_s1027" type="#_x0000_t75" style="position:absolute;left:0;text-align:left;margin-left:-17pt;margin-top:10.6pt;width:44pt;height:35pt;z-index:251656704">
            <v:imagedata r:id="rId23" o:title=""/>
            <w10:wrap type="square"/>
          </v:shape>
          <o:OLEObject Type="Embed" ProgID="Equation.3" ShapeID="_x0000_s1027" DrawAspect="Content" ObjectID="_1617087495" r:id="rId24"/>
        </w:pict>
      </w: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 xml:space="preserve">                                                   </w:t>
      </w:r>
      <w:r w:rsidR="00F6346D">
        <w:rPr>
          <w:rFonts w:eastAsiaTheme="minorEastAsia"/>
          <w:sz w:val="24"/>
          <w:szCs w:val="24"/>
          <w:lang w:val="es-ES" w:eastAsia="es-ES"/>
        </w:rPr>
        <w:t xml:space="preserve">                        </w:t>
      </w:r>
      <w:r w:rsidRPr="003E1F3F">
        <w:rPr>
          <w:rFonts w:eastAsiaTheme="minorEastAsia"/>
          <w:sz w:val="24"/>
          <w:szCs w:val="24"/>
          <w:lang w:val="es-ES" w:eastAsia="es-ES"/>
        </w:rPr>
        <w:t>(</w:t>
      </w:r>
      <w:r w:rsidR="00F6346D">
        <w:rPr>
          <w:rFonts w:eastAsiaTheme="minorEastAsia"/>
          <w:sz w:val="24"/>
          <w:szCs w:val="24"/>
          <w:lang w:val="es-ES" w:eastAsia="es-ES"/>
        </w:rPr>
        <w:t>8</w:t>
      </w:r>
      <w:r w:rsidRPr="003E1F3F">
        <w:rPr>
          <w:rFonts w:eastAsiaTheme="minorEastAsia"/>
          <w:sz w:val="24"/>
          <w:szCs w:val="24"/>
          <w:lang w:val="es-ES" w:eastAsia="es-ES"/>
        </w:rPr>
        <w:t>)</w:t>
      </w:r>
    </w:p>
    <w:p w:rsidR="003E1F3F" w:rsidRPr="003E1F3F" w:rsidRDefault="003E1F3F" w:rsidP="00072971">
      <w:pPr>
        <w:pStyle w:val="Textoindependiente"/>
        <w:spacing w:line="360" w:lineRule="auto"/>
        <w:ind w:left="-426" w:right="-427"/>
        <w:rPr>
          <w:rFonts w:eastAsiaTheme="minorEastAsia"/>
          <w:sz w:val="24"/>
          <w:szCs w:val="24"/>
          <w:lang w:val="es-ES" w:eastAsia="es-ES"/>
        </w:rPr>
      </w:pPr>
    </w:p>
    <w:p w:rsidR="003E1F3F" w:rsidRPr="003E1F3F" w:rsidRDefault="003E1F3F" w:rsidP="00072971">
      <w:pPr>
        <w:pStyle w:val="Textoindependiente"/>
        <w:spacing w:line="360" w:lineRule="auto"/>
        <w:ind w:left="-426" w:right="-427"/>
        <w:rPr>
          <w:rFonts w:eastAsiaTheme="minorEastAsia"/>
          <w:sz w:val="24"/>
          <w:szCs w:val="24"/>
          <w:lang w:val="es-ES" w:eastAsia="es-ES"/>
        </w:rPr>
      </w:pPr>
      <w:r w:rsidRPr="003E1F3F">
        <w:rPr>
          <w:rFonts w:eastAsiaTheme="minorEastAsia"/>
          <w:sz w:val="24"/>
          <w:szCs w:val="24"/>
          <w:lang w:val="es-ES" w:eastAsia="es-ES"/>
        </w:rPr>
        <w:t>Dónde: Ar, Área real de contacto del neumático con el suelo, m².</w:t>
      </w:r>
    </w:p>
    <w:p w:rsidR="003E1F3F" w:rsidRDefault="003E1F3F" w:rsidP="00072971">
      <w:pPr>
        <w:spacing w:line="360" w:lineRule="auto"/>
        <w:ind w:left="-426" w:right="-427"/>
        <w:jc w:val="both"/>
        <w:rPr>
          <w:rFonts w:ascii="Times New Roman" w:hAnsi="Times New Roman" w:cs="Times New Roman"/>
          <w:sz w:val="24"/>
          <w:szCs w:val="24"/>
        </w:rPr>
      </w:pPr>
      <w:r w:rsidRPr="003E1F3F">
        <w:rPr>
          <w:rFonts w:ascii="Times New Roman" w:hAnsi="Times New Roman" w:cs="Times New Roman"/>
          <w:sz w:val="24"/>
          <w:szCs w:val="24"/>
        </w:rPr>
        <w:t xml:space="preserve">El área real se determinó midiendo el ancho y la longitud de contacto del neumático sobre el cantero in situ, con cinta métrica de apreciación 1mm. </w:t>
      </w:r>
    </w:p>
    <w:p w:rsidR="00F6346D" w:rsidRDefault="00F6346D" w:rsidP="00072971">
      <w:pPr>
        <w:spacing w:line="360" w:lineRule="auto"/>
        <w:ind w:left="-426" w:right="-427"/>
        <w:jc w:val="both"/>
        <w:rPr>
          <w:rFonts w:ascii="Times New Roman" w:hAnsi="Times New Roman" w:cs="Times New Roman"/>
          <w:b/>
          <w:sz w:val="24"/>
          <w:szCs w:val="24"/>
        </w:rPr>
      </w:pPr>
      <w:r w:rsidRPr="00F6346D">
        <w:rPr>
          <w:rFonts w:ascii="Times New Roman" w:hAnsi="Times New Roman" w:cs="Times New Roman"/>
          <w:b/>
          <w:sz w:val="24"/>
          <w:szCs w:val="24"/>
        </w:rPr>
        <w:t>2.4 Metodología para la determinación del perfilado del suelo</w:t>
      </w:r>
    </w:p>
    <w:p w:rsidR="00F6346D" w:rsidRDefault="00F6346D" w:rsidP="00072971">
      <w:pPr>
        <w:spacing w:line="360" w:lineRule="auto"/>
        <w:ind w:left="-426" w:right="-427"/>
        <w:jc w:val="both"/>
        <w:rPr>
          <w:rFonts w:ascii="Times New Roman" w:hAnsi="Times New Roman" w:cs="Times New Roman"/>
          <w:sz w:val="24"/>
          <w:szCs w:val="24"/>
        </w:rPr>
      </w:pPr>
      <w:r w:rsidRPr="00F6346D">
        <w:rPr>
          <w:rFonts w:ascii="Times New Roman" w:hAnsi="Times New Roman" w:cs="Times New Roman"/>
          <w:sz w:val="24"/>
          <w:szCs w:val="24"/>
        </w:rPr>
        <w:t xml:space="preserve">La variación del perfilado del suelo se determinó antes y después del paso de la maquinaria, utilizando un nivel de burbuja y el perfilómetro con divisiones en el plano horizontal cada </w:t>
      </w:r>
      <w:smartTag w:uri="urn:schemas-microsoft-com:office:smarttags" w:element="metricconverter">
        <w:smartTagPr>
          <w:attr w:name="ProductID" w:val="5 cm"/>
        </w:smartTagPr>
        <w:r w:rsidRPr="00F6346D">
          <w:rPr>
            <w:rFonts w:ascii="Times New Roman" w:hAnsi="Times New Roman" w:cs="Times New Roman"/>
            <w:sz w:val="24"/>
            <w:szCs w:val="24"/>
          </w:rPr>
          <w:t>5 cm</w:t>
        </w:r>
      </w:smartTag>
      <w:r>
        <w:rPr>
          <w:rFonts w:ascii="Times New Roman" w:hAnsi="Times New Roman" w:cs="Times New Roman"/>
          <w:sz w:val="24"/>
          <w:szCs w:val="24"/>
        </w:rPr>
        <w:t xml:space="preserve"> (Figura 2.1</w:t>
      </w:r>
      <w:r w:rsidRPr="00F6346D">
        <w:rPr>
          <w:rFonts w:ascii="Times New Roman" w:hAnsi="Times New Roman" w:cs="Times New Roman"/>
          <w:sz w:val="24"/>
          <w:szCs w:val="24"/>
        </w:rPr>
        <w:t xml:space="preserve">) y apreciación en la medición en el plano vertical de </w:t>
      </w:r>
      <w:smartTag w:uri="urn:schemas-microsoft-com:office:smarttags" w:element="metricconverter">
        <w:smartTagPr>
          <w:attr w:name="ProductID" w:val="1 mm"/>
        </w:smartTagPr>
        <w:r w:rsidRPr="00F6346D">
          <w:rPr>
            <w:rFonts w:ascii="Times New Roman" w:hAnsi="Times New Roman" w:cs="Times New Roman"/>
            <w:sz w:val="24"/>
            <w:szCs w:val="24"/>
          </w:rPr>
          <w:t>1 mm</w:t>
        </w:r>
      </w:smartTag>
      <w:r w:rsidRPr="00F6346D">
        <w:rPr>
          <w:rFonts w:ascii="Times New Roman" w:hAnsi="Times New Roman" w:cs="Times New Roman"/>
          <w:sz w:val="24"/>
          <w:szCs w:val="24"/>
        </w:rPr>
        <w:t xml:space="preserve">. Las evaluaciones se realizaron en un ancho total de </w:t>
      </w:r>
      <w:smartTag w:uri="urn:schemas-microsoft-com:office:smarttags" w:element="metricconverter">
        <w:smartTagPr>
          <w:attr w:name="ProductID" w:val="3,20 m"/>
        </w:smartTagPr>
        <w:r w:rsidRPr="00F6346D">
          <w:rPr>
            <w:rFonts w:ascii="Times New Roman" w:hAnsi="Times New Roman" w:cs="Times New Roman"/>
            <w:sz w:val="24"/>
            <w:szCs w:val="24"/>
          </w:rPr>
          <w:t>3,20 m</w:t>
        </w:r>
      </w:smartTag>
      <w:r w:rsidRPr="00F6346D">
        <w:rPr>
          <w:rFonts w:ascii="Times New Roman" w:hAnsi="Times New Roman" w:cs="Times New Roman"/>
          <w:sz w:val="24"/>
          <w:szCs w:val="24"/>
        </w:rPr>
        <w:t>, es decir de centro a centro de espacio entre hileras.</w:t>
      </w:r>
    </w:p>
    <w:p w:rsidR="00F6346D" w:rsidRDefault="00F6346D" w:rsidP="00256601">
      <w:pPr>
        <w:spacing w:line="360" w:lineRule="auto"/>
        <w:ind w:left="-426" w:right="-427"/>
        <w:jc w:val="center"/>
        <w:rPr>
          <w:rFonts w:ascii="Times New Roman" w:hAnsi="Times New Roman" w:cs="Times New Roman"/>
          <w:sz w:val="24"/>
          <w:szCs w:val="24"/>
        </w:rPr>
      </w:pPr>
      <w:r w:rsidRPr="00E25DD5">
        <w:rPr>
          <w:rFonts w:cs="Arial"/>
          <w:noProof/>
          <w:szCs w:val="24"/>
        </w:rPr>
        <w:drawing>
          <wp:inline distT="0" distB="0" distL="0" distR="0" wp14:anchorId="479350E2" wp14:editId="7992C251">
            <wp:extent cx="3218816" cy="1304925"/>
            <wp:effectExtent l="0" t="0" r="0" b="0"/>
            <wp:docPr id="16" name="Imagen 16" descr="microrre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crorrelie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1034" cy="1305824"/>
                    </a:xfrm>
                    <a:prstGeom prst="rect">
                      <a:avLst/>
                    </a:prstGeom>
                    <a:noFill/>
                    <a:ln>
                      <a:noFill/>
                    </a:ln>
                  </pic:spPr>
                </pic:pic>
              </a:graphicData>
            </a:graphic>
          </wp:inline>
        </w:drawing>
      </w:r>
    </w:p>
    <w:p w:rsidR="00F6346D" w:rsidRDefault="00F6346D" w:rsidP="00256601">
      <w:pPr>
        <w:spacing w:line="360" w:lineRule="auto"/>
        <w:ind w:right="-427"/>
        <w:jc w:val="center"/>
        <w:rPr>
          <w:rFonts w:ascii="Times New Roman" w:hAnsi="Times New Roman" w:cs="Times New Roman"/>
          <w:sz w:val="20"/>
          <w:szCs w:val="24"/>
        </w:rPr>
      </w:pPr>
      <w:r>
        <w:rPr>
          <w:rFonts w:ascii="Times New Roman" w:hAnsi="Times New Roman" w:cs="Times New Roman"/>
          <w:sz w:val="20"/>
          <w:szCs w:val="24"/>
        </w:rPr>
        <w:t>Figura 2.1</w:t>
      </w:r>
      <w:r w:rsidRPr="00F6346D">
        <w:rPr>
          <w:rFonts w:ascii="Times New Roman" w:hAnsi="Times New Roman" w:cs="Times New Roman"/>
          <w:sz w:val="20"/>
          <w:szCs w:val="24"/>
        </w:rPr>
        <w:t xml:space="preserve"> Determinación de la variación del perfil del suelo</w:t>
      </w:r>
      <w:r>
        <w:rPr>
          <w:rFonts w:ascii="Times New Roman" w:hAnsi="Times New Roman" w:cs="Times New Roman"/>
          <w:sz w:val="20"/>
          <w:szCs w:val="24"/>
        </w:rPr>
        <w:t xml:space="preserve"> (Fuente)</w:t>
      </w:r>
    </w:p>
    <w:p w:rsidR="00F6346D" w:rsidRDefault="00F6346D" w:rsidP="00072971">
      <w:pPr>
        <w:spacing w:line="360" w:lineRule="auto"/>
        <w:ind w:left="-426" w:right="-427"/>
        <w:jc w:val="both"/>
        <w:rPr>
          <w:rFonts w:ascii="Times New Roman" w:hAnsi="Times New Roman" w:cs="Times New Roman"/>
          <w:sz w:val="24"/>
          <w:szCs w:val="24"/>
        </w:rPr>
      </w:pPr>
      <w:r w:rsidRPr="00F6346D">
        <w:rPr>
          <w:rFonts w:ascii="Times New Roman" w:hAnsi="Times New Roman" w:cs="Times New Roman"/>
          <w:b/>
          <w:sz w:val="24"/>
          <w:szCs w:val="24"/>
        </w:rPr>
        <w:t>2.5 Metodología para la determinación de la densidad aparente</w:t>
      </w:r>
    </w:p>
    <w:p w:rsidR="00F6346D" w:rsidRDefault="00F6346D" w:rsidP="00072971">
      <w:pPr>
        <w:autoSpaceDE w:val="0"/>
        <w:autoSpaceDN w:val="0"/>
        <w:adjustRightInd w:val="0"/>
        <w:spacing w:before="240" w:after="0" w:line="360" w:lineRule="auto"/>
        <w:ind w:left="-426" w:right="-427"/>
        <w:jc w:val="both"/>
        <w:rPr>
          <w:rFonts w:ascii="Times New Roman" w:hAnsi="Times New Roman" w:cs="Times New Roman"/>
          <w:sz w:val="24"/>
          <w:szCs w:val="24"/>
        </w:rPr>
      </w:pPr>
      <w:r w:rsidRPr="00F6346D">
        <w:rPr>
          <w:rFonts w:ascii="Times New Roman" w:hAnsi="Times New Roman" w:cs="Times New Roman"/>
          <w:sz w:val="24"/>
          <w:szCs w:val="24"/>
        </w:rPr>
        <w:lastRenderedPageBreak/>
        <w:t>Se utilizó el método del Cilindro Biselado. Se tomaron varias muestras de suelo en el centro del surco y en el centro del  espacio entre hileras antes y después del paso de la maquinaria, a profundidades de 0-</w:t>
      </w:r>
      <w:smartTag w:uri="urn:schemas-microsoft-com:office:smarttags" w:element="metricconverter">
        <w:smartTagPr>
          <w:attr w:name="ProductID" w:val="10 cm"/>
        </w:smartTagPr>
        <w:r w:rsidRPr="00F6346D">
          <w:rPr>
            <w:rFonts w:ascii="Times New Roman" w:hAnsi="Times New Roman" w:cs="Times New Roman"/>
            <w:sz w:val="24"/>
            <w:szCs w:val="24"/>
          </w:rPr>
          <w:t>10 cm</w:t>
        </w:r>
      </w:smartTag>
      <w:r w:rsidRPr="00F6346D">
        <w:rPr>
          <w:rFonts w:ascii="Times New Roman" w:hAnsi="Times New Roman" w:cs="Times New Roman"/>
          <w:sz w:val="24"/>
          <w:szCs w:val="24"/>
        </w:rPr>
        <w:t>, 10-</w:t>
      </w:r>
      <w:smartTag w:uri="urn:schemas-microsoft-com:office:smarttags" w:element="metricconverter">
        <w:smartTagPr>
          <w:attr w:name="ProductID" w:val="20 cm"/>
        </w:smartTagPr>
        <w:r w:rsidRPr="00F6346D">
          <w:rPr>
            <w:rFonts w:ascii="Times New Roman" w:hAnsi="Times New Roman" w:cs="Times New Roman"/>
            <w:sz w:val="24"/>
            <w:szCs w:val="24"/>
          </w:rPr>
          <w:t>20 cm</w:t>
        </w:r>
      </w:smartTag>
      <w:r w:rsidRPr="00F6346D">
        <w:rPr>
          <w:rFonts w:ascii="Times New Roman" w:hAnsi="Times New Roman" w:cs="Times New Roman"/>
          <w:sz w:val="24"/>
          <w:szCs w:val="24"/>
        </w:rPr>
        <w:t xml:space="preserve"> y 20-</w:t>
      </w:r>
      <w:smartTag w:uri="urn:schemas-microsoft-com:office:smarttags" w:element="metricconverter">
        <w:smartTagPr>
          <w:attr w:name="ProductID" w:val="30 cm"/>
        </w:smartTagPr>
        <w:r w:rsidRPr="00F6346D">
          <w:rPr>
            <w:rFonts w:ascii="Times New Roman" w:hAnsi="Times New Roman" w:cs="Times New Roman"/>
            <w:sz w:val="24"/>
            <w:szCs w:val="24"/>
          </w:rPr>
          <w:t>30 cm</w:t>
        </w:r>
      </w:smartTag>
      <w:r w:rsidRPr="00F6346D">
        <w:rPr>
          <w:rFonts w:ascii="Times New Roman" w:hAnsi="Times New Roman" w:cs="Times New Roman"/>
          <w:sz w:val="24"/>
          <w:szCs w:val="24"/>
        </w:rPr>
        <w:t xml:space="preserve"> utilizando para ello un cilindro de </w:t>
      </w:r>
      <w:smartTag w:uri="urn:schemas-microsoft-com:office:smarttags" w:element="metricconverter">
        <w:smartTagPr>
          <w:attr w:name="ProductID" w:val="5 cm"/>
        </w:smartTagPr>
        <w:r w:rsidRPr="00F6346D">
          <w:rPr>
            <w:rFonts w:ascii="Times New Roman" w:hAnsi="Times New Roman" w:cs="Times New Roman"/>
            <w:sz w:val="24"/>
            <w:szCs w:val="24"/>
          </w:rPr>
          <w:t>5 cm</w:t>
        </w:r>
      </w:smartTag>
      <w:r w:rsidRPr="00F6346D">
        <w:rPr>
          <w:rFonts w:ascii="Times New Roman" w:hAnsi="Times New Roman" w:cs="Times New Roman"/>
          <w:sz w:val="24"/>
          <w:szCs w:val="24"/>
        </w:rPr>
        <w:t xml:space="preserve"> de altura y </w:t>
      </w:r>
      <w:smartTag w:uri="urn:schemas-microsoft-com:office:smarttags" w:element="metricconverter">
        <w:smartTagPr>
          <w:attr w:name="ProductID" w:val="5 cm"/>
        </w:smartTagPr>
        <w:r w:rsidRPr="00F6346D">
          <w:rPr>
            <w:rFonts w:ascii="Times New Roman" w:hAnsi="Times New Roman" w:cs="Times New Roman"/>
            <w:sz w:val="24"/>
            <w:szCs w:val="24"/>
          </w:rPr>
          <w:t>5 cm</w:t>
        </w:r>
      </w:smartTag>
      <w:r w:rsidRPr="00F6346D">
        <w:rPr>
          <w:rFonts w:ascii="Times New Roman" w:hAnsi="Times New Roman" w:cs="Times New Roman"/>
          <w:sz w:val="24"/>
          <w:szCs w:val="24"/>
        </w:rPr>
        <w:t xml:space="preserve"> de diámetro.</w:t>
      </w:r>
    </w:p>
    <w:p w:rsidR="00F6346D" w:rsidRPr="00F6346D" w:rsidRDefault="00F6346D" w:rsidP="00072971">
      <w:pPr>
        <w:spacing w:after="0" w:line="360" w:lineRule="auto"/>
        <w:ind w:left="-426" w:right="-427"/>
        <w:jc w:val="both"/>
        <w:rPr>
          <w:rFonts w:ascii="Times New Roman" w:hAnsi="Times New Roman" w:cs="Times New Roman"/>
          <w:sz w:val="24"/>
          <w:szCs w:val="24"/>
        </w:rPr>
      </w:pPr>
      <w:r w:rsidRPr="00F6346D">
        <w:rPr>
          <w:rFonts w:ascii="Times New Roman" w:hAnsi="Times New Roman" w:cs="Times New Roman"/>
          <w:sz w:val="24"/>
          <w:szCs w:val="24"/>
        </w:rPr>
        <w:t xml:space="preserve">Se procedió al secado de las muestras mediante una estufa a una temperatura constante de </w:t>
      </w:r>
      <w:smartTag w:uri="urn:schemas-microsoft-com:office:smarttags" w:element="metricconverter">
        <w:smartTagPr>
          <w:attr w:name="ProductID" w:val="105 ﾰC"/>
        </w:smartTagPr>
        <w:r w:rsidRPr="00F6346D">
          <w:rPr>
            <w:rFonts w:ascii="Times New Roman" w:hAnsi="Times New Roman" w:cs="Times New Roman"/>
            <w:sz w:val="24"/>
            <w:szCs w:val="24"/>
          </w:rPr>
          <w:t>105 °C</w:t>
        </w:r>
      </w:smartTag>
      <w:r w:rsidRPr="00F6346D">
        <w:rPr>
          <w:rFonts w:ascii="Times New Roman" w:hAnsi="Times New Roman" w:cs="Times New Roman"/>
          <w:sz w:val="24"/>
          <w:szCs w:val="24"/>
        </w:rPr>
        <w:t xml:space="preserve">, determinándose su masa con la utilización de una balanza con valor de división no mayor que </w:t>
      </w:r>
      <w:smartTag w:uri="urn:schemas-microsoft-com:office:smarttags" w:element="metricconverter">
        <w:smartTagPr>
          <w:attr w:name="ProductID" w:val="0,1 g"/>
        </w:smartTagPr>
        <w:r w:rsidRPr="00F6346D">
          <w:rPr>
            <w:rFonts w:ascii="Times New Roman" w:hAnsi="Times New Roman" w:cs="Times New Roman"/>
            <w:sz w:val="24"/>
            <w:szCs w:val="24"/>
          </w:rPr>
          <w:t>0,1 g</w:t>
        </w:r>
      </w:smartTag>
      <w:r w:rsidRPr="00F6346D">
        <w:rPr>
          <w:rFonts w:ascii="Times New Roman" w:hAnsi="Times New Roman" w:cs="Times New Roman"/>
          <w:sz w:val="24"/>
          <w:szCs w:val="24"/>
        </w:rPr>
        <w:t xml:space="preserve"> hasta obtener valores constantes de las masas de suelo. </w:t>
      </w:r>
    </w:p>
    <w:p w:rsidR="00F6346D" w:rsidRDefault="00F6346D" w:rsidP="00072971">
      <w:pPr>
        <w:spacing w:after="0" w:line="360" w:lineRule="auto"/>
        <w:ind w:left="-426" w:right="-427"/>
        <w:jc w:val="both"/>
        <w:rPr>
          <w:rFonts w:ascii="Times New Roman" w:hAnsi="Times New Roman" w:cs="Times New Roman"/>
          <w:sz w:val="24"/>
          <w:szCs w:val="24"/>
        </w:rPr>
      </w:pPr>
      <w:r w:rsidRPr="00F6346D">
        <w:rPr>
          <w:rFonts w:ascii="Times New Roman" w:hAnsi="Times New Roman" w:cs="Times New Roman"/>
          <w:sz w:val="24"/>
          <w:szCs w:val="24"/>
        </w:rPr>
        <w:t>La densidad aparente del suelo se ca</w:t>
      </w:r>
      <w:r>
        <w:rPr>
          <w:rFonts w:ascii="Times New Roman" w:hAnsi="Times New Roman" w:cs="Times New Roman"/>
          <w:sz w:val="24"/>
          <w:szCs w:val="24"/>
        </w:rPr>
        <w:t>lculó a través de la expresión:</w:t>
      </w:r>
    </w:p>
    <w:p w:rsidR="00F6346D" w:rsidRPr="00F6346D" w:rsidRDefault="00F6346D" w:rsidP="00072971">
      <w:pPr>
        <w:spacing w:after="0" w:line="360" w:lineRule="auto"/>
        <w:ind w:left="-426" w:right="-427"/>
        <w:jc w:val="both"/>
        <w:rPr>
          <w:rFonts w:ascii="Times New Roman" w:hAnsi="Times New Roman" w:cs="Times New Roman"/>
          <w:sz w:val="24"/>
          <w:szCs w:val="24"/>
        </w:rPr>
      </w:pPr>
      <m:oMath>
        <m:r>
          <w:rPr>
            <w:rFonts w:ascii="Cambria Math" w:hAnsi="Cambria Math" w:cs="Times New Roman"/>
            <w:sz w:val="24"/>
            <w:szCs w:val="24"/>
          </w:rPr>
          <m:t>Da</m:t>
        </m:r>
        <m:r>
          <m:rPr>
            <m:sty m:val="p"/>
          </m:rPr>
          <w:rPr>
            <w:rFonts w:ascii="Cambria Math" w:hAnsi="Cambria Math" w:cs="Times New Roman"/>
            <w:sz w:val="24"/>
            <w:szCs w:val="24"/>
          </w:rPr>
          <m:t xml:space="preserve"> = </m:t>
        </m:r>
        <m:r>
          <w:rPr>
            <w:rFonts w:ascii="Cambria Math" w:hAnsi="Cambria Math" w:cs="Times New Roman"/>
            <w:sz w:val="24"/>
            <w:szCs w:val="24"/>
          </w:rPr>
          <m:t>Gn</m:t>
        </m:r>
        <m:r>
          <m:rPr>
            <m:sty m:val="p"/>
          </m:rPr>
          <w:rPr>
            <w:rFonts w:ascii="Cambria Math" w:hAnsi="Cambria Math" w:cs="Times New Roman"/>
            <w:sz w:val="24"/>
            <w:szCs w:val="24"/>
          </w:rPr>
          <m:t xml:space="preserve"> / </m:t>
        </m:r>
        <m:r>
          <w:rPr>
            <w:rFonts w:ascii="Cambria Math" w:hAnsi="Cambria Math" w:cs="Times New Roman"/>
            <w:sz w:val="24"/>
            <w:szCs w:val="24"/>
          </w:rPr>
          <m:t>Vc</m:t>
        </m:r>
        <m:r>
          <m:rPr>
            <m:sty m:val="p"/>
          </m:rPr>
          <w:rPr>
            <w:rFonts w:ascii="Cambria Math" w:hAnsi="Cambria Math" w:cs="Times New Roman"/>
            <w:sz w:val="24"/>
            <w:szCs w:val="24"/>
          </w:rPr>
          <m:t xml:space="preserve"> </m:t>
        </m:r>
      </m:oMath>
      <w:r w:rsidRPr="00F6346D">
        <w:rPr>
          <w:rFonts w:ascii="Times New Roman" w:hAnsi="Times New Roman" w:cs="Times New Roman"/>
          <w:sz w:val="24"/>
          <w:szCs w:val="24"/>
        </w:rPr>
        <w:tab/>
      </w:r>
      <w:r>
        <w:rPr>
          <w:rFonts w:ascii="Times New Roman" w:hAnsi="Times New Roman" w:cs="Times New Roman"/>
          <w:sz w:val="24"/>
          <w:szCs w:val="24"/>
        </w:rPr>
        <w:t xml:space="preserve">                                                                                                                   </w:t>
      </w:r>
      <w:r w:rsidR="00717F3A">
        <w:rPr>
          <w:rFonts w:ascii="Times New Roman" w:hAnsi="Times New Roman" w:cs="Times New Roman"/>
          <w:sz w:val="24"/>
          <w:szCs w:val="24"/>
        </w:rPr>
        <w:t>(9</w:t>
      </w:r>
      <w:r w:rsidRPr="00F6346D">
        <w:rPr>
          <w:rFonts w:ascii="Times New Roman" w:hAnsi="Times New Roman" w:cs="Times New Roman"/>
          <w:sz w:val="24"/>
          <w:szCs w:val="24"/>
        </w:rPr>
        <w:t>)</w:t>
      </w:r>
    </w:p>
    <w:p w:rsidR="00F6346D" w:rsidRPr="00F6346D" w:rsidRDefault="00F6346D" w:rsidP="00072971">
      <w:pPr>
        <w:spacing w:after="0" w:line="360" w:lineRule="auto"/>
        <w:ind w:right="-427"/>
        <w:jc w:val="both"/>
        <w:rPr>
          <w:rFonts w:ascii="Times New Roman" w:hAnsi="Times New Roman" w:cs="Times New Roman"/>
          <w:sz w:val="24"/>
          <w:szCs w:val="24"/>
        </w:rPr>
      </w:pPr>
      <w:r w:rsidRPr="00F6346D">
        <w:rPr>
          <w:rFonts w:ascii="Times New Roman" w:hAnsi="Times New Roman" w:cs="Times New Roman"/>
          <w:sz w:val="24"/>
          <w:szCs w:val="24"/>
        </w:rPr>
        <w:t>Dónde:</w:t>
      </w:r>
    </w:p>
    <w:p w:rsidR="00F6346D" w:rsidRPr="00F6346D" w:rsidRDefault="00F6346D" w:rsidP="00072971">
      <w:pPr>
        <w:spacing w:after="0" w:line="360" w:lineRule="auto"/>
        <w:ind w:left="-426" w:right="-427"/>
        <w:jc w:val="both"/>
        <w:rPr>
          <w:rFonts w:ascii="Times New Roman" w:hAnsi="Times New Roman" w:cs="Times New Roman"/>
          <w:sz w:val="24"/>
          <w:szCs w:val="24"/>
        </w:rPr>
      </w:pPr>
      <w:r w:rsidRPr="00F6346D">
        <w:rPr>
          <w:rFonts w:ascii="Times New Roman" w:hAnsi="Times New Roman" w:cs="Times New Roman"/>
          <w:sz w:val="24"/>
          <w:szCs w:val="24"/>
        </w:rPr>
        <w:t>Da: Densidad aparente del suelo, (g/cm3)</w:t>
      </w:r>
    </w:p>
    <w:p w:rsidR="00F6346D" w:rsidRPr="00F6346D" w:rsidRDefault="00F6346D" w:rsidP="00072971">
      <w:pPr>
        <w:spacing w:after="0" w:line="360" w:lineRule="auto"/>
        <w:ind w:left="-426" w:right="-427"/>
        <w:jc w:val="both"/>
        <w:rPr>
          <w:rFonts w:ascii="Times New Roman" w:hAnsi="Times New Roman" w:cs="Times New Roman"/>
          <w:sz w:val="24"/>
          <w:szCs w:val="24"/>
        </w:rPr>
      </w:pPr>
      <w:proofErr w:type="spellStart"/>
      <w:r w:rsidRPr="00F6346D">
        <w:rPr>
          <w:rFonts w:ascii="Times New Roman" w:hAnsi="Times New Roman" w:cs="Times New Roman"/>
          <w:sz w:val="24"/>
          <w:szCs w:val="24"/>
        </w:rPr>
        <w:t>Gn</w:t>
      </w:r>
      <w:proofErr w:type="spellEnd"/>
      <w:r w:rsidRPr="00F6346D">
        <w:rPr>
          <w:rFonts w:ascii="Times New Roman" w:hAnsi="Times New Roman" w:cs="Times New Roman"/>
          <w:sz w:val="24"/>
          <w:szCs w:val="24"/>
        </w:rPr>
        <w:t>: Masa de la muestra del suelo después de secada, (g)</w:t>
      </w:r>
    </w:p>
    <w:p w:rsidR="00F6346D" w:rsidRPr="00F6346D" w:rsidRDefault="00F6346D" w:rsidP="00072971">
      <w:pPr>
        <w:spacing w:after="0" w:line="360" w:lineRule="auto"/>
        <w:ind w:left="-426" w:right="-427"/>
        <w:jc w:val="both"/>
        <w:rPr>
          <w:rFonts w:ascii="Times New Roman" w:hAnsi="Times New Roman" w:cs="Times New Roman"/>
          <w:sz w:val="24"/>
          <w:szCs w:val="24"/>
        </w:rPr>
      </w:pPr>
      <w:proofErr w:type="spellStart"/>
      <w:r w:rsidRPr="00F6346D">
        <w:rPr>
          <w:rFonts w:ascii="Times New Roman" w:hAnsi="Times New Roman" w:cs="Times New Roman"/>
          <w:sz w:val="24"/>
          <w:szCs w:val="24"/>
        </w:rPr>
        <w:t>Vc</w:t>
      </w:r>
      <w:proofErr w:type="spellEnd"/>
      <w:r w:rsidRPr="00F6346D">
        <w:rPr>
          <w:rFonts w:ascii="Times New Roman" w:hAnsi="Times New Roman" w:cs="Times New Roman"/>
          <w:sz w:val="24"/>
          <w:szCs w:val="24"/>
        </w:rPr>
        <w:t>: Volumen del cilindro para la toma de muestra, (cm³)</w:t>
      </w:r>
    </w:p>
    <w:p w:rsidR="00717F3A" w:rsidRDefault="00717F3A" w:rsidP="00072971">
      <w:pPr>
        <w:spacing w:after="0" w:line="360" w:lineRule="auto"/>
        <w:ind w:left="-426"/>
        <w:jc w:val="both"/>
        <w:rPr>
          <w:rFonts w:ascii="Times New Roman" w:hAnsi="Times New Roman" w:cs="Times New Roman"/>
          <w:sz w:val="24"/>
          <w:szCs w:val="24"/>
        </w:rPr>
      </w:pPr>
      <w:r w:rsidRPr="00717F3A">
        <w:rPr>
          <w:rFonts w:ascii="Times New Roman" w:hAnsi="Times New Roman" w:cs="Times New Roman"/>
          <w:sz w:val="24"/>
          <w:szCs w:val="24"/>
        </w:rPr>
        <w:t xml:space="preserve">Por su parte la porosidad se determinó en función de la densidad aparente mediante la </w:t>
      </w:r>
      <w:r>
        <w:rPr>
          <w:rFonts w:ascii="Times New Roman" w:hAnsi="Times New Roman" w:cs="Times New Roman"/>
          <w:sz w:val="24"/>
          <w:szCs w:val="24"/>
        </w:rPr>
        <w:t>ecuación:</w:t>
      </w:r>
    </w:p>
    <w:p w:rsidR="00717F3A" w:rsidRPr="00717F3A" w:rsidRDefault="00717F3A" w:rsidP="00072971">
      <w:pPr>
        <w:spacing w:after="0" w:line="360" w:lineRule="auto"/>
        <w:ind w:left="-426"/>
        <w:jc w:val="both"/>
        <w:rPr>
          <w:rFonts w:ascii="Times New Roman" w:hAnsi="Times New Roman" w:cs="Times New Roman"/>
          <w:sz w:val="24"/>
          <w:szCs w:val="24"/>
        </w:rPr>
      </w:pPr>
      <w:r w:rsidRPr="00717F3A">
        <w:rPr>
          <w:rFonts w:ascii="Times New Roman" w:hAnsi="Times New Roman" w:cs="Times New Roman"/>
          <w:sz w:val="24"/>
          <w:szCs w:val="24"/>
        </w:rPr>
        <w:t>P = 100 (1 - da/</w:t>
      </w:r>
      <w:proofErr w:type="gramStart"/>
      <w:r w:rsidRPr="00717F3A">
        <w:rPr>
          <w:rFonts w:ascii="Times New Roman" w:hAnsi="Times New Roman" w:cs="Times New Roman"/>
          <w:sz w:val="24"/>
          <w:szCs w:val="24"/>
        </w:rPr>
        <w:t>dr )</w:t>
      </w:r>
      <w:proofErr w:type="gramEnd"/>
      <w:r w:rsidRPr="00717F3A">
        <w:rPr>
          <w:rFonts w:ascii="Times New Roman" w:hAnsi="Times New Roman" w:cs="Times New Roman"/>
          <w:sz w:val="24"/>
          <w:szCs w:val="24"/>
        </w:rPr>
        <w:t xml:space="preserve"> %                                      </w:t>
      </w:r>
      <w:r w:rsidR="00072971">
        <w:rPr>
          <w:rFonts w:ascii="Times New Roman" w:hAnsi="Times New Roman" w:cs="Times New Roman"/>
          <w:sz w:val="24"/>
          <w:szCs w:val="24"/>
        </w:rPr>
        <w:t xml:space="preserve">                                                                      (10</w:t>
      </w:r>
      <w:r w:rsidRPr="00717F3A">
        <w:rPr>
          <w:rFonts w:ascii="Times New Roman" w:hAnsi="Times New Roman" w:cs="Times New Roman"/>
          <w:sz w:val="24"/>
          <w:szCs w:val="24"/>
        </w:rPr>
        <w:t>)</w:t>
      </w:r>
    </w:p>
    <w:p w:rsidR="00717F3A" w:rsidRPr="00717F3A" w:rsidRDefault="00717F3A" w:rsidP="00072971">
      <w:pPr>
        <w:spacing w:after="0" w:line="360" w:lineRule="auto"/>
        <w:ind w:left="-426"/>
        <w:jc w:val="both"/>
        <w:rPr>
          <w:rFonts w:ascii="Times New Roman" w:hAnsi="Times New Roman" w:cs="Times New Roman"/>
          <w:sz w:val="24"/>
          <w:szCs w:val="24"/>
        </w:rPr>
      </w:pPr>
    </w:p>
    <w:p w:rsidR="00717F3A" w:rsidRDefault="00717F3A" w:rsidP="00072971">
      <w:pPr>
        <w:spacing w:after="0" w:line="360" w:lineRule="auto"/>
        <w:ind w:left="-426"/>
        <w:jc w:val="both"/>
        <w:rPr>
          <w:rFonts w:ascii="Times New Roman" w:hAnsi="Times New Roman" w:cs="Times New Roman"/>
          <w:sz w:val="24"/>
          <w:szCs w:val="24"/>
        </w:rPr>
      </w:pPr>
      <w:r w:rsidRPr="00717F3A">
        <w:rPr>
          <w:rFonts w:ascii="Times New Roman" w:hAnsi="Times New Roman" w:cs="Times New Roman"/>
          <w:sz w:val="24"/>
          <w:szCs w:val="24"/>
        </w:rPr>
        <w:t>Siendo da y dr los valores de densidad aparente y real respectivamente y P el porcentaje de huecos del suelo u horizonte considerado.</w:t>
      </w:r>
    </w:p>
    <w:p w:rsidR="00072971" w:rsidRDefault="00072971" w:rsidP="00717F3A">
      <w:pPr>
        <w:spacing w:after="0" w:line="360" w:lineRule="auto"/>
        <w:ind w:left="-426"/>
        <w:jc w:val="both"/>
        <w:rPr>
          <w:rFonts w:ascii="Times New Roman" w:hAnsi="Times New Roman" w:cs="Times New Roman"/>
          <w:b/>
          <w:sz w:val="24"/>
          <w:szCs w:val="24"/>
        </w:rPr>
      </w:pPr>
      <w:r w:rsidRPr="00072971">
        <w:rPr>
          <w:rFonts w:ascii="Times New Roman" w:hAnsi="Times New Roman" w:cs="Times New Roman"/>
          <w:b/>
          <w:sz w:val="24"/>
          <w:szCs w:val="24"/>
        </w:rPr>
        <w:t>2.6 Metodología para la determinación de la resistencia a la penetración del suelo</w:t>
      </w:r>
    </w:p>
    <w:p w:rsid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La resistencia a la penetración del suelo se determinó mediante un análisis de penetrometría, efectuándose en dos sitios: centro del surco y el centro del</w:t>
      </w:r>
      <w:r>
        <w:rPr>
          <w:rFonts w:ascii="Times New Roman" w:hAnsi="Times New Roman" w:cs="Times New Roman"/>
          <w:sz w:val="24"/>
          <w:szCs w:val="24"/>
        </w:rPr>
        <w:t xml:space="preserve"> </w:t>
      </w:r>
      <w:r w:rsidRPr="00072971">
        <w:rPr>
          <w:rFonts w:ascii="Times New Roman" w:hAnsi="Times New Roman" w:cs="Times New Roman"/>
          <w:sz w:val="24"/>
          <w:szCs w:val="24"/>
        </w:rPr>
        <w:t>espacio entre hileras</w:t>
      </w:r>
      <w:r>
        <w:rPr>
          <w:rFonts w:ascii="Times New Roman" w:hAnsi="Times New Roman" w:cs="Times New Roman"/>
          <w:sz w:val="24"/>
          <w:szCs w:val="24"/>
        </w:rPr>
        <w:t xml:space="preserve">. </w:t>
      </w:r>
      <w:r w:rsidRPr="00072971">
        <w:rPr>
          <w:rFonts w:ascii="Times New Roman" w:hAnsi="Times New Roman" w:cs="Times New Roman"/>
          <w:sz w:val="24"/>
          <w:szCs w:val="24"/>
        </w:rPr>
        <w:t>Se utilizó un penetrómetro de impacto y punta normalizada (ASAE S313</w:t>
      </w:r>
      <w:proofErr w:type="gramStart"/>
      <w:r w:rsidRPr="00072971">
        <w:rPr>
          <w:rFonts w:ascii="Times New Roman" w:hAnsi="Times New Roman" w:cs="Times New Roman"/>
          <w:sz w:val="24"/>
          <w:szCs w:val="24"/>
        </w:rPr>
        <w:t>,3</w:t>
      </w:r>
      <w:proofErr w:type="gramEnd"/>
      <w:r w:rsidRPr="00072971">
        <w:rPr>
          <w:rFonts w:ascii="Times New Roman" w:hAnsi="Times New Roman" w:cs="Times New Roman"/>
          <w:sz w:val="24"/>
          <w:szCs w:val="24"/>
        </w:rPr>
        <w:t xml:space="preserve"> FEB04), con masa del martinete de </w:t>
      </w:r>
      <w:smartTag w:uri="urn:schemas-microsoft-com:office:smarttags" w:element="metricconverter">
        <w:smartTagPr>
          <w:attr w:name="ProductID" w:val="1 kg"/>
        </w:smartTagPr>
        <w:r w:rsidRPr="00072971">
          <w:rPr>
            <w:rFonts w:ascii="Times New Roman" w:hAnsi="Times New Roman" w:cs="Times New Roman"/>
            <w:sz w:val="24"/>
            <w:szCs w:val="24"/>
          </w:rPr>
          <w:t>1 kg</w:t>
        </w:r>
      </w:smartTag>
      <w:r w:rsidRPr="00072971">
        <w:rPr>
          <w:rFonts w:ascii="Times New Roman" w:hAnsi="Times New Roman" w:cs="Times New Roman"/>
          <w:sz w:val="24"/>
          <w:szCs w:val="24"/>
        </w:rPr>
        <w:t xml:space="preserve">, diámetro de la base del cono de </w:t>
      </w:r>
      <w:smartTag w:uri="urn:schemas-microsoft-com:office:smarttags" w:element="metricconverter">
        <w:smartTagPr>
          <w:attr w:name="ProductID" w:val="12,83 mm"/>
        </w:smartTagPr>
        <w:r w:rsidRPr="00072971">
          <w:rPr>
            <w:rFonts w:ascii="Times New Roman" w:hAnsi="Times New Roman" w:cs="Times New Roman"/>
            <w:sz w:val="24"/>
            <w:szCs w:val="24"/>
          </w:rPr>
          <w:t>12,83 mm</w:t>
        </w:r>
      </w:smartTag>
      <w:r w:rsidRPr="00072971">
        <w:rPr>
          <w:rFonts w:ascii="Times New Roman" w:hAnsi="Times New Roman" w:cs="Times New Roman"/>
          <w:sz w:val="24"/>
          <w:szCs w:val="24"/>
        </w:rPr>
        <w:t xml:space="preserve"> y punta cónica de 30 grados</w:t>
      </w:r>
      <w:r>
        <w:rPr>
          <w:rFonts w:ascii="Times New Roman" w:hAnsi="Times New Roman" w:cs="Times New Roman"/>
          <w:sz w:val="24"/>
          <w:szCs w:val="24"/>
        </w:rPr>
        <w:t xml:space="preserve">. </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Las lecturas de resistencia obtenidas en impactos se transformaron al Sistema Internacional de Medidas por la fórmula siguiente (Smith, 1998).</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Re = m2 ∙ h ∙ g / (m + u) ∙ (e ∙ a</w:t>
      </w:r>
      <w:proofErr w:type="gramStart"/>
      <w:r w:rsidRPr="00072971">
        <w:rPr>
          <w:rFonts w:ascii="Times New Roman" w:hAnsi="Times New Roman" w:cs="Times New Roman"/>
          <w:sz w:val="24"/>
          <w:szCs w:val="24"/>
        </w:rPr>
        <w:t>)1000</w:t>
      </w:r>
      <w:proofErr w:type="gramEnd"/>
      <w:r w:rsidRPr="00072971">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072971">
        <w:rPr>
          <w:rFonts w:ascii="Times New Roman" w:hAnsi="Times New Roman" w:cs="Times New Roman"/>
          <w:sz w:val="24"/>
          <w:szCs w:val="24"/>
        </w:rPr>
        <w:t xml:space="preserve">) </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Dónde:</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Re = Resistencia del suelo (kPa)</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m = Peso del mazo (kg)</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lastRenderedPageBreak/>
        <w:t>h = Recorrido del mazo (m)</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g = Gravedad (9.81 m/seg2)</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u = Peso del varillaje (kg)</w:t>
      </w:r>
    </w:p>
    <w:p w:rsidR="00072971" w:rsidRPr="00072971" w:rsidRDefault="00072971" w:rsidP="00072971">
      <w:pPr>
        <w:spacing w:line="360" w:lineRule="auto"/>
        <w:ind w:left="-426" w:right="-427"/>
        <w:jc w:val="both"/>
        <w:rPr>
          <w:rFonts w:ascii="Times New Roman" w:hAnsi="Times New Roman" w:cs="Times New Roman"/>
          <w:sz w:val="24"/>
          <w:szCs w:val="24"/>
        </w:rPr>
      </w:pPr>
      <w:proofErr w:type="spellStart"/>
      <w:r w:rsidRPr="00072971">
        <w:rPr>
          <w:rFonts w:ascii="Times New Roman" w:hAnsi="Times New Roman" w:cs="Times New Roman"/>
          <w:sz w:val="24"/>
          <w:szCs w:val="24"/>
        </w:rPr>
        <w:t>e</w:t>
      </w:r>
      <w:proofErr w:type="spellEnd"/>
      <w:r w:rsidRPr="00072971">
        <w:rPr>
          <w:rFonts w:ascii="Times New Roman" w:hAnsi="Times New Roman" w:cs="Times New Roman"/>
          <w:sz w:val="24"/>
          <w:szCs w:val="24"/>
        </w:rPr>
        <w:t xml:space="preserve"> = Avance promedio/impacto (m)</w:t>
      </w:r>
    </w:p>
    <w:p w:rsidR="00072971" w:rsidRPr="00072971" w:rsidRDefault="00072971" w:rsidP="00072971">
      <w:pPr>
        <w:spacing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a = Área de cono (m)</w:t>
      </w:r>
    </w:p>
    <w:p w:rsidR="00072971" w:rsidRPr="00072971" w:rsidRDefault="00072971" w:rsidP="00072971">
      <w:pPr>
        <w:spacing w:line="360" w:lineRule="auto"/>
        <w:ind w:left="-426" w:right="-427"/>
        <w:jc w:val="both"/>
        <w:rPr>
          <w:rFonts w:ascii="Times New Roman" w:hAnsi="Times New Roman" w:cs="Times New Roman"/>
          <w:b/>
          <w:sz w:val="24"/>
          <w:szCs w:val="24"/>
        </w:rPr>
      </w:pPr>
      <w:r w:rsidRPr="00072971">
        <w:rPr>
          <w:rFonts w:ascii="Times New Roman" w:hAnsi="Times New Roman" w:cs="Times New Roman"/>
          <w:b/>
          <w:sz w:val="24"/>
          <w:szCs w:val="24"/>
        </w:rPr>
        <w:t xml:space="preserve">2.7 Metodología para determinar el ancho de vía </w:t>
      </w:r>
    </w:p>
    <w:p w:rsidR="00072971" w:rsidRPr="00072971" w:rsidRDefault="00072971" w:rsidP="00072971">
      <w:pPr>
        <w:spacing w:after="0" w:line="360" w:lineRule="auto"/>
        <w:ind w:left="-426" w:right="-427"/>
        <w:jc w:val="both"/>
        <w:rPr>
          <w:rFonts w:ascii="Times New Roman" w:hAnsi="Times New Roman" w:cs="Times New Roman"/>
          <w:sz w:val="24"/>
          <w:szCs w:val="24"/>
        </w:rPr>
      </w:pPr>
      <w:r w:rsidRPr="00072971">
        <w:rPr>
          <w:rFonts w:ascii="Times New Roman" w:hAnsi="Times New Roman" w:cs="Times New Roman"/>
          <w:sz w:val="24"/>
          <w:szCs w:val="24"/>
        </w:rPr>
        <w:t>La distancia que sobrepasa el neumático del semirremolque en la franja de seguridad (D) (Figura</w:t>
      </w:r>
      <w:r w:rsidR="00256601">
        <w:rPr>
          <w:rFonts w:ascii="Times New Roman" w:hAnsi="Times New Roman" w:cs="Times New Roman"/>
          <w:sz w:val="24"/>
          <w:szCs w:val="24"/>
        </w:rPr>
        <w:t xml:space="preserve"> 2.2</w:t>
      </w:r>
      <w:r w:rsidRPr="00072971">
        <w:rPr>
          <w:rFonts w:ascii="Times New Roman" w:hAnsi="Times New Roman" w:cs="Times New Roman"/>
          <w:sz w:val="24"/>
          <w:szCs w:val="24"/>
        </w:rPr>
        <w:t>) se determinó partiendo de las dimensiones del sistema de rodaje del autobasculante, ancho de vía (B) y ancho del neumático (b), número de hileras que se ubican debajo del semirremolque (n), una en este caso; y los parámetros vinculados a la plantación en cantero, distancia de plantación (M) de 1,60 m y franja de seguridad exterior (Cext) de 0,40 m; se tiene que:</w:t>
      </w:r>
    </w:p>
    <w:p w:rsidR="00072971" w:rsidRPr="00072971" w:rsidRDefault="00072971" w:rsidP="00072971">
      <w:pPr>
        <w:pStyle w:val="Textoindependiente"/>
        <w:spacing w:line="360" w:lineRule="auto"/>
        <w:rPr>
          <w:rFonts w:eastAsiaTheme="minorEastAsia"/>
          <w:sz w:val="24"/>
          <w:szCs w:val="24"/>
          <w:lang w:val="es-ES" w:eastAsia="es-ES"/>
        </w:rPr>
      </w:pPr>
      <w:r w:rsidRPr="00072971">
        <w:rPr>
          <w:rFonts w:eastAsiaTheme="minorEastAsia"/>
          <w:noProof/>
          <w:sz w:val="24"/>
          <w:szCs w:val="24"/>
          <w:lang w:val="es-ES" w:eastAsia="es-ES"/>
        </w:rPr>
        <w:drawing>
          <wp:anchor distT="0" distB="0" distL="114300" distR="114300" simplePos="0" relativeHeight="251651584" behindDoc="0" locked="0" layoutInCell="1" allowOverlap="1" wp14:anchorId="5FE709A3" wp14:editId="3D699F16">
            <wp:simplePos x="0" y="0"/>
            <wp:positionH relativeFrom="column">
              <wp:posOffset>-181610</wp:posOffset>
            </wp:positionH>
            <wp:positionV relativeFrom="paragraph">
              <wp:posOffset>93345</wp:posOffset>
            </wp:positionV>
            <wp:extent cx="2313940" cy="51752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3940" cy="517525"/>
                    </a:xfrm>
                    <a:prstGeom prst="rect">
                      <a:avLst/>
                    </a:prstGeom>
                    <a:noFill/>
                  </pic:spPr>
                </pic:pic>
              </a:graphicData>
            </a:graphic>
          </wp:anchor>
        </w:drawing>
      </w:r>
    </w:p>
    <w:p w:rsidR="00072971" w:rsidRPr="00072971" w:rsidRDefault="001677D7" w:rsidP="00072971">
      <w:pPr>
        <w:jc w:val="right"/>
        <w:rPr>
          <w:rFonts w:ascii="Times New Roman" w:hAnsi="Times New Roman" w:cs="Times New Roman"/>
          <w:sz w:val="24"/>
          <w:szCs w:val="24"/>
        </w:rPr>
      </w:pPr>
      <w:r w:rsidRPr="00072971">
        <w:rPr>
          <w:noProof/>
          <w:sz w:val="24"/>
          <w:szCs w:val="24"/>
        </w:rPr>
        <w:drawing>
          <wp:anchor distT="0" distB="0" distL="114300" distR="114300" simplePos="0" relativeHeight="251666944" behindDoc="0" locked="0" layoutInCell="1" allowOverlap="1" wp14:anchorId="4DEB2E28" wp14:editId="52568DEB">
            <wp:simplePos x="0" y="0"/>
            <wp:positionH relativeFrom="column">
              <wp:posOffset>-236855</wp:posOffset>
            </wp:positionH>
            <wp:positionV relativeFrom="paragraph">
              <wp:posOffset>296545</wp:posOffset>
            </wp:positionV>
            <wp:extent cx="1524000" cy="1531620"/>
            <wp:effectExtent l="0" t="0" r="0" b="0"/>
            <wp:wrapSquare wrapText="bothSides"/>
            <wp:docPr id="26" name="Imagen 11" descr="C:\Users\Maykel\Desktop\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Maykel\Desktop\Imagen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971" w:rsidRPr="00072971">
        <w:rPr>
          <w:rFonts w:ascii="Times New Roman" w:hAnsi="Times New Roman" w:cs="Times New Roman"/>
          <w:sz w:val="24"/>
          <w:szCs w:val="24"/>
        </w:rPr>
        <w:t xml:space="preserve">                              </w:t>
      </w:r>
      <w:r w:rsidR="00072971">
        <w:rPr>
          <w:rFonts w:ascii="Times New Roman" w:hAnsi="Times New Roman" w:cs="Times New Roman"/>
          <w:sz w:val="24"/>
          <w:szCs w:val="24"/>
        </w:rPr>
        <w:t xml:space="preserve">                             (12</w:t>
      </w:r>
      <w:r w:rsidR="00072971" w:rsidRPr="00072971">
        <w:rPr>
          <w:rFonts w:ascii="Times New Roman" w:hAnsi="Times New Roman" w:cs="Times New Roman"/>
          <w:sz w:val="24"/>
          <w:szCs w:val="24"/>
        </w:rPr>
        <w:t>)</w:t>
      </w:r>
    </w:p>
    <w:p w:rsidR="00072971" w:rsidRPr="00072971" w:rsidRDefault="00072971" w:rsidP="00072971">
      <w:pPr>
        <w:pStyle w:val="Textoindependiente"/>
        <w:spacing w:line="360" w:lineRule="auto"/>
        <w:ind w:firstLine="74"/>
        <w:jc w:val="center"/>
        <w:rPr>
          <w:rFonts w:eastAsiaTheme="minorEastAsia"/>
          <w:sz w:val="24"/>
          <w:szCs w:val="24"/>
          <w:lang w:val="es-ES" w:eastAsia="es-ES"/>
        </w:rPr>
      </w:pPr>
    </w:p>
    <w:p w:rsidR="00072971" w:rsidRPr="00072971" w:rsidRDefault="00072971" w:rsidP="00072971">
      <w:pPr>
        <w:pStyle w:val="Textoindependiente"/>
        <w:spacing w:line="360" w:lineRule="auto"/>
        <w:ind w:firstLine="74"/>
        <w:jc w:val="center"/>
        <w:rPr>
          <w:rFonts w:eastAsiaTheme="minorEastAsia"/>
          <w:sz w:val="24"/>
          <w:szCs w:val="24"/>
          <w:lang w:val="es-ES" w:eastAsia="es-ES"/>
        </w:rPr>
      </w:pPr>
    </w:p>
    <w:p w:rsidR="001677D7" w:rsidRDefault="001677D7" w:rsidP="00072971">
      <w:pPr>
        <w:pStyle w:val="Textoindependiente"/>
        <w:spacing w:line="360" w:lineRule="auto"/>
        <w:ind w:firstLine="74"/>
        <w:jc w:val="center"/>
        <w:rPr>
          <w:rFonts w:eastAsiaTheme="minorEastAsia"/>
          <w:sz w:val="20"/>
          <w:szCs w:val="24"/>
          <w:lang w:val="es-ES" w:eastAsia="es-ES"/>
        </w:rPr>
      </w:pPr>
    </w:p>
    <w:p w:rsidR="001677D7" w:rsidRDefault="001677D7" w:rsidP="00072971">
      <w:pPr>
        <w:pStyle w:val="Textoindependiente"/>
        <w:spacing w:line="360" w:lineRule="auto"/>
        <w:ind w:firstLine="74"/>
        <w:jc w:val="center"/>
        <w:rPr>
          <w:rFonts w:eastAsiaTheme="minorEastAsia"/>
          <w:sz w:val="20"/>
          <w:szCs w:val="24"/>
          <w:lang w:val="es-ES" w:eastAsia="es-ES"/>
        </w:rPr>
      </w:pPr>
    </w:p>
    <w:p w:rsidR="001677D7" w:rsidRDefault="001677D7" w:rsidP="00072971">
      <w:pPr>
        <w:pStyle w:val="Textoindependiente"/>
        <w:spacing w:line="360" w:lineRule="auto"/>
        <w:ind w:firstLine="74"/>
        <w:jc w:val="center"/>
        <w:rPr>
          <w:rFonts w:eastAsiaTheme="minorEastAsia"/>
          <w:sz w:val="20"/>
          <w:szCs w:val="24"/>
          <w:lang w:val="es-ES" w:eastAsia="es-ES"/>
        </w:rPr>
      </w:pPr>
    </w:p>
    <w:p w:rsidR="001677D7" w:rsidRDefault="001677D7" w:rsidP="00072971">
      <w:pPr>
        <w:pStyle w:val="Textoindependiente"/>
        <w:spacing w:line="360" w:lineRule="auto"/>
        <w:ind w:firstLine="74"/>
        <w:jc w:val="center"/>
        <w:rPr>
          <w:rFonts w:eastAsiaTheme="minorEastAsia"/>
          <w:sz w:val="20"/>
          <w:szCs w:val="24"/>
          <w:lang w:val="es-ES" w:eastAsia="es-ES"/>
        </w:rPr>
      </w:pPr>
    </w:p>
    <w:p w:rsidR="00072971" w:rsidRPr="00072971" w:rsidRDefault="00256601" w:rsidP="00072971">
      <w:pPr>
        <w:pStyle w:val="Textoindependiente"/>
        <w:spacing w:line="360" w:lineRule="auto"/>
        <w:ind w:firstLine="74"/>
        <w:jc w:val="center"/>
        <w:rPr>
          <w:rFonts w:eastAsiaTheme="minorEastAsia"/>
          <w:sz w:val="20"/>
          <w:szCs w:val="24"/>
          <w:lang w:val="es-ES" w:eastAsia="es-ES"/>
        </w:rPr>
      </w:pPr>
      <w:r>
        <w:rPr>
          <w:rFonts w:eastAsiaTheme="minorEastAsia"/>
          <w:sz w:val="20"/>
          <w:szCs w:val="24"/>
          <w:lang w:val="es-ES" w:eastAsia="es-ES"/>
        </w:rPr>
        <w:t>Figura 2.2</w:t>
      </w:r>
      <w:r w:rsidR="00072971" w:rsidRPr="00072971">
        <w:rPr>
          <w:rFonts w:eastAsiaTheme="minorEastAsia"/>
          <w:sz w:val="20"/>
          <w:szCs w:val="24"/>
          <w:lang w:val="es-ES" w:eastAsia="es-ES"/>
        </w:rPr>
        <w:t>. Distancia que sobrepasa el neumático del semirremolque (D) en la franja de seguridad (C ext). 1- Neumático, 2-Eje y 3-Superficie acanterada</w:t>
      </w:r>
      <w:proofErr w:type="gramStart"/>
      <w:r w:rsidR="00072971" w:rsidRPr="00072971">
        <w:rPr>
          <w:rFonts w:eastAsiaTheme="minorEastAsia"/>
          <w:sz w:val="20"/>
          <w:szCs w:val="24"/>
          <w:lang w:val="es-ES" w:eastAsia="es-ES"/>
        </w:rPr>
        <w:t>.</w:t>
      </w:r>
      <w:r w:rsidR="00072971">
        <w:rPr>
          <w:rFonts w:eastAsiaTheme="minorEastAsia"/>
          <w:sz w:val="20"/>
          <w:szCs w:val="24"/>
          <w:lang w:val="es-ES" w:eastAsia="es-ES"/>
        </w:rPr>
        <w:t>(</w:t>
      </w:r>
      <w:proofErr w:type="gramEnd"/>
      <w:r w:rsidR="00072971">
        <w:rPr>
          <w:rFonts w:eastAsiaTheme="minorEastAsia"/>
          <w:sz w:val="20"/>
          <w:szCs w:val="24"/>
          <w:lang w:val="es-ES" w:eastAsia="es-ES"/>
        </w:rPr>
        <w:t>Fuente: Elaboración propia)</w:t>
      </w:r>
    </w:p>
    <w:p w:rsidR="00072971" w:rsidRPr="00072971" w:rsidRDefault="00072971" w:rsidP="00072971">
      <w:pPr>
        <w:spacing w:line="360" w:lineRule="auto"/>
        <w:ind w:left="-426"/>
        <w:jc w:val="both"/>
        <w:rPr>
          <w:rFonts w:ascii="Times New Roman" w:hAnsi="Times New Roman" w:cs="Times New Roman"/>
          <w:sz w:val="24"/>
          <w:szCs w:val="24"/>
        </w:rPr>
      </w:pPr>
      <w:r w:rsidRPr="00072971">
        <w:rPr>
          <w:rFonts w:ascii="Times New Roman" w:hAnsi="Times New Roman" w:cs="Times New Roman"/>
          <w:sz w:val="24"/>
          <w:szCs w:val="24"/>
        </w:rPr>
        <w:t xml:space="preserve">Para el cálculo del ancho de vía máximo posible para el semirremolque se emplea  la expresión propuesta por </w:t>
      </w:r>
      <w:r w:rsidRPr="00072971">
        <w:rPr>
          <w:rFonts w:ascii="Times New Roman" w:hAnsi="Times New Roman" w:cs="Times New Roman"/>
          <w:sz w:val="24"/>
          <w:szCs w:val="24"/>
        </w:rPr>
        <w:fldChar w:fldCharType="begin"/>
      </w:r>
      <w:r w:rsidRPr="00072971">
        <w:rPr>
          <w:rFonts w:ascii="Times New Roman" w:hAnsi="Times New Roman" w:cs="Times New Roman"/>
          <w:sz w:val="24"/>
          <w:szCs w:val="24"/>
        </w:rPr>
        <w:instrText xml:space="preserve"> ADDIN EN.CITE &lt;EndNote&gt;&lt;Cite AuthorYear="1"&gt;&lt;Author&gt;Chudakov&lt;/Author&gt;&lt;Year&gt;1977&lt;/Year&gt;&lt;RecNum&gt;49&lt;/RecNum&gt;&lt;DisplayText&gt;Chudakov (1977)&lt;/DisplayText&gt;&lt;record&gt;&lt;rec-number&gt;49&lt;/rec-number&gt;&lt;foreign-keys&gt;&lt;key app="EN" db-id="9sdxw0dt6v29w5ex5pfp20pxvxtv0fs0frft"&gt;49&lt;/key&gt;&lt;/foreign-keys&gt;&lt;ref-type name="Book"&gt;6&lt;/ref-type&gt;&lt;contributors&gt;&lt;authors&gt;&lt;author&gt;Chudakov, D.&lt;/author&gt;&lt;/authors&gt;&lt;tertiary-authors&gt;&lt;author&gt;Editorial MIR, Moscú&lt;/author&gt;&lt;/tertiary-authors&gt;&lt;/contributors&gt;&lt;titles&gt;&lt;title&gt;Fundamentos de la teoría y el cálculo de tractores y automóviles.&lt;/title&gt;&lt;/titles&gt;&lt;dates&gt;&lt;year&gt;1977&lt;/year&gt;&lt;/dates&gt;&lt;urls&gt;&lt;/urls&gt;&lt;/record&gt;&lt;/Cite&gt;&lt;/EndNote&gt;</w:instrText>
      </w:r>
      <w:r w:rsidRPr="00072971">
        <w:rPr>
          <w:rFonts w:ascii="Times New Roman" w:hAnsi="Times New Roman" w:cs="Times New Roman"/>
          <w:sz w:val="24"/>
          <w:szCs w:val="24"/>
        </w:rPr>
        <w:fldChar w:fldCharType="separate"/>
      </w:r>
      <w:hyperlink w:anchor="_ENREF_4" w:tooltip="Chudakov, 1977 #49" w:history="1">
        <w:r w:rsidR="00091134" w:rsidRPr="00072971">
          <w:rPr>
            <w:rFonts w:ascii="Times New Roman" w:hAnsi="Times New Roman" w:cs="Times New Roman"/>
            <w:sz w:val="24"/>
            <w:szCs w:val="24"/>
          </w:rPr>
          <w:t>Chudakov (1977</w:t>
        </w:r>
      </w:hyperlink>
      <w:r w:rsidRPr="00072971">
        <w:rPr>
          <w:rFonts w:ascii="Times New Roman" w:hAnsi="Times New Roman" w:cs="Times New Roman"/>
          <w:sz w:val="24"/>
          <w:szCs w:val="24"/>
        </w:rPr>
        <w:t>)</w:t>
      </w:r>
      <w:r w:rsidRPr="00072971">
        <w:rPr>
          <w:rFonts w:ascii="Times New Roman" w:hAnsi="Times New Roman" w:cs="Times New Roman"/>
          <w:sz w:val="24"/>
          <w:szCs w:val="24"/>
        </w:rPr>
        <w:fldChar w:fldCharType="end"/>
      </w:r>
      <w:r w:rsidRPr="00072971">
        <w:rPr>
          <w:rFonts w:ascii="Times New Roman" w:hAnsi="Times New Roman" w:cs="Times New Roman"/>
          <w:sz w:val="24"/>
          <w:szCs w:val="24"/>
        </w:rPr>
        <w:t xml:space="preserve">; considerando que la caña de azúcar tiene una zona o franja de seguridad de </w:t>
      </w:r>
      <w:smartTag w:uri="urn:schemas-microsoft-com:office:smarttags" w:element="metricconverter">
        <w:smartTagPr>
          <w:attr w:name="ProductID" w:val="0,40 m"/>
        </w:smartTagPr>
        <w:r w:rsidRPr="00072971">
          <w:rPr>
            <w:rFonts w:ascii="Times New Roman" w:hAnsi="Times New Roman" w:cs="Times New Roman"/>
            <w:sz w:val="24"/>
            <w:szCs w:val="24"/>
          </w:rPr>
          <w:t>0,40 m</w:t>
        </w:r>
      </w:smartTag>
      <w:r w:rsidRPr="00072971">
        <w:rPr>
          <w:rFonts w:ascii="Times New Roman" w:hAnsi="Times New Roman" w:cs="Times New Roman"/>
          <w:sz w:val="24"/>
          <w:szCs w:val="24"/>
        </w:rPr>
        <w:t xml:space="preserve"> y está plantada a </w:t>
      </w:r>
      <w:smartTag w:uri="urn:schemas-microsoft-com:office:smarttags" w:element="metricconverter">
        <w:smartTagPr>
          <w:attr w:name="ProductID" w:val="1,60 m"/>
        </w:smartTagPr>
        <w:r w:rsidRPr="00072971">
          <w:rPr>
            <w:rFonts w:ascii="Times New Roman" w:hAnsi="Times New Roman" w:cs="Times New Roman"/>
            <w:sz w:val="24"/>
            <w:szCs w:val="24"/>
          </w:rPr>
          <w:t>1,60 m</w:t>
        </w:r>
      </w:smartTag>
      <w:r w:rsidRPr="00072971">
        <w:rPr>
          <w:rFonts w:ascii="Times New Roman" w:hAnsi="Times New Roman" w:cs="Times New Roman"/>
          <w:sz w:val="24"/>
          <w:szCs w:val="24"/>
        </w:rPr>
        <w:t xml:space="preserve"> de distancia entre hileras.</w:t>
      </w:r>
    </w:p>
    <w:p w:rsidR="00072971" w:rsidRPr="00072971" w:rsidRDefault="00072971" w:rsidP="00072971">
      <w:pPr>
        <w:pStyle w:val="Textoindependiente"/>
        <w:spacing w:line="360" w:lineRule="auto"/>
        <w:rPr>
          <w:rFonts w:eastAsiaTheme="minorEastAsia"/>
          <w:sz w:val="24"/>
          <w:szCs w:val="24"/>
          <w:lang w:val="es-ES" w:eastAsia="es-ES"/>
        </w:rPr>
      </w:pPr>
      <w:r w:rsidRPr="00072971">
        <w:rPr>
          <w:rFonts w:eastAsiaTheme="minorEastAsia"/>
          <w:noProof/>
          <w:sz w:val="24"/>
          <w:szCs w:val="24"/>
          <w:lang w:val="es-ES" w:eastAsia="es-ES"/>
        </w:rPr>
        <w:drawing>
          <wp:anchor distT="0" distB="0" distL="114300" distR="114300" simplePos="0" relativeHeight="251652608" behindDoc="0" locked="0" layoutInCell="1" allowOverlap="1" wp14:anchorId="04A1E2C5" wp14:editId="51854FF8">
            <wp:simplePos x="0" y="0"/>
            <wp:positionH relativeFrom="column">
              <wp:posOffset>-222885</wp:posOffset>
            </wp:positionH>
            <wp:positionV relativeFrom="paragraph">
              <wp:posOffset>2540</wp:posOffset>
            </wp:positionV>
            <wp:extent cx="1181100" cy="259080"/>
            <wp:effectExtent l="0" t="0" r="0" b="762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100" cy="259080"/>
                    </a:xfrm>
                    <a:prstGeom prst="rect">
                      <a:avLst/>
                    </a:prstGeom>
                    <a:noFill/>
                  </pic:spPr>
                </pic:pic>
              </a:graphicData>
            </a:graphic>
          </wp:anchor>
        </w:drawing>
      </w:r>
      <w:r w:rsidRPr="00072971">
        <w:rPr>
          <w:rFonts w:eastAsiaTheme="minorEastAsia"/>
          <w:sz w:val="24"/>
          <w:szCs w:val="24"/>
          <w:lang w:val="es-ES" w:eastAsia="es-ES"/>
        </w:rPr>
        <w:t xml:space="preserve">                                                                                </w:t>
      </w:r>
      <w:r>
        <w:rPr>
          <w:rFonts w:eastAsiaTheme="minorEastAsia"/>
          <w:sz w:val="24"/>
          <w:szCs w:val="24"/>
          <w:lang w:val="es-ES" w:eastAsia="es-ES"/>
        </w:rPr>
        <w:t xml:space="preserve">                  </w:t>
      </w:r>
      <w:r w:rsidRPr="00072971">
        <w:rPr>
          <w:rFonts w:eastAsiaTheme="minorEastAsia"/>
          <w:sz w:val="24"/>
          <w:szCs w:val="24"/>
          <w:lang w:val="es-ES" w:eastAsia="es-ES"/>
        </w:rPr>
        <w:t xml:space="preserve"> (1</w:t>
      </w:r>
      <w:r>
        <w:rPr>
          <w:rFonts w:eastAsiaTheme="minorEastAsia"/>
          <w:sz w:val="24"/>
          <w:szCs w:val="24"/>
          <w:lang w:val="es-ES" w:eastAsia="es-ES"/>
        </w:rPr>
        <w:t>3</w:t>
      </w:r>
      <w:r w:rsidRPr="00072971">
        <w:rPr>
          <w:rFonts w:eastAsiaTheme="minorEastAsia"/>
          <w:sz w:val="24"/>
          <w:szCs w:val="24"/>
          <w:lang w:val="es-ES" w:eastAsia="es-ES"/>
        </w:rPr>
        <w:t xml:space="preserve">)                                                                                      </w:t>
      </w:r>
    </w:p>
    <w:p w:rsidR="00072971" w:rsidRPr="00072971" w:rsidRDefault="00072971" w:rsidP="00072971">
      <w:pPr>
        <w:pStyle w:val="Textoindependiente"/>
        <w:spacing w:line="360" w:lineRule="auto"/>
        <w:jc w:val="right"/>
        <w:rPr>
          <w:rFonts w:eastAsiaTheme="minorEastAsia"/>
          <w:sz w:val="24"/>
          <w:szCs w:val="24"/>
          <w:lang w:val="es-ES" w:eastAsia="es-ES"/>
        </w:rPr>
      </w:pPr>
      <w:r w:rsidRPr="00072971">
        <w:rPr>
          <w:rFonts w:eastAsiaTheme="minorEastAsia"/>
          <w:sz w:val="24"/>
          <w:szCs w:val="24"/>
          <w:lang w:val="es-ES" w:eastAsia="es-ES"/>
        </w:rPr>
        <w:t xml:space="preserve">                                                                </w:t>
      </w:r>
      <w:r>
        <w:rPr>
          <w:rFonts w:eastAsiaTheme="minorEastAsia"/>
          <w:sz w:val="24"/>
          <w:szCs w:val="24"/>
          <w:lang w:val="es-ES" w:eastAsia="es-ES"/>
        </w:rPr>
        <w:t xml:space="preserve">                          </w:t>
      </w:r>
      <w:r w:rsidRPr="00072971">
        <w:rPr>
          <w:rFonts w:eastAsiaTheme="minorEastAsia"/>
          <w:sz w:val="24"/>
          <w:szCs w:val="24"/>
          <w:lang w:val="es-ES" w:eastAsia="es-ES"/>
        </w:rPr>
        <w:t xml:space="preserve">                                                                                 </w:t>
      </w:r>
    </w:p>
    <w:p w:rsidR="00072971" w:rsidRPr="00072971" w:rsidRDefault="00072971" w:rsidP="00072971">
      <w:pPr>
        <w:pStyle w:val="Textoindependiente"/>
        <w:spacing w:line="360" w:lineRule="auto"/>
        <w:ind w:left="-426"/>
        <w:rPr>
          <w:rFonts w:eastAsiaTheme="minorEastAsia"/>
          <w:sz w:val="24"/>
          <w:szCs w:val="24"/>
          <w:lang w:val="es-ES" w:eastAsia="es-ES"/>
        </w:rPr>
      </w:pPr>
      <w:r w:rsidRPr="00072971">
        <w:rPr>
          <w:rFonts w:eastAsiaTheme="minorEastAsia"/>
          <w:sz w:val="24"/>
          <w:szCs w:val="24"/>
          <w:lang w:val="es-ES" w:eastAsia="es-ES"/>
        </w:rPr>
        <w:t>Dónde:</w:t>
      </w:r>
    </w:p>
    <w:p w:rsidR="00072971" w:rsidRPr="00072971" w:rsidRDefault="00072971" w:rsidP="00072971">
      <w:pPr>
        <w:pStyle w:val="Textoindependiente"/>
        <w:spacing w:line="360" w:lineRule="auto"/>
        <w:ind w:left="-426"/>
        <w:rPr>
          <w:rFonts w:eastAsiaTheme="minorEastAsia"/>
          <w:sz w:val="24"/>
          <w:szCs w:val="24"/>
          <w:lang w:val="es-ES" w:eastAsia="es-ES"/>
        </w:rPr>
      </w:pPr>
      <w:r w:rsidRPr="00072971">
        <w:rPr>
          <w:rFonts w:eastAsiaTheme="minorEastAsia"/>
          <w:sz w:val="24"/>
          <w:szCs w:val="24"/>
          <w:lang w:val="es-ES" w:eastAsia="es-ES"/>
        </w:rPr>
        <w:t xml:space="preserve">M-Distancia entre surcos, m; </w:t>
      </w:r>
    </w:p>
    <w:p w:rsidR="00072971" w:rsidRPr="00072971" w:rsidRDefault="00072971" w:rsidP="00072971">
      <w:pPr>
        <w:pStyle w:val="Textoindependiente"/>
        <w:spacing w:line="360" w:lineRule="auto"/>
        <w:ind w:left="-426"/>
        <w:rPr>
          <w:rFonts w:eastAsiaTheme="minorEastAsia"/>
          <w:sz w:val="24"/>
          <w:szCs w:val="24"/>
          <w:lang w:val="es-ES" w:eastAsia="es-ES"/>
        </w:rPr>
      </w:pPr>
      <w:r w:rsidRPr="00072971">
        <w:rPr>
          <w:rFonts w:eastAsiaTheme="minorEastAsia"/>
          <w:sz w:val="24"/>
          <w:szCs w:val="24"/>
          <w:lang w:val="es-ES" w:eastAsia="es-ES"/>
        </w:rPr>
        <w:t xml:space="preserve">n-Número de surcos bajo el semirremolque; </w:t>
      </w:r>
    </w:p>
    <w:p w:rsidR="00072971" w:rsidRPr="00072971" w:rsidRDefault="00072971" w:rsidP="00072971">
      <w:pPr>
        <w:pStyle w:val="Textoindependiente"/>
        <w:spacing w:line="360" w:lineRule="auto"/>
        <w:ind w:left="-426"/>
        <w:rPr>
          <w:rFonts w:eastAsiaTheme="minorEastAsia"/>
          <w:sz w:val="24"/>
          <w:szCs w:val="24"/>
          <w:lang w:val="es-ES" w:eastAsia="es-ES"/>
        </w:rPr>
      </w:pPr>
      <w:r w:rsidRPr="00072971">
        <w:rPr>
          <w:rFonts w:eastAsiaTheme="minorEastAsia"/>
          <w:sz w:val="24"/>
          <w:szCs w:val="24"/>
          <w:lang w:val="es-ES" w:eastAsia="es-ES"/>
        </w:rPr>
        <w:lastRenderedPageBreak/>
        <w:t>Cext -Zona de protección exterior de la planta, m;</w:t>
      </w:r>
    </w:p>
    <w:p w:rsidR="00072971" w:rsidRPr="00072971" w:rsidRDefault="00072971" w:rsidP="00072971">
      <w:pPr>
        <w:pStyle w:val="Textoindependiente"/>
        <w:spacing w:line="360" w:lineRule="auto"/>
        <w:ind w:left="-426"/>
        <w:rPr>
          <w:rFonts w:eastAsiaTheme="minorEastAsia"/>
          <w:sz w:val="24"/>
          <w:szCs w:val="24"/>
          <w:lang w:val="es-ES" w:eastAsia="es-ES"/>
        </w:rPr>
      </w:pPr>
      <w:r w:rsidRPr="00072971">
        <w:rPr>
          <w:rFonts w:eastAsiaTheme="minorEastAsia"/>
          <w:sz w:val="24"/>
          <w:szCs w:val="24"/>
          <w:lang w:val="es-ES" w:eastAsia="es-ES"/>
        </w:rPr>
        <w:t>b- Ancho del neumático, m.</w:t>
      </w:r>
    </w:p>
    <w:p w:rsidR="00256601" w:rsidRDefault="00256601" w:rsidP="00256601">
      <w:pPr>
        <w:spacing w:line="360" w:lineRule="auto"/>
        <w:ind w:left="-426"/>
        <w:jc w:val="both"/>
        <w:rPr>
          <w:rFonts w:ascii="Times New Roman" w:hAnsi="Times New Roman" w:cs="Times New Roman"/>
          <w:sz w:val="24"/>
          <w:szCs w:val="24"/>
        </w:rPr>
      </w:pPr>
      <w:r w:rsidRPr="00256601">
        <w:rPr>
          <w:rFonts w:ascii="Times New Roman" w:hAnsi="Times New Roman" w:cs="Times New Roman"/>
          <w:sz w:val="24"/>
          <w:szCs w:val="24"/>
        </w:rPr>
        <w:t>Se empleó el tabulador profesional Microsoft Excel para realizar la tabulación, el manejo de los datos así como los análisis de frecuencia, el promedio y las desviaciones de las mediciones realizadas</w:t>
      </w:r>
      <w:r>
        <w:rPr>
          <w:rFonts w:ascii="Times New Roman" w:hAnsi="Times New Roman" w:cs="Times New Roman"/>
          <w:sz w:val="24"/>
          <w:szCs w:val="24"/>
        </w:rPr>
        <w:t xml:space="preserve">. </w:t>
      </w:r>
      <w:proofErr w:type="gramStart"/>
      <w:r w:rsidRPr="00256601">
        <w:rPr>
          <w:rFonts w:ascii="Times New Roman" w:hAnsi="Times New Roman" w:cs="Times New Roman"/>
          <w:sz w:val="24"/>
          <w:szCs w:val="24"/>
        </w:rPr>
        <w:t>los</w:t>
      </w:r>
      <w:proofErr w:type="gramEnd"/>
      <w:r w:rsidRPr="00256601">
        <w:rPr>
          <w:rFonts w:ascii="Times New Roman" w:hAnsi="Times New Roman" w:cs="Times New Roman"/>
          <w:sz w:val="24"/>
          <w:szCs w:val="24"/>
        </w:rPr>
        <w:t xml:space="preserve"> datos obtenidos en los diferentes experimentos se procesó mediante el empleo del paquete estadístico STATGRAPHICS Plus 5.1. Se utilizó la prueba t-Students para muestras independientes como criterio para estimar las diferencias entre las medias muestrales, a un 95% de probabilidad</w:t>
      </w:r>
      <w:r>
        <w:rPr>
          <w:rFonts w:ascii="Times New Roman" w:hAnsi="Times New Roman" w:cs="Times New Roman"/>
          <w:sz w:val="24"/>
          <w:szCs w:val="24"/>
        </w:rPr>
        <w:t>.</w:t>
      </w:r>
    </w:p>
    <w:p w:rsidR="002926F0" w:rsidRDefault="002926F0" w:rsidP="00F6346D">
      <w:pPr>
        <w:spacing w:after="0" w:line="360" w:lineRule="auto"/>
        <w:ind w:left="-426" w:right="-427"/>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2926F0" w:rsidRDefault="00512B3F" w:rsidP="00F6346D">
      <w:pPr>
        <w:spacing w:after="0" w:line="360" w:lineRule="auto"/>
        <w:ind w:left="-426" w:right="-427"/>
        <w:jc w:val="both"/>
        <w:rPr>
          <w:rFonts w:ascii="Times New Roman" w:hAnsi="Times New Roman" w:cs="Times New Roman"/>
          <w:b/>
          <w:sz w:val="24"/>
          <w:szCs w:val="24"/>
        </w:rPr>
      </w:pPr>
      <w:r w:rsidRPr="00512B3F">
        <w:rPr>
          <w:rFonts w:ascii="Times New Roman" w:hAnsi="Times New Roman" w:cs="Times New Roman"/>
          <w:b/>
          <w:sz w:val="24"/>
          <w:szCs w:val="24"/>
        </w:rPr>
        <w:t>3.1 Descripción de área objeto de estudio</w:t>
      </w:r>
    </w:p>
    <w:p w:rsidR="00512B3F" w:rsidRDefault="00512B3F" w:rsidP="00F6346D">
      <w:pPr>
        <w:spacing w:after="0" w:line="360" w:lineRule="auto"/>
        <w:ind w:left="-426" w:right="-427"/>
        <w:jc w:val="both"/>
        <w:rPr>
          <w:rFonts w:ascii="Times New Roman" w:hAnsi="Times New Roman" w:cs="Times New Roman"/>
          <w:sz w:val="24"/>
          <w:szCs w:val="24"/>
        </w:rPr>
      </w:pPr>
      <w:r w:rsidRPr="00512B3F">
        <w:rPr>
          <w:rFonts w:ascii="Times New Roman" w:hAnsi="Times New Roman" w:cs="Times New Roman"/>
          <w:sz w:val="24"/>
          <w:szCs w:val="24"/>
        </w:rPr>
        <w:t>El estudio se desarrolló en la UEB Héctor Rodríguez en tres unidades de producción de caña (UBPC Carlos Perera, Antonio Bacallao, Monte Lucas,) situadas en el macizo cañero de la costa norte de la Empresa Azucarera Villa Clara</w:t>
      </w:r>
      <w:r>
        <w:rPr>
          <w:rFonts w:ascii="Times New Roman" w:hAnsi="Times New Roman" w:cs="Times New Roman"/>
          <w:sz w:val="24"/>
          <w:szCs w:val="24"/>
        </w:rPr>
        <w:t xml:space="preserve">. </w:t>
      </w:r>
      <w:r w:rsidR="00B15799" w:rsidRPr="00B15799">
        <w:rPr>
          <w:rFonts w:ascii="Times New Roman" w:hAnsi="Times New Roman" w:cs="Times New Roman"/>
          <w:sz w:val="24"/>
          <w:szCs w:val="24"/>
        </w:rPr>
        <w:t>La zona en estudio se distingue por suelos llanos con pendientes inferiores al 2%. Los estudios se realizaron en plantaciones de caña de secano, fundamentalmente en cepas de primavera quedada y soca, en diferentes agrupamientos de suelos.</w:t>
      </w:r>
    </w:p>
    <w:p w:rsidR="00B15799" w:rsidRDefault="00B15799" w:rsidP="00B15799">
      <w:pPr>
        <w:spacing w:line="360" w:lineRule="auto"/>
        <w:ind w:left="-426" w:right="-427"/>
        <w:jc w:val="both"/>
        <w:rPr>
          <w:rFonts w:ascii="Times New Roman" w:hAnsi="Times New Roman" w:cs="Times New Roman"/>
          <w:sz w:val="24"/>
          <w:szCs w:val="24"/>
        </w:rPr>
      </w:pPr>
      <w:r w:rsidRPr="00B15799">
        <w:rPr>
          <w:rFonts w:ascii="Times New Roman" w:hAnsi="Times New Roman" w:cs="Times New Roman"/>
          <w:sz w:val="24"/>
          <w:szCs w:val="24"/>
        </w:rPr>
        <w:t>Según la Nueva Versión de la Clasificación Genética de los Suelos de Cuba</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&lt;EndNote&gt;&lt;Cite&gt;&lt;Author&gt;Hernández&lt;/Author&gt;&lt;Year&gt;2007&lt;/Year&gt;&lt;RecNum&gt;48&lt;/RecNum&gt;&lt;DisplayText&gt;(Hernández, 2007)&lt;/DisplayText&gt;&lt;record&gt;&lt;rec-number&gt;48&lt;/rec-number&gt;&lt;foreign-keys&gt;&lt;key app="EN" db-id="vfz9zrxzystawueeez7pxrxm9w0f59sw0dva"&gt;48&lt;/key&gt;&lt;/foreign-keys&gt;&lt;ref-type name="Book"&gt;6&lt;/ref-type&gt;&lt;contributors&gt;&lt;authors&gt;&lt;author&gt;Hernández, J. L.&lt;/author&gt;&lt;/authors&gt;&lt;/contributors&gt;&lt;titles&gt;&lt;title&gt;Metodos para el analisis físico de los suelos&lt;/title&gt;&lt;/titles&gt;&lt;edition&gt;Ediciones INCA&lt;/edition&gt;&lt;dates&gt;&lt;year&gt;2007&lt;/year&gt;&lt;/dates&gt;&lt;isbn&gt;978-959-7023-39-5&lt;/isbn&gt;&lt;urls&gt;&lt;/urls&gt;&lt;/record&gt;&lt;/Cite&gt;&lt;/EndNote&gt;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w:t>
      </w:r>
      <w:hyperlink w:anchor="_ENREF_7" w:tooltip="Hernández, 2007 #48" w:history="1">
        <w:r w:rsidR="00091134">
          <w:rPr>
            <w:rFonts w:ascii="Times New Roman" w:hAnsi="Times New Roman" w:cs="Times New Roman"/>
            <w:sz w:val="24"/>
            <w:szCs w:val="24"/>
          </w:rPr>
          <w:t>Hernández, 2007</w:t>
        </w:r>
      </w:hyperlink>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15799">
        <w:rPr>
          <w:rFonts w:ascii="Times New Roman" w:hAnsi="Times New Roman" w:cs="Times New Roman"/>
          <w:sz w:val="24"/>
          <w:szCs w:val="24"/>
        </w:rPr>
        <w:t>en esta UEB existen 7 grupos principales de suelos, véase en la F</w:t>
      </w:r>
      <w:r>
        <w:rPr>
          <w:rFonts w:ascii="Times New Roman" w:hAnsi="Times New Roman" w:cs="Times New Roman"/>
          <w:sz w:val="24"/>
          <w:szCs w:val="24"/>
        </w:rPr>
        <w:t>igura 3.1.</w:t>
      </w:r>
    </w:p>
    <w:p w:rsidR="00B15799" w:rsidRDefault="00B15799" w:rsidP="00B15799">
      <w:pPr>
        <w:spacing w:line="360" w:lineRule="auto"/>
        <w:ind w:left="-426" w:right="-427"/>
        <w:jc w:val="center"/>
        <w:rPr>
          <w:rFonts w:cs="Arial"/>
          <w:szCs w:val="24"/>
        </w:rPr>
      </w:pPr>
      <w:r w:rsidRPr="002E0183">
        <w:rPr>
          <w:noProof/>
        </w:rPr>
        <w:drawing>
          <wp:inline distT="0" distB="0" distL="0" distR="0" wp14:anchorId="7AB2F14C" wp14:editId="3DDFE619">
            <wp:extent cx="3162300" cy="1885950"/>
            <wp:effectExtent l="0" t="0" r="0" b="0"/>
            <wp:docPr id="28" name="Objet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5799" w:rsidRDefault="00091134" w:rsidP="00B15799">
      <w:pPr>
        <w:spacing w:line="360" w:lineRule="auto"/>
        <w:jc w:val="center"/>
        <w:rPr>
          <w:rFonts w:ascii="Times New Roman" w:eastAsia="SimSun" w:hAnsi="Times New Roman" w:cs="Times New Roman"/>
          <w:iCs/>
          <w:sz w:val="20"/>
          <w:lang w:eastAsia="zh-CN"/>
        </w:rPr>
      </w:pPr>
      <w:r>
        <w:rPr>
          <w:rFonts w:ascii="Times New Roman" w:eastAsia="SimSun" w:hAnsi="Times New Roman" w:cs="Times New Roman"/>
          <w:iCs/>
          <w:sz w:val="20"/>
          <w:lang w:eastAsia="zh-CN"/>
        </w:rPr>
        <w:t>Figura 3.1</w:t>
      </w:r>
      <w:r w:rsidR="00B15799" w:rsidRPr="00B15799">
        <w:rPr>
          <w:rFonts w:ascii="Times New Roman" w:eastAsia="SimSun" w:hAnsi="Times New Roman" w:cs="Times New Roman"/>
          <w:iCs/>
          <w:sz w:val="20"/>
          <w:lang w:eastAsia="zh-CN"/>
        </w:rPr>
        <w:t xml:space="preserve"> Distribución de los suelos según su clasificación</w:t>
      </w:r>
      <w:r>
        <w:rPr>
          <w:rFonts w:ascii="Times New Roman" w:eastAsia="SimSun" w:hAnsi="Times New Roman" w:cs="Times New Roman"/>
          <w:iCs/>
          <w:sz w:val="20"/>
          <w:lang w:eastAsia="zh-CN"/>
        </w:rPr>
        <w:t xml:space="preserve"> (Fuente: Elaboración propia)</w:t>
      </w:r>
    </w:p>
    <w:p w:rsidR="00B15799" w:rsidRPr="00B15799" w:rsidRDefault="00B15799" w:rsidP="00B15799">
      <w:pPr>
        <w:spacing w:line="360" w:lineRule="auto"/>
        <w:ind w:left="-426"/>
        <w:jc w:val="both"/>
        <w:rPr>
          <w:rFonts w:ascii="Times New Roman" w:hAnsi="Times New Roman" w:cs="Times New Roman"/>
          <w:b/>
          <w:sz w:val="24"/>
          <w:szCs w:val="24"/>
        </w:rPr>
      </w:pPr>
      <w:r w:rsidRPr="00B15799">
        <w:rPr>
          <w:rFonts w:ascii="Times New Roman" w:hAnsi="Times New Roman" w:cs="Times New Roman"/>
          <w:b/>
          <w:sz w:val="24"/>
          <w:szCs w:val="24"/>
        </w:rPr>
        <w:t>3.2 Tecnologías empleadas en el cultivo y cosecha de la caña</w:t>
      </w:r>
    </w:p>
    <w:p w:rsidR="00B15799" w:rsidRPr="00B15799" w:rsidRDefault="00B15799" w:rsidP="00B15799">
      <w:pPr>
        <w:spacing w:line="360" w:lineRule="auto"/>
        <w:ind w:left="-426" w:right="-427"/>
        <w:jc w:val="both"/>
        <w:rPr>
          <w:rFonts w:ascii="Times New Roman" w:hAnsi="Times New Roman" w:cs="Times New Roman"/>
          <w:sz w:val="24"/>
          <w:szCs w:val="24"/>
        </w:rPr>
      </w:pPr>
      <w:r w:rsidRPr="00B15799">
        <w:rPr>
          <w:rFonts w:ascii="Times New Roman" w:hAnsi="Times New Roman" w:cs="Times New Roman"/>
          <w:sz w:val="24"/>
          <w:szCs w:val="24"/>
        </w:rPr>
        <w:t xml:space="preserve">En </w:t>
      </w:r>
      <w:smartTag w:uri="urn:schemas-microsoft-com:office:smarttags" w:element="PersonName">
        <w:smartTagPr>
          <w:attr w:name="ProductID" w:val="la UEB"/>
        </w:smartTagPr>
        <w:r w:rsidRPr="00B15799">
          <w:rPr>
            <w:rFonts w:ascii="Times New Roman" w:hAnsi="Times New Roman" w:cs="Times New Roman"/>
            <w:sz w:val="24"/>
            <w:szCs w:val="24"/>
          </w:rPr>
          <w:t>la UEB</w:t>
        </w:r>
      </w:smartTag>
      <w:r w:rsidRPr="00B15799">
        <w:rPr>
          <w:rFonts w:ascii="Times New Roman" w:hAnsi="Times New Roman" w:cs="Times New Roman"/>
          <w:sz w:val="24"/>
          <w:szCs w:val="24"/>
        </w:rPr>
        <w:t xml:space="preserve"> la preparación del suelo está mecanizada totalmente. La siembra mecanizada se encuentra limitada por el complementario de las máquinas especializadas aún en desarrollo, y por las limitaciones de sus usos en estos suelos que presentan un alto contenido de humedad. </w:t>
      </w:r>
    </w:p>
    <w:p w:rsidR="00B15799" w:rsidRDefault="00B15799" w:rsidP="00B15799">
      <w:pPr>
        <w:spacing w:line="360" w:lineRule="auto"/>
        <w:ind w:left="-426" w:right="-427"/>
        <w:jc w:val="both"/>
        <w:rPr>
          <w:rFonts w:ascii="Times New Roman" w:hAnsi="Times New Roman" w:cs="Times New Roman"/>
          <w:sz w:val="24"/>
          <w:szCs w:val="24"/>
        </w:rPr>
      </w:pPr>
      <w:r w:rsidRPr="00B15799">
        <w:rPr>
          <w:rFonts w:ascii="Times New Roman" w:hAnsi="Times New Roman" w:cs="Times New Roman"/>
          <w:sz w:val="24"/>
          <w:szCs w:val="24"/>
        </w:rPr>
        <w:lastRenderedPageBreak/>
        <w:t>Las dimensiones del cantero tabla 3.</w:t>
      </w:r>
      <w:r w:rsidR="00091134">
        <w:rPr>
          <w:rFonts w:ascii="Times New Roman" w:hAnsi="Times New Roman" w:cs="Times New Roman"/>
          <w:sz w:val="24"/>
          <w:szCs w:val="24"/>
        </w:rPr>
        <w:t>1</w:t>
      </w:r>
      <w:r w:rsidRPr="00B15799">
        <w:rPr>
          <w:rFonts w:ascii="Times New Roman" w:hAnsi="Times New Roman" w:cs="Times New Roman"/>
          <w:sz w:val="24"/>
          <w:szCs w:val="24"/>
        </w:rPr>
        <w:t>, ancho de la base y de la copa, resultaron similares con las reportadas para esas condiciones por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&lt;EndNote&gt;&lt;Cite&gt;&lt;Author&gt;Betancourt&lt;/Author&gt;&lt;Year&gt;2011&lt;/Year&gt;&lt;RecNum&gt;36&lt;/RecNum&gt;&lt;DisplayText&gt;(Betancourt &amp;amp; Iglesias, 2011)&lt;/DisplayText&gt;&lt;record&gt;&lt;rec-number&gt;36&lt;/rec-number&gt;&lt;foreign-keys&gt;&lt;key app="EN" db-id="vfz9zrxzystawueeez7pxrxm9w0f59sw0dva"&gt;36&lt;/key&gt;&lt;/foreign-keys&gt;&lt;ref-type name="Journal Article"&gt;17&lt;/ref-type&gt;&lt;contributors&gt;&lt;authors&gt;&lt;author&gt;Betancourt, Y.&lt;/author&gt;&lt;author&gt;Iglesias, C.&lt;/author&gt;&lt;/authors&gt;&lt;/contributors&gt;&lt;titles&gt;&lt;title&gt;Fundamentos del diseño de implementos para la preparación localizada de superficies acanteradas en caña de azúcar&lt;/title&gt;&lt;secondary-title&gt;Revista Ciencias Técnicas Agropecuarias&lt;/secondary-title&gt;&lt;/titles&gt;&lt;periodical&gt;&lt;full-title&gt;Revista Ciencias Técnicas Agropecuarias&lt;/full-title&gt;&lt;/periodical&gt;&lt;pages&gt;5-10&lt;/pages&gt;&lt;volume&gt;20&lt;/volume&gt;&lt;dates&gt;&lt;year&gt;2011&lt;/year&gt;&lt;/dates&gt;&lt;isbn&gt;1010-2760&lt;/isbn&gt;&lt;urls&gt;&lt;related-urls&gt;&lt;url&gt;http://scieloprueba.sld.cu/scielo.php?script=sci_serial&amp;amp;pid=2071-0054&amp;amp;lng=es&amp;amp;nrm=iso&lt;/url&gt;&lt;/related-urls&gt;&lt;/urls&gt;&lt;language&gt;Español&lt;/languag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Betancourt, 2011 #36" w:history="1">
        <w:r w:rsidR="00091134">
          <w:rPr>
            <w:rFonts w:ascii="Times New Roman" w:hAnsi="Times New Roman" w:cs="Times New Roman"/>
            <w:noProof/>
            <w:sz w:val="24"/>
            <w:szCs w:val="24"/>
          </w:rPr>
          <w:t>Betancourt &amp; Iglesias, 2011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B15799">
        <w:rPr>
          <w:rFonts w:ascii="Times New Roman" w:hAnsi="Times New Roman" w:cs="Times New Roman"/>
          <w:sz w:val="24"/>
          <w:szCs w:val="24"/>
        </w:rPr>
        <w:t xml:space="preserve">, no así la altura que resultó inferior al valor mínimo de </w:t>
      </w:r>
      <w:smartTag w:uri="urn:schemas-microsoft-com:office:smarttags" w:element="metricconverter">
        <w:smartTagPr>
          <w:attr w:name="ProductID" w:val="20 cm"/>
        </w:smartTagPr>
        <w:r w:rsidRPr="00B15799">
          <w:rPr>
            <w:rFonts w:ascii="Times New Roman" w:hAnsi="Times New Roman" w:cs="Times New Roman"/>
            <w:sz w:val="24"/>
            <w:szCs w:val="24"/>
          </w:rPr>
          <w:t>20 cm</w:t>
        </w:r>
      </w:smartTag>
      <w:r w:rsidRPr="00B15799">
        <w:rPr>
          <w:rFonts w:ascii="Times New Roman" w:hAnsi="Times New Roman" w:cs="Times New Roman"/>
          <w:sz w:val="24"/>
          <w:szCs w:val="24"/>
        </w:rPr>
        <w:t xml:space="preserve"> recomendado por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&lt;EndNote&gt;&lt;Cite&gt;&lt;Author&gt;Gutierrez&lt;/Author&gt;&lt;Year&gt;2013&lt;/Year&gt;&lt;RecNum&gt;19&lt;/RecNum&gt;&lt;DisplayText&gt;(Gutierrez et al., 2013)&lt;/DisplayText&gt;&lt;record&gt;&lt;rec-number&gt;19&lt;/rec-number&gt;&lt;foreign-keys&gt;&lt;key app="EN" db-id="t2zwp9t2qazf0oeddeqx0pssa22t9pzfp2wd"&gt;19&lt;/key&gt;&lt;/foreign-keys&gt;&lt;ref-type name="Journal Article"&gt;17&lt;/ref-type&gt;&lt;contributors&gt;&lt;authors&gt;&lt;author&gt;Gutierrez, A&lt;/author&gt;&lt;author&gt;Mujica, F&lt;/author&gt;&lt;author&gt;García, L&lt;/author&gt;&lt;author&gt;Pineda, E&lt;/author&gt;&lt;author&gt;Betancourt, Y&lt;/author&gt;&lt;author&gt;Gómez, J&lt;/author&gt;&lt;author&gt;Rodríguez, I&lt;/author&gt;&lt;author&gt;García, H&lt;/author&gt;&lt;author&gt;Aday, O&lt;/author&gt;&lt;/authors&gt;&lt;/contributors&gt;&lt;titles&gt;&lt;title&gt;Manual de buenas prácticas agrícolas para el cultivo de la caña de azúcar en los suelos arcillosos pesados con regadío superficial.&lt;/title&gt;&lt;secondary-title&gt;Cuba &amp;amp; Caña, Suplemento especial, No. 1.&lt;/secondary-title&gt;&lt;/titles&gt;&lt;volume&gt;I&lt;/volume&gt;&lt;dates&gt;&lt;year&gt;2013&lt;/year&gt;&lt;/dates&gt;&lt;urls&gt;&lt;/urls&gt;&lt;/record&gt;&lt;/Cite&gt;&lt;/EndNote&gt;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Gutierrez, 2013 #19" w:history="1">
        <w:r w:rsidR="00091134">
          <w:rPr>
            <w:rFonts w:ascii="Times New Roman" w:hAnsi="Times New Roman" w:cs="Times New Roman"/>
            <w:noProof/>
            <w:sz w:val="24"/>
            <w:szCs w:val="24"/>
          </w:rPr>
          <w:t>Gutierrez et al., 2013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B15799">
        <w:rPr>
          <w:rFonts w:ascii="Times New Roman" w:hAnsi="Times New Roman" w:cs="Times New Roman"/>
          <w:sz w:val="24"/>
          <w:szCs w:val="24"/>
        </w:rPr>
        <w:t>. Aunque en el rango de lo obtenido en otras investigaciones por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&lt;EndNote&gt;&lt;Cite&gt;&lt;Author&gt;Betancourt&lt;/Author&gt;&lt;Year&gt;2013&lt;/Year&gt;&lt;RecNum&gt;15&lt;/RecNum&gt;&lt;DisplayText&gt;(Betancourt, 2013)&lt;/DisplayText&gt;&lt;record&gt;&lt;rec-number&gt;15&lt;/rec-number&gt;&lt;foreign-keys&gt;&lt;key app="EN" db-id="vfz9zrxzystawueeez7pxrxm9w0f59sw0dva"&gt;15&lt;/key&gt;&lt;/foreign-keys&gt;&lt;ref-type name="Journal Article"&gt;17&lt;/ref-type&gt;&lt;contributors&gt;&lt;authors&gt;&lt;author&gt;Betancourt, Y.&lt;/author&gt;&lt;/authors&gt;&lt;/contributors&gt;&lt;titles&gt;&lt;title&gt;Las propiedades físicas del suelo para definir la zona de aplicación del laboreo localizado en los suelos arcillosos pesados en el norte de Villa Clara&lt;/title&gt;&lt;secondary-title&gt;Revista Ciencias Técnicas Agropecuarias&lt;/secondary-title&gt;&lt;/titles&gt;&lt;periodical&gt;&lt;full-title&gt;Revista Ciencias Técnicas Agropecuarias&lt;/full-title&gt;&lt;/periodical&gt;&lt;dates&gt;&lt;year&gt;2013&lt;/year&gt;&lt;/dates&gt;&lt;urls&gt;&lt;related-urls&gt;&lt;url&gt;http://www.rcta.unah.edu.cu/index.php/rcta/article/view/124/125&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Betancourt, 2013 #15" w:history="1">
        <w:r w:rsidR="00091134">
          <w:rPr>
            <w:rFonts w:ascii="Times New Roman" w:hAnsi="Times New Roman" w:cs="Times New Roman"/>
            <w:noProof/>
            <w:sz w:val="24"/>
            <w:szCs w:val="24"/>
          </w:rPr>
          <w:t>Betancourt, 2013</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B15799">
        <w:rPr>
          <w:rFonts w:ascii="Times New Roman" w:hAnsi="Times New Roman" w:cs="Times New Roman"/>
          <w:sz w:val="24"/>
          <w:szCs w:val="24"/>
        </w:rPr>
        <w:t xml:space="preserve">. </w:t>
      </w:r>
    </w:p>
    <w:p w:rsidR="00B15799" w:rsidRDefault="00B15799" w:rsidP="00B15799">
      <w:pPr>
        <w:spacing w:line="360" w:lineRule="auto"/>
        <w:ind w:left="-426"/>
        <w:jc w:val="both"/>
        <w:rPr>
          <w:rFonts w:ascii="Times New Roman" w:eastAsia="SimSun" w:hAnsi="Times New Roman" w:cs="Times New Roman"/>
          <w:sz w:val="20"/>
          <w:szCs w:val="24"/>
          <w:lang w:eastAsia="zh-CN"/>
        </w:rPr>
      </w:pPr>
      <w:r w:rsidRPr="00B15799">
        <w:rPr>
          <w:rFonts w:ascii="Times New Roman" w:eastAsia="SimSun" w:hAnsi="Times New Roman" w:cs="Times New Roman"/>
          <w:sz w:val="20"/>
          <w:szCs w:val="24"/>
          <w:lang w:eastAsia="zh-CN"/>
        </w:rPr>
        <w:t>Tabla 3.</w:t>
      </w:r>
      <w:r w:rsidR="00091134">
        <w:rPr>
          <w:rFonts w:ascii="Times New Roman" w:eastAsia="SimSun" w:hAnsi="Times New Roman" w:cs="Times New Roman"/>
          <w:sz w:val="20"/>
          <w:szCs w:val="24"/>
          <w:lang w:eastAsia="zh-CN"/>
        </w:rPr>
        <w:t>1</w:t>
      </w:r>
      <w:r w:rsidRPr="00B15799">
        <w:rPr>
          <w:rFonts w:ascii="Times New Roman" w:eastAsia="SimSun" w:hAnsi="Times New Roman" w:cs="Times New Roman"/>
          <w:sz w:val="20"/>
          <w:szCs w:val="24"/>
          <w:lang w:eastAsia="zh-CN"/>
        </w:rPr>
        <w:t xml:space="preserve"> Relieve y características vinculadas a la distancia entre hileras y al cantero.</w:t>
      </w:r>
    </w:p>
    <w:tbl>
      <w:tblPr>
        <w:tblpPr w:leftFromText="141" w:rightFromText="141" w:vertAnchor="text" w:horzAnchor="margin" w:tblpXSpec="center" w:tblpY="32"/>
        <w:tblW w:w="483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994"/>
        <w:gridCol w:w="1749"/>
        <w:gridCol w:w="1852"/>
        <w:gridCol w:w="2010"/>
        <w:gridCol w:w="1962"/>
      </w:tblGrid>
      <w:tr w:rsidR="00B15799" w:rsidRPr="00B15799" w:rsidTr="00B15799">
        <w:trPr>
          <w:trHeight w:val="379"/>
        </w:trPr>
        <w:tc>
          <w:tcPr>
            <w:tcW w:w="580" w:type="pct"/>
            <w:tcBorders>
              <w:top w:val="single" w:sz="4" w:space="0" w:color="auto"/>
              <w:left w:val="nil"/>
              <w:bottom w:val="single" w:sz="4" w:space="0" w:color="auto"/>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bCs/>
                <w:color w:val="000000"/>
                <w:sz w:val="24"/>
                <w:lang w:eastAsia="zh-CN"/>
              </w:rPr>
            </w:pPr>
            <w:r w:rsidRPr="00B15799">
              <w:rPr>
                <w:rFonts w:ascii="Times New Roman" w:eastAsia="SimSun" w:hAnsi="Times New Roman" w:cs="Times New Roman"/>
                <w:bCs/>
                <w:color w:val="000000"/>
                <w:sz w:val="24"/>
                <w:lang w:eastAsia="zh-CN"/>
              </w:rPr>
              <w:t>Relieve</w:t>
            </w:r>
          </w:p>
        </w:tc>
        <w:tc>
          <w:tcPr>
            <w:tcW w:w="1021" w:type="pct"/>
            <w:tcBorders>
              <w:top w:val="single" w:sz="4" w:space="0" w:color="auto"/>
              <w:left w:val="nil"/>
              <w:bottom w:val="single" w:sz="4" w:space="0" w:color="auto"/>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bCs/>
                <w:color w:val="000000"/>
                <w:sz w:val="24"/>
                <w:lang w:eastAsia="zh-CN"/>
              </w:rPr>
            </w:pPr>
            <w:r w:rsidRPr="00B15799">
              <w:rPr>
                <w:rFonts w:ascii="Times New Roman" w:eastAsia="SimSun" w:hAnsi="Times New Roman" w:cs="Times New Roman"/>
                <w:bCs/>
                <w:color w:val="000000"/>
                <w:sz w:val="24"/>
                <w:lang w:eastAsia="zh-CN"/>
              </w:rPr>
              <w:t>Distancia entre hileras (m)</w:t>
            </w:r>
            <w:r w:rsidRPr="00B15799">
              <w:rPr>
                <w:rFonts w:ascii="Times New Roman" w:eastAsia="SimSun" w:hAnsi="Times New Roman" w:cs="Times New Roman"/>
                <w:bCs/>
                <w:color w:val="000000"/>
                <w:sz w:val="24"/>
                <w:vertAlign w:val="superscript"/>
                <w:lang w:eastAsia="zh-CN"/>
              </w:rPr>
              <w:t>*</w:t>
            </w:r>
          </w:p>
        </w:tc>
        <w:tc>
          <w:tcPr>
            <w:tcW w:w="1081" w:type="pct"/>
            <w:tcBorders>
              <w:top w:val="single" w:sz="4" w:space="0" w:color="auto"/>
              <w:left w:val="nil"/>
              <w:bottom w:val="single" w:sz="4" w:space="0" w:color="auto"/>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bCs/>
                <w:color w:val="000000"/>
                <w:sz w:val="24"/>
                <w:lang w:eastAsia="zh-CN"/>
              </w:rPr>
            </w:pPr>
            <w:r w:rsidRPr="00B15799">
              <w:rPr>
                <w:rFonts w:ascii="Times New Roman" w:eastAsia="SimSun" w:hAnsi="Times New Roman" w:cs="Times New Roman"/>
                <w:bCs/>
                <w:color w:val="000000"/>
                <w:sz w:val="24"/>
                <w:lang w:eastAsia="zh-CN"/>
              </w:rPr>
              <w:t>Altura del cantero (cm)</w:t>
            </w:r>
          </w:p>
        </w:tc>
        <w:tc>
          <w:tcPr>
            <w:tcW w:w="1173" w:type="pct"/>
            <w:tcBorders>
              <w:top w:val="single" w:sz="4" w:space="0" w:color="auto"/>
              <w:left w:val="nil"/>
              <w:bottom w:val="single" w:sz="4" w:space="0" w:color="auto"/>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bCs/>
                <w:color w:val="000000"/>
                <w:sz w:val="24"/>
                <w:lang w:eastAsia="zh-CN"/>
              </w:rPr>
            </w:pPr>
            <w:r w:rsidRPr="00B15799">
              <w:rPr>
                <w:rFonts w:ascii="Times New Roman" w:eastAsia="SimSun" w:hAnsi="Times New Roman" w:cs="Times New Roman"/>
                <w:bCs/>
                <w:color w:val="000000"/>
                <w:sz w:val="24"/>
                <w:lang w:eastAsia="zh-CN"/>
              </w:rPr>
              <w:t>Ancho de la base del cantero (cm)</w:t>
            </w:r>
          </w:p>
        </w:tc>
        <w:tc>
          <w:tcPr>
            <w:tcW w:w="1145" w:type="pct"/>
            <w:tcBorders>
              <w:top w:val="single" w:sz="4" w:space="0" w:color="auto"/>
              <w:left w:val="nil"/>
              <w:bottom w:val="single" w:sz="4" w:space="0" w:color="auto"/>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bCs/>
                <w:color w:val="000000"/>
                <w:sz w:val="24"/>
                <w:lang w:eastAsia="zh-CN"/>
              </w:rPr>
            </w:pPr>
            <w:r w:rsidRPr="00B15799">
              <w:rPr>
                <w:rFonts w:ascii="Times New Roman" w:eastAsia="SimSun" w:hAnsi="Times New Roman" w:cs="Times New Roman"/>
                <w:bCs/>
                <w:color w:val="000000"/>
                <w:sz w:val="24"/>
                <w:lang w:eastAsia="zh-CN"/>
              </w:rPr>
              <w:t>Ancho de la copa del cantero (cm)</w:t>
            </w:r>
          </w:p>
        </w:tc>
      </w:tr>
      <w:tr w:rsidR="00B15799" w:rsidRPr="00B15799" w:rsidTr="00B15799">
        <w:trPr>
          <w:trHeight w:val="333"/>
        </w:trPr>
        <w:tc>
          <w:tcPr>
            <w:tcW w:w="580" w:type="pct"/>
            <w:tcBorders>
              <w:top w:val="single" w:sz="4" w:space="0" w:color="auto"/>
              <w:left w:val="nil"/>
              <w:bottom w:val="nil"/>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bCs/>
                <w:color w:val="000000"/>
                <w:sz w:val="24"/>
                <w:lang w:eastAsia="zh-CN"/>
              </w:rPr>
            </w:pPr>
            <w:r w:rsidRPr="00B15799">
              <w:rPr>
                <w:rFonts w:ascii="Times New Roman" w:eastAsia="SimSun" w:hAnsi="Times New Roman" w:cs="Times New Roman"/>
                <w:bCs/>
                <w:color w:val="000000"/>
                <w:sz w:val="24"/>
                <w:lang w:eastAsia="zh-CN"/>
              </w:rPr>
              <w:t>Llano</w:t>
            </w:r>
          </w:p>
        </w:tc>
        <w:tc>
          <w:tcPr>
            <w:tcW w:w="1021" w:type="pct"/>
            <w:tcBorders>
              <w:top w:val="single" w:sz="4" w:space="0" w:color="auto"/>
              <w:left w:val="nil"/>
              <w:bottom w:val="nil"/>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color w:val="000000"/>
                <w:sz w:val="24"/>
                <w:lang w:eastAsia="zh-CN"/>
              </w:rPr>
            </w:pPr>
            <w:r w:rsidRPr="00B15799">
              <w:rPr>
                <w:rFonts w:ascii="Times New Roman" w:eastAsia="SimSun" w:hAnsi="Times New Roman" w:cs="Times New Roman"/>
                <w:color w:val="000000"/>
                <w:sz w:val="24"/>
                <w:lang w:eastAsia="zh-CN"/>
              </w:rPr>
              <w:t xml:space="preserve">1,60 </w:t>
            </w:r>
            <w:r w:rsidRPr="00B15799">
              <w:rPr>
                <w:rFonts w:ascii="Times New Roman" w:eastAsia="SimSun" w:hAnsi="Times New Roman" w:cs="Times New Roman"/>
                <w:color w:val="000000"/>
                <w:sz w:val="24"/>
                <w:lang w:eastAsia="zh-CN"/>
              </w:rPr>
              <w:sym w:font="Symbol" w:char="F0B1"/>
            </w:r>
            <w:r w:rsidRPr="00B15799">
              <w:rPr>
                <w:rFonts w:ascii="Times New Roman" w:eastAsia="SimSun" w:hAnsi="Times New Roman" w:cs="Times New Roman"/>
                <w:color w:val="000000"/>
                <w:sz w:val="24"/>
                <w:lang w:eastAsia="zh-CN"/>
              </w:rPr>
              <w:t xml:space="preserve"> 0,02</w:t>
            </w:r>
          </w:p>
        </w:tc>
        <w:tc>
          <w:tcPr>
            <w:tcW w:w="1081" w:type="pct"/>
            <w:tcBorders>
              <w:top w:val="single" w:sz="4" w:space="0" w:color="auto"/>
              <w:left w:val="nil"/>
              <w:bottom w:val="nil"/>
              <w:right w:val="nil"/>
            </w:tcBorders>
            <w:shd w:val="clear" w:color="auto" w:fill="auto"/>
          </w:tcPr>
          <w:p w:rsidR="00B15799" w:rsidRPr="00B15799" w:rsidRDefault="00B15799" w:rsidP="00B15799">
            <w:pPr>
              <w:spacing w:line="240" w:lineRule="auto"/>
              <w:jc w:val="center"/>
              <w:rPr>
                <w:rFonts w:ascii="Times New Roman" w:hAnsi="Times New Roman" w:cs="Times New Roman"/>
                <w:color w:val="000000"/>
                <w:sz w:val="24"/>
              </w:rPr>
            </w:pPr>
            <w:r w:rsidRPr="00B15799">
              <w:rPr>
                <w:rFonts w:ascii="Times New Roman" w:hAnsi="Times New Roman" w:cs="Times New Roman"/>
                <w:color w:val="000000"/>
                <w:sz w:val="24"/>
              </w:rPr>
              <w:t>18,3</w:t>
            </w:r>
            <w:r w:rsidRPr="00B15799">
              <w:rPr>
                <w:rFonts w:ascii="Times New Roman" w:eastAsia="SimSun" w:hAnsi="Times New Roman" w:cs="Times New Roman"/>
                <w:color w:val="000000"/>
                <w:sz w:val="24"/>
                <w:lang w:eastAsia="zh-CN"/>
              </w:rPr>
              <w:sym w:font="Symbol" w:char="F0B1"/>
            </w:r>
            <w:r w:rsidRPr="00B15799">
              <w:rPr>
                <w:rFonts w:ascii="Times New Roman" w:hAnsi="Times New Roman" w:cs="Times New Roman"/>
                <w:color w:val="000000"/>
                <w:sz w:val="24"/>
              </w:rPr>
              <w:t>1,79</w:t>
            </w:r>
          </w:p>
        </w:tc>
        <w:tc>
          <w:tcPr>
            <w:tcW w:w="1173" w:type="pct"/>
            <w:tcBorders>
              <w:top w:val="single" w:sz="4" w:space="0" w:color="auto"/>
              <w:left w:val="nil"/>
              <w:bottom w:val="nil"/>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color w:val="000000"/>
                <w:sz w:val="24"/>
                <w:lang w:eastAsia="zh-CN"/>
              </w:rPr>
            </w:pPr>
            <w:r w:rsidRPr="00B15799">
              <w:rPr>
                <w:rFonts w:ascii="Times New Roman" w:eastAsia="SimSun" w:hAnsi="Times New Roman" w:cs="Times New Roman"/>
                <w:color w:val="000000"/>
                <w:sz w:val="24"/>
                <w:lang w:eastAsia="zh-CN"/>
              </w:rPr>
              <w:t>0,86</w:t>
            </w:r>
            <w:r w:rsidRPr="00B15799">
              <w:rPr>
                <w:rFonts w:ascii="Times New Roman" w:eastAsia="SimSun" w:hAnsi="Times New Roman" w:cs="Times New Roman"/>
                <w:color w:val="000000"/>
                <w:sz w:val="24"/>
                <w:lang w:eastAsia="zh-CN"/>
              </w:rPr>
              <w:sym w:font="Symbol" w:char="F0B1"/>
            </w:r>
            <w:r w:rsidRPr="00B15799">
              <w:rPr>
                <w:rFonts w:ascii="Times New Roman" w:eastAsia="SimSun" w:hAnsi="Times New Roman" w:cs="Times New Roman"/>
                <w:color w:val="000000"/>
                <w:sz w:val="24"/>
                <w:lang w:eastAsia="zh-CN"/>
              </w:rPr>
              <w:t>0,03</w:t>
            </w:r>
          </w:p>
        </w:tc>
        <w:tc>
          <w:tcPr>
            <w:tcW w:w="1145" w:type="pct"/>
            <w:tcBorders>
              <w:top w:val="single" w:sz="4" w:space="0" w:color="auto"/>
              <w:left w:val="nil"/>
              <w:bottom w:val="nil"/>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bCs/>
                <w:color w:val="000000"/>
                <w:sz w:val="24"/>
                <w:lang w:eastAsia="zh-CN"/>
              </w:rPr>
            </w:pPr>
            <w:r w:rsidRPr="00B15799">
              <w:rPr>
                <w:rFonts w:ascii="Times New Roman" w:eastAsia="SimSun" w:hAnsi="Times New Roman" w:cs="Times New Roman"/>
                <w:bCs/>
                <w:color w:val="000000"/>
                <w:sz w:val="24"/>
                <w:lang w:eastAsia="zh-CN"/>
              </w:rPr>
              <w:t xml:space="preserve">47,43 </w:t>
            </w:r>
            <w:r w:rsidRPr="00B15799">
              <w:rPr>
                <w:rFonts w:ascii="Times New Roman" w:eastAsia="SimSun" w:hAnsi="Times New Roman" w:cs="Times New Roman"/>
                <w:bCs/>
                <w:color w:val="000000"/>
                <w:sz w:val="24"/>
                <w:lang w:eastAsia="zh-CN"/>
              </w:rPr>
              <w:sym w:font="Symbol" w:char="F0B1"/>
            </w:r>
            <w:r w:rsidRPr="00B15799">
              <w:rPr>
                <w:rFonts w:ascii="Times New Roman" w:eastAsia="SimSun" w:hAnsi="Times New Roman" w:cs="Times New Roman"/>
                <w:bCs/>
                <w:color w:val="000000"/>
                <w:sz w:val="24"/>
                <w:lang w:eastAsia="zh-CN"/>
              </w:rPr>
              <w:t>6,40</w:t>
            </w:r>
          </w:p>
        </w:tc>
      </w:tr>
      <w:tr w:rsidR="00B15799" w:rsidRPr="00B15799" w:rsidTr="00B15799">
        <w:trPr>
          <w:trHeight w:val="274"/>
        </w:trPr>
        <w:tc>
          <w:tcPr>
            <w:tcW w:w="5000" w:type="pct"/>
            <w:gridSpan w:val="5"/>
            <w:tcBorders>
              <w:top w:val="nil"/>
              <w:left w:val="nil"/>
              <w:bottom w:val="single" w:sz="4" w:space="0" w:color="auto"/>
              <w:right w:val="nil"/>
            </w:tcBorders>
            <w:shd w:val="clear" w:color="auto" w:fill="auto"/>
          </w:tcPr>
          <w:p w:rsidR="00B15799" w:rsidRPr="00B15799" w:rsidRDefault="00B15799" w:rsidP="00B15799">
            <w:pPr>
              <w:spacing w:line="240" w:lineRule="auto"/>
              <w:jc w:val="center"/>
              <w:rPr>
                <w:rFonts w:ascii="Times New Roman" w:eastAsia="SimSun" w:hAnsi="Times New Roman" w:cs="Times New Roman"/>
                <w:bCs/>
                <w:color w:val="000000"/>
                <w:sz w:val="24"/>
                <w:lang w:eastAsia="zh-CN"/>
              </w:rPr>
            </w:pPr>
            <w:r w:rsidRPr="00B15799">
              <w:rPr>
                <w:rFonts w:ascii="Times New Roman" w:eastAsia="SimSun" w:hAnsi="Times New Roman" w:cs="Times New Roman"/>
                <w:bCs/>
                <w:color w:val="000000"/>
                <w:sz w:val="24"/>
                <w:lang w:eastAsia="zh-CN"/>
              </w:rPr>
              <w:t>*Es equivalente a la distancia de centro a centro de la parte superior del cantero.</w:t>
            </w:r>
          </w:p>
        </w:tc>
      </w:tr>
    </w:tbl>
    <w:p w:rsidR="00B15799" w:rsidRDefault="00B15799" w:rsidP="00091134">
      <w:pPr>
        <w:spacing w:before="240" w:line="360" w:lineRule="auto"/>
        <w:ind w:left="-426" w:right="-427"/>
        <w:jc w:val="both"/>
        <w:rPr>
          <w:rFonts w:ascii="Times New Roman" w:hAnsi="Times New Roman" w:cs="Times New Roman"/>
          <w:sz w:val="24"/>
          <w:szCs w:val="24"/>
        </w:rPr>
      </w:pPr>
      <w:r w:rsidRPr="00B15799">
        <w:rPr>
          <w:rFonts w:ascii="Times New Roman" w:hAnsi="Times New Roman" w:cs="Times New Roman"/>
          <w:sz w:val="24"/>
          <w:szCs w:val="24"/>
        </w:rPr>
        <w:t xml:space="preserve">La cosecha se realiza de forma mecanizada en su totalidad. Para ello se emplea la cosechadora CASE IH 8 800 de fabricación brasileña, con un tiempo de explotación de 6 años y altos niveles de automatización. Como  transporte intermedio se emplea el autobasculante de Fabricación cubana RA-10. Finalmente la caña se lleva al basculador del Ingenio mediante camiones </w:t>
      </w:r>
      <w:proofErr w:type="spellStart"/>
      <w:r w:rsidRPr="00B15799">
        <w:rPr>
          <w:rFonts w:ascii="Times New Roman" w:hAnsi="Times New Roman" w:cs="Times New Roman"/>
          <w:sz w:val="24"/>
          <w:szCs w:val="24"/>
        </w:rPr>
        <w:t>Scania</w:t>
      </w:r>
      <w:proofErr w:type="spellEnd"/>
      <w:r w:rsidRPr="00B15799">
        <w:rPr>
          <w:rFonts w:ascii="Times New Roman" w:hAnsi="Times New Roman" w:cs="Times New Roman"/>
          <w:sz w:val="24"/>
          <w:szCs w:val="24"/>
        </w:rPr>
        <w:t xml:space="preserve">  y </w:t>
      </w:r>
      <w:proofErr w:type="spellStart"/>
      <w:r w:rsidRPr="00B15799">
        <w:rPr>
          <w:rFonts w:ascii="Times New Roman" w:hAnsi="Times New Roman" w:cs="Times New Roman"/>
          <w:sz w:val="24"/>
          <w:szCs w:val="24"/>
        </w:rPr>
        <w:t>Super</w:t>
      </w:r>
      <w:proofErr w:type="spellEnd"/>
      <w:r w:rsidRPr="00B15799">
        <w:rPr>
          <w:rFonts w:ascii="Times New Roman" w:hAnsi="Times New Roman" w:cs="Times New Roman"/>
          <w:sz w:val="24"/>
          <w:szCs w:val="24"/>
        </w:rPr>
        <w:t xml:space="preserve"> KAMAZ de doble remolque con capacidad de cargas hasta 60 t. </w:t>
      </w:r>
    </w:p>
    <w:p w:rsidR="00091134" w:rsidRDefault="00091134" w:rsidP="00091134">
      <w:pPr>
        <w:spacing w:before="240" w:line="360" w:lineRule="auto"/>
        <w:ind w:left="-426" w:right="-427"/>
        <w:jc w:val="both"/>
        <w:rPr>
          <w:rFonts w:ascii="Times New Roman" w:hAnsi="Times New Roman" w:cs="Times New Roman"/>
          <w:b/>
          <w:sz w:val="24"/>
          <w:szCs w:val="24"/>
        </w:rPr>
      </w:pPr>
      <w:r w:rsidRPr="00091134">
        <w:rPr>
          <w:rFonts w:ascii="Times New Roman" w:hAnsi="Times New Roman" w:cs="Times New Roman"/>
          <w:b/>
          <w:sz w:val="24"/>
          <w:szCs w:val="24"/>
        </w:rPr>
        <w:t xml:space="preserve">3.5 Efectos de la humedad del suelo </w:t>
      </w:r>
      <w:r>
        <w:rPr>
          <w:rFonts w:ascii="Times New Roman" w:hAnsi="Times New Roman" w:cs="Times New Roman"/>
          <w:b/>
          <w:sz w:val="24"/>
          <w:szCs w:val="24"/>
        </w:rPr>
        <w:t>sobre la huella</w:t>
      </w:r>
    </w:p>
    <w:p w:rsidR="00091134" w:rsidRDefault="00091134" w:rsidP="00091134">
      <w:pPr>
        <w:spacing w:before="240" w:line="360" w:lineRule="auto"/>
        <w:ind w:left="-426" w:right="-427"/>
        <w:jc w:val="both"/>
        <w:rPr>
          <w:rFonts w:ascii="Times New Roman" w:hAnsi="Times New Roman" w:cs="Times New Roman"/>
          <w:sz w:val="24"/>
          <w:szCs w:val="24"/>
        </w:rPr>
      </w:pPr>
      <w:r w:rsidRPr="00091134">
        <w:rPr>
          <w:rFonts w:ascii="Times New Roman" w:hAnsi="Times New Roman" w:cs="Times New Roman"/>
          <w:sz w:val="24"/>
          <w:szCs w:val="24"/>
        </w:rPr>
        <w:t>Los valores de humedad encontrados en los suelos de las diferentes UBPC (Figura 3.</w:t>
      </w:r>
      <w:r>
        <w:rPr>
          <w:rFonts w:ascii="Times New Roman" w:hAnsi="Times New Roman" w:cs="Times New Roman"/>
          <w:sz w:val="24"/>
          <w:szCs w:val="24"/>
        </w:rPr>
        <w:t>2</w:t>
      </w:r>
      <w:r w:rsidRPr="00091134">
        <w:rPr>
          <w:rFonts w:ascii="Times New Roman" w:hAnsi="Times New Roman" w:cs="Times New Roman"/>
          <w:sz w:val="24"/>
          <w:szCs w:val="24"/>
        </w:rPr>
        <w:t>) reflejaron un incremento respecto a la profundidad para los tres casos de estudio y todos estuvieron por debajo del 65% en los tres niveles de profundidad; valor declarado para los suelos arcillosos pesados como límite superior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&lt;EndNote&gt;&lt;Cite&gt;&lt;Author&gt;Soler&lt;/Author&gt;&lt;Year&gt;2012&lt;/Year&gt;&lt;RecNum&gt;77&lt;/RecNum&gt;&lt;DisplayText&gt;(Soler, Pérez, &amp;amp; Betancourt, 2012)&lt;/DisplayText&gt;&lt;record&gt;&lt;rec-number&gt;77&lt;/rec-number&gt;&lt;foreign-keys&gt;&lt;key app="EN" db-id="vfz9zrxzystawueeez7pxrxm9w0f59sw0dva"&gt;77&lt;/key&gt;&lt;/foreign-keys&gt;&lt;ref-type name="Pamphlet"&gt;24&lt;/ref-type&gt;&lt;contributors&gt;&lt;authors&gt;&lt;author&gt;Soler, H&lt;/author&gt;&lt;author&gt;Pérez, H&lt;/author&gt;&lt;author&gt;Betancourt, Y&lt;/author&gt;&lt;/authors&gt;&lt;secondary-authors&gt;&lt;author&gt;Grupo Azucarero AZCUBA. Instituto de Investigaciones de la Caña de Azúcar.&lt;/author&gt;&lt;/secondary-authors&gt;&lt;/contributors&gt;&lt;titles&gt;&lt;title&gt;Manejo sostenible de tierras en la producción de caña de azúcar&lt;/title&gt;&lt;/titles&gt;&lt;pages&gt;290&lt;/pages&gt;&lt;dates&gt;&lt;year&gt;2012&lt;/year&gt;&lt;/dates&gt;&lt;urls&gt;&lt;/urls&gt;&lt;/record&gt;&lt;/Cite&gt;&lt;/EndNote&gt;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1" w:tooltip="Soler, 2012 #77" w:history="1">
        <w:r>
          <w:rPr>
            <w:rFonts w:ascii="Times New Roman" w:hAnsi="Times New Roman" w:cs="Times New Roman"/>
            <w:noProof/>
            <w:sz w:val="24"/>
            <w:szCs w:val="24"/>
          </w:rPr>
          <w:t>Soler, Pérez, &amp; Betancourt,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091134" w:rsidRPr="00091134" w:rsidRDefault="00091134" w:rsidP="00091134">
      <w:pPr>
        <w:spacing w:before="240" w:line="360" w:lineRule="auto"/>
        <w:ind w:left="-426" w:right="-427"/>
        <w:jc w:val="center"/>
        <w:rPr>
          <w:rFonts w:ascii="Times New Roman" w:hAnsi="Times New Roman" w:cs="Times New Roman"/>
          <w:sz w:val="24"/>
          <w:szCs w:val="24"/>
        </w:rPr>
      </w:pPr>
      <w:r w:rsidRPr="000C72E0">
        <w:rPr>
          <w:rFonts w:eastAsia="SimSun" w:cs="Arial"/>
          <w:iCs/>
          <w:noProof/>
        </w:rPr>
        <w:drawing>
          <wp:inline distT="0" distB="0" distL="0" distR="0" wp14:anchorId="37573E01" wp14:editId="28F28B39">
            <wp:extent cx="4260215" cy="1846830"/>
            <wp:effectExtent l="0" t="0" r="0" b="0"/>
            <wp:docPr id="30" name="Imagen 30" descr="% humedad, surco-camel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humedad, surco-camelló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7925" cy="1850172"/>
                    </a:xfrm>
                    <a:prstGeom prst="rect">
                      <a:avLst/>
                    </a:prstGeom>
                    <a:noFill/>
                    <a:ln>
                      <a:noFill/>
                    </a:ln>
                  </pic:spPr>
                </pic:pic>
              </a:graphicData>
            </a:graphic>
          </wp:inline>
        </w:drawing>
      </w:r>
    </w:p>
    <w:p w:rsidR="00091134" w:rsidRPr="00091134" w:rsidRDefault="00091134" w:rsidP="00091134">
      <w:pPr>
        <w:spacing w:line="360" w:lineRule="auto"/>
        <w:jc w:val="center"/>
        <w:rPr>
          <w:rFonts w:ascii="Times New Roman" w:eastAsia="SimSun" w:hAnsi="Times New Roman" w:cs="Times New Roman"/>
          <w:iCs/>
          <w:sz w:val="20"/>
          <w:lang w:eastAsia="zh-CN"/>
        </w:rPr>
      </w:pPr>
      <w:r w:rsidRPr="00091134">
        <w:rPr>
          <w:rFonts w:ascii="Times New Roman" w:eastAsia="SimSun" w:hAnsi="Times New Roman" w:cs="Times New Roman"/>
          <w:iCs/>
          <w:sz w:val="20"/>
          <w:lang w:eastAsia="zh-CN"/>
        </w:rPr>
        <w:t>Figura 3.</w:t>
      </w:r>
      <w:r>
        <w:rPr>
          <w:rFonts w:ascii="Times New Roman" w:eastAsia="SimSun" w:hAnsi="Times New Roman" w:cs="Times New Roman"/>
          <w:iCs/>
          <w:sz w:val="20"/>
          <w:lang w:eastAsia="zh-CN"/>
        </w:rPr>
        <w:t>2</w:t>
      </w:r>
      <w:r w:rsidRPr="00091134">
        <w:rPr>
          <w:rFonts w:ascii="Times New Roman" w:eastAsia="SimSun" w:hAnsi="Times New Roman" w:cs="Times New Roman"/>
          <w:iCs/>
          <w:sz w:val="20"/>
          <w:lang w:eastAsia="zh-CN"/>
        </w:rPr>
        <w:t xml:space="preserve"> Valores de humedad encontrados en las diferentes UBPC</w:t>
      </w:r>
      <w:r>
        <w:rPr>
          <w:rFonts w:ascii="Times New Roman" w:eastAsia="SimSun" w:hAnsi="Times New Roman" w:cs="Times New Roman"/>
          <w:iCs/>
          <w:sz w:val="20"/>
          <w:lang w:eastAsia="zh-CN"/>
        </w:rPr>
        <w:t xml:space="preserve"> (Fuente: Elaboración Propia)</w:t>
      </w:r>
    </w:p>
    <w:p w:rsidR="00091134" w:rsidRDefault="00091134" w:rsidP="00091134">
      <w:pPr>
        <w:spacing w:line="360" w:lineRule="auto"/>
        <w:ind w:left="-426" w:right="-427"/>
        <w:jc w:val="both"/>
        <w:rPr>
          <w:rFonts w:ascii="Times New Roman" w:hAnsi="Times New Roman" w:cs="Times New Roman"/>
          <w:sz w:val="24"/>
          <w:szCs w:val="24"/>
        </w:rPr>
      </w:pPr>
      <w:r w:rsidRPr="00091134">
        <w:rPr>
          <w:rFonts w:ascii="Times New Roman" w:hAnsi="Times New Roman" w:cs="Times New Roman"/>
          <w:sz w:val="24"/>
          <w:szCs w:val="24"/>
        </w:rPr>
        <w:lastRenderedPageBreak/>
        <w:t xml:space="preserve">No obstante en las tres condiciones de suelo evaluadas, la cosechadora CASE IH 8 800 fue capaz de desplazarse satisfactoriamente, debido en lo fundamental al sistema de rodaje por esteras el cual genera bajas presiones sobre el suelo. Sin embargo, esto no fue así para el agregado formado por los tractores Maxxum CASE y Belarus 1523 con el autobasculante de fabricación nacional utilizado como transporte intermedio. </w:t>
      </w:r>
    </w:p>
    <w:p w:rsidR="00091134" w:rsidRDefault="00091134" w:rsidP="00091134">
      <w:pPr>
        <w:spacing w:line="360" w:lineRule="auto"/>
        <w:ind w:left="-426" w:right="-427"/>
        <w:jc w:val="both"/>
        <w:rPr>
          <w:rFonts w:ascii="Times New Roman" w:hAnsi="Times New Roman" w:cs="Times New Roman"/>
          <w:sz w:val="24"/>
          <w:szCs w:val="24"/>
        </w:rPr>
      </w:pPr>
      <w:r w:rsidRPr="00091134">
        <w:rPr>
          <w:rFonts w:ascii="Times New Roman" w:hAnsi="Times New Roman" w:cs="Times New Roman"/>
          <w:sz w:val="24"/>
          <w:szCs w:val="24"/>
        </w:rPr>
        <w:t>Este medio presentó dificultades con su traficabilidad debido al incremento de los valores de humedad presentes en zonas puntuales del campo dando como resultado la apar</w:t>
      </w:r>
      <w:r>
        <w:rPr>
          <w:rFonts w:ascii="Times New Roman" w:hAnsi="Times New Roman" w:cs="Times New Roman"/>
          <w:sz w:val="24"/>
          <w:szCs w:val="24"/>
        </w:rPr>
        <w:t xml:space="preserve">ición de atascaderos. </w:t>
      </w:r>
      <w:r w:rsidRPr="00091134">
        <w:rPr>
          <w:rFonts w:ascii="Times New Roman" w:hAnsi="Times New Roman" w:cs="Times New Roman"/>
          <w:sz w:val="24"/>
          <w:szCs w:val="24"/>
        </w:rPr>
        <w:t>En la Figura 3.</w:t>
      </w:r>
      <w:r>
        <w:rPr>
          <w:rFonts w:ascii="Times New Roman" w:hAnsi="Times New Roman" w:cs="Times New Roman"/>
          <w:sz w:val="24"/>
          <w:szCs w:val="24"/>
        </w:rPr>
        <w:t>3</w:t>
      </w:r>
      <w:r w:rsidRPr="00091134">
        <w:rPr>
          <w:rFonts w:ascii="Times New Roman" w:hAnsi="Times New Roman" w:cs="Times New Roman"/>
          <w:sz w:val="24"/>
          <w:szCs w:val="24"/>
        </w:rPr>
        <w:t xml:space="preserve"> se muestran los valores de humedad del suelo a diferentes profundidades en la zona del atascadero en la UBPC Monte Lucas. </w:t>
      </w:r>
    </w:p>
    <w:p w:rsidR="00CD5576" w:rsidRDefault="00CD5576" w:rsidP="00CD5576">
      <w:pPr>
        <w:spacing w:line="360" w:lineRule="auto"/>
        <w:ind w:left="-426" w:right="-427"/>
        <w:jc w:val="center"/>
        <w:rPr>
          <w:rFonts w:ascii="Times New Roman" w:hAnsi="Times New Roman" w:cs="Times New Roman"/>
          <w:sz w:val="24"/>
          <w:szCs w:val="24"/>
        </w:rPr>
      </w:pPr>
      <w:r w:rsidRPr="00720ED5">
        <w:rPr>
          <w:noProof/>
        </w:rPr>
        <w:drawing>
          <wp:inline distT="0" distB="0" distL="0" distR="0" wp14:anchorId="0B6F9E47" wp14:editId="5417CCC7">
            <wp:extent cx="3400425" cy="1789430"/>
            <wp:effectExtent l="0" t="0" r="0" b="0"/>
            <wp:docPr id="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D5576" w:rsidRDefault="00CD5576" w:rsidP="00CD5576">
      <w:pPr>
        <w:spacing w:line="360" w:lineRule="auto"/>
        <w:jc w:val="center"/>
        <w:rPr>
          <w:rFonts w:ascii="Times New Roman" w:eastAsia="SimSun" w:hAnsi="Times New Roman" w:cs="Times New Roman"/>
          <w:iCs/>
          <w:sz w:val="20"/>
          <w:lang w:eastAsia="zh-CN"/>
        </w:rPr>
      </w:pPr>
      <w:r w:rsidRPr="00CD5576">
        <w:rPr>
          <w:rFonts w:ascii="Times New Roman" w:eastAsia="SimSun" w:hAnsi="Times New Roman" w:cs="Times New Roman"/>
          <w:iCs/>
          <w:sz w:val="20"/>
          <w:lang w:eastAsia="zh-CN"/>
        </w:rPr>
        <w:t>Figura 3.</w:t>
      </w:r>
      <w:r>
        <w:rPr>
          <w:rFonts w:ascii="Times New Roman" w:eastAsia="SimSun" w:hAnsi="Times New Roman" w:cs="Times New Roman"/>
          <w:iCs/>
          <w:sz w:val="20"/>
          <w:lang w:eastAsia="zh-CN"/>
        </w:rPr>
        <w:t>3</w:t>
      </w:r>
      <w:r w:rsidRPr="00CD5576">
        <w:rPr>
          <w:rFonts w:ascii="Times New Roman" w:eastAsia="SimSun" w:hAnsi="Times New Roman" w:cs="Times New Roman"/>
          <w:iCs/>
          <w:sz w:val="20"/>
          <w:lang w:eastAsia="zh-CN"/>
        </w:rPr>
        <w:t xml:space="preserve"> Valores de humedad en los que el agregado tractor-autobasculante fue  susceptible de atascos</w:t>
      </w:r>
      <w:r>
        <w:rPr>
          <w:rFonts w:ascii="Times New Roman" w:eastAsia="SimSun" w:hAnsi="Times New Roman" w:cs="Times New Roman"/>
          <w:iCs/>
          <w:sz w:val="20"/>
          <w:lang w:eastAsia="zh-CN"/>
        </w:rPr>
        <w:t xml:space="preserve"> (Fuente: Elaboración propia)</w:t>
      </w:r>
    </w:p>
    <w:p w:rsidR="00CD5576" w:rsidRDefault="00CD5576" w:rsidP="00CD5576">
      <w:pPr>
        <w:spacing w:line="360" w:lineRule="auto"/>
        <w:ind w:left="-426" w:right="-427"/>
        <w:jc w:val="both"/>
        <w:rPr>
          <w:rFonts w:ascii="Times New Roman" w:hAnsi="Times New Roman" w:cs="Times New Roman"/>
          <w:sz w:val="24"/>
          <w:szCs w:val="24"/>
        </w:rPr>
      </w:pPr>
      <w:r w:rsidRPr="00CD5576">
        <w:rPr>
          <w:rFonts w:ascii="Times New Roman" w:hAnsi="Times New Roman" w:cs="Times New Roman"/>
          <w:sz w:val="24"/>
          <w:szCs w:val="24"/>
        </w:rPr>
        <w:t xml:space="preserve">Las huellas producidas </w:t>
      </w:r>
      <w:r>
        <w:rPr>
          <w:rFonts w:ascii="Times New Roman" w:hAnsi="Times New Roman" w:cs="Times New Roman"/>
          <w:sz w:val="24"/>
          <w:szCs w:val="24"/>
        </w:rPr>
        <w:t>por el atascamiento</w:t>
      </w:r>
      <w:r w:rsidRPr="00CD5576">
        <w:rPr>
          <w:rFonts w:ascii="Times New Roman" w:hAnsi="Times New Roman" w:cs="Times New Roman"/>
          <w:sz w:val="24"/>
          <w:szCs w:val="24"/>
        </w:rPr>
        <w:t xml:space="preserve"> de este agregado provocaron serias deformaciones en el perfil de suelo y como consecuencia en el desarrollo posterior del cultivo; para cuya recuperación son necesarias las diferentes labores adicionales que incrementan los costos y limitaciones de productividad.</w:t>
      </w:r>
    </w:p>
    <w:p w:rsidR="00CD5576" w:rsidRDefault="00CD5576" w:rsidP="00CD5576">
      <w:pPr>
        <w:spacing w:line="360" w:lineRule="auto"/>
        <w:ind w:left="-426" w:right="-427"/>
        <w:jc w:val="both"/>
        <w:rPr>
          <w:rFonts w:ascii="Times New Roman" w:hAnsi="Times New Roman" w:cs="Times New Roman"/>
          <w:b/>
          <w:sz w:val="24"/>
          <w:szCs w:val="24"/>
        </w:rPr>
      </w:pPr>
      <w:r w:rsidRPr="00CD5576">
        <w:rPr>
          <w:rFonts w:ascii="Times New Roman" w:hAnsi="Times New Roman" w:cs="Times New Roman"/>
          <w:b/>
          <w:sz w:val="24"/>
          <w:szCs w:val="24"/>
        </w:rPr>
        <w:t>3.6 Resultado de la medición del perfil del suelo</w:t>
      </w:r>
    </w:p>
    <w:p w:rsidR="00CD5576" w:rsidRDefault="00CD5576" w:rsidP="00CD5576">
      <w:pPr>
        <w:spacing w:line="360" w:lineRule="auto"/>
        <w:ind w:left="-426" w:right="-427"/>
        <w:jc w:val="both"/>
        <w:rPr>
          <w:rFonts w:ascii="Times New Roman" w:hAnsi="Times New Roman" w:cs="Times New Roman"/>
          <w:b/>
          <w:sz w:val="24"/>
          <w:szCs w:val="24"/>
        </w:rPr>
      </w:pPr>
      <w:r w:rsidRPr="00CD5576">
        <w:rPr>
          <w:rFonts w:ascii="Times New Roman" w:hAnsi="Times New Roman" w:cs="Times New Roman"/>
          <w:b/>
          <w:sz w:val="24"/>
          <w:szCs w:val="24"/>
        </w:rPr>
        <w:t>3.6.1 Determinación de la presión media específica</w:t>
      </w:r>
    </w:p>
    <w:p w:rsidR="00CD5576" w:rsidRPr="00CD5576" w:rsidRDefault="00CD5576" w:rsidP="00CD5576">
      <w:pPr>
        <w:spacing w:line="360" w:lineRule="auto"/>
        <w:ind w:left="-426" w:right="-427"/>
        <w:jc w:val="both"/>
        <w:rPr>
          <w:rFonts w:ascii="Times New Roman" w:hAnsi="Times New Roman" w:cs="Times New Roman"/>
          <w:sz w:val="24"/>
          <w:szCs w:val="24"/>
        </w:rPr>
      </w:pPr>
      <w:r>
        <w:rPr>
          <w:rFonts w:ascii="Times New Roman" w:hAnsi="Times New Roman" w:cs="Times New Roman"/>
          <w:sz w:val="24"/>
          <w:szCs w:val="24"/>
        </w:rPr>
        <w:t>En la Figura 3.4 se observa la deformación de la altura del cantero en función de la humedad presente en el suelo.</w:t>
      </w:r>
    </w:p>
    <w:p w:rsidR="00CD5576" w:rsidRPr="00CD5576" w:rsidRDefault="00CD5576" w:rsidP="00CD5576">
      <w:pPr>
        <w:spacing w:line="360" w:lineRule="auto"/>
        <w:ind w:left="-426" w:right="-427"/>
        <w:jc w:val="center"/>
        <w:rPr>
          <w:rFonts w:ascii="Times New Roman" w:hAnsi="Times New Roman" w:cs="Times New Roman"/>
          <w:b/>
          <w:sz w:val="24"/>
          <w:szCs w:val="24"/>
        </w:rPr>
      </w:pPr>
      <w:r w:rsidRPr="006E2C95">
        <w:rPr>
          <w:rFonts w:cs="Arial"/>
          <w:noProof/>
        </w:rPr>
        <w:lastRenderedPageBreak/>
        <w:drawing>
          <wp:inline distT="0" distB="0" distL="0" distR="0" wp14:anchorId="38CFA5B5" wp14:editId="1114E401">
            <wp:extent cx="2662700" cy="1990725"/>
            <wp:effectExtent l="0" t="0" r="0" b="0"/>
            <wp:docPr id="17" name="Imagen 66" descr="D:\DOCUMENTOS UNIVERSIDAD\TESISSS DAYANA\FOTOS TESISS\Fotossss\rfy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D:\DOCUMENTOS UNIVERSIDAD\TESISSS DAYANA\FOTOS TESISS\Fotossss\rfyjh.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2691" cy="1998194"/>
                    </a:xfrm>
                    <a:prstGeom prst="rect">
                      <a:avLst/>
                    </a:prstGeom>
                    <a:noFill/>
                    <a:ln>
                      <a:noFill/>
                    </a:ln>
                  </pic:spPr>
                </pic:pic>
              </a:graphicData>
            </a:graphic>
          </wp:inline>
        </w:drawing>
      </w:r>
    </w:p>
    <w:p w:rsidR="00CD5576" w:rsidRDefault="00CD5576" w:rsidP="00CD5576">
      <w:pPr>
        <w:ind w:left="900" w:hanging="900"/>
        <w:jc w:val="center"/>
        <w:rPr>
          <w:rFonts w:ascii="Times New Roman" w:hAnsi="Times New Roman" w:cs="Times New Roman"/>
          <w:sz w:val="20"/>
        </w:rPr>
      </w:pPr>
      <w:r>
        <w:rPr>
          <w:rFonts w:ascii="Times New Roman" w:hAnsi="Times New Roman" w:cs="Times New Roman"/>
          <w:sz w:val="20"/>
        </w:rPr>
        <w:t>Figura 3.4</w:t>
      </w:r>
      <w:r w:rsidRPr="00CD5576">
        <w:rPr>
          <w:rFonts w:ascii="Times New Roman" w:hAnsi="Times New Roman" w:cs="Times New Roman"/>
          <w:sz w:val="20"/>
        </w:rPr>
        <w:t xml:space="preserve"> Deformación de la altura del cantero (DAC) en función de la humedad del suelo (</w:t>
      </w:r>
      <w:r w:rsidRPr="00CD5576">
        <w:rPr>
          <w:rFonts w:ascii="Times New Roman" w:hAnsi="Times New Roman" w:cs="Times New Roman"/>
          <w:i/>
          <w:sz w:val="20"/>
        </w:rPr>
        <w:t>H</w:t>
      </w:r>
      <w:r>
        <w:rPr>
          <w:rFonts w:ascii="Times New Roman" w:hAnsi="Times New Roman" w:cs="Times New Roman"/>
          <w:sz w:val="20"/>
        </w:rPr>
        <w:t>) (Fuente: Elaboración propia)</w:t>
      </w:r>
    </w:p>
    <w:p w:rsidR="00CD5576" w:rsidRDefault="00CD5576" w:rsidP="00CD5576">
      <w:pPr>
        <w:spacing w:line="360" w:lineRule="auto"/>
        <w:ind w:left="-426" w:right="-427"/>
        <w:jc w:val="both"/>
        <w:rPr>
          <w:rFonts w:ascii="Times New Roman" w:hAnsi="Times New Roman" w:cs="Times New Roman"/>
          <w:sz w:val="24"/>
          <w:szCs w:val="24"/>
        </w:rPr>
      </w:pPr>
      <w:r w:rsidRPr="00CD5576">
        <w:rPr>
          <w:rFonts w:ascii="Times New Roman" w:hAnsi="Times New Roman" w:cs="Times New Roman"/>
          <w:sz w:val="24"/>
          <w:szCs w:val="24"/>
        </w:rPr>
        <w:t xml:space="preserve">Este resultado se debe, por una parte, a que los suelos arcillosos pesados como los del norte de Villa Clara disminuyen la resistencia a la compresión con el aumento de la humedad del suelo, por lo que con mayor humedad, según el intervalo evaluado, se deforma más el cantero; por la otra, al tráfico sobre el montículo de suelo, sin apoyar uniformemente toda el área de contacto del sistema de rodaje sobre la superficie del terreno, incrementando la presión sobre el suelo y por consiguiente su deformación. </w:t>
      </w:r>
    </w:p>
    <w:p w:rsidR="001677D7" w:rsidRDefault="003746F1" w:rsidP="001677D7">
      <w:pPr>
        <w:spacing w:after="0" w:line="360" w:lineRule="auto"/>
        <w:ind w:left="-426" w:right="-427"/>
        <w:jc w:val="both"/>
        <w:rPr>
          <w:rFonts w:ascii="Times New Roman" w:hAnsi="Times New Roman" w:cs="Times New Roman"/>
          <w:b/>
          <w:sz w:val="24"/>
          <w:szCs w:val="24"/>
        </w:rPr>
      </w:pPr>
      <w:r w:rsidRPr="003746F1">
        <w:rPr>
          <w:rFonts w:ascii="Times New Roman" w:hAnsi="Times New Roman" w:cs="Times New Roman"/>
          <w:b/>
          <w:sz w:val="24"/>
          <w:szCs w:val="24"/>
        </w:rPr>
        <w:t xml:space="preserve">3.6.2 Evaluaciones del perfilado del suelo </w:t>
      </w:r>
    </w:p>
    <w:p w:rsidR="003746F1" w:rsidRDefault="00570DF5" w:rsidP="001677D7">
      <w:pPr>
        <w:spacing w:after="0" w:line="360" w:lineRule="auto"/>
        <w:ind w:left="-426" w:right="-427"/>
        <w:jc w:val="both"/>
        <w:rPr>
          <w:rFonts w:ascii="Times New Roman" w:hAnsi="Times New Roman" w:cs="Times New Roman"/>
          <w:sz w:val="24"/>
          <w:szCs w:val="24"/>
        </w:rPr>
      </w:pPr>
      <w:r>
        <w:rPr>
          <w:rFonts w:eastAsia="SimSun" w:cs="Arial"/>
          <w:iCs/>
          <w:noProof/>
        </w:rPr>
        <w:drawing>
          <wp:anchor distT="0" distB="0" distL="114300" distR="114300" simplePos="0" relativeHeight="251653632" behindDoc="0" locked="0" layoutInCell="1" allowOverlap="1" wp14:anchorId="17EDBE9F" wp14:editId="16B6A54B">
            <wp:simplePos x="0" y="0"/>
            <wp:positionH relativeFrom="margin">
              <wp:posOffset>1019175</wp:posOffset>
            </wp:positionH>
            <wp:positionV relativeFrom="paragraph">
              <wp:posOffset>805180</wp:posOffset>
            </wp:positionV>
            <wp:extent cx="2952115" cy="162877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115" cy="1628775"/>
                    </a:xfrm>
                    <a:prstGeom prst="rect">
                      <a:avLst/>
                    </a:prstGeom>
                    <a:noFill/>
                  </pic:spPr>
                </pic:pic>
              </a:graphicData>
            </a:graphic>
            <wp14:sizeRelH relativeFrom="margin">
              <wp14:pctWidth>0</wp14:pctWidth>
            </wp14:sizeRelH>
            <wp14:sizeRelV relativeFrom="margin">
              <wp14:pctHeight>0</wp14:pctHeight>
            </wp14:sizeRelV>
          </wp:anchor>
        </w:drawing>
      </w:r>
      <w:r w:rsidR="003746F1" w:rsidRPr="003746F1">
        <w:rPr>
          <w:rFonts w:ascii="Times New Roman" w:hAnsi="Times New Roman" w:cs="Times New Roman"/>
          <w:sz w:val="24"/>
          <w:szCs w:val="24"/>
        </w:rPr>
        <w:t>Como se puede a</w:t>
      </w:r>
      <w:r w:rsidR="00662BD4">
        <w:rPr>
          <w:rFonts w:ascii="Times New Roman" w:hAnsi="Times New Roman" w:cs="Times New Roman"/>
          <w:sz w:val="24"/>
          <w:szCs w:val="24"/>
        </w:rPr>
        <w:t>preciar en la (Figura 3.5</w:t>
      </w:r>
      <w:r w:rsidR="003746F1" w:rsidRPr="003746F1">
        <w:rPr>
          <w:rFonts w:ascii="Times New Roman" w:hAnsi="Times New Roman" w:cs="Times New Roman"/>
          <w:sz w:val="24"/>
          <w:szCs w:val="24"/>
        </w:rPr>
        <w:t>), posterior al pase de la cosechadora se produce el hundimiento en el  espacio entre hileras así como también posterior al pase del semirremolque, esta vez en el surco o hilo de caña.</w:t>
      </w:r>
    </w:p>
    <w:p w:rsidR="003746F1" w:rsidRPr="003746F1" w:rsidRDefault="003746F1" w:rsidP="003746F1">
      <w:pPr>
        <w:spacing w:line="360" w:lineRule="auto"/>
        <w:jc w:val="center"/>
        <w:rPr>
          <w:rFonts w:ascii="Times New Roman" w:eastAsia="SimSun" w:hAnsi="Times New Roman" w:cs="Times New Roman"/>
          <w:iCs/>
          <w:sz w:val="20"/>
          <w:szCs w:val="24"/>
          <w:lang w:eastAsia="zh-CN"/>
        </w:rPr>
      </w:pPr>
      <w:r>
        <w:rPr>
          <w:rFonts w:ascii="Times New Roman" w:eastAsia="SimSun" w:hAnsi="Times New Roman" w:cs="Times New Roman"/>
          <w:iCs/>
          <w:sz w:val="20"/>
          <w:lang w:eastAsia="zh-CN"/>
        </w:rPr>
        <w:t>Figura 3.</w:t>
      </w:r>
      <w:r w:rsidR="00662BD4">
        <w:rPr>
          <w:rFonts w:ascii="Times New Roman" w:eastAsia="SimSun" w:hAnsi="Times New Roman" w:cs="Times New Roman"/>
          <w:iCs/>
          <w:sz w:val="20"/>
          <w:lang w:eastAsia="zh-CN"/>
        </w:rPr>
        <w:t>5</w:t>
      </w:r>
      <w:r>
        <w:rPr>
          <w:rFonts w:ascii="Times New Roman" w:eastAsia="SimSun" w:hAnsi="Times New Roman" w:cs="Times New Roman"/>
          <w:iCs/>
          <w:sz w:val="20"/>
          <w:lang w:eastAsia="zh-CN"/>
        </w:rPr>
        <w:t xml:space="preserve"> </w:t>
      </w:r>
      <w:r w:rsidRPr="003746F1">
        <w:rPr>
          <w:rFonts w:ascii="Times New Roman" w:eastAsia="SimSun" w:hAnsi="Times New Roman" w:cs="Times New Roman"/>
          <w:iCs/>
          <w:sz w:val="20"/>
          <w:lang w:eastAsia="zh-CN"/>
        </w:rPr>
        <w:t>Variaciones del microrrelieve en la UBPC Carlos Perera</w:t>
      </w:r>
      <w:r>
        <w:rPr>
          <w:rFonts w:ascii="Times New Roman" w:eastAsia="SimSun" w:hAnsi="Times New Roman" w:cs="Times New Roman"/>
          <w:iCs/>
          <w:sz w:val="20"/>
          <w:lang w:eastAsia="zh-CN"/>
        </w:rPr>
        <w:t xml:space="preserve"> (Fuente: Elaboración propia</w:t>
      </w:r>
      <w:r>
        <w:rPr>
          <w:rFonts w:ascii="Times New Roman" w:eastAsia="SimSun" w:hAnsi="Times New Roman" w:cs="Times New Roman"/>
          <w:iCs/>
          <w:sz w:val="20"/>
          <w:szCs w:val="24"/>
          <w:lang w:eastAsia="zh-CN"/>
        </w:rPr>
        <w:t>)</w:t>
      </w:r>
    </w:p>
    <w:p w:rsidR="003746F1" w:rsidRDefault="003746F1" w:rsidP="003746F1">
      <w:pPr>
        <w:spacing w:line="360" w:lineRule="auto"/>
        <w:ind w:left="-426" w:right="-427"/>
        <w:jc w:val="both"/>
        <w:rPr>
          <w:rFonts w:ascii="Times New Roman" w:hAnsi="Times New Roman" w:cs="Times New Roman"/>
          <w:sz w:val="24"/>
          <w:szCs w:val="24"/>
        </w:rPr>
      </w:pPr>
      <w:r w:rsidRPr="003746F1">
        <w:rPr>
          <w:rFonts w:ascii="Times New Roman" w:hAnsi="Times New Roman" w:cs="Times New Roman"/>
          <w:sz w:val="24"/>
          <w:szCs w:val="24"/>
        </w:rPr>
        <w:t xml:space="preserve">Un estudio más detallado del efecto de la cosechadora sobre el perfilado </w:t>
      </w:r>
      <w:r>
        <w:rPr>
          <w:rFonts w:ascii="Times New Roman" w:hAnsi="Times New Roman" w:cs="Times New Roman"/>
          <w:sz w:val="24"/>
          <w:szCs w:val="24"/>
        </w:rPr>
        <w:t>del suelo</w:t>
      </w:r>
      <w:r w:rsidRPr="003746F1">
        <w:rPr>
          <w:rFonts w:ascii="Times New Roman" w:hAnsi="Times New Roman" w:cs="Times New Roman"/>
          <w:sz w:val="24"/>
          <w:szCs w:val="24"/>
        </w:rPr>
        <w:t xml:space="preserve"> mostró que la deformación provocada por su peso generó huellas menores a </w:t>
      </w:r>
      <w:smartTag w:uri="urn:schemas-microsoft-com:office:smarttags" w:element="metricconverter">
        <w:smartTagPr>
          <w:attr w:name="ProductID" w:val="5 cm"/>
        </w:smartTagPr>
        <w:r w:rsidRPr="003746F1">
          <w:rPr>
            <w:rFonts w:ascii="Times New Roman" w:hAnsi="Times New Roman" w:cs="Times New Roman"/>
            <w:sz w:val="24"/>
            <w:szCs w:val="24"/>
          </w:rPr>
          <w:t>5 cm</w:t>
        </w:r>
      </w:smartTag>
      <w:r w:rsidRPr="003746F1">
        <w:rPr>
          <w:rFonts w:ascii="Times New Roman" w:hAnsi="Times New Roman" w:cs="Times New Roman"/>
          <w:sz w:val="24"/>
          <w:szCs w:val="24"/>
        </w:rPr>
        <w:t xml:space="preserve"> y no afecta la estructura del surco. Esta máquina fue capaz de desplazarse satisfactoriamente en todas las condiciones estudiadas, sin atascamientos, evidenciando bajos valores de presiones sobre el suelo</w:t>
      </w:r>
      <w:r>
        <w:rPr>
          <w:rFonts w:ascii="Times New Roman" w:hAnsi="Times New Roman" w:cs="Times New Roman"/>
          <w:sz w:val="24"/>
          <w:szCs w:val="24"/>
        </w:rPr>
        <w:t>.</w:t>
      </w:r>
    </w:p>
    <w:p w:rsidR="001677D7" w:rsidRPr="001677D7" w:rsidRDefault="001677D7" w:rsidP="001677D7">
      <w:pPr>
        <w:spacing w:line="360" w:lineRule="auto"/>
        <w:ind w:left="-426" w:right="-427"/>
        <w:jc w:val="both"/>
        <w:rPr>
          <w:rFonts w:ascii="Times New Roman" w:hAnsi="Times New Roman" w:cs="Times New Roman"/>
          <w:sz w:val="24"/>
          <w:szCs w:val="24"/>
        </w:rPr>
      </w:pPr>
      <w:r w:rsidRPr="001677D7">
        <w:rPr>
          <w:rFonts w:ascii="Times New Roman" w:hAnsi="Times New Roman" w:cs="Times New Roman"/>
          <w:sz w:val="24"/>
          <w:szCs w:val="24"/>
        </w:rPr>
        <w:lastRenderedPageBreak/>
        <w:t>Un estudio más detallado del efecto de la cosechadora sobre el perfilado del suelo (</w:t>
      </w:r>
      <w:r>
        <w:rPr>
          <w:rFonts w:ascii="Times New Roman" w:hAnsi="Times New Roman" w:cs="Times New Roman"/>
          <w:sz w:val="24"/>
          <w:szCs w:val="24"/>
        </w:rPr>
        <w:t>Figura 3.</w:t>
      </w:r>
      <w:r w:rsidR="00662BD4">
        <w:rPr>
          <w:rFonts w:ascii="Times New Roman" w:hAnsi="Times New Roman" w:cs="Times New Roman"/>
          <w:sz w:val="24"/>
          <w:szCs w:val="24"/>
        </w:rPr>
        <w:t>6</w:t>
      </w:r>
      <w:r w:rsidRPr="001677D7">
        <w:rPr>
          <w:rFonts w:ascii="Times New Roman" w:hAnsi="Times New Roman" w:cs="Times New Roman"/>
          <w:sz w:val="24"/>
          <w:szCs w:val="24"/>
        </w:rPr>
        <w:t xml:space="preserve">) mostró que la deformación provocada por su peso generó huellas menores a </w:t>
      </w:r>
      <w:smartTag w:uri="urn:schemas-microsoft-com:office:smarttags" w:element="metricconverter">
        <w:smartTagPr>
          <w:attr w:name="ProductID" w:val="5 cm"/>
        </w:smartTagPr>
        <w:r w:rsidRPr="001677D7">
          <w:rPr>
            <w:rFonts w:ascii="Times New Roman" w:hAnsi="Times New Roman" w:cs="Times New Roman"/>
            <w:sz w:val="24"/>
            <w:szCs w:val="24"/>
          </w:rPr>
          <w:t>5 cm</w:t>
        </w:r>
      </w:smartTag>
      <w:r w:rsidRPr="001677D7">
        <w:rPr>
          <w:rFonts w:ascii="Times New Roman" w:hAnsi="Times New Roman" w:cs="Times New Roman"/>
          <w:sz w:val="24"/>
          <w:szCs w:val="24"/>
        </w:rPr>
        <w:t xml:space="preserve"> y no afecta la estructura del surco. Esta máquina fue capaz de desplazarse satisfactoriamente en todas las condiciones estudiadas, sin atascamientos, evidenciando bajos valores de presiones sobre el suelo.</w:t>
      </w:r>
    </w:p>
    <w:p w:rsidR="009C17A4" w:rsidRDefault="001677D7" w:rsidP="001677D7">
      <w:pPr>
        <w:spacing w:line="360" w:lineRule="auto"/>
        <w:ind w:left="-426"/>
        <w:jc w:val="center"/>
        <w:rPr>
          <w:rFonts w:ascii="Times New Roman" w:hAnsi="Times New Roman" w:cs="Times New Roman"/>
          <w:b/>
          <w:sz w:val="24"/>
          <w:szCs w:val="24"/>
        </w:rPr>
      </w:pPr>
      <w:r w:rsidRPr="007E6DD5">
        <w:rPr>
          <w:rFonts w:eastAsia="SimSun" w:cs="Arial"/>
          <w:iCs/>
          <w:noProof/>
        </w:rPr>
        <w:drawing>
          <wp:inline distT="0" distB="0" distL="0" distR="0" wp14:anchorId="70D24D62" wp14:editId="4EEFA14F">
            <wp:extent cx="2691246" cy="1585912"/>
            <wp:effectExtent l="0" t="0" r="0" b="0"/>
            <wp:docPr id="34" name="Imagen 34" descr="perfi, cosechadora,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erfi, cosechadora, o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4151" cy="1593517"/>
                    </a:xfrm>
                    <a:prstGeom prst="rect">
                      <a:avLst/>
                    </a:prstGeom>
                    <a:noFill/>
                    <a:ln>
                      <a:noFill/>
                    </a:ln>
                  </pic:spPr>
                </pic:pic>
              </a:graphicData>
            </a:graphic>
          </wp:inline>
        </w:drawing>
      </w:r>
    </w:p>
    <w:p w:rsidR="001677D7" w:rsidRPr="001677D7" w:rsidRDefault="001677D7" w:rsidP="001677D7">
      <w:pPr>
        <w:spacing w:line="360" w:lineRule="auto"/>
        <w:ind w:left="-426" w:right="-427"/>
        <w:jc w:val="center"/>
        <w:rPr>
          <w:rFonts w:ascii="Times New Roman" w:hAnsi="Times New Roman" w:cs="Times New Roman"/>
          <w:sz w:val="20"/>
          <w:szCs w:val="24"/>
        </w:rPr>
      </w:pPr>
      <w:r>
        <w:rPr>
          <w:rFonts w:ascii="Times New Roman" w:hAnsi="Times New Roman" w:cs="Times New Roman"/>
          <w:sz w:val="20"/>
          <w:szCs w:val="24"/>
        </w:rPr>
        <w:t>Figura 3.</w:t>
      </w:r>
      <w:r w:rsidR="00662BD4">
        <w:rPr>
          <w:rFonts w:ascii="Times New Roman" w:hAnsi="Times New Roman" w:cs="Times New Roman"/>
          <w:sz w:val="20"/>
          <w:szCs w:val="24"/>
        </w:rPr>
        <w:t>6</w:t>
      </w:r>
      <w:r w:rsidRPr="001677D7">
        <w:rPr>
          <w:rFonts w:ascii="Times New Roman" w:hAnsi="Times New Roman" w:cs="Times New Roman"/>
          <w:sz w:val="20"/>
          <w:szCs w:val="24"/>
        </w:rPr>
        <w:t xml:space="preserve"> Variaciones del microrrelieve del suelo posterior al pase de la cosechadora en la UBPC C. Perera</w:t>
      </w:r>
      <w:r>
        <w:rPr>
          <w:rFonts w:ascii="Times New Roman" w:hAnsi="Times New Roman" w:cs="Times New Roman"/>
          <w:sz w:val="20"/>
          <w:szCs w:val="24"/>
        </w:rPr>
        <w:t xml:space="preserve"> (Fuente: Elaboración propia)</w:t>
      </w:r>
      <w:r w:rsidRPr="001677D7">
        <w:rPr>
          <w:rFonts w:ascii="Times New Roman" w:hAnsi="Times New Roman" w:cs="Times New Roman"/>
          <w:sz w:val="20"/>
          <w:szCs w:val="24"/>
        </w:rPr>
        <w:t>.</w:t>
      </w:r>
    </w:p>
    <w:p w:rsidR="009C17A4" w:rsidRDefault="001677D7" w:rsidP="009C17A4">
      <w:pPr>
        <w:spacing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3.7 Variaciones </w:t>
      </w:r>
      <w:r w:rsidRPr="001677D7">
        <w:rPr>
          <w:rFonts w:ascii="Times New Roman" w:hAnsi="Times New Roman" w:cs="Times New Roman"/>
          <w:b/>
          <w:sz w:val="24"/>
          <w:szCs w:val="24"/>
        </w:rPr>
        <w:t>de la densidad aparente del suelo</w:t>
      </w:r>
    </w:p>
    <w:p w:rsidR="001677D7" w:rsidRDefault="001677D7" w:rsidP="001677D7">
      <w:pPr>
        <w:spacing w:line="360" w:lineRule="auto"/>
        <w:ind w:left="-426" w:right="-427"/>
        <w:jc w:val="both"/>
        <w:rPr>
          <w:rFonts w:ascii="Times New Roman" w:hAnsi="Times New Roman" w:cs="Times New Roman"/>
          <w:sz w:val="24"/>
          <w:szCs w:val="24"/>
        </w:rPr>
      </w:pPr>
      <w:r>
        <w:rPr>
          <w:rFonts w:ascii="Times New Roman" w:hAnsi="Times New Roman" w:cs="Times New Roman"/>
          <w:sz w:val="24"/>
          <w:szCs w:val="24"/>
        </w:rPr>
        <w:t>La Figura 3.8</w:t>
      </w:r>
      <w:r w:rsidRPr="001677D7">
        <w:rPr>
          <w:rFonts w:ascii="Times New Roman" w:hAnsi="Times New Roman" w:cs="Times New Roman"/>
          <w:sz w:val="24"/>
          <w:szCs w:val="24"/>
        </w:rPr>
        <w:t xml:space="preserve"> muestra los valores de densidad aparente para un antes y un después de la cosecha, en la zona del surco de las UBPC objeto de estudio, donde los cuales coinciden o están mu</w:t>
      </w:r>
      <w:r>
        <w:rPr>
          <w:rFonts w:ascii="Times New Roman" w:hAnsi="Times New Roman" w:cs="Times New Roman"/>
          <w:sz w:val="24"/>
          <w:szCs w:val="24"/>
        </w:rPr>
        <w:t xml:space="preserve">y próximos de los reportados </w:t>
      </w:r>
      <w:hyperlink w:anchor="_ENREF_2" w:tooltip="Acosta, 1989 #57" w:history="1">
        <w:r w:rsidRPr="001677D7">
          <w:rPr>
            <w:rFonts w:ascii="Times New Roman" w:hAnsi="Times New Roman" w:cs="Times New Roman"/>
            <w:sz w:val="24"/>
            <w:szCs w:val="24"/>
          </w:rPr>
          <w:fldChar w:fldCharType="begin"/>
        </w:r>
        <w:r w:rsidRPr="001677D7">
          <w:rPr>
            <w:rFonts w:ascii="Times New Roman" w:hAnsi="Times New Roman" w:cs="Times New Roman"/>
            <w:sz w:val="24"/>
            <w:szCs w:val="24"/>
          </w:rPr>
          <w:instrText xml:space="preserve"> ADDIN EN.CITE &lt;EndNote&gt;&lt;Cite AuthorYear="1"&gt;&lt;Author&gt;Acosta&lt;/Author&gt;&lt;Year&gt;1989&lt;/Year&gt;&lt;RecNum&gt;57&lt;/RecNum&gt;&lt;DisplayText&gt;Acosta&lt;style face="italic"&gt; et al.&lt;/style&gt; (1989)&lt;/DisplayText&gt;&lt;record&gt;&lt;rec-number&gt;57&lt;/rec-number&gt;&lt;foreign-keys&gt;&lt;key app="EN" db-id="9sdxw0dt6v29w5ex5pfp20pxvxtv0fs0frft"&gt;57&lt;/key&gt;&lt;/foreign-keys&gt;&lt;ref-type name="Report"&gt;27&lt;/ref-type&gt;&lt;contributors&gt;&lt;authors&gt;&lt;author&gt;Acosta, J&lt;/author&gt;&lt;author&gt;Caballero, M&lt;/author&gt;&lt;author&gt;Díaz, H&lt;/author&gt;&lt;/authors&gt;&lt;/contributors&gt;&lt;titles&gt;&lt;title&gt;Definir el manejo adecuado de las labores de cultivo mecánico para diferentes condiciones de suelo, climáticas y tipos de cepas. &lt;/title&gt;&lt;/titles&gt;&lt;pages&gt;50&lt;/pages&gt;&lt;dates&gt;&lt;year&gt;1989&lt;/year&gt;&lt;/dates&gt;&lt;publisher&gt;ISAI “Camilo Cienfuegos”. Matanzas. &lt;/publisher&gt;&lt;urls&gt;&lt;/urls&gt;&lt;/record&gt;&lt;/Cite&gt;&lt;/EndNote&gt;</w:instrText>
        </w:r>
        <w:r w:rsidRPr="001677D7">
          <w:rPr>
            <w:rFonts w:ascii="Times New Roman" w:hAnsi="Times New Roman" w:cs="Times New Roman"/>
            <w:sz w:val="24"/>
            <w:szCs w:val="24"/>
          </w:rPr>
          <w:fldChar w:fldCharType="separate"/>
        </w:r>
        <w:r w:rsidRPr="001677D7">
          <w:rPr>
            <w:rFonts w:ascii="Times New Roman" w:hAnsi="Times New Roman" w:cs="Times New Roman"/>
            <w:sz w:val="24"/>
            <w:szCs w:val="24"/>
          </w:rPr>
          <w:t>Acosta et al. (1989)</w:t>
        </w:r>
        <w:r w:rsidRPr="001677D7">
          <w:rPr>
            <w:rFonts w:ascii="Times New Roman" w:hAnsi="Times New Roman" w:cs="Times New Roman"/>
            <w:sz w:val="24"/>
            <w:szCs w:val="24"/>
          </w:rPr>
          <w:fldChar w:fldCharType="end"/>
        </w:r>
      </w:hyperlink>
      <w:r w:rsidRPr="001677D7">
        <w:rPr>
          <w:rFonts w:ascii="Times New Roman" w:hAnsi="Times New Roman" w:cs="Times New Roman"/>
          <w:sz w:val="24"/>
          <w:szCs w:val="24"/>
        </w:rPr>
        <w:t xml:space="preserve">, </w:t>
      </w:r>
      <w:hyperlink w:anchor="_ENREF_3" w:tooltip="Agafanov, 1993 #41" w:history="1">
        <w:r w:rsidRPr="001677D7">
          <w:rPr>
            <w:rFonts w:ascii="Times New Roman" w:hAnsi="Times New Roman" w:cs="Times New Roman"/>
            <w:sz w:val="24"/>
            <w:szCs w:val="24"/>
          </w:rPr>
          <w:fldChar w:fldCharType="begin"/>
        </w:r>
        <w:r w:rsidRPr="001677D7">
          <w:rPr>
            <w:rFonts w:ascii="Times New Roman" w:hAnsi="Times New Roman" w:cs="Times New Roman"/>
            <w:sz w:val="24"/>
            <w:szCs w:val="24"/>
          </w:rPr>
          <w:instrText xml:space="preserve"> ADDIN EN.CITE &lt;EndNote&gt;&lt;Cite AuthorYear="1"&gt;&lt;Author&gt;Agafanov&lt;/Author&gt;&lt;Year&gt;1993&lt;/Year&gt;&lt;RecNum&gt;41&lt;/RecNum&gt;&lt;DisplayText&gt;Agafanov y Alonzo (1993)&lt;/DisplayText&gt;&lt;record&gt;&lt;rec-number&gt;41&lt;/rec-number&gt;&lt;foreign-keys&gt;&lt;key app="EN" db-id="9sdxw0dt6v29w5ex5pfp20pxvxtv0fs0frft"&gt;41&lt;/key&gt;&lt;/foreign-keys&gt;&lt;ref-type name="Pamphlet"&gt;24&lt;/ref-type&gt;&lt;contributors&gt;&lt;authors&gt;&lt;author&gt;Agafanov, O.&lt;/author&gt;&lt;author&gt;Alonzo, F&lt;/author&gt;&lt;/authors&gt;&lt;/contributors&gt;&lt;titles&gt;&lt;title&gt;Influencia de la quema de la caña de azúcar y el corte mecanizado sobre las propiedades físicas del suelo&lt;/title&gt;&lt;/titles&gt;&lt;pages&gt;29-73&lt;/pages&gt;&lt;dates&gt;&lt;year&gt;1993&lt;/year&gt;&lt;/dates&gt;&lt;urls&gt;&lt;/urls&gt;&lt;language&gt;Español&lt;/language&gt;&lt;/record&gt;&lt;/Cite&gt;&lt;/EndNote&gt;</w:instrText>
        </w:r>
        <w:r w:rsidRPr="001677D7">
          <w:rPr>
            <w:rFonts w:ascii="Times New Roman" w:hAnsi="Times New Roman" w:cs="Times New Roman"/>
            <w:sz w:val="24"/>
            <w:szCs w:val="24"/>
          </w:rPr>
          <w:fldChar w:fldCharType="separate"/>
        </w:r>
        <w:r w:rsidRPr="001677D7">
          <w:rPr>
            <w:rFonts w:ascii="Times New Roman" w:hAnsi="Times New Roman" w:cs="Times New Roman"/>
            <w:sz w:val="24"/>
            <w:szCs w:val="24"/>
          </w:rPr>
          <w:t>Agafanov y Alonzo (1993)</w:t>
        </w:r>
        <w:r w:rsidRPr="001677D7">
          <w:rPr>
            <w:rFonts w:ascii="Times New Roman" w:hAnsi="Times New Roman" w:cs="Times New Roman"/>
            <w:sz w:val="24"/>
            <w:szCs w:val="24"/>
          </w:rPr>
          <w:fldChar w:fldCharType="end"/>
        </w:r>
      </w:hyperlink>
      <w:r w:rsidRPr="001677D7">
        <w:rPr>
          <w:rFonts w:ascii="Times New Roman" w:hAnsi="Times New Roman" w:cs="Times New Roman"/>
          <w:sz w:val="24"/>
          <w:szCs w:val="24"/>
        </w:rPr>
        <w:t xml:space="preserve">, y </w:t>
      </w:r>
      <w:hyperlink w:anchor="_ENREF_30" w:tooltip="García, 2010 #4" w:history="1">
        <w:r w:rsidRPr="001677D7">
          <w:rPr>
            <w:rFonts w:ascii="Times New Roman" w:hAnsi="Times New Roman" w:cs="Times New Roman"/>
            <w:sz w:val="24"/>
            <w:szCs w:val="24"/>
          </w:rPr>
          <w:fldChar w:fldCharType="begin"/>
        </w:r>
        <w:r w:rsidRPr="001677D7">
          <w:rPr>
            <w:rFonts w:ascii="Times New Roman" w:hAnsi="Times New Roman" w:cs="Times New Roman"/>
            <w:sz w:val="24"/>
            <w:szCs w:val="24"/>
          </w:rPr>
          <w:instrText xml:space="preserve"> ADDIN EN.CITE &lt;EndNote&gt;&lt;Cite AuthorYear="1"&gt;&lt;Author&gt;García&lt;/Author&gt;&lt;Year&gt;2010&lt;/Year&gt;&lt;RecNum&gt;4&lt;/RecNum&gt;&lt;DisplayText&gt;García&lt;style face="italic"&gt; et al.&lt;/style&gt; (2010)&lt;/DisplayText&gt;&lt;record&gt;&lt;rec-number&gt;4&lt;/rec-number&gt;&lt;foreign-keys&gt;&lt;key app="EN" db-id="9sdxw0dt6v29w5ex5pfp20pxvxtv0fs0frft"&gt;4&lt;/key&gt;&lt;/foreign-keys&gt;&lt;ref-type name="Journal Article"&gt;17&lt;/ref-type&gt;&lt;contributors&gt;&lt;authors&gt;&lt;author&gt;García, I.&lt;/author&gt;&lt;author&gt;Sánchez, M.&lt;/author&gt;&lt;author&gt;Vidal Díaz, M. L.&lt;/author&gt;&lt;author&gt;Betancourt, Y.&lt;/author&gt;&lt;author&gt;Rosa, J.&lt;/author&gt;&lt;/authors&gt;&lt;/contributors&gt;&lt;titles&gt;&lt;title&gt;Efecto de la compactación sobre las propiedades físicas del suelo y el crecimiento de la caña de azúcar&lt;/title&gt;&lt;secondary-title&gt;Revista Ciencias Técnicas Agropecuarias&lt;/secondary-title&gt;&lt;/titles&gt;&lt;periodical&gt;&lt;full-title&gt;Revista Ciencias Técnicas Agropecuarias&lt;/full-title&gt;&lt;/periodical&gt;&lt;pages&gt;51-56&lt;/pages&gt;&lt;volume&gt;19&lt;/volume&gt;&lt;dates&gt;&lt;year&gt;2010&lt;/year&gt;&lt;/dates&gt;&lt;isbn&gt;2071-0054&lt;/isbn&gt;&lt;urls&gt;&lt;related-urls&gt;&lt;url&gt;http://scieloprueba.sld.cu/scielo.php?script=sci_arttext&amp;amp;pid=S2071-00542010000200009&amp;amp;nrm=iso&lt;/url&gt;&lt;/related-urls&gt;&lt;/urls&gt;&lt;/record&gt;&lt;/Cite&gt;&lt;/EndNote&gt;</w:instrText>
        </w:r>
        <w:r w:rsidRPr="001677D7">
          <w:rPr>
            <w:rFonts w:ascii="Times New Roman" w:hAnsi="Times New Roman" w:cs="Times New Roman"/>
            <w:sz w:val="24"/>
            <w:szCs w:val="24"/>
          </w:rPr>
          <w:fldChar w:fldCharType="separate"/>
        </w:r>
        <w:r w:rsidRPr="001677D7">
          <w:rPr>
            <w:rFonts w:ascii="Times New Roman" w:hAnsi="Times New Roman" w:cs="Times New Roman"/>
            <w:sz w:val="24"/>
            <w:szCs w:val="24"/>
          </w:rPr>
          <w:t>García et al. (2010)</w:t>
        </w:r>
        <w:r w:rsidRPr="001677D7">
          <w:rPr>
            <w:rFonts w:ascii="Times New Roman" w:hAnsi="Times New Roman" w:cs="Times New Roman"/>
            <w:sz w:val="24"/>
            <w:szCs w:val="24"/>
          </w:rPr>
          <w:fldChar w:fldCharType="end"/>
        </w:r>
      </w:hyperlink>
      <w:r w:rsidRPr="001677D7">
        <w:rPr>
          <w:rFonts w:ascii="Times New Roman" w:hAnsi="Times New Roman" w:cs="Times New Roman"/>
          <w:sz w:val="24"/>
          <w:szCs w:val="24"/>
        </w:rPr>
        <w:t xml:space="preserve">, como </w:t>
      </w:r>
      <w:r>
        <w:rPr>
          <w:rFonts w:ascii="Times New Roman" w:hAnsi="Times New Roman" w:cs="Times New Roman"/>
          <w:sz w:val="24"/>
          <w:szCs w:val="24"/>
        </w:rPr>
        <w:t>característicos de estos suelos.</w:t>
      </w:r>
    </w:p>
    <w:p w:rsidR="001677D7" w:rsidRPr="001677D7" w:rsidRDefault="001677D7" w:rsidP="001677D7">
      <w:pPr>
        <w:spacing w:line="360" w:lineRule="auto"/>
        <w:ind w:left="708" w:right="-427" w:hanging="708"/>
        <w:jc w:val="center"/>
        <w:rPr>
          <w:rFonts w:ascii="Times New Roman" w:hAnsi="Times New Roman" w:cs="Times New Roman"/>
          <w:sz w:val="24"/>
          <w:szCs w:val="24"/>
        </w:rPr>
      </w:pPr>
      <w:r w:rsidRPr="00326C7F">
        <w:rPr>
          <w:rFonts w:eastAsia="SimSun" w:cs="Arial"/>
          <w:iCs/>
          <w:noProof/>
          <w:szCs w:val="24"/>
        </w:rPr>
        <w:drawing>
          <wp:inline distT="0" distB="0" distL="0" distR="0" wp14:anchorId="7F44EE65" wp14:editId="127A87D0">
            <wp:extent cx="3810000" cy="2023651"/>
            <wp:effectExtent l="0" t="0" r="0" b="0"/>
            <wp:docPr id="39" name="Imagen 3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8969" cy="2028415"/>
                    </a:xfrm>
                    <a:prstGeom prst="rect">
                      <a:avLst/>
                    </a:prstGeom>
                    <a:noFill/>
                    <a:ln>
                      <a:noFill/>
                    </a:ln>
                  </pic:spPr>
                </pic:pic>
              </a:graphicData>
            </a:graphic>
          </wp:inline>
        </w:drawing>
      </w:r>
    </w:p>
    <w:p w:rsidR="001677D7" w:rsidRDefault="001677D7" w:rsidP="001677D7">
      <w:pPr>
        <w:spacing w:line="360" w:lineRule="auto"/>
        <w:ind w:left="-426" w:right="-427"/>
        <w:jc w:val="center"/>
        <w:rPr>
          <w:rFonts w:ascii="Times New Roman" w:hAnsi="Times New Roman" w:cs="Times New Roman"/>
          <w:sz w:val="20"/>
          <w:szCs w:val="24"/>
        </w:rPr>
      </w:pPr>
      <w:r>
        <w:rPr>
          <w:rFonts w:ascii="Times New Roman" w:hAnsi="Times New Roman" w:cs="Times New Roman"/>
          <w:sz w:val="20"/>
          <w:szCs w:val="24"/>
        </w:rPr>
        <w:t>Figura 3.8</w:t>
      </w:r>
      <w:r w:rsidRPr="001677D7">
        <w:rPr>
          <w:rFonts w:ascii="Times New Roman" w:hAnsi="Times New Roman" w:cs="Times New Roman"/>
          <w:sz w:val="20"/>
          <w:szCs w:val="24"/>
        </w:rPr>
        <w:t xml:space="preserve"> Comportamiento de la densidad aparente (g/cm3) en las UBPC antes y después de la cosecha en el surco</w:t>
      </w:r>
      <w:r>
        <w:rPr>
          <w:rFonts w:ascii="Times New Roman" w:hAnsi="Times New Roman" w:cs="Times New Roman"/>
          <w:sz w:val="20"/>
          <w:szCs w:val="24"/>
        </w:rPr>
        <w:t xml:space="preserve"> (Fuente: Elaboración propia)</w:t>
      </w:r>
      <w:r w:rsidRPr="001677D7">
        <w:rPr>
          <w:rFonts w:ascii="Times New Roman" w:hAnsi="Times New Roman" w:cs="Times New Roman"/>
          <w:sz w:val="20"/>
          <w:szCs w:val="24"/>
        </w:rPr>
        <w:t>.</w:t>
      </w:r>
    </w:p>
    <w:p w:rsidR="003746F1" w:rsidRDefault="009C17A4" w:rsidP="009C17A4">
      <w:pPr>
        <w:spacing w:line="360" w:lineRule="auto"/>
        <w:ind w:left="-426"/>
        <w:jc w:val="both"/>
        <w:rPr>
          <w:rFonts w:ascii="Times New Roman" w:hAnsi="Times New Roman" w:cs="Times New Roman"/>
          <w:b/>
          <w:sz w:val="24"/>
          <w:szCs w:val="24"/>
        </w:rPr>
      </w:pPr>
      <w:r w:rsidRPr="009C17A4">
        <w:rPr>
          <w:rFonts w:ascii="Times New Roman" w:hAnsi="Times New Roman" w:cs="Times New Roman"/>
          <w:b/>
          <w:sz w:val="24"/>
          <w:szCs w:val="24"/>
        </w:rPr>
        <w:t>3.8 Resultados del cálculo del ancho de vía</w:t>
      </w:r>
    </w:p>
    <w:p w:rsidR="009C17A4" w:rsidRDefault="009C17A4" w:rsidP="009C17A4">
      <w:pPr>
        <w:spacing w:line="360" w:lineRule="auto"/>
        <w:ind w:left="-426" w:right="-427"/>
        <w:jc w:val="both"/>
        <w:rPr>
          <w:rFonts w:ascii="Times New Roman" w:hAnsi="Times New Roman" w:cs="Times New Roman"/>
          <w:sz w:val="24"/>
          <w:szCs w:val="24"/>
        </w:rPr>
      </w:pPr>
      <w:r w:rsidRPr="009C17A4">
        <w:rPr>
          <w:rFonts w:ascii="Times New Roman" w:hAnsi="Times New Roman" w:cs="Times New Roman"/>
          <w:sz w:val="24"/>
          <w:szCs w:val="24"/>
        </w:rPr>
        <w:lastRenderedPageBreak/>
        <w:t>Teniendo en cuenta que la distancia establecida para la plantación de la caña de azúcar es de 1.60m, con una zona de protección de 0.40m, manteniendo los mismos neumáticos del sistema de rodaje, 1,80m es el ancho de vía recomendado para el semirremolque autobasculante</w:t>
      </w:r>
      <w:r>
        <w:rPr>
          <w:rFonts w:ascii="Times New Roman" w:hAnsi="Times New Roman" w:cs="Times New Roman"/>
          <w:sz w:val="24"/>
          <w:szCs w:val="24"/>
        </w:rPr>
        <w:t xml:space="preserve"> (Figura 3.10)</w:t>
      </w:r>
    </w:p>
    <w:p w:rsidR="009C17A4" w:rsidRPr="009C17A4" w:rsidRDefault="009C17A4" w:rsidP="009C17A4">
      <w:pPr>
        <w:spacing w:line="360" w:lineRule="auto"/>
        <w:ind w:left="-426" w:right="-427"/>
        <w:jc w:val="both"/>
        <w:rPr>
          <w:rFonts w:cs="Arial"/>
          <w:sz w:val="18"/>
        </w:rPr>
      </w:pPr>
      <w:r w:rsidRPr="009C17A4">
        <w:rPr>
          <w:rFonts w:cs="Arial"/>
          <w:noProof/>
          <w:sz w:val="18"/>
        </w:rPr>
        <w:drawing>
          <wp:anchor distT="0" distB="0" distL="114300" distR="114300" simplePos="0" relativeHeight="251654656" behindDoc="0" locked="0" layoutInCell="1" allowOverlap="1" wp14:anchorId="3515155C" wp14:editId="04E14683">
            <wp:simplePos x="0" y="0"/>
            <wp:positionH relativeFrom="margin">
              <wp:posOffset>688857</wp:posOffset>
            </wp:positionH>
            <wp:positionV relativeFrom="paragraph">
              <wp:posOffset>55880</wp:posOffset>
            </wp:positionV>
            <wp:extent cx="3597393" cy="1828800"/>
            <wp:effectExtent l="0" t="0" r="0" b="0"/>
            <wp:wrapNone/>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6" cstate="print">
                      <a:extLst>
                        <a:ext uri="{28A0092B-C50C-407E-A947-70E740481C1C}">
                          <a14:useLocalDpi xmlns:a14="http://schemas.microsoft.com/office/drawing/2010/main" val="0"/>
                        </a:ext>
                      </a:extLst>
                    </a:blip>
                    <a:srcRect l="4243" t="22858" r="10387"/>
                    <a:stretch>
                      <a:fillRect/>
                    </a:stretch>
                  </pic:blipFill>
                  <pic:spPr bwMode="auto">
                    <a:xfrm>
                      <a:off x="0" y="0"/>
                      <a:ext cx="3597393"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7A4" w:rsidRPr="009C17A4" w:rsidRDefault="009C17A4" w:rsidP="009C17A4">
      <w:pPr>
        <w:spacing w:line="360" w:lineRule="auto"/>
        <w:jc w:val="both"/>
        <w:rPr>
          <w:rFonts w:cs="Arial"/>
          <w:sz w:val="18"/>
        </w:rPr>
      </w:pPr>
    </w:p>
    <w:p w:rsidR="009C17A4" w:rsidRPr="009C17A4" w:rsidRDefault="000A61B7" w:rsidP="009C17A4">
      <w:pPr>
        <w:spacing w:line="360" w:lineRule="auto"/>
        <w:rPr>
          <w:rFonts w:cs="Arial"/>
          <w:sz w:val="18"/>
        </w:rPr>
      </w:pPr>
      <w:r>
        <w:rPr>
          <w:rFonts w:cs="Arial"/>
          <w:noProof/>
          <w:sz w:val="18"/>
          <w:lang w:val="es-MX" w:eastAsia="es-MX"/>
        </w:rPr>
        <w:pict>
          <v:shapetype id="_x0000_t202" coordsize="21600,21600" o:spt="202" path="m,l,21600r21600,l21600,xe">
            <v:stroke joinstyle="miter"/>
            <v:path gradientshapeok="t" o:connecttype="rect"/>
          </v:shapetype>
          <v:shape id="_x0000_s1040" type="#_x0000_t202" style="position:absolute;margin-left:160.95pt;margin-top:16.4pt;width:51pt;height:18.75pt;z-index:251664896;mso-position-horizontal-relative:text;mso-position-vertical-relative:text">
            <v:textbox style="mso-next-textbox:#_x0000_s1040">
              <w:txbxContent>
                <w:p w:rsidR="009C17A4" w:rsidRPr="00662BD4" w:rsidRDefault="009C17A4" w:rsidP="009C17A4">
                  <w:pPr>
                    <w:jc w:val="center"/>
                    <w:rPr>
                      <w:color w:val="FF0000"/>
                      <w:sz w:val="18"/>
                    </w:rPr>
                  </w:pPr>
                  <w:r w:rsidRPr="00662BD4">
                    <w:rPr>
                      <w:color w:val="FF0000"/>
                      <w:sz w:val="18"/>
                    </w:rPr>
                    <w:t>1,80 m</w:t>
                  </w:r>
                </w:p>
              </w:txbxContent>
            </v:textbox>
          </v:shape>
        </w:pict>
      </w:r>
    </w:p>
    <w:p w:rsidR="009C17A4" w:rsidRPr="009C17A4" w:rsidRDefault="000A61B7" w:rsidP="009C17A4">
      <w:pPr>
        <w:spacing w:line="360" w:lineRule="auto"/>
        <w:jc w:val="both"/>
        <w:rPr>
          <w:rFonts w:cs="Arial"/>
          <w:sz w:val="18"/>
        </w:rPr>
      </w:pPr>
      <w:r>
        <w:rPr>
          <w:rFonts w:cs="Arial"/>
          <w:noProof/>
          <w:sz w:val="18"/>
          <w:lang w:val="es-MX" w:eastAsia="es-MX"/>
        </w:rPr>
        <w:pict>
          <v:shape id="_x0000_s1041" type="#_x0000_t202" style="position:absolute;left:0;text-align:left;margin-left:166.95pt;margin-top:23.2pt;width:56.25pt;height:20.25pt;z-index:251665920">
            <v:textbox style="mso-next-textbox:#_x0000_s1041">
              <w:txbxContent>
                <w:p w:rsidR="009C17A4" w:rsidRPr="00662BD4" w:rsidRDefault="009C17A4" w:rsidP="009C17A4">
                  <w:pPr>
                    <w:jc w:val="center"/>
                    <w:rPr>
                      <w:sz w:val="18"/>
                    </w:rPr>
                  </w:pPr>
                  <w:r w:rsidRPr="00662BD4">
                    <w:rPr>
                      <w:sz w:val="18"/>
                    </w:rPr>
                    <w:t>2,40 m</w:t>
                  </w:r>
                </w:p>
              </w:txbxContent>
            </v:textbox>
          </v:shape>
        </w:pict>
      </w:r>
      <w:r>
        <w:rPr>
          <w:rFonts w:cs="Arial"/>
          <w:noProof/>
          <w:sz w:val="18"/>
          <w:lang w:val="es-MX" w:eastAsia="es-MX"/>
        </w:rPr>
        <w:pict>
          <v:shapetype id="_x0000_t32" coordsize="21600,21600" o:spt="32" o:oned="t" path="m,l21600,21600e" filled="f">
            <v:path arrowok="t" fillok="f" o:connecttype="none"/>
            <o:lock v:ext="edit" shapetype="t"/>
          </v:shapetype>
          <v:shape id="_x0000_s1034" type="#_x0000_t32" style="position:absolute;left:0;text-align:left;margin-left:108.75pt;margin-top:3.8pt;width:0;height:32.25pt;z-index:251658752;mso-position-horizontal-relative:text;mso-position-vertical-relative:text" o:connectortype="straight" strokecolor="red" strokeweight="2.25pt"/>
        </w:pict>
      </w:r>
      <w:r>
        <w:rPr>
          <w:rFonts w:cs="Arial"/>
          <w:noProof/>
          <w:sz w:val="18"/>
          <w:lang w:val="es-MX" w:eastAsia="es-MX"/>
        </w:rPr>
        <w:pict>
          <v:shape id="_x0000_s1035" type="#_x0000_t32" style="position:absolute;left:0;text-align:left;margin-left:282pt;margin-top:6.05pt;width:0;height:32.25pt;z-index:251659776;mso-position-horizontal-relative:text;mso-position-vertical-relative:text" o:connectortype="straight" strokecolor="red" strokeweight="2.25pt"/>
        </w:pict>
      </w:r>
      <w:r>
        <w:rPr>
          <w:rFonts w:cs="Arial"/>
          <w:noProof/>
          <w:sz w:val="18"/>
          <w:lang w:val="es-MX" w:eastAsia="es-MX"/>
        </w:rPr>
        <w:pict>
          <v:shape id="_x0000_s1038" type="#_x0000_t32" style="position:absolute;left:0;text-align:left;margin-left:297pt;margin-top:8.7pt;width:0;height:50.25pt;z-index:251662848" o:connectortype="straight" strokecolor="red" strokeweight="2.25pt"/>
        </w:pict>
      </w:r>
      <w:r>
        <w:rPr>
          <w:rFonts w:cs="Arial"/>
          <w:noProof/>
          <w:sz w:val="18"/>
          <w:lang w:val="es-MX" w:eastAsia="es-MX"/>
        </w:rPr>
        <w:pict>
          <v:shape id="_x0000_s1037" type="#_x0000_t32" style="position:absolute;left:0;text-align:left;margin-left:82.5pt;margin-top:6.05pt;width:0;height:50.25pt;z-index:251661824" o:connectortype="straight" strokecolor="red" strokeweight="2.25pt"/>
        </w:pict>
      </w:r>
      <w:r>
        <w:rPr>
          <w:rFonts w:cs="Arial"/>
          <w:noProof/>
          <w:sz w:val="18"/>
          <w:lang w:val="es-MX" w:eastAsia="es-MX"/>
        </w:rPr>
        <w:pict>
          <v:shape id="_x0000_s1036" type="#_x0000_t32" style="position:absolute;left:0;text-align:left;margin-left:108.75pt;margin-top:10.2pt;width:173.25pt;height:1.2pt;z-index:251660800" o:connectortype="straight" strokecolor="red" strokeweight="2.25pt">
            <v:stroke startarrow="block" endarrow="block"/>
          </v:shape>
        </w:pict>
      </w:r>
    </w:p>
    <w:p w:rsidR="009C17A4" w:rsidRPr="009C17A4" w:rsidRDefault="000A61B7" w:rsidP="009C17A4">
      <w:pPr>
        <w:spacing w:line="360" w:lineRule="auto"/>
        <w:jc w:val="both"/>
        <w:rPr>
          <w:rFonts w:cs="Arial"/>
          <w:sz w:val="18"/>
        </w:rPr>
      </w:pPr>
      <w:r>
        <w:rPr>
          <w:rFonts w:cs="Arial"/>
          <w:noProof/>
          <w:lang w:val="es-MX" w:eastAsia="es-MX"/>
        </w:rPr>
        <w:pict>
          <v:shape id="_x0000_s1039" type="#_x0000_t32" style="position:absolute;left:0;text-align:left;margin-left:82.5pt;margin-top:16.95pt;width:206.25pt;height:2.3pt;z-index:251663872" o:connectortype="straight" strokecolor="red" strokeweight="2.25pt">
            <v:stroke startarrow="block" endarrow="block"/>
          </v:shape>
        </w:pict>
      </w:r>
    </w:p>
    <w:p w:rsidR="009C17A4" w:rsidRDefault="009C17A4" w:rsidP="009C17A4">
      <w:pPr>
        <w:spacing w:line="360" w:lineRule="auto"/>
        <w:jc w:val="both"/>
        <w:rPr>
          <w:rFonts w:cs="Arial"/>
        </w:rPr>
      </w:pPr>
    </w:p>
    <w:p w:rsidR="009C17A4" w:rsidRPr="009C17A4" w:rsidRDefault="009C17A4" w:rsidP="009C17A4">
      <w:pPr>
        <w:spacing w:line="360" w:lineRule="auto"/>
        <w:ind w:left="1080" w:hanging="1080"/>
        <w:jc w:val="both"/>
        <w:rPr>
          <w:rFonts w:ascii="Times New Roman" w:hAnsi="Times New Roman" w:cs="Times New Roman"/>
          <w:sz w:val="20"/>
        </w:rPr>
      </w:pPr>
      <w:r w:rsidRPr="009C17A4">
        <w:rPr>
          <w:rFonts w:ascii="Times New Roman" w:hAnsi="Times New Roman" w:cs="Times New Roman"/>
          <w:sz w:val="20"/>
        </w:rPr>
        <w:t>Figura 3</w:t>
      </w:r>
      <w:r>
        <w:rPr>
          <w:rFonts w:ascii="Times New Roman" w:hAnsi="Times New Roman" w:cs="Times New Roman"/>
          <w:sz w:val="20"/>
        </w:rPr>
        <w:t>.10</w:t>
      </w:r>
      <w:r w:rsidRPr="009C17A4">
        <w:rPr>
          <w:rFonts w:ascii="Times New Roman" w:hAnsi="Times New Roman" w:cs="Times New Roman"/>
          <w:sz w:val="20"/>
        </w:rPr>
        <w:t xml:space="preserve"> Propuesta del ancho de vía para el sistema del rodaje del autobasculante objeto de investigación, con una distancia de plantación de 1,60m</w:t>
      </w:r>
      <w:r>
        <w:rPr>
          <w:rFonts w:ascii="Times New Roman" w:hAnsi="Times New Roman" w:cs="Times New Roman"/>
          <w:sz w:val="20"/>
        </w:rPr>
        <w:t xml:space="preserve"> (Fuente: Elaboración propia)</w:t>
      </w:r>
    </w:p>
    <w:p w:rsidR="002926F0" w:rsidRPr="00FF3346" w:rsidRDefault="002926F0" w:rsidP="00F6346D">
      <w:pPr>
        <w:spacing w:after="0" w:line="360" w:lineRule="auto"/>
        <w:ind w:left="-426" w:right="-427"/>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256601" w:rsidRPr="00256601" w:rsidRDefault="00256601" w:rsidP="00256601">
      <w:pPr>
        <w:pStyle w:val="Prrafodelista"/>
        <w:numPr>
          <w:ilvl w:val="0"/>
          <w:numId w:val="3"/>
        </w:numPr>
        <w:spacing w:line="360" w:lineRule="auto"/>
        <w:ind w:left="-142"/>
        <w:jc w:val="both"/>
        <w:rPr>
          <w:rFonts w:ascii="Times New Roman" w:eastAsiaTheme="minorEastAsia" w:hAnsi="Times New Roman" w:cs="Times New Roman"/>
          <w:sz w:val="24"/>
          <w:szCs w:val="24"/>
          <w:lang w:eastAsia="es-ES"/>
        </w:rPr>
      </w:pPr>
      <w:r w:rsidRPr="00256601">
        <w:rPr>
          <w:rFonts w:ascii="Times New Roman" w:eastAsiaTheme="minorEastAsia" w:hAnsi="Times New Roman" w:cs="Times New Roman"/>
          <w:sz w:val="24"/>
          <w:szCs w:val="24"/>
          <w:lang w:eastAsia="es-ES"/>
        </w:rPr>
        <w:t>La cosechadora traficó sin dificultad en los diferentes niveles de humedad estudiados (24 y 64%), sin embargo para niveles de este</w:t>
      </w:r>
      <w:r w:rsidR="00570DF5">
        <w:rPr>
          <w:rFonts w:ascii="Times New Roman" w:eastAsiaTheme="minorEastAsia" w:hAnsi="Times New Roman" w:cs="Times New Roman"/>
          <w:sz w:val="24"/>
          <w:szCs w:val="24"/>
          <w:lang w:eastAsia="es-ES"/>
        </w:rPr>
        <w:t xml:space="preserve"> indicador de 54% se observó </w:t>
      </w:r>
      <w:r w:rsidRPr="00256601">
        <w:rPr>
          <w:rFonts w:ascii="Times New Roman" w:eastAsiaTheme="minorEastAsia" w:hAnsi="Times New Roman" w:cs="Times New Roman"/>
          <w:sz w:val="24"/>
          <w:szCs w:val="24"/>
          <w:lang w:eastAsia="es-ES"/>
        </w:rPr>
        <w:t>atascamiento del transporte intermedio representado por el Maxxum CASE 150 y el Autobasculante de 10 t.</w:t>
      </w:r>
    </w:p>
    <w:p w:rsidR="00256601" w:rsidRPr="00256601" w:rsidRDefault="00256601" w:rsidP="00256601">
      <w:pPr>
        <w:pStyle w:val="Prrafodelista"/>
        <w:numPr>
          <w:ilvl w:val="0"/>
          <w:numId w:val="3"/>
        </w:numPr>
        <w:suppressAutoHyphens/>
        <w:spacing w:after="0" w:line="360" w:lineRule="auto"/>
        <w:ind w:left="-142"/>
        <w:jc w:val="both"/>
        <w:rPr>
          <w:rFonts w:ascii="Times New Roman" w:eastAsiaTheme="minorEastAsia" w:hAnsi="Times New Roman" w:cs="Times New Roman"/>
          <w:sz w:val="24"/>
          <w:szCs w:val="24"/>
          <w:lang w:eastAsia="es-ES"/>
        </w:rPr>
      </w:pPr>
      <w:r w:rsidRPr="00256601">
        <w:rPr>
          <w:rFonts w:ascii="Times New Roman" w:eastAsiaTheme="minorEastAsia" w:hAnsi="Times New Roman" w:cs="Times New Roman"/>
          <w:sz w:val="24"/>
          <w:szCs w:val="24"/>
          <w:lang w:eastAsia="es-ES"/>
        </w:rPr>
        <w:t>Se redujo el perfil del cantero hasta 11cm (65%),  para un nivel de humedad de 51% hbss, como resultado de las altas presiones especificas (350 kPa), que aplica el autobasculante sobre el cantero donde transita.</w:t>
      </w:r>
    </w:p>
    <w:p w:rsidR="00256601" w:rsidRPr="00256601" w:rsidRDefault="00256601" w:rsidP="00256601">
      <w:pPr>
        <w:pStyle w:val="Prrafodelista"/>
        <w:numPr>
          <w:ilvl w:val="0"/>
          <w:numId w:val="3"/>
        </w:numPr>
        <w:spacing w:line="360" w:lineRule="auto"/>
        <w:ind w:left="-142"/>
        <w:jc w:val="both"/>
        <w:rPr>
          <w:rFonts w:ascii="Times New Roman" w:eastAsiaTheme="minorEastAsia" w:hAnsi="Times New Roman" w:cs="Times New Roman"/>
          <w:sz w:val="24"/>
          <w:szCs w:val="24"/>
          <w:lang w:eastAsia="es-ES"/>
        </w:rPr>
      </w:pPr>
      <w:r w:rsidRPr="00256601">
        <w:rPr>
          <w:rFonts w:ascii="Times New Roman" w:eastAsiaTheme="minorEastAsia" w:hAnsi="Times New Roman" w:cs="Times New Roman"/>
          <w:sz w:val="24"/>
          <w:szCs w:val="24"/>
          <w:lang w:eastAsia="es-ES"/>
        </w:rPr>
        <w:t>La densidad aparente del suelo antes de la cosecha mostró promedios entre 0,90 y 1,32 g/cm3, en las tres unidades estudiadas se constató un incremento después del paso del sistema de máquinas para la cosecha tanto en el surco como en los  espacio entre hileras con valores entre 0,98 y 1,37 g/cm3, respectivamente.</w:t>
      </w:r>
    </w:p>
    <w:p w:rsidR="00256601" w:rsidRPr="00256601" w:rsidRDefault="00256601" w:rsidP="00256601">
      <w:pPr>
        <w:pStyle w:val="Prrafodelista"/>
        <w:numPr>
          <w:ilvl w:val="0"/>
          <w:numId w:val="3"/>
        </w:numPr>
        <w:suppressAutoHyphens/>
        <w:spacing w:after="0" w:line="360" w:lineRule="auto"/>
        <w:ind w:left="-142"/>
        <w:jc w:val="both"/>
        <w:rPr>
          <w:rFonts w:ascii="Times New Roman" w:eastAsiaTheme="minorEastAsia" w:hAnsi="Times New Roman" w:cs="Times New Roman"/>
          <w:sz w:val="24"/>
          <w:szCs w:val="24"/>
          <w:lang w:eastAsia="es-ES"/>
        </w:rPr>
      </w:pPr>
      <w:r w:rsidRPr="00256601">
        <w:rPr>
          <w:rFonts w:ascii="Times New Roman" w:eastAsiaTheme="minorEastAsia" w:hAnsi="Times New Roman" w:cs="Times New Roman"/>
          <w:sz w:val="24"/>
          <w:szCs w:val="24"/>
          <w:lang w:eastAsia="es-ES"/>
        </w:rPr>
        <w:t>El ancho de vía adecuada para el tren de rodaje del autobasculante es de 1,80 m, lo cual se corresponde con los requerimientos necesarios para su tráfico en las condiciones de alta humedad.</w:t>
      </w:r>
    </w:p>
    <w:p w:rsidR="002926F0" w:rsidRPr="00FF3346" w:rsidRDefault="002926F0" w:rsidP="00F6346D">
      <w:pPr>
        <w:spacing w:after="0" w:line="360" w:lineRule="auto"/>
        <w:ind w:left="-426" w:right="-427"/>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091134" w:rsidRPr="009C17A4" w:rsidRDefault="009A1D0D" w:rsidP="009C17A4">
      <w:pPr>
        <w:pStyle w:val="Prrafodelista"/>
        <w:numPr>
          <w:ilvl w:val="0"/>
          <w:numId w:val="5"/>
        </w:numPr>
        <w:spacing w:after="0" w:line="240" w:lineRule="auto"/>
        <w:jc w:val="both"/>
        <w:rPr>
          <w:rFonts w:ascii="Times New Roman" w:hAnsi="Times New Roman" w:cs="Times New Roman"/>
          <w:noProof/>
          <w:sz w:val="24"/>
        </w:rPr>
      </w:pPr>
      <w:r w:rsidRPr="00662BD4">
        <w:rPr>
          <w:rFonts w:ascii="Times New Roman" w:hAnsi="Times New Roman" w:cs="Times New Roman"/>
          <w:sz w:val="24"/>
        </w:rPr>
        <w:fldChar w:fldCharType="begin"/>
      </w:r>
      <w:r w:rsidRPr="009C17A4">
        <w:rPr>
          <w:rFonts w:ascii="Times New Roman" w:hAnsi="Times New Roman" w:cs="Times New Roman"/>
          <w:sz w:val="24"/>
        </w:rPr>
        <w:instrText xml:space="preserve"> ADDIN EN.REFLIST </w:instrText>
      </w:r>
      <w:r w:rsidRPr="00662BD4">
        <w:rPr>
          <w:rFonts w:ascii="Times New Roman" w:hAnsi="Times New Roman" w:cs="Times New Roman"/>
          <w:sz w:val="24"/>
        </w:rPr>
        <w:fldChar w:fldCharType="separate"/>
      </w:r>
      <w:bookmarkStart w:id="1" w:name="_ENREF_1"/>
      <w:r w:rsidR="00091134" w:rsidRPr="009C17A4">
        <w:rPr>
          <w:rFonts w:ascii="Times New Roman" w:hAnsi="Times New Roman" w:cs="Times New Roman"/>
          <w:noProof/>
          <w:sz w:val="24"/>
        </w:rPr>
        <w:t xml:space="preserve">Betancourt, Y. (2013). Las propiedades físicas del suelo para definir la zona de aplicación del laboreo localizado en los suelos arcillosos pesados en el norte de Villa Clara. </w:t>
      </w:r>
      <w:r w:rsidR="00091134" w:rsidRPr="009C17A4">
        <w:rPr>
          <w:rFonts w:ascii="Times New Roman" w:hAnsi="Times New Roman" w:cs="Times New Roman"/>
          <w:i/>
          <w:noProof/>
          <w:sz w:val="24"/>
        </w:rPr>
        <w:t>Revista Ciencias Técnicas Agropecuarias</w:t>
      </w:r>
      <w:r w:rsidR="00091134" w:rsidRPr="009C17A4">
        <w:rPr>
          <w:rFonts w:ascii="Times New Roman" w:hAnsi="Times New Roman" w:cs="Times New Roman"/>
          <w:noProof/>
          <w:sz w:val="24"/>
        </w:rPr>
        <w:t xml:space="preserve">. </w:t>
      </w:r>
      <w:bookmarkEnd w:id="1"/>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2" w:name="_ENREF_2"/>
      <w:r w:rsidRPr="009C17A4">
        <w:rPr>
          <w:rFonts w:ascii="Times New Roman" w:hAnsi="Times New Roman" w:cs="Times New Roman"/>
          <w:noProof/>
          <w:sz w:val="24"/>
        </w:rPr>
        <w:t xml:space="preserve">Betancourt, Y. (2015). Labranza de Suelos destinados a caña de azucar. </w:t>
      </w:r>
      <w:r w:rsidRPr="009C17A4">
        <w:rPr>
          <w:rFonts w:ascii="Times New Roman" w:hAnsi="Times New Roman" w:cs="Times New Roman"/>
          <w:i/>
          <w:noProof/>
          <w:sz w:val="24"/>
        </w:rPr>
        <w:t>Revista Ciencias Técnicas Agropecuarias</w:t>
      </w:r>
      <w:r w:rsidRPr="009C17A4">
        <w:rPr>
          <w:rFonts w:ascii="Times New Roman" w:hAnsi="Times New Roman" w:cs="Times New Roman"/>
          <w:noProof/>
          <w:sz w:val="24"/>
        </w:rPr>
        <w:t xml:space="preserve">. </w:t>
      </w:r>
      <w:bookmarkEnd w:id="2"/>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3" w:name="_ENREF_3"/>
      <w:r w:rsidRPr="009C17A4">
        <w:rPr>
          <w:rFonts w:ascii="Times New Roman" w:hAnsi="Times New Roman" w:cs="Times New Roman"/>
          <w:noProof/>
          <w:sz w:val="24"/>
        </w:rPr>
        <w:lastRenderedPageBreak/>
        <w:t xml:space="preserve">Betancourt, Y., &amp; Iglesias, C. (2011). Fundamentos del diseño de implementos para la preparación localizada de superficies acanteradas en caña de azúcar. </w:t>
      </w:r>
      <w:r w:rsidRPr="009C17A4">
        <w:rPr>
          <w:rFonts w:ascii="Times New Roman" w:hAnsi="Times New Roman" w:cs="Times New Roman"/>
          <w:i/>
          <w:noProof/>
          <w:sz w:val="24"/>
        </w:rPr>
        <w:t>Revista Ciencias Técnicas Agropecuarias, 20</w:t>
      </w:r>
      <w:r w:rsidRPr="009C17A4">
        <w:rPr>
          <w:rFonts w:ascii="Times New Roman" w:hAnsi="Times New Roman" w:cs="Times New Roman"/>
          <w:noProof/>
          <w:sz w:val="24"/>
        </w:rPr>
        <w:t xml:space="preserve">, 5-10. </w:t>
      </w:r>
      <w:bookmarkEnd w:id="3"/>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4" w:name="_ENREF_4"/>
      <w:r w:rsidRPr="009C17A4">
        <w:rPr>
          <w:rFonts w:ascii="Times New Roman" w:hAnsi="Times New Roman" w:cs="Times New Roman"/>
          <w:noProof/>
          <w:sz w:val="24"/>
        </w:rPr>
        <w:t xml:space="preserve">Chudakov, D. (1977). </w:t>
      </w:r>
      <w:r w:rsidRPr="009C17A4">
        <w:rPr>
          <w:rFonts w:ascii="Times New Roman" w:hAnsi="Times New Roman" w:cs="Times New Roman"/>
          <w:i/>
          <w:noProof/>
          <w:sz w:val="24"/>
        </w:rPr>
        <w:t>Fundamentos de la teoría y el cálculo de tractores y automóviles.</w:t>
      </w:r>
      <w:r w:rsidRPr="009C17A4">
        <w:rPr>
          <w:rFonts w:ascii="Times New Roman" w:hAnsi="Times New Roman" w:cs="Times New Roman"/>
          <w:noProof/>
          <w:sz w:val="24"/>
        </w:rPr>
        <w:t xml:space="preserve"> (M. Editorial MIR Ed.).</w:t>
      </w:r>
      <w:bookmarkEnd w:id="4"/>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5" w:name="_ENREF_5"/>
      <w:r w:rsidRPr="009C17A4">
        <w:rPr>
          <w:rFonts w:ascii="Times New Roman" w:hAnsi="Times New Roman" w:cs="Times New Roman"/>
          <w:noProof/>
          <w:sz w:val="24"/>
        </w:rPr>
        <w:t xml:space="preserve">Demuner, G., Cadena, M., &amp; Campos, S. G. (2013). Resistencia a la penetración en un suelo franco arcilloso a dos años de manejo con tres sistemas de labranza. </w:t>
      </w:r>
      <w:r w:rsidRPr="009C17A4">
        <w:rPr>
          <w:rFonts w:ascii="Times New Roman" w:hAnsi="Times New Roman" w:cs="Times New Roman"/>
          <w:i/>
          <w:noProof/>
          <w:sz w:val="24"/>
        </w:rPr>
        <w:t>Revista Ciencias Técnicas Agropecuarias, 22</w:t>
      </w:r>
      <w:r w:rsidRPr="009C17A4">
        <w:rPr>
          <w:rFonts w:ascii="Times New Roman" w:hAnsi="Times New Roman" w:cs="Times New Roman"/>
          <w:noProof/>
          <w:sz w:val="24"/>
        </w:rPr>
        <w:t xml:space="preserve">, 68-71. </w:t>
      </w:r>
      <w:bookmarkEnd w:id="5"/>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6" w:name="_ENREF_6"/>
      <w:r w:rsidRPr="009C17A4">
        <w:rPr>
          <w:rFonts w:ascii="Times New Roman" w:hAnsi="Times New Roman" w:cs="Times New Roman"/>
          <w:noProof/>
          <w:sz w:val="24"/>
        </w:rPr>
        <w:t xml:space="preserve">Gutierrez, A., Mujica, F., García, L., Pineda, E., Betancourt, Y., Gómez, J., . . . Aday, O. (2013). Manual de buenas prácticas agrícolas para el cultivo de la caña de azúcar en los suelos arcillosos pesados con regadío superficial. </w:t>
      </w:r>
      <w:r w:rsidRPr="009C17A4">
        <w:rPr>
          <w:rFonts w:ascii="Times New Roman" w:hAnsi="Times New Roman" w:cs="Times New Roman"/>
          <w:i/>
          <w:noProof/>
          <w:sz w:val="24"/>
        </w:rPr>
        <w:t>Cuba &amp; Caña, Suplemento especial, No. 1., I</w:t>
      </w:r>
      <w:r w:rsidRPr="009C17A4">
        <w:rPr>
          <w:rFonts w:ascii="Times New Roman" w:hAnsi="Times New Roman" w:cs="Times New Roman"/>
          <w:noProof/>
          <w:sz w:val="24"/>
        </w:rPr>
        <w:t xml:space="preserve">. </w:t>
      </w:r>
      <w:bookmarkEnd w:id="6"/>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7" w:name="_ENREF_7"/>
      <w:r w:rsidRPr="009C17A4">
        <w:rPr>
          <w:rFonts w:ascii="Times New Roman" w:hAnsi="Times New Roman" w:cs="Times New Roman"/>
          <w:noProof/>
          <w:sz w:val="24"/>
        </w:rPr>
        <w:t xml:space="preserve">Hernández, J. L. (2007). </w:t>
      </w:r>
      <w:r w:rsidRPr="009C17A4">
        <w:rPr>
          <w:rFonts w:ascii="Times New Roman" w:hAnsi="Times New Roman" w:cs="Times New Roman"/>
          <w:i/>
          <w:noProof/>
          <w:sz w:val="24"/>
        </w:rPr>
        <w:t>Metodos para el analisis físico de los suelos</w:t>
      </w:r>
      <w:r w:rsidRPr="009C17A4">
        <w:rPr>
          <w:rFonts w:ascii="Times New Roman" w:hAnsi="Times New Roman" w:cs="Times New Roman"/>
          <w:noProof/>
          <w:sz w:val="24"/>
        </w:rPr>
        <w:t xml:space="preserve"> (Ediciones INCA ed.).</w:t>
      </w:r>
      <w:bookmarkEnd w:id="7"/>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8" w:name="_ENREF_8"/>
      <w:r w:rsidRPr="009C17A4">
        <w:rPr>
          <w:rFonts w:ascii="Times New Roman" w:hAnsi="Times New Roman" w:cs="Times New Roman"/>
          <w:noProof/>
          <w:sz w:val="24"/>
        </w:rPr>
        <w:t xml:space="preserve">Martínez, R., Betancourt, Y., Rodríguez, M., Vidal, L., &amp; Guillén, S. (2015). </w:t>
      </w:r>
      <w:r w:rsidRPr="009C17A4">
        <w:rPr>
          <w:rFonts w:ascii="Times New Roman" w:hAnsi="Times New Roman" w:cs="Times New Roman"/>
          <w:i/>
          <w:noProof/>
          <w:sz w:val="24"/>
        </w:rPr>
        <w:t>Evaluación Agrotécnica de la Combinada Cosechadora de Caña de Azúcar CASE IH 8800 y del Semirremolque Autobasculante de Fabricación Cubana en Suelos Arcillosos Pesados con Superficies Acanterada.</w:t>
      </w:r>
      <w:r w:rsidRPr="009C17A4">
        <w:rPr>
          <w:rFonts w:ascii="Times New Roman" w:hAnsi="Times New Roman" w:cs="Times New Roman"/>
          <w:noProof/>
          <w:sz w:val="24"/>
        </w:rPr>
        <w:t xml:space="preserve"> </w:t>
      </w:r>
      <w:bookmarkEnd w:id="8"/>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9" w:name="_ENREF_9"/>
      <w:r w:rsidRPr="009C17A4">
        <w:rPr>
          <w:rFonts w:ascii="Times New Roman" w:hAnsi="Times New Roman" w:cs="Times New Roman"/>
          <w:noProof/>
          <w:sz w:val="24"/>
        </w:rPr>
        <w:t xml:space="preserve">Matos, N., Iglesias, C., &amp; García, E. (2014). Organización racional del complejo de máquinas en la cosecha - transporte - recepción de la caña de azúcar en la Empresa Azucarera  Argentina </w:t>
      </w:r>
      <w:r w:rsidRPr="009C17A4">
        <w:rPr>
          <w:rFonts w:ascii="Times New Roman" w:hAnsi="Times New Roman" w:cs="Times New Roman"/>
          <w:i/>
          <w:noProof/>
          <w:sz w:val="24"/>
        </w:rPr>
        <w:t>Revista Ciencias Técnicas Agropecuarias, 23</w:t>
      </w:r>
      <w:r w:rsidRPr="009C17A4">
        <w:rPr>
          <w:rFonts w:ascii="Times New Roman" w:hAnsi="Times New Roman" w:cs="Times New Roman"/>
          <w:noProof/>
          <w:sz w:val="24"/>
        </w:rPr>
        <w:t xml:space="preserve">, 27-33. </w:t>
      </w:r>
      <w:bookmarkEnd w:id="9"/>
    </w:p>
    <w:p w:rsidR="00091134" w:rsidRPr="009C17A4" w:rsidRDefault="00091134" w:rsidP="009C17A4">
      <w:pPr>
        <w:pStyle w:val="Prrafodelista"/>
        <w:numPr>
          <w:ilvl w:val="0"/>
          <w:numId w:val="5"/>
        </w:numPr>
        <w:spacing w:after="0" w:line="240" w:lineRule="auto"/>
        <w:jc w:val="both"/>
        <w:rPr>
          <w:rFonts w:ascii="Times New Roman" w:hAnsi="Times New Roman" w:cs="Times New Roman"/>
          <w:noProof/>
          <w:sz w:val="24"/>
        </w:rPr>
      </w:pPr>
      <w:bookmarkStart w:id="10" w:name="_ENREF_10"/>
      <w:r w:rsidRPr="009C17A4">
        <w:rPr>
          <w:rFonts w:ascii="Times New Roman" w:hAnsi="Times New Roman" w:cs="Times New Roman"/>
          <w:noProof/>
          <w:sz w:val="24"/>
        </w:rPr>
        <w:t xml:space="preserve">Sánchez, V. (1996). </w:t>
      </w:r>
      <w:r w:rsidRPr="009C17A4">
        <w:rPr>
          <w:rFonts w:ascii="Times New Roman" w:hAnsi="Times New Roman" w:cs="Times New Roman"/>
          <w:i/>
          <w:noProof/>
          <w:sz w:val="24"/>
        </w:rPr>
        <w:t xml:space="preserve">Dinámica y mecánica de Suelos. </w:t>
      </w:r>
      <w:r w:rsidRPr="009C17A4">
        <w:rPr>
          <w:rFonts w:ascii="Times New Roman" w:hAnsi="Times New Roman" w:cs="Times New Roman"/>
          <w:noProof/>
          <w:sz w:val="24"/>
        </w:rPr>
        <w:t>(M. Ediciones Agrotécnicas Ed.).</w:t>
      </w:r>
      <w:bookmarkEnd w:id="10"/>
    </w:p>
    <w:p w:rsidR="00A80E7E" w:rsidRPr="00B5530B" w:rsidRDefault="00091134" w:rsidP="0020694D">
      <w:pPr>
        <w:pStyle w:val="Prrafodelista"/>
        <w:numPr>
          <w:ilvl w:val="0"/>
          <w:numId w:val="5"/>
        </w:numPr>
        <w:spacing w:line="240" w:lineRule="auto"/>
        <w:jc w:val="both"/>
        <w:rPr>
          <w:lang w:val="en-US"/>
        </w:rPr>
      </w:pPr>
      <w:bookmarkStart w:id="11" w:name="_ENREF_11"/>
      <w:r w:rsidRPr="00662BD4">
        <w:rPr>
          <w:rFonts w:ascii="Times New Roman" w:hAnsi="Times New Roman" w:cs="Times New Roman"/>
          <w:noProof/>
          <w:sz w:val="24"/>
        </w:rPr>
        <w:t xml:space="preserve">Soler, H., Pérez, H., &amp; Betancourt, Y. (2012). Manejo sostenible de tierras en la producción de caña de azúcar. </w:t>
      </w:r>
      <w:r w:rsidRPr="00662BD4">
        <w:rPr>
          <w:rFonts w:ascii="Times New Roman" w:hAnsi="Times New Roman" w:cs="Times New Roman"/>
          <w:noProof/>
          <w:sz w:val="24"/>
          <w:lang w:val="en-US"/>
        </w:rPr>
        <w:t>In G. A. A. I. d. I. d. l. C. d. Azúcar. (Ed.), (pp. 290).</w:t>
      </w:r>
      <w:bookmarkEnd w:id="11"/>
      <w:r w:rsidR="009A1D0D" w:rsidRPr="00662BD4">
        <w:rPr>
          <w:rFonts w:ascii="Times New Roman" w:hAnsi="Times New Roman" w:cs="Times New Roman"/>
          <w:sz w:val="24"/>
        </w:rPr>
        <w:fldChar w:fldCharType="end"/>
      </w:r>
    </w:p>
    <w:sectPr w:rsidR="00A80E7E" w:rsidRPr="00B5530B" w:rsidSect="007A2DCD">
      <w:headerReference w:type="default" r:id="rId37"/>
      <w:footerReference w:type="default" r:id="rId38"/>
      <w:pgSz w:w="11906" w:h="16838"/>
      <w:pgMar w:top="827" w:right="1701" w:bottom="1417" w:left="1560" w:header="567" w:footer="6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1B7" w:rsidRDefault="000A61B7">
      <w:pPr>
        <w:spacing w:after="0" w:line="240" w:lineRule="auto"/>
      </w:pPr>
      <w:r>
        <w:separator/>
      </w:r>
    </w:p>
  </w:endnote>
  <w:endnote w:type="continuationSeparator" w:id="0">
    <w:p w:rsidR="000A61B7" w:rsidRDefault="000A6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497" w:rsidRDefault="000A61B7" w:rsidP="005E2497">
    <w:pPr>
      <w:pStyle w:val="Piedepgina"/>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1B7" w:rsidRDefault="000A61B7">
      <w:pPr>
        <w:spacing w:after="0" w:line="240" w:lineRule="auto"/>
      </w:pPr>
      <w:r>
        <w:separator/>
      </w:r>
    </w:p>
  </w:footnote>
  <w:footnote w:type="continuationSeparator" w:id="0">
    <w:p w:rsidR="000A61B7" w:rsidRDefault="000A61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BD4" w:rsidRPr="00F41304" w:rsidRDefault="00662BD4" w:rsidP="00662BD4">
    <w:pPr>
      <w:pStyle w:val="Encabezado"/>
      <w:jc w:val="center"/>
      <w:rPr>
        <w:rFonts w:ascii="Times New Roman" w:hAnsi="Times New Roman" w:cs="Times New Roman"/>
        <w:b/>
        <w:sz w:val="20"/>
      </w:rPr>
    </w:pPr>
    <w:r w:rsidRPr="00F41304">
      <w:rPr>
        <w:rFonts w:ascii="Times New Roman" w:hAnsi="Times New Roman" w:cs="Times New Roman"/>
        <w:noProof/>
        <w:sz w:val="20"/>
        <w:szCs w:val="24"/>
        <w:lang w:eastAsia="es-ES"/>
      </w:rPr>
      <w:drawing>
        <wp:anchor distT="0" distB="0" distL="114300" distR="114300" simplePos="0" relativeHeight="251659264" behindDoc="1" locked="0" layoutInCell="1" allowOverlap="1" wp14:anchorId="648B2D4D" wp14:editId="4A55CDBF">
          <wp:simplePos x="0" y="0"/>
          <wp:positionH relativeFrom="column">
            <wp:posOffset>5387340</wp:posOffset>
          </wp:positionH>
          <wp:positionV relativeFrom="paragraph">
            <wp:posOffset>-265023</wp:posOffset>
          </wp:positionV>
          <wp:extent cx="534984" cy="626287"/>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4984" cy="62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304">
      <w:rPr>
        <w:rFonts w:ascii="Times New Roman" w:hAnsi="Times New Roman" w:cs="Times New Roman"/>
        <w:b/>
        <w:sz w:val="20"/>
      </w:rPr>
      <w:t xml:space="preserve">PLANTILLA OFICIAL PARA LA PRESENTACIÓN DE TRABAJOS </w:t>
    </w:r>
  </w:p>
  <w:p w:rsidR="00662BD4" w:rsidRPr="00F41304" w:rsidRDefault="00662BD4" w:rsidP="00662BD4">
    <w:pPr>
      <w:pStyle w:val="Encabezado"/>
      <w:jc w:val="center"/>
      <w:rPr>
        <w:rFonts w:ascii="Times New Roman" w:hAnsi="Times New Roman" w:cs="Times New Roman"/>
        <w:b/>
        <w:sz w:val="20"/>
      </w:rPr>
    </w:pPr>
    <w:r w:rsidRPr="00F41304">
      <w:rPr>
        <w:rFonts w:ascii="Times New Roman" w:hAnsi="Times New Roman" w:cs="Times New Roman"/>
        <w:b/>
        <w:sz w:val="20"/>
      </w:rPr>
      <w:t xml:space="preserve">II CONVENCIÓN CIENTÍFICA INTERNACIONAL </w:t>
    </w:r>
  </w:p>
  <w:p w:rsidR="00662BD4" w:rsidRPr="00F41304" w:rsidRDefault="00662BD4" w:rsidP="00662BD4">
    <w:pPr>
      <w:pStyle w:val="Encabezado"/>
      <w:jc w:val="center"/>
      <w:rPr>
        <w:rFonts w:ascii="Times New Roman" w:hAnsi="Times New Roman" w:cs="Times New Roman"/>
        <w:sz w:val="20"/>
        <w:szCs w:val="24"/>
      </w:rPr>
    </w:pPr>
    <w:r w:rsidRPr="00F41304">
      <w:rPr>
        <w:rFonts w:ascii="Times New Roman" w:hAnsi="Times New Roman" w:cs="Times New Roman"/>
        <w:noProof/>
        <w:sz w:val="16"/>
        <w:szCs w:val="20"/>
        <w:lang w:eastAsia="es-ES"/>
      </w:rPr>
      <w:drawing>
        <wp:anchor distT="0" distB="0" distL="114300" distR="114300" simplePos="0" relativeHeight="251660288" behindDoc="1" locked="0" layoutInCell="1" allowOverlap="1" wp14:anchorId="47D3C679" wp14:editId="2271D87D">
          <wp:simplePos x="0" y="0"/>
          <wp:positionH relativeFrom="column">
            <wp:posOffset>5387340</wp:posOffset>
          </wp:positionH>
          <wp:positionV relativeFrom="paragraph">
            <wp:posOffset>18415</wp:posOffset>
          </wp:positionV>
          <wp:extent cx="604520" cy="67627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452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304">
      <w:rPr>
        <w:rFonts w:ascii="Times New Roman" w:hAnsi="Times New Roman" w:cs="Times New Roman"/>
        <w:b/>
        <w:sz w:val="20"/>
      </w:rPr>
      <w:t>“II CCI UCLV 2019”</w:t>
    </w:r>
    <w:r w:rsidRPr="00F41304">
      <w:rPr>
        <w:rFonts w:ascii="Times New Roman" w:hAnsi="Times New Roman" w:cs="Times New Roman"/>
        <w:sz w:val="20"/>
        <w:szCs w:val="24"/>
      </w:rPr>
      <w:t xml:space="preserve"> </w:t>
    </w:r>
  </w:p>
  <w:p w:rsidR="00662BD4" w:rsidRPr="00F41304" w:rsidRDefault="00662BD4" w:rsidP="00662BD4">
    <w:pPr>
      <w:pStyle w:val="Encabezado"/>
      <w:jc w:val="center"/>
      <w:rPr>
        <w:rFonts w:ascii="Times New Roman" w:hAnsi="Times New Roman" w:cs="Times New Roman"/>
        <w:b/>
        <w:sz w:val="20"/>
      </w:rPr>
    </w:pPr>
  </w:p>
  <w:p w:rsidR="00662BD4" w:rsidRPr="00F41304" w:rsidRDefault="00662BD4" w:rsidP="00662BD4">
    <w:pPr>
      <w:pStyle w:val="Encabezado"/>
      <w:jc w:val="center"/>
      <w:rPr>
        <w:rFonts w:ascii="Times New Roman" w:hAnsi="Times New Roman" w:cs="Times New Roman"/>
        <w:b/>
        <w:sz w:val="20"/>
      </w:rPr>
    </w:pPr>
    <w:r w:rsidRPr="00F41304">
      <w:rPr>
        <w:rFonts w:ascii="Times New Roman" w:hAnsi="Times New Roman" w:cs="Times New Roman"/>
        <w:b/>
        <w:sz w:val="20"/>
      </w:rPr>
      <w:t xml:space="preserve">DEL 23 AL 30 DE JUNIO DEL 2019. </w:t>
    </w:r>
  </w:p>
  <w:p w:rsidR="00640758" w:rsidRPr="00662BD4" w:rsidRDefault="00662BD4" w:rsidP="00662BD4">
    <w:pPr>
      <w:pStyle w:val="Encabezado"/>
      <w:jc w:val="center"/>
      <w:rPr>
        <w:rFonts w:ascii="Times New Roman" w:hAnsi="Times New Roman" w:cs="Times New Roman"/>
        <w:b/>
        <w:sz w:val="20"/>
      </w:rPr>
    </w:pPr>
    <w:r w:rsidRPr="00F41304">
      <w:rPr>
        <w:rFonts w:ascii="Times New Roman" w:hAnsi="Times New Roman" w:cs="Times New Roman"/>
        <w:b/>
        <w:sz w:val="20"/>
      </w:rPr>
      <w:t>CAYOS DE VILLA CLARA. CUBA.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2B23"/>
    <w:multiLevelType w:val="hybridMultilevel"/>
    <w:tmpl w:val="680055F0"/>
    <w:lvl w:ilvl="0" w:tplc="4462C268">
      <w:start w:val="1"/>
      <w:numFmt w:val="decimal"/>
      <w:lvlText w:val="%1."/>
      <w:lvlJc w:val="left"/>
      <w:pPr>
        <w:ind w:left="1080" w:hanging="360"/>
      </w:pPr>
      <w:rPr>
        <w:rFonts w:ascii="Arial" w:hAnsi="Arial" w:cs="Arial" w:hint="default"/>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1223036F"/>
    <w:multiLevelType w:val="hybridMultilevel"/>
    <w:tmpl w:val="ACE416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5685F1B"/>
    <w:multiLevelType w:val="hybridMultilevel"/>
    <w:tmpl w:val="3EB06F26"/>
    <w:lvl w:ilvl="0" w:tplc="FD74188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FB63FE5"/>
    <w:multiLevelType w:val="hybridMultilevel"/>
    <w:tmpl w:val="0FC20A10"/>
    <w:lvl w:ilvl="0" w:tplc="0C0A000F">
      <w:start w:val="1"/>
      <w:numFmt w:val="decimal"/>
      <w:lvlText w:val="%1."/>
      <w:lvlJc w:val="left"/>
      <w:pPr>
        <w:ind w:left="437" w:hanging="360"/>
      </w:pPr>
    </w:lvl>
    <w:lvl w:ilvl="1" w:tplc="0C0A0019" w:tentative="1">
      <w:start w:val="1"/>
      <w:numFmt w:val="lowerLetter"/>
      <w:lvlText w:val="%2."/>
      <w:lvlJc w:val="left"/>
      <w:pPr>
        <w:ind w:left="1157" w:hanging="360"/>
      </w:pPr>
    </w:lvl>
    <w:lvl w:ilvl="2" w:tplc="0C0A001B" w:tentative="1">
      <w:start w:val="1"/>
      <w:numFmt w:val="lowerRoman"/>
      <w:lvlText w:val="%3."/>
      <w:lvlJc w:val="right"/>
      <w:pPr>
        <w:ind w:left="1877" w:hanging="180"/>
      </w:pPr>
    </w:lvl>
    <w:lvl w:ilvl="3" w:tplc="0C0A000F" w:tentative="1">
      <w:start w:val="1"/>
      <w:numFmt w:val="decimal"/>
      <w:lvlText w:val="%4."/>
      <w:lvlJc w:val="left"/>
      <w:pPr>
        <w:ind w:left="2597" w:hanging="360"/>
      </w:pPr>
    </w:lvl>
    <w:lvl w:ilvl="4" w:tplc="0C0A0019" w:tentative="1">
      <w:start w:val="1"/>
      <w:numFmt w:val="lowerLetter"/>
      <w:lvlText w:val="%5."/>
      <w:lvlJc w:val="left"/>
      <w:pPr>
        <w:ind w:left="3317" w:hanging="360"/>
      </w:pPr>
    </w:lvl>
    <w:lvl w:ilvl="5" w:tplc="0C0A001B" w:tentative="1">
      <w:start w:val="1"/>
      <w:numFmt w:val="lowerRoman"/>
      <w:lvlText w:val="%6."/>
      <w:lvlJc w:val="right"/>
      <w:pPr>
        <w:ind w:left="4037" w:hanging="180"/>
      </w:pPr>
    </w:lvl>
    <w:lvl w:ilvl="6" w:tplc="0C0A000F" w:tentative="1">
      <w:start w:val="1"/>
      <w:numFmt w:val="decimal"/>
      <w:lvlText w:val="%7."/>
      <w:lvlJc w:val="left"/>
      <w:pPr>
        <w:ind w:left="4757" w:hanging="360"/>
      </w:pPr>
    </w:lvl>
    <w:lvl w:ilvl="7" w:tplc="0C0A0019" w:tentative="1">
      <w:start w:val="1"/>
      <w:numFmt w:val="lowerLetter"/>
      <w:lvlText w:val="%8."/>
      <w:lvlJc w:val="left"/>
      <w:pPr>
        <w:ind w:left="5477" w:hanging="360"/>
      </w:pPr>
    </w:lvl>
    <w:lvl w:ilvl="8" w:tplc="0C0A001B" w:tentative="1">
      <w:start w:val="1"/>
      <w:numFmt w:val="lowerRoman"/>
      <w:lvlText w:val="%9."/>
      <w:lvlJc w:val="right"/>
      <w:pPr>
        <w:ind w:left="6197" w:hanging="180"/>
      </w:pPr>
    </w:lvl>
  </w:abstractNum>
  <w:abstractNum w:abstractNumId="4">
    <w:nsid w:val="544239E5"/>
    <w:multiLevelType w:val="hybridMultilevel"/>
    <w:tmpl w:val="AA529D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a0z9a0dt290aae2z95520x85fs2vavza55f&quot;&gt;My EndNote Library Dayana&lt;record-ids&gt;&lt;item&gt;81&lt;/item&gt;&lt;/record-ids&gt;&lt;/item&gt;&lt;item db-id=&quot;vfz9zrxzystawueeez7pxrxm9w0f59sw0dva&quot;&gt;Saucedo Tesis&lt;record-ids&gt;&lt;item&gt;15&lt;/item&gt;&lt;item&gt;21&lt;/item&gt;&lt;item&gt;25&lt;/item&gt;&lt;item&gt;36&lt;/item&gt;&lt;item&gt;48&lt;/item&gt;&lt;item&gt;49&lt;/item&gt;&lt;item&gt;77&lt;/item&gt;&lt;/record-ids&gt;&lt;/item&gt;&lt;/Libraries&gt;"/>
  </w:docVars>
  <w:rsids>
    <w:rsidRoot w:val="002926F0"/>
    <w:rsid w:val="00072971"/>
    <w:rsid w:val="00091134"/>
    <w:rsid w:val="000A61B7"/>
    <w:rsid w:val="000D21E7"/>
    <w:rsid w:val="001677D7"/>
    <w:rsid w:val="0020694D"/>
    <w:rsid w:val="00256601"/>
    <w:rsid w:val="002926F0"/>
    <w:rsid w:val="003746F1"/>
    <w:rsid w:val="003E1F3F"/>
    <w:rsid w:val="00512B3F"/>
    <w:rsid w:val="00570DF5"/>
    <w:rsid w:val="00662BD4"/>
    <w:rsid w:val="00717F3A"/>
    <w:rsid w:val="007A2DCD"/>
    <w:rsid w:val="009A1D0D"/>
    <w:rsid w:val="009C17A4"/>
    <w:rsid w:val="00A326F1"/>
    <w:rsid w:val="00A80E7E"/>
    <w:rsid w:val="00B15799"/>
    <w:rsid w:val="00B5530B"/>
    <w:rsid w:val="00B61BEB"/>
    <w:rsid w:val="00CD5576"/>
    <w:rsid w:val="00F6346D"/>
    <w:rsid w:val="00FB67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rules v:ext="edit">
        <o:r id="V:Rule1" type="connector" idref="#_x0000_s1039"/>
        <o:r id="V:Rule2" type="connector" idref="#_x0000_s1036"/>
        <o:r id="V:Rule3" type="connector" idref="#_x0000_s1035"/>
        <o:r id="V:Rule4" type="connector" idref="#_x0000_s1038"/>
        <o:r id="V:Rule5" type="connector" idref="#_x0000_s1037"/>
        <o:r id="V:Rule6"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926F0"/>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rsid w:val="002926F0"/>
    <w:rPr>
      <w:rFonts w:eastAsiaTheme="minorHAnsi"/>
      <w:lang w:eastAsia="en-US"/>
    </w:rPr>
  </w:style>
  <w:style w:type="paragraph" w:styleId="Piedepgina">
    <w:name w:val="footer"/>
    <w:basedOn w:val="Normal"/>
    <w:link w:val="PiedepginaCar"/>
    <w:uiPriority w:val="99"/>
    <w:unhideWhenUsed/>
    <w:rsid w:val="002926F0"/>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2926F0"/>
    <w:rPr>
      <w:rFonts w:eastAsiaTheme="minorHAnsi"/>
      <w:lang w:eastAsia="en-US"/>
    </w:rPr>
  </w:style>
  <w:style w:type="paragraph" w:styleId="Prrafodelista">
    <w:name w:val="List Paragraph"/>
    <w:basedOn w:val="Normal"/>
    <w:uiPriority w:val="34"/>
    <w:qFormat/>
    <w:rsid w:val="002926F0"/>
    <w:pPr>
      <w:ind w:left="720"/>
      <w:contextualSpacing/>
    </w:pPr>
    <w:rPr>
      <w:rFonts w:eastAsiaTheme="minorHAnsi"/>
      <w:lang w:eastAsia="en-US"/>
    </w:rPr>
  </w:style>
  <w:style w:type="character" w:styleId="Hipervnculo">
    <w:name w:val="Hyperlink"/>
    <w:basedOn w:val="Fuentedeprrafopredeter"/>
    <w:uiPriority w:val="99"/>
    <w:unhideWhenUsed/>
    <w:rsid w:val="002926F0"/>
    <w:rPr>
      <w:color w:val="0000FF" w:themeColor="hyperlink"/>
      <w:u w:val="single"/>
    </w:rPr>
  </w:style>
  <w:style w:type="paragraph" w:styleId="Textodeglobo">
    <w:name w:val="Balloon Text"/>
    <w:basedOn w:val="Normal"/>
    <w:link w:val="TextodegloboCar"/>
    <w:uiPriority w:val="99"/>
    <w:semiHidden/>
    <w:unhideWhenUsed/>
    <w:rsid w:val="002926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26F0"/>
    <w:rPr>
      <w:rFonts w:ascii="Tahoma" w:hAnsi="Tahoma" w:cs="Tahoma"/>
      <w:sz w:val="16"/>
      <w:szCs w:val="16"/>
    </w:rPr>
  </w:style>
  <w:style w:type="paragraph" w:styleId="HTMLconformatoprevio">
    <w:name w:val="HTML Preformatted"/>
    <w:basedOn w:val="Normal"/>
    <w:link w:val="HTMLconformatoprevioCar"/>
    <w:uiPriority w:val="99"/>
    <w:semiHidden/>
    <w:unhideWhenUsed/>
    <w:rsid w:val="00FB6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_tradnl" w:eastAsia="en-US"/>
    </w:rPr>
  </w:style>
  <w:style w:type="character" w:customStyle="1" w:styleId="HTMLconformatoprevioCar">
    <w:name w:val="HTML con formato previo Car"/>
    <w:basedOn w:val="Fuentedeprrafopredeter"/>
    <w:link w:val="HTMLconformatoprevio"/>
    <w:uiPriority w:val="99"/>
    <w:semiHidden/>
    <w:rsid w:val="00FB6794"/>
    <w:rPr>
      <w:rFonts w:ascii="Courier New" w:eastAsia="Times New Roman" w:hAnsi="Courier New" w:cs="Times New Roman"/>
      <w:sz w:val="20"/>
      <w:szCs w:val="20"/>
      <w:lang w:val="es-ES_tradnl" w:eastAsia="en-US"/>
    </w:rPr>
  </w:style>
  <w:style w:type="paragraph" w:styleId="Textoindependiente">
    <w:name w:val="Body Text"/>
    <w:basedOn w:val="Normal"/>
    <w:link w:val="TextoindependienteCar"/>
    <w:rsid w:val="003E1F3F"/>
    <w:pPr>
      <w:spacing w:after="0" w:line="240" w:lineRule="auto"/>
      <w:jc w:val="both"/>
    </w:pPr>
    <w:rPr>
      <w:rFonts w:ascii="Times New Roman" w:eastAsia="Times New Roman" w:hAnsi="Times New Roman" w:cs="Times New Roman"/>
      <w:szCs w:val="20"/>
      <w:lang w:val="es-MX" w:eastAsia="es-CL"/>
    </w:rPr>
  </w:style>
  <w:style w:type="character" w:customStyle="1" w:styleId="TextoindependienteCar">
    <w:name w:val="Texto independiente Car"/>
    <w:basedOn w:val="Fuentedeprrafopredeter"/>
    <w:link w:val="Textoindependiente"/>
    <w:rsid w:val="003E1F3F"/>
    <w:rPr>
      <w:rFonts w:ascii="Times New Roman" w:eastAsia="Times New Roman" w:hAnsi="Times New Roman" w:cs="Times New Roman"/>
      <w:szCs w:val="20"/>
      <w:lang w:val="es-MX"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56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fontTable" Target="fontTable.xml"/><Relationship Id="rId21" Type="http://schemas.openxmlformats.org/officeDocument/2006/relationships/image" Target="media/image8.wmf"/><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TODO%20LO%20DEL%20TRABAJO\2018\Tutor&#237;a%20de%20Tesis%202018\Tesis%20Maestria%20SAUC2\BD%20Eval%20CAH%20(Para%20TrabDiplom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49">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9">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9">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9">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9">
                <a:solidFill>
                  <a:schemeClr val="lt1"/>
                </a:solidFill>
              </a:ln>
              <a:effectLst/>
            </c:spPr>
          </c:dPt>
          <c:dPt>
            <c:idx val="5"/>
            <c:bubble3D val="0"/>
            <c:spPr>
              <a:gradFill>
                <a:gsLst>
                  <a:gs pos="100000">
                    <a:schemeClr val="accent6">
                      <a:lumMod val="60000"/>
                      <a:lumOff val="40000"/>
                    </a:schemeClr>
                  </a:gs>
                  <a:gs pos="0">
                    <a:schemeClr val="accent6"/>
                  </a:gs>
                </a:gsLst>
                <a:lin ang="5400000" scaled="0"/>
              </a:gradFill>
              <a:ln w="19049">
                <a:solidFill>
                  <a:schemeClr val="lt1"/>
                </a:solidFill>
              </a:ln>
              <a:effectLst/>
            </c:spPr>
          </c:dPt>
          <c:dPt>
            <c:idx val="6"/>
            <c:bubble3D val="0"/>
            <c:spPr>
              <a:gradFill>
                <a:gsLst>
                  <a:gs pos="100000">
                    <a:schemeClr val="accent1">
                      <a:lumMod val="60000"/>
                      <a:lumMod val="60000"/>
                      <a:lumOff val="40000"/>
                    </a:schemeClr>
                  </a:gs>
                  <a:gs pos="0">
                    <a:schemeClr val="accent1">
                      <a:lumMod val="60000"/>
                    </a:schemeClr>
                  </a:gs>
                </a:gsLst>
                <a:lin ang="5400000" scaled="0"/>
              </a:gradFill>
              <a:ln w="19049">
                <a:solidFill>
                  <a:schemeClr val="lt1"/>
                </a:solidFill>
              </a:ln>
              <a:effectLst/>
            </c:spPr>
          </c:dPt>
          <c:dLbls>
            <c:spPr>
              <a:noFill/>
              <a:ln w="25398">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outEnd"/>
            <c:showLegendKey val="0"/>
            <c:showVal val="0"/>
            <c:showCatName val="0"/>
            <c:showSerName val="0"/>
            <c:showPercent val="1"/>
            <c:showBubbleSize val="0"/>
            <c:showLeaderLines val="1"/>
            <c:leaderLines>
              <c:spPr>
                <a:ln w="9524"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Hoja2!$A$1:$A$7</c:f>
              <c:strCache>
                <c:ptCount val="7"/>
                <c:pt idx="0">
                  <c:v>Hidromórficos</c:v>
                </c:pt>
                <c:pt idx="1">
                  <c:v>Pardos Sialíticos </c:v>
                </c:pt>
                <c:pt idx="2">
                  <c:v>Ferralíticos</c:v>
                </c:pt>
                <c:pt idx="3">
                  <c:v>Vertisoles </c:v>
                </c:pt>
                <c:pt idx="4">
                  <c:v>Fersialíticos</c:v>
                </c:pt>
                <c:pt idx="5">
                  <c:v>Fluvisoles </c:v>
                </c:pt>
                <c:pt idx="6">
                  <c:v>Húmicos Sialíticos </c:v>
                </c:pt>
              </c:strCache>
            </c:strRef>
          </c:cat>
          <c:val>
            <c:numRef>
              <c:f>Hoja2!$B$1:$B$7</c:f>
              <c:numCache>
                <c:formatCode>0.00%</c:formatCode>
                <c:ptCount val="7"/>
                <c:pt idx="0">
                  <c:v>0.61129999999999995</c:v>
                </c:pt>
                <c:pt idx="1">
                  <c:v>0.14180000000000001</c:v>
                </c:pt>
                <c:pt idx="2">
                  <c:v>0.12570000000000001</c:v>
                </c:pt>
                <c:pt idx="3">
                  <c:v>4.8500000000000001E-2</c:v>
                </c:pt>
                <c:pt idx="4">
                  <c:v>3.1699999999999999E-2</c:v>
                </c:pt>
                <c:pt idx="5">
                  <c:v>2.3599999999999999E-2</c:v>
                </c:pt>
                <c:pt idx="6">
                  <c:v>1.7500000000000002E-2</c:v>
                </c:pt>
              </c:numCache>
            </c:numRef>
          </c:val>
        </c:ser>
        <c:dLbls>
          <c:showLegendKey val="0"/>
          <c:showVal val="0"/>
          <c:showCatName val="0"/>
          <c:showSerName val="0"/>
          <c:showPercent val="0"/>
          <c:showBubbleSize val="0"/>
          <c:showLeaderLines val="1"/>
        </c:dLbls>
        <c:firstSliceAng val="0"/>
      </c:pieChart>
      <c:spPr>
        <a:noFill/>
        <a:ln w="25398">
          <a:noFill/>
        </a:ln>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showDLblsOverMax val="0"/>
  </c:chart>
  <c:spPr>
    <a:pattFill prst="dkDnDiag">
      <a:fgClr>
        <a:schemeClr val="lt1"/>
      </a:fgClr>
      <a:bgClr>
        <a:schemeClr val="dk1">
          <a:lumMod val="10000"/>
          <a:lumOff val="90000"/>
        </a:schemeClr>
      </a:bgClr>
    </a:pattFill>
    <a:ln w="9524" cap="flat" cmpd="sng" algn="ctr">
      <a:solidFill>
        <a:schemeClr val="dk1">
          <a:lumMod val="15000"/>
          <a:lumOff val="8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ES"/>
              <a:t>% Humedad</a:t>
            </a:r>
          </a:p>
        </c:rich>
      </c:tx>
      <c:layout>
        <c:manualLayout>
          <c:xMode val="edge"/>
          <c:yMode val="edge"/>
          <c:x val="0.41559692067780246"/>
          <c:y val="5.0228310502283095E-2"/>
        </c:manualLayout>
      </c:layout>
      <c:overlay val="0"/>
      <c:spPr>
        <a:noFill/>
        <a:ln>
          <a:noFill/>
        </a:ln>
        <a:effectLst/>
      </c:spPr>
    </c:title>
    <c:autoTitleDeleted val="0"/>
    <c:plotArea>
      <c:layout>
        <c:manualLayout>
          <c:layoutTarget val="inner"/>
          <c:xMode val="edge"/>
          <c:yMode val="edge"/>
          <c:x val="0.22460251046025098"/>
          <c:y val="0.15502283105022846"/>
          <c:w val="0.55032012211862635"/>
          <c:h val="0.79408693776291617"/>
        </c:manualLayout>
      </c:layout>
      <c:scatterChart>
        <c:scatterStyle val="smoothMarker"/>
        <c:varyColors val="0"/>
        <c:ser>
          <c:idx val="1"/>
          <c:order val="0"/>
          <c:tx>
            <c:v>En el atascadero</c:v>
          </c:tx>
          <c:spPr>
            <a:ln w="9525" cap="rnd">
              <a:solidFill>
                <a:schemeClr val="accent2"/>
              </a:solidFill>
              <a:round/>
            </a:ln>
            <a:effectLst>
              <a:outerShdw blurRad="40000" dist="23000" dir="5400000" rotWithShape="0">
                <a:srgbClr val="000000">
                  <a:alpha val="35000"/>
                </a:srgbClr>
              </a:outerShdw>
            </a:effectLst>
          </c:spPr>
          <c:marker>
            <c:symbol val="circle"/>
            <c:size val="6"/>
            <c:spPr>
              <a:solidFill>
                <a:srgbClr val="C00000"/>
              </a:soli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'Humedada en el atascadero'!$C$3:$C$5</c:f>
              <c:numCache>
                <c:formatCode>General</c:formatCode>
                <c:ptCount val="3"/>
                <c:pt idx="0">
                  <c:v>55.3</c:v>
                </c:pt>
                <c:pt idx="1">
                  <c:v>56</c:v>
                </c:pt>
                <c:pt idx="2">
                  <c:v>56.3</c:v>
                </c:pt>
              </c:numCache>
            </c:numRef>
          </c:xVal>
          <c:yVal>
            <c:numRef>
              <c:f>'Humedada en el atascadero'!$B$3:$B$5</c:f>
              <c:numCache>
                <c:formatCode>General</c:formatCode>
                <c:ptCount val="3"/>
                <c:pt idx="0">
                  <c:v>-10</c:v>
                </c:pt>
                <c:pt idx="1">
                  <c:v>-20</c:v>
                </c:pt>
                <c:pt idx="2">
                  <c:v>-30</c:v>
                </c:pt>
              </c:numCache>
            </c:numRef>
          </c:yVal>
          <c:smooth val="1"/>
        </c:ser>
        <c:ser>
          <c:idx val="0"/>
          <c:order val="1"/>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'Humedada en el atascadero'!$C$9:$C$11</c:f>
              <c:numCache>
                <c:formatCode>General</c:formatCode>
                <c:ptCount val="3"/>
              </c:numCache>
            </c:numRef>
          </c:xVal>
          <c:yVal>
            <c:numRef>
              <c:f>'Humedada en el atascadero'!$B$3:$B$5</c:f>
              <c:numCache>
                <c:formatCode>General</c:formatCode>
                <c:ptCount val="3"/>
                <c:pt idx="0">
                  <c:v>-10</c:v>
                </c:pt>
                <c:pt idx="1">
                  <c:v>-20</c:v>
                </c:pt>
                <c:pt idx="2">
                  <c:v>-30</c:v>
                </c:pt>
              </c:numCache>
            </c:numRef>
          </c:yVal>
          <c:smooth val="1"/>
        </c:ser>
        <c:dLbls>
          <c:showLegendKey val="0"/>
          <c:showVal val="0"/>
          <c:showCatName val="0"/>
          <c:showSerName val="0"/>
          <c:showPercent val="0"/>
          <c:showBubbleSize val="0"/>
        </c:dLbls>
        <c:axId val="209902912"/>
        <c:axId val="221464256"/>
      </c:scatterChart>
      <c:valAx>
        <c:axId val="209902912"/>
        <c:scaling>
          <c:orientation val="minMax"/>
          <c:max val="60"/>
          <c:min val="54"/>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in"/>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s-ES"/>
          </a:p>
        </c:txPr>
        <c:crossAx val="221464256"/>
        <c:crosses val="autoZero"/>
        <c:crossBetween val="midCat"/>
        <c:majorUnit val="2"/>
      </c:valAx>
      <c:valAx>
        <c:axId val="22146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a:pPr>
                <a:r>
                  <a:rPr lang="en-US"/>
                  <a:t>Profundidad, cm</a:t>
                </a:r>
              </a:p>
            </c:rich>
          </c:tx>
          <c:overlay val="0"/>
          <c:spPr>
            <a:noFill/>
            <a:ln>
              <a:noFill/>
            </a:ln>
            <a:effectLst/>
          </c:spPr>
        </c:title>
        <c:numFmt formatCode="General" sourceLinked="1"/>
        <c:majorTickMark val="none"/>
        <c:minorTickMark val="none"/>
        <c:tickLblPos val="nextTo"/>
        <c:spPr>
          <a:noFill/>
          <a:ln>
            <a:solidFill>
              <a:schemeClr val="tx1">
                <a:lumMod val="15000"/>
                <a:lumOff val="85000"/>
                <a:alpha val="91000"/>
              </a:schemeClr>
            </a:solidFill>
          </a:ln>
          <a:effectLst/>
        </c:spPr>
        <c:txPr>
          <a:bodyPr rot="-60000000" vert="horz"/>
          <a:lstStyle/>
          <a:p>
            <a:pPr>
              <a:defRPr/>
            </a:pPr>
            <a:endParaRPr lang="es-ES"/>
          </a:p>
        </c:txPr>
        <c:crossAx val="209902912"/>
        <c:crossesAt val="0.75000000000000044"/>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BE9C8-DDAC-40D8-8F9A-6875FE93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Pages>
  <Words>6303</Words>
  <Characters>34670</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Jose Dasiell Lorenzo Rojas</cp:lastModifiedBy>
  <cp:revision>8</cp:revision>
  <dcterms:created xsi:type="dcterms:W3CDTF">2019-04-14T14:53:00Z</dcterms:created>
  <dcterms:modified xsi:type="dcterms:W3CDTF">2019-04-18T10:11:00Z</dcterms:modified>
</cp:coreProperties>
</file>