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C3A" w:rsidRDefault="009A7C3A" w:rsidP="009A7C3A">
      <w:pPr>
        <w:spacing w:line="240" w:lineRule="auto"/>
        <w:jc w:val="right"/>
        <w:rPr>
          <w:rFonts w:ascii="Times New Roman" w:eastAsia="Times New Roman" w:hAnsi="Times New Roman"/>
          <w:b/>
          <w:bCs/>
          <w:i/>
          <w:sz w:val="28"/>
          <w:lang w:eastAsia="es-ES"/>
        </w:rPr>
      </w:pPr>
      <w:r w:rsidRPr="009A7C3A">
        <w:rPr>
          <w:rFonts w:ascii="Arial Narrow" w:hAnsi="Arial Narrow" w:cs="Arial"/>
          <w:i/>
          <w:noProof/>
          <w:sz w:val="20"/>
          <w:szCs w:val="24"/>
          <w:u w:val="single"/>
          <w:lang w:eastAsia="es-ES"/>
        </w:rPr>
        <w:drawing>
          <wp:inline distT="0" distB="0" distL="0" distR="0" wp14:anchorId="524A09AA" wp14:editId="7D61AF4C">
            <wp:extent cx="781685" cy="9022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953" cy="924527"/>
                    </a:xfrm>
                    <a:prstGeom prst="rect">
                      <a:avLst/>
                    </a:prstGeom>
                    <a:noFill/>
                    <a:ln>
                      <a:noFill/>
                    </a:ln>
                  </pic:spPr>
                </pic:pic>
              </a:graphicData>
            </a:graphic>
          </wp:inline>
        </w:drawing>
      </w:r>
      <w:r w:rsidRPr="009A7C3A">
        <w:rPr>
          <w:rFonts w:ascii="Times New Roman" w:eastAsia="Times New Roman" w:hAnsi="Times New Roman"/>
          <w:b/>
          <w:bCs/>
          <w:i/>
          <w:sz w:val="28"/>
          <w:lang w:eastAsia="es-ES"/>
        </w:rPr>
        <w:t xml:space="preserve"> </w:t>
      </w:r>
    </w:p>
    <w:p w:rsidR="009A7C3A" w:rsidRDefault="009A7C3A" w:rsidP="009A7C3A">
      <w:pPr>
        <w:spacing w:line="240" w:lineRule="auto"/>
        <w:jc w:val="right"/>
        <w:rPr>
          <w:rFonts w:ascii="Times New Roman" w:eastAsia="Times New Roman" w:hAnsi="Times New Roman"/>
          <w:b/>
          <w:bCs/>
          <w:sz w:val="28"/>
          <w:lang w:eastAsia="es-ES"/>
        </w:rPr>
      </w:pPr>
      <w:r w:rsidRPr="009A7C3A">
        <w:rPr>
          <w:rFonts w:ascii="Arial Narrow" w:hAnsi="Arial Narrow" w:cs="Arial"/>
          <w:i/>
          <w:caps/>
          <w:noProof/>
          <w:sz w:val="20"/>
          <w:szCs w:val="24"/>
          <w:u w:val="single"/>
          <w:lang w:eastAsia="es-ES"/>
        </w:rPr>
        <w:drawing>
          <wp:inline distT="0" distB="0" distL="0" distR="0" wp14:anchorId="499D2E5A" wp14:editId="2E081DFE">
            <wp:extent cx="838835" cy="9345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5288" cy="975207"/>
                    </a:xfrm>
                    <a:prstGeom prst="rect">
                      <a:avLst/>
                    </a:prstGeom>
                    <a:noFill/>
                    <a:ln>
                      <a:noFill/>
                    </a:ln>
                  </pic:spPr>
                </pic:pic>
              </a:graphicData>
            </a:graphic>
          </wp:inline>
        </w:drawing>
      </w:r>
    </w:p>
    <w:p w:rsidR="009A7C3A" w:rsidRDefault="009A7C3A" w:rsidP="003611AC">
      <w:pPr>
        <w:spacing w:line="240" w:lineRule="auto"/>
        <w:jc w:val="center"/>
      </w:pPr>
      <w:r w:rsidRPr="009A7C3A">
        <w:rPr>
          <w:rFonts w:ascii="Times New Roman" w:eastAsia="Times New Roman" w:hAnsi="Times New Roman"/>
          <w:b/>
          <w:bCs/>
          <w:sz w:val="28"/>
          <w:lang w:eastAsia="es-ES"/>
        </w:rPr>
        <w:t>IV SIMPOSIO INTERNACIONAL "SEGURIDAD TECNOLÓGICA Y AMBIENTAL"</w:t>
      </w:r>
    </w:p>
    <w:p w:rsidR="008A7A32" w:rsidRPr="009A7C3A" w:rsidRDefault="009A7C3A" w:rsidP="008A7A32">
      <w:pPr>
        <w:spacing w:after="0" w:line="240" w:lineRule="auto"/>
        <w:jc w:val="center"/>
        <w:rPr>
          <w:rFonts w:ascii="Times New Roman" w:eastAsia="Times New Roman" w:hAnsi="Times New Roman"/>
          <w:b/>
          <w:bCs/>
          <w:sz w:val="28"/>
          <w:szCs w:val="28"/>
          <w:lang w:eastAsia="es-ES"/>
        </w:rPr>
      </w:pPr>
      <w:r w:rsidRPr="009A7C3A">
        <w:rPr>
          <w:rFonts w:ascii="Times New Roman" w:eastAsia="Times New Roman" w:hAnsi="Times New Roman"/>
          <w:b/>
          <w:bCs/>
          <w:sz w:val="28"/>
          <w:szCs w:val="28"/>
          <w:lang w:eastAsia="es-ES"/>
        </w:rPr>
        <w:t xml:space="preserve">Evaluación eco-toxicológica del manejo de residuos contaminados con lodo base - combustible diésel </w:t>
      </w:r>
    </w:p>
    <w:p w:rsidR="00BF32F0" w:rsidRPr="002C7B0A" w:rsidRDefault="00BF32F0" w:rsidP="00BF32F0">
      <w:pPr>
        <w:spacing w:after="0" w:line="240" w:lineRule="auto"/>
        <w:jc w:val="center"/>
        <w:rPr>
          <w:rFonts w:ascii="Times New Roman" w:hAnsi="Times New Roman"/>
          <w:b/>
          <w:i/>
          <w:sz w:val="24"/>
          <w:szCs w:val="28"/>
        </w:rPr>
      </w:pPr>
    </w:p>
    <w:p w:rsidR="008A7A32" w:rsidRPr="009A7C3A" w:rsidRDefault="009A7C3A" w:rsidP="008A7A32">
      <w:pPr>
        <w:tabs>
          <w:tab w:val="left" w:pos="0"/>
          <w:tab w:val="left" w:pos="284"/>
        </w:tabs>
        <w:autoSpaceDE w:val="0"/>
        <w:autoSpaceDN w:val="0"/>
        <w:adjustRightInd w:val="0"/>
        <w:spacing w:after="0" w:line="240" w:lineRule="auto"/>
        <w:jc w:val="center"/>
        <w:rPr>
          <w:rFonts w:ascii="Times New Roman" w:hAnsi="Times New Roman"/>
          <w:b/>
          <w:bCs/>
          <w:i/>
          <w:caps/>
          <w:sz w:val="28"/>
          <w:szCs w:val="28"/>
          <w:u w:val="single"/>
          <w:lang w:val="en-US"/>
        </w:rPr>
      </w:pPr>
      <w:r w:rsidRPr="009A7C3A">
        <w:rPr>
          <w:rFonts w:ascii="Times New Roman" w:hAnsi="Times New Roman"/>
          <w:b/>
          <w:i/>
          <w:sz w:val="28"/>
          <w:szCs w:val="28"/>
          <w:lang w:val="en-US"/>
        </w:rPr>
        <w:t>Eco-toxicological evaluation of the handling of residues contaminated with base sludge - diesel fuel</w:t>
      </w:r>
      <w:r w:rsidRPr="009A7C3A">
        <w:rPr>
          <w:rFonts w:ascii="Times New Roman" w:hAnsi="Times New Roman"/>
          <w:b/>
          <w:i/>
          <w:sz w:val="28"/>
          <w:szCs w:val="28"/>
          <w:lang w:val="en-US"/>
        </w:rPr>
        <w:br/>
      </w:r>
    </w:p>
    <w:p w:rsidR="00C308E9" w:rsidRPr="009A7C3A" w:rsidRDefault="00C308E9" w:rsidP="003611AC">
      <w:pPr>
        <w:spacing w:after="0" w:line="360" w:lineRule="auto"/>
        <w:jc w:val="center"/>
        <w:rPr>
          <w:rFonts w:ascii="Times New Roman" w:eastAsia="Times New Roman" w:hAnsi="Times New Roman"/>
          <w:bCs/>
          <w:sz w:val="24"/>
          <w:szCs w:val="24"/>
          <w:lang w:eastAsia="es-ES"/>
        </w:rPr>
      </w:pPr>
      <w:r w:rsidRPr="009A7C3A">
        <w:rPr>
          <w:rFonts w:ascii="Times New Roman" w:eastAsia="Times New Roman" w:hAnsi="Times New Roman"/>
          <w:bCs/>
          <w:sz w:val="24"/>
          <w:szCs w:val="24"/>
          <w:u w:val="single"/>
          <w:lang w:eastAsia="es-ES"/>
        </w:rPr>
        <w:t xml:space="preserve">Roberto Romero Silva, </w:t>
      </w:r>
      <w:r w:rsidRPr="009A7C3A">
        <w:rPr>
          <w:rFonts w:ascii="Times New Roman" w:eastAsia="Times New Roman" w:hAnsi="Times New Roman"/>
          <w:bCs/>
          <w:sz w:val="24"/>
          <w:szCs w:val="24"/>
          <w:lang w:eastAsia="es-ES"/>
        </w:rPr>
        <w:t>Claudia Chao Reyes, Silvia Acosta Díaz, Francisca González Hernández, Regla María García Laurrerio, Yuletsis Díaz Rodríguez, Yamila Navarro Sosa</w:t>
      </w:r>
      <w:r w:rsidR="006C7F87">
        <w:rPr>
          <w:rFonts w:ascii="Times New Roman" w:eastAsia="Times New Roman" w:hAnsi="Times New Roman"/>
          <w:bCs/>
          <w:sz w:val="24"/>
          <w:szCs w:val="24"/>
          <w:lang w:eastAsia="es-ES"/>
        </w:rPr>
        <w:t xml:space="preserve">, Leira Modesta González Hernández  </w:t>
      </w:r>
    </w:p>
    <w:p w:rsidR="00BF32F0" w:rsidRPr="003611AC" w:rsidRDefault="00BF32F0" w:rsidP="00BF32F0">
      <w:pPr>
        <w:spacing w:after="0" w:line="240" w:lineRule="auto"/>
        <w:ind w:left="142" w:hanging="142"/>
        <w:jc w:val="center"/>
        <w:rPr>
          <w:rFonts w:ascii="Times New Roman" w:eastAsia="Times New Roman" w:hAnsi="Times New Roman"/>
          <w:lang w:eastAsia="es-ES"/>
        </w:rPr>
      </w:pPr>
      <w:r w:rsidRPr="003611AC">
        <w:rPr>
          <w:rFonts w:ascii="Times New Roman" w:eastAsia="Times New Roman" w:hAnsi="Times New Roman"/>
          <w:vertAlign w:val="superscript"/>
          <w:lang w:eastAsia="es-ES"/>
        </w:rPr>
        <w:t xml:space="preserve">1) </w:t>
      </w:r>
      <w:r w:rsidRPr="003611AC">
        <w:rPr>
          <w:rFonts w:ascii="Times New Roman" w:eastAsia="Times New Roman" w:hAnsi="Times New Roman"/>
          <w:lang w:eastAsia="es-ES"/>
        </w:rPr>
        <w:t>Centro de Investigación del Petróleo (CEINPET), Churruca No.481, La Habana, Cuba.</w:t>
      </w:r>
    </w:p>
    <w:p w:rsidR="00BF32F0" w:rsidRPr="00A63230" w:rsidRDefault="00BF32F0" w:rsidP="00BF32F0">
      <w:pPr>
        <w:spacing w:after="0" w:line="240" w:lineRule="auto"/>
        <w:jc w:val="center"/>
        <w:rPr>
          <w:rFonts w:ascii="Times New Roman" w:hAnsi="Times New Roman"/>
          <w:sz w:val="24"/>
        </w:rPr>
      </w:pPr>
    </w:p>
    <w:p w:rsidR="009D7F13" w:rsidRPr="00E373DD" w:rsidRDefault="009D7F13" w:rsidP="00AB1A44">
      <w:pPr>
        <w:spacing w:after="120" w:line="360" w:lineRule="auto"/>
        <w:rPr>
          <w:rFonts w:ascii="Times New Roman" w:hAnsi="Times New Roman"/>
          <w:caps/>
          <w:sz w:val="24"/>
          <w:szCs w:val="24"/>
          <w:lang w:val="es-ES_tradnl"/>
        </w:rPr>
      </w:pPr>
      <w:r w:rsidRPr="00E373DD">
        <w:rPr>
          <w:rFonts w:ascii="Times New Roman" w:hAnsi="Times New Roman"/>
          <w:b/>
          <w:caps/>
          <w:sz w:val="24"/>
          <w:szCs w:val="24"/>
          <w:lang w:val="es-ES_tradnl"/>
        </w:rPr>
        <w:t>R</w:t>
      </w:r>
      <w:r w:rsidR="00D9340E" w:rsidRPr="00E373DD">
        <w:rPr>
          <w:rFonts w:ascii="Times New Roman" w:hAnsi="Times New Roman"/>
          <w:b/>
          <w:caps/>
          <w:sz w:val="24"/>
          <w:szCs w:val="24"/>
          <w:lang w:val="es-ES_tradnl"/>
        </w:rPr>
        <w:t>esumen</w:t>
      </w:r>
    </w:p>
    <w:p w:rsidR="00C308E9" w:rsidRPr="003611AC" w:rsidRDefault="003611AC" w:rsidP="003611AC">
      <w:pPr>
        <w:pStyle w:val="Default"/>
        <w:spacing w:line="360" w:lineRule="auto"/>
        <w:jc w:val="both"/>
        <w:rPr>
          <w:bCs/>
          <w:iCs/>
        </w:rPr>
      </w:pPr>
      <w:r>
        <w:rPr>
          <w:b/>
          <w:bCs/>
          <w:sz w:val="23"/>
          <w:szCs w:val="23"/>
        </w:rPr>
        <w:t xml:space="preserve">Problemática: </w:t>
      </w:r>
      <w:r w:rsidR="00C308E9" w:rsidRPr="00C308E9">
        <w:rPr>
          <w:bCs/>
        </w:rPr>
        <w:t xml:space="preserve">La realización de ensayos eco-toxicológicos se encuentra entre los requisitos de las legislaciones actuales </w:t>
      </w:r>
      <w:r w:rsidR="00C308E9" w:rsidRPr="00C308E9">
        <w:rPr>
          <w:bCs/>
          <w:lang w:val="es-VE"/>
        </w:rPr>
        <w:t xml:space="preserve">para estudios de riesgos y la mejora del conocimiento de los procesos de biodegradación de contaminantes. </w:t>
      </w:r>
      <w:r w:rsidRPr="003611AC">
        <w:rPr>
          <w:b/>
          <w:bCs/>
        </w:rPr>
        <w:t>Objetivo:</w:t>
      </w:r>
      <w:r>
        <w:rPr>
          <w:b/>
          <w:bCs/>
        </w:rPr>
        <w:t xml:space="preserve"> </w:t>
      </w:r>
      <w:r w:rsidR="00C308E9" w:rsidRPr="00C308E9">
        <w:rPr>
          <w:bCs/>
        </w:rPr>
        <w:t xml:space="preserve">La degradación ocurrida por diferentes métodos de biorremediación, en suelos contaminados con cortes de perforación de lodo base diésel, fueron evaluados mediante la realización de bioensayos de toxicidad aguda, lo que constituye el objetivo del presente trabajo. </w:t>
      </w:r>
      <w:r>
        <w:rPr>
          <w:b/>
          <w:bCs/>
          <w:sz w:val="23"/>
          <w:szCs w:val="23"/>
        </w:rPr>
        <w:t>Metodología:</w:t>
      </w:r>
      <w:r>
        <w:rPr>
          <w:b/>
          <w:bCs/>
          <w:sz w:val="23"/>
          <w:szCs w:val="23"/>
        </w:rPr>
        <w:t xml:space="preserve"> </w:t>
      </w:r>
      <w:r w:rsidR="00C308E9" w:rsidRPr="00C308E9">
        <w:rPr>
          <w:bCs/>
        </w:rPr>
        <w:t xml:space="preserve">Se utilizaron como bioindicadores </w:t>
      </w:r>
      <w:r w:rsidR="00C308E9" w:rsidRPr="00C308E9">
        <w:rPr>
          <w:bCs/>
          <w:iCs/>
          <w:lang w:val="es-VE"/>
        </w:rPr>
        <w:t>semillas de lechuga (</w:t>
      </w:r>
      <w:r w:rsidR="00C308E9" w:rsidRPr="00C308E9">
        <w:rPr>
          <w:bCs/>
          <w:i/>
          <w:iCs/>
          <w:lang w:val="es-VE"/>
        </w:rPr>
        <w:t>Latuca Sativa)</w:t>
      </w:r>
      <w:r w:rsidR="00C308E9" w:rsidRPr="00C308E9">
        <w:rPr>
          <w:bCs/>
          <w:iCs/>
          <w:lang w:val="es-VE"/>
        </w:rPr>
        <w:t xml:space="preserve"> en papel de filtro y la lombriz de tierra (</w:t>
      </w:r>
      <w:r w:rsidR="00C308E9" w:rsidRPr="00C308E9">
        <w:rPr>
          <w:bCs/>
          <w:i/>
          <w:iCs/>
          <w:lang w:val="es-VE"/>
        </w:rPr>
        <w:t>Ensenia Andrei)</w:t>
      </w:r>
      <w:r w:rsidR="00C308E9" w:rsidRPr="00C308E9">
        <w:rPr>
          <w:bCs/>
          <w:iCs/>
          <w:lang w:val="es-VE"/>
        </w:rPr>
        <w:t>; exponiéndose a diferentes</w:t>
      </w:r>
      <w:r w:rsidR="00C308E9" w:rsidRPr="00C308E9">
        <w:rPr>
          <w:bCs/>
        </w:rPr>
        <w:t xml:space="preserve"> concentraciones de prueba (1, 5, 25, 50 y 100%).</w:t>
      </w:r>
      <w:r w:rsidR="00C308E9" w:rsidRPr="00C308E9">
        <w:rPr>
          <w:bCs/>
          <w:lang w:val="x-none"/>
        </w:rPr>
        <w:t xml:space="preserve"> </w:t>
      </w:r>
      <w:r w:rsidR="00C308E9" w:rsidRPr="00C308E9">
        <w:rPr>
          <w:bCs/>
          <w:lang w:val="es-MX"/>
        </w:rPr>
        <w:t xml:space="preserve">El efecto tóxico de las matrices obtenidas se midió a partir del </w:t>
      </w:r>
      <w:r w:rsidR="00C308E9" w:rsidRPr="00C308E9">
        <w:rPr>
          <w:bCs/>
        </w:rPr>
        <w:t>cálculo de la concentración letal media (CL</w:t>
      </w:r>
      <w:r w:rsidR="00C308E9" w:rsidRPr="00C308E9">
        <w:rPr>
          <w:bCs/>
          <w:vertAlign w:val="subscript"/>
        </w:rPr>
        <w:t>50</w:t>
      </w:r>
      <w:r w:rsidR="00C308E9" w:rsidRPr="00C308E9">
        <w:rPr>
          <w:bCs/>
        </w:rPr>
        <w:t xml:space="preserve">) que produce la no germinación y/o mortalidad del 50% de la población de los </w:t>
      </w:r>
      <w:bookmarkStart w:id="0" w:name="OLE_LINK2"/>
      <w:r w:rsidR="00C308E9" w:rsidRPr="00C308E9">
        <w:rPr>
          <w:bCs/>
        </w:rPr>
        <w:t>bioindicadores expuestos.</w:t>
      </w:r>
      <w:bookmarkEnd w:id="0"/>
      <w:r>
        <w:rPr>
          <w:bCs/>
        </w:rPr>
        <w:t xml:space="preserve"> </w:t>
      </w:r>
      <w:r w:rsidRPr="003611AC">
        <w:rPr>
          <w:b/>
          <w:bCs/>
          <w:iCs/>
        </w:rPr>
        <w:t>Resultados y discusión:</w:t>
      </w:r>
      <w:r>
        <w:rPr>
          <w:b/>
          <w:bCs/>
          <w:iCs/>
        </w:rPr>
        <w:t xml:space="preserve"> </w:t>
      </w:r>
      <w:r w:rsidR="00C308E9" w:rsidRPr="00C308E9">
        <w:rPr>
          <w:bCs/>
          <w:iCs/>
          <w:lang w:val="es-VE"/>
        </w:rPr>
        <w:t xml:space="preserve">Se demostró toxicidad de los suelos tratados por bioaumentación en la experimentación realizada con semillas de lechuga, mientras que los suelos tratados por biorremediación mejorada y estabilización química-biológica </w:t>
      </w:r>
      <w:r w:rsidR="00C308E9" w:rsidRPr="00C308E9">
        <w:rPr>
          <w:bCs/>
          <w:iCs/>
          <w:lang w:val="es-VE"/>
        </w:rPr>
        <w:lastRenderedPageBreak/>
        <w:t>presentaron baja toxicidad. La evaluación realizada con lombrices, mostró toxicidad de los suelos tratados por los procesos de biorremediación mejorada y estabilización química-biológica con agromena. Se obtuvieron resultados similares con los suelos tratados por bioaumentación con el inóculo más concentrado. Se aprecia baja toxicidad en la experimentación con los suelos tratados por el proceso de estabilización química-biológica con producto mejorador y en la biorremediación por bioaumentación co</w:t>
      </w:r>
      <w:r>
        <w:rPr>
          <w:bCs/>
          <w:iCs/>
          <w:lang w:val="es-VE"/>
        </w:rPr>
        <w:t xml:space="preserve">n el inóculo menos concentrado. </w:t>
      </w:r>
      <w:r w:rsidRPr="003611AC">
        <w:rPr>
          <w:b/>
          <w:bCs/>
          <w:iCs/>
        </w:rPr>
        <w:t xml:space="preserve">Conclusiones: </w:t>
      </w:r>
      <w:r w:rsidR="00C308E9" w:rsidRPr="00C308E9">
        <w:rPr>
          <w:bCs/>
          <w:iCs/>
          <w:lang w:val="es-VE"/>
        </w:rPr>
        <w:t xml:space="preserve">La evaluación eco-toxicológica realizada demuestra que los procesos de biorremediación constituyen métodos seguros de disposición de contaminantes provenientes del petróleo. </w:t>
      </w:r>
    </w:p>
    <w:p w:rsidR="00C308E9" w:rsidRPr="00C308E9" w:rsidRDefault="00BF32F0" w:rsidP="003611AC">
      <w:pPr>
        <w:spacing w:after="0" w:line="360" w:lineRule="auto"/>
        <w:jc w:val="both"/>
        <w:rPr>
          <w:rFonts w:ascii="Times New Roman" w:hAnsi="Times New Roman"/>
          <w:color w:val="000000"/>
          <w:sz w:val="24"/>
          <w:szCs w:val="24"/>
        </w:rPr>
      </w:pPr>
      <w:r>
        <w:rPr>
          <w:rFonts w:ascii="Times New Roman" w:hAnsi="Times New Roman"/>
          <w:b/>
          <w:sz w:val="24"/>
          <w:szCs w:val="24"/>
          <w:lang w:val="es-ES_tradnl"/>
        </w:rPr>
        <w:t>Palabras clave</w:t>
      </w:r>
      <w:r>
        <w:rPr>
          <w:rFonts w:ascii="Times New Roman" w:hAnsi="Times New Roman"/>
          <w:sz w:val="24"/>
          <w:szCs w:val="24"/>
          <w:lang w:val="es-ES_tradnl"/>
        </w:rPr>
        <w:t xml:space="preserve">: </w:t>
      </w:r>
      <w:r w:rsidR="003611AC">
        <w:rPr>
          <w:rFonts w:ascii="Times New Roman" w:hAnsi="Times New Roman"/>
          <w:color w:val="000000"/>
          <w:sz w:val="24"/>
          <w:szCs w:val="24"/>
        </w:rPr>
        <w:t>Contaminación, Toxicidad, M</w:t>
      </w:r>
      <w:r w:rsidR="00C308E9" w:rsidRPr="00C308E9">
        <w:rPr>
          <w:rFonts w:ascii="Times New Roman" w:hAnsi="Times New Roman"/>
          <w:color w:val="000000"/>
          <w:sz w:val="24"/>
          <w:szCs w:val="24"/>
        </w:rPr>
        <w:t>ortalidad</w:t>
      </w:r>
    </w:p>
    <w:p w:rsidR="00D9340E" w:rsidRPr="00103220" w:rsidRDefault="00D9340E" w:rsidP="00BF32F0">
      <w:pPr>
        <w:spacing w:after="0" w:line="360" w:lineRule="auto"/>
        <w:jc w:val="both"/>
        <w:rPr>
          <w:rFonts w:ascii="Times New Roman" w:hAnsi="Times New Roman"/>
          <w:b/>
          <w:sz w:val="24"/>
          <w:szCs w:val="24"/>
        </w:rPr>
      </w:pPr>
    </w:p>
    <w:p w:rsidR="009D7F13" w:rsidRPr="00726DBE" w:rsidRDefault="009D7F13" w:rsidP="00AB1A44">
      <w:pPr>
        <w:spacing w:after="120" w:line="360" w:lineRule="auto"/>
        <w:rPr>
          <w:rFonts w:ascii="Times New Roman" w:hAnsi="Times New Roman"/>
          <w:caps/>
          <w:sz w:val="24"/>
          <w:szCs w:val="24"/>
        </w:rPr>
      </w:pPr>
      <w:r w:rsidRPr="00726DBE">
        <w:rPr>
          <w:rFonts w:ascii="Times New Roman" w:hAnsi="Times New Roman"/>
          <w:b/>
          <w:caps/>
          <w:sz w:val="24"/>
          <w:szCs w:val="24"/>
        </w:rPr>
        <w:t>A</w:t>
      </w:r>
      <w:r w:rsidR="00D9340E" w:rsidRPr="00726DBE">
        <w:rPr>
          <w:rFonts w:ascii="Times New Roman" w:hAnsi="Times New Roman"/>
          <w:b/>
          <w:caps/>
          <w:sz w:val="24"/>
          <w:szCs w:val="24"/>
        </w:rPr>
        <w:t>bstract</w:t>
      </w:r>
    </w:p>
    <w:p w:rsidR="00EC3041" w:rsidRPr="003611AC" w:rsidRDefault="00EC3041" w:rsidP="00C308E9">
      <w:pPr>
        <w:pStyle w:val="HTMLconformatoprevio"/>
        <w:widowControl w:val="0"/>
        <w:spacing w:line="360" w:lineRule="auto"/>
        <w:jc w:val="both"/>
        <w:rPr>
          <w:rFonts w:ascii="Times New Roman" w:eastAsia="Calibri" w:hAnsi="Times New Roman" w:cs="Times New Roman"/>
          <w:bCs/>
          <w:i/>
          <w:sz w:val="24"/>
          <w:szCs w:val="24"/>
          <w:lang w:val="en-US" w:eastAsia="en-US"/>
        </w:rPr>
      </w:pPr>
      <w:r w:rsidRPr="003611AC">
        <w:rPr>
          <w:rFonts w:ascii="Times New Roman" w:eastAsia="Calibri" w:hAnsi="Times New Roman" w:cs="Times New Roman"/>
          <w:bCs/>
          <w:i/>
          <w:sz w:val="24"/>
          <w:szCs w:val="24"/>
          <w:lang w:val="en-US" w:eastAsia="en-US"/>
        </w:rPr>
        <w:t xml:space="preserve">The realization of eco-toxicological tests is among the requirements of current legislation for risk studies and the improvement of knowledge of the processes of biodegradation of pollutants. The degradation occurred by different bioremediation methods, in soils contaminated with drilling </w:t>
      </w:r>
      <w:r w:rsidR="007820BD" w:rsidRPr="003611AC">
        <w:rPr>
          <w:rFonts w:ascii="Times New Roman" w:eastAsia="Calibri" w:hAnsi="Times New Roman" w:cs="Times New Roman"/>
          <w:bCs/>
          <w:i/>
          <w:sz w:val="24"/>
          <w:szCs w:val="24"/>
          <w:lang w:val="en-US" w:eastAsia="en-US"/>
        </w:rPr>
        <w:t>cuts diesel</w:t>
      </w:r>
      <w:r w:rsidRPr="003611AC">
        <w:rPr>
          <w:rFonts w:ascii="Times New Roman" w:eastAsia="Calibri" w:hAnsi="Times New Roman" w:cs="Times New Roman"/>
          <w:bCs/>
          <w:i/>
          <w:sz w:val="24"/>
          <w:szCs w:val="24"/>
          <w:lang w:val="en-US" w:eastAsia="en-US"/>
        </w:rPr>
        <w:t xml:space="preserve"> </w:t>
      </w:r>
      <w:r w:rsidR="007820BD" w:rsidRPr="003611AC">
        <w:rPr>
          <w:rFonts w:ascii="Times New Roman" w:eastAsia="Calibri" w:hAnsi="Times New Roman" w:cs="Times New Roman"/>
          <w:bCs/>
          <w:i/>
          <w:sz w:val="24"/>
          <w:szCs w:val="24"/>
          <w:lang w:val="en-US" w:eastAsia="en-US"/>
        </w:rPr>
        <w:t>base,</w:t>
      </w:r>
      <w:r w:rsidRPr="003611AC">
        <w:rPr>
          <w:rFonts w:ascii="Times New Roman" w:eastAsia="Calibri" w:hAnsi="Times New Roman" w:cs="Times New Roman"/>
          <w:bCs/>
          <w:i/>
          <w:sz w:val="24"/>
          <w:szCs w:val="24"/>
          <w:lang w:val="en-US" w:eastAsia="en-US"/>
        </w:rPr>
        <w:t xml:space="preserve"> were evaluated through the performance of bioassays of acute toxicity, </w:t>
      </w:r>
      <w:r w:rsidR="007820BD" w:rsidRPr="003611AC">
        <w:rPr>
          <w:rFonts w:ascii="Times New Roman" w:eastAsia="Calibri" w:hAnsi="Times New Roman" w:cs="Times New Roman"/>
          <w:bCs/>
          <w:i/>
          <w:sz w:val="24"/>
          <w:szCs w:val="24"/>
          <w:lang w:val="en-US" w:eastAsia="en-US"/>
        </w:rPr>
        <w:t>constituent</w:t>
      </w:r>
      <w:r w:rsidRPr="003611AC">
        <w:rPr>
          <w:rFonts w:ascii="Times New Roman" w:eastAsia="Calibri" w:hAnsi="Times New Roman" w:cs="Times New Roman"/>
          <w:bCs/>
          <w:i/>
          <w:sz w:val="24"/>
          <w:szCs w:val="24"/>
          <w:lang w:val="en-US" w:eastAsia="en-US"/>
        </w:rPr>
        <w:t xml:space="preserve"> the objective of this work. Seeds of lettuce (Latuca sativa) on filter paper and the earthworm (Ensenia Andrei) were used as bioindicators; exposeds to different test concentrations (1, 5, 25, 50 and 100%). The toxic effect of the obtained matrices was measured from the calculation of the mean lethal concentration (LC50) that produces non-germination and / or mortality of 50% of the population of the exposed bioindicators. Toxicity of the soils treated by bioaugmentation was demonstrated in the experimentation carried out with lettuce seeds, while the soils treated by improved bioremediation and chemical-biological stabilization showed low toxicity. The evaluation made with earthworms, showed toxicity of the soils treated by the processes of improved bioremediation and chemical-biological stabilization with agromena. Similar results were obtained with the soils treated by bioaugmentation with the most concentrated inoculum. There is low toxicity in the experimentation with the soils treated by the chemical-biological stabilization process with an improving product and in the bioremediation by bioaugmentation with the less concentrated inoculum. The eco-toxicological evaluation carried out shows that bioremediation processes constitute safe disposal methods for oil pollutants.</w:t>
      </w:r>
    </w:p>
    <w:p w:rsidR="00BF32F0" w:rsidRPr="003611AC" w:rsidRDefault="00BF32F0" w:rsidP="00C308E9">
      <w:pPr>
        <w:pStyle w:val="HTMLconformatoprevio"/>
        <w:widowControl w:val="0"/>
        <w:spacing w:line="360" w:lineRule="auto"/>
        <w:jc w:val="both"/>
        <w:rPr>
          <w:rFonts w:ascii="Times New Roman" w:hAnsi="Times New Roman"/>
          <w:i/>
          <w:sz w:val="24"/>
          <w:szCs w:val="24"/>
          <w:lang w:val="en-US"/>
        </w:rPr>
      </w:pPr>
      <w:r w:rsidRPr="003611AC">
        <w:rPr>
          <w:rFonts w:ascii="Times New Roman" w:hAnsi="Times New Roman"/>
          <w:b/>
          <w:i/>
          <w:sz w:val="24"/>
          <w:szCs w:val="24"/>
          <w:lang w:val="en-US"/>
        </w:rPr>
        <w:t>Key words</w:t>
      </w:r>
      <w:r w:rsidRPr="003611AC">
        <w:rPr>
          <w:rFonts w:ascii="Times New Roman" w:hAnsi="Times New Roman"/>
          <w:i/>
          <w:sz w:val="24"/>
          <w:szCs w:val="24"/>
          <w:lang w:val="en-US"/>
        </w:rPr>
        <w:t xml:space="preserve">: </w:t>
      </w:r>
      <w:r w:rsidR="003611AC">
        <w:rPr>
          <w:rFonts w:ascii="Times New Roman" w:hAnsi="Times New Roman" w:cs="Times New Roman"/>
          <w:i/>
          <w:sz w:val="24"/>
          <w:lang w:val="en"/>
        </w:rPr>
        <w:t>B</w:t>
      </w:r>
      <w:r w:rsidR="004E58DC" w:rsidRPr="003611AC">
        <w:rPr>
          <w:rFonts w:ascii="Times New Roman" w:hAnsi="Times New Roman" w:cs="Times New Roman"/>
          <w:i/>
          <w:sz w:val="24"/>
          <w:lang w:val="en"/>
        </w:rPr>
        <w:t>ioremediation</w:t>
      </w:r>
      <w:r w:rsidRPr="003611AC">
        <w:rPr>
          <w:rFonts w:ascii="Times New Roman" w:hAnsi="Times New Roman"/>
          <w:i/>
          <w:sz w:val="24"/>
          <w:szCs w:val="24"/>
          <w:lang w:val="en-US"/>
        </w:rPr>
        <w:t xml:space="preserve">; </w:t>
      </w:r>
      <w:r w:rsidR="003611AC">
        <w:rPr>
          <w:rFonts w:ascii="Times New Roman" w:hAnsi="Times New Roman" w:cs="Times New Roman"/>
          <w:i/>
          <w:sz w:val="24"/>
          <w:lang w:val="en"/>
        </w:rPr>
        <w:t>C</w:t>
      </w:r>
      <w:r w:rsidR="004E58DC" w:rsidRPr="003611AC">
        <w:rPr>
          <w:rFonts w:ascii="Times New Roman" w:hAnsi="Times New Roman" w:cs="Times New Roman"/>
          <w:i/>
          <w:sz w:val="24"/>
          <w:lang w:val="en"/>
        </w:rPr>
        <w:t>hemical-biological stabilization</w:t>
      </w:r>
      <w:r w:rsidR="003611AC">
        <w:rPr>
          <w:rFonts w:ascii="Times New Roman" w:hAnsi="Times New Roman"/>
          <w:i/>
          <w:sz w:val="24"/>
          <w:szCs w:val="24"/>
          <w:lang w:val="en-US"/>
        </w:rPr>
        <w:t>; D</w:t>
      </w:r>
      <w:r w:rsidR="004E58DC" w:rsidRPr="003611AC">
        <w:rPr>
          <w:rFonts w:ascii="Times New Roman" w:hAnsi="Times New Roman"/>
          <w:i/>
          <w:sz w:val="24"/>
          <w:szCs w:val="24"/>
          <w:lang w:val="en-US"/>
        </w:rPr>
        <w:t>rilling sludge</w:t>
      </w:r>
      <w:r w:rsidRPr="003611AC">
        <w:rPr>
          <w:rFonts w:ascii="Times New Roman" w:hAnsi="Times New Roman"/>
          <w:i/>
          <w:sz w:val="24"/>
          <w:szCs w:val="24"/>
          <w:lang w:val="en-US"/>
        </w:rPr>
        <w:t>.</w:t>
      </w:r>
    </w:p>
    <w:p w:rsidR="00C308E9" w:rsidRPr="004E58DC" w:rsidRDefault="00C308E9" w:rsidP="00C308E9">
      <w:pPr>
        <w:pStyle w:val="HTMLconformatoprevio"/>
        <w:widowControl w:val="0"/>
        <w:spacing w:line="360" w:lineRule="auto"/>
        <w:jc w:val="both"/>
        <w:rPr>
          <w:lang w:val="en-US"/>
        </w:rPr>
      </w:pPr>
    </w:p>
    <w:p w:rsidR="00FF7014" w:rsidRDefault="00FF7014" w:rsidP="00AB1A44">
      <w:pPr>
        <w:numPr>
          <w:ilvl w:val="0"/>
          <w:numId w:val="6"/>
        </w:numPr>
        <w:spacing w:after="120" w:line="360" w:lineRule="auto"/>
        <w:ind w:left="284" w:hanging="284"/>
        <w:rPr>
          <w:rFonts w:ascii="Times New Roman" w:hAnsi="Times New Roman"/>
          <w:sz w:val="24"/>
          <w:szCs w:val="24"/>
          <w:lang w:val="es-ES_tradnl" w:eastAsia="es-ES"/>
        </w:rPr>
      </w:pPr>
      <w:r>
        <w:rPr>
          <w:rFonts w:ascii="Times New Roman" w:hAnsi="Times New Roman"/>
          <w:b/>
          <w:sz w:val="24"/>
          <w:szCs w:val="24"/>
        </w:rPr>
        <w:lastRenderedPageBreak/>
        <w:t>INTRODUCCIÓN</w:t>
      </w:r>
    </w:p>
    <w:p w:rsidR="00C308E9" w:rsidRPr="00C308E9" w:rsidRDefault="00C308E9" w:rsidP="00C308E9">
      <w:pPr>
        <w:spacing w:after="0" w:line="360" w:lineRule="auto"/>
        <w:jc w:val="both"/>
        <w:rPr>
          <w:rFonts w:ascii="Times New Roman" w:hAnsi="Times New Roman"/>
          <w:sz w:val="24"/>
        </w:rPr>
      </w:pPr>
      <w:r w:rsidRPr="00C308E9">
        <w:rPr>
          <w:rFonts w:ascii="Times New Roman" w:hAnsi="Times New Roman"/>
          <w:sz w:val="24"/>
        </w:rPr>
        <w:t>En la naturaleza, los hidrocarburos pueden ser eliminados del suelo por cualquiera de los siguientes procesos: biodegradación, emisión, percolación, drenaje superficial u otros. En los últimos años se ha prestado mucha atención a los métodos biológicos y las combinaciones de estos con tratamientos químicos;  tanto para la disposición final de residuos industriales como para la recuperación de sitios contaminados. Estos métodos biológicos se conocen genéricamente como procesos de biorremediación y tienen como objetivo el aprovechamiento y optimización de las capacidades biodegradadoras  naturales.</w:t>
      </w:r>
    </w:p>
    <w:p w:rsidR="00C308E9" w:rsidRPr="00C308E9" w:rsidRDefault="00C308E9" w:rsidP="00C308E9">
      <w:pPr>
        <w:spacing w:after="0" w:line="360" w:lineRule="auto"/>
        <w:jc w:val="both"/>
        <w:rPr>
          <w:rFonts w:ascii="Times New Roman" w:hAnsi="Times New Roman"/>
          <w:sz w:val="24"/>
        </w:rPr>
      </w:pPr>
    </w:p>
    <w:p w:rsidR="00C308E9" w:rsidRPr="00C308E9" w:rsidRDefault="00C308E9" w:rsidP="00C308E9">
      <w:pPr>
        <w:spacing w:after="0" w:line="360" w:lineRule="auto"/>
        <w:jc w:val="both"/>
        <w:rPr>
          <w:rFonts w:ascii="Times New Roman" w:hAnsi="Times New Roman"/>
          <w:sz w:val="24"/>
        </w:rPr>
      </w:pPr>
      <w:r w:rsidRPr="00C308E9">
        <w:rPr>
          <w:rFonts w:ascii="Times New Roman" w:hAnsi="Times New Roman"/>
          <w:sz w:val="24"/>
        </w:rPr>
        <w:t xml:space="preserve">La biorremediación de suelos contaminados con hidrocarburos es un proceso dinámico en el que contaminante, suelo, clima y actividad biológica interactúan para degradar, transformar e inmovilizar los constituyentes del contaminante. </w:t>
      </w:r>
    </w:p>
    <w:p w:rsidR="00C308E9" w:rsidRPr="00C308E9" w:rsidRDefault="00C308E9" w:rsidP="00C308E9">
      <w:pPr>
        <w:spacing w:after="0" w:line="360" w:lineRule="auto"/>
        <w:jc w:val="both"/>
        <w:rPr>
          <w:rFonts w:ascii="Times New Roman" w:hAnsi="Times New Roman"/>
          <w:sz w:val="24"/>
        </w:rPr>
      </w:pPr>
      <w:r w:rsidRPr="00C308E9">
        <w:rPr>
          <w:rFonts w:ascii="Times New Roman" w:hAnsi="Times New Roman"/>
          <w:sz w:val="24"/>
        </w:rPr>
        <w:t xml:space="preserve">La evaluación de la ecotoxicidad en procesos de biorremediación de suelos contaminados con hidrocarburos, es de gran importancia. Esto es debido a que en algunos procesos metabólicos asociados a la biodegradación se pueden generar productos de oxidación parcial, que pueden presentar una mayor toxicidad que los productos contaminantes al inicio del biotratamiento. Es importante conocer la evolución de la ecotoxicidad tanto para estudios de riesgo como para la mejora del conocimiento de los procesos de biodegradación. Además de certificar que el proceso de biorremediación ha sido favorable sobre la disminución en la concentración de contaminantes y no existe toxicidad de los productos del metabolismo. </w:t>
      </w:r>
    </w:p>
    <w:p w:rsidR="00C308E9" w:rsidRPr="00C308E9" w:rsidRDefault="00C308E9" w:rsidP="00C308E9">
      <w:pPr>
        <w:spacing w:after="0" w:line="360" w:lineRule="auto"/>
        <w:jc w:val="both"/>
        <w:rPr>
          <w:rFonts w:ascii="Times New Roman" w:hAnsi="Times New Roman"/>
          <w:sz w:val="24"/>
        </w:rPr>
      </w:pPr>
      <w:r w:rsidRPr="00C308E9">
        <w:rPr>
          <w:rFonts w:ascii="Times New Roman" w:hAnsi="Times New Roman"/>
          <w:sz w:val="24"/>
        </w:rPr>
        <w:t xml:space="preserve">Para evaluar la ecotoxicidad de suelos se utilizan ensayos de toxicidad aguda. La toxicidad aguda se analiza mediante bioensayos que involucran los lixiviados del suelo, la inhibición, letalidad y reproducción de los bioindicadores. Estos estudios pueden ser aplicados a los tres tipos de tratamiento en unidades experimentales, microcosmos, mesocosmos y ecosistemas naturales, en cuyos tratamientos se haya logrado la disminución del contaminante </w:t>
      </w:r>
      <w:r w:rsidRPr="00C308E9">
        <w:rPr>
          <w:rFonts w:ascii="Times New Roman" w:hAnsi="Times New Roman"/>
          <w:b/>
          <w:sz w:val="24"/>
        </w:rPr>
        <w:t>(Rico y Martínez, 2009)</w:t>
      </w:r>
      <w:r w:rsidRPr="00C308E9">
        <w:rPr>
          <w:rFonts w:ascii="Times New Roman" w:hAnsi="Times New Roman"/>
          <w:sz w:val="24"/>
        </w:rPr>
        <w:t>.</w:t>
      </w:r>
    </w:p>
    <w:p w:rsidR="00C308E9" w:rsidRPr="00C308E9" w:rsidRDefault="00C308E9" w:rsidP="00C308E9">
      <w:pPr>
        <w:spacing w:after="0" w:line="360" w:lineRule="auto"/>
        <w:jc w:val="both"/>
        <w:rPr>
          <w:rFonts w:ascii="Times New Roman" w:hAnsi="Times New Roman"/>
          <w:sz w:val="24"/>
        </w:rPr>
      </w:pPr>
      <w:r w:rsidRPr="00C308E9">
        <w:rPr>
          <w:rFonts w:ascii="Times New Roman" w:hAnsi="Times New Roman"/>
          <w:sz w:val="24"/>
        </w:rPr>
        <w:t>Para determinar el efecto tóxico de la sustancia o muestra de prueba se calcula la concentración letal media (CL50). Esta variable se refiere a la concentración estimada de la sustancia prueba que produce una mortalidad del 50% de la población de los bioindicadores expuestos durante el periodo de experimentación.</w:t>
      </w:r>
    </w:p>
    <w:p w:rsidR="00C308E9" w:rsidRPr="00C308E9" w:rsidRDefault="00C308E9" w:rsidP="00C308E9">
      <w:pPr>
        <w:spacing w:after="0" w:line="360" w:lineRule="auto"/>
        <w:jc w:val="both"/>
        <w:rPr>
          <w:rFonts w:ascii="Times New Roman" w:hAnsi="Times New Roman"/>
          <w:sz w:val="24"/>
        </w:rPr>
      </w:pPr>
      <w:r w:rsidRPr="00C308E9">
        <w:rPr>
          <w:rFonts w:ascii="Times New Roman" w:hAnsi="Times New Roman"/>
          <w:sz w:val="24"/>
        </w:rPr>
        <w:t xml:space="preserve">El valor de CL50 indica el potencial de peligrosidad de la sustancia pero no puede ser usado directamente para predecir los efectos de una descarga de la sustancia de prueba en </w:t>
      </w:r>
      <w:r w:rsidRPr="00C308E9">
        <w:rPr>
          <w:rFonts w:ascii="Times New Roman" w:hAnsi="Times New Roman"/>
          <w:sz w:val="24"/>
        </w:rPr>
        <w:lastRenderedPageBreak/>
        <w:t xml:space="preserve">ambientes naturales. El criterio de toxicidad se establecerá en dependencia de que fracción de la muestra se utilice (fracción sólida suspendida (FSS) o fracción solida acomodada (FSA)). </w:t>
      </w:r>
    </w:p>
    <w:p w:rsidR="00A36DC7" w:rsidRDefault="00C308E9" w:rsidP="00C308E9">
      <w:pPr>
        <w:spacing w:after="0" w:line="360" w:lineRule="auto"/>
        <w:jc w:val="both"/>
        <w:rPr>
          <w:rFonts w:ascii="Times New Roman" w:hAnsi="Times New Roman"/>
          <w:sz w:val="24"/>
        </w:rPr>
      </w:pPr>
      <w:r w:rsidRPr="00C308E9">
        <w:rPr>
          <w:rFonts w:ascii="Times New Roman" w:hAnsi="Times New Roman"/>
          <w:sz w:val="24"/>
        </w:rPr>
        <w:t>El objetivo de este trabajo es aplicar bioensayos de toxicidad aguda de suelos tratados, contaminados con lodo base diésel.</w:t>
      </w:r>
    </w:p>
    <w:p w:rsidR="00A0518A" w:rsidRDefault="00A0518A" w:rsidP="00C308E9">
      <w:pPr>
        <w:spacing w:after="0" w:line="360" w:lineRule="auto"/>
        <w:jc w:val="both"/>
        <w:rPr>
          <w:rFonts w:ascii="Times New Roman" w:hAnsi="Times New Roman"/>
          <w:sz w:val="24"/>
        </w:rPr>
      </w:pPr>
    </w:p>
    <w:p w:rsidR="009464DE" w:rsidRPr="00D7630C" w:rsidRDefault="009464DE" w:rsidP="001B5C3B">
      <w:pPr>
        <w:numPr>
          <w:ilvl w:val="0"/>
          <w:numId w:val="6"/>
        </w:numPr>
        <w:spacing w:after="120" w:line="360" w:lineRule="auto"/>
        <w:ind w:left="284" w:hanging="284"/>
        <w:rPr>
          <w:rFonts w:ascii="Times New Roman" w:hAnsi="Times New Roman"/>
          <w:sz w:val="28"/>
          <w:szCs w:val="24"/>
          <w:lang w:val="es-ES_tradnl"/>
        </w:rPr>
      </w:pPr>
      <w:r w:rsidRPr="00D7630C">
        <w:rPr>
          <w:rFonts w:ascii="Times New Roman" w:hAnsi="Times New Roman"/>
          <w:b/>
          <w:sz w:val="24"/>
          <w:lang w:val="es-ES_tradnl"/>
        </w:rPr>
        <w:t xml:space="preserve">MATERIALES Y MÉTODOS </w:t>
      </w:r>
    </w:p>
    <w:p w:rsidR="00C308E9" w:rsidRPr="00C308E9" w:rsidRDefault="00BB5387" w:rsidP="00C308E9">
      <w:pPr>
        <w:spacing w:after="0" w:line="360" w:lineRule="auto"/>
        <w:jc w:val="both"/>
        <w:rPr>
          <w:rFonts w:ascii="Times New Roman" w:hAnsi="Times New Roman"/>
          <w:b/>
          <w:bCs/>
          <w:i/>
          <w:iCs/>
          <w:sz w:val="24"/>
          <w:lang w:val="es-VE"/>
        </w:rPr>
      </w:pPr>
      <w:r w:rsidRPr="00BB5387">
        <w:rPr>
          <w:rFonts w:ascii="Times New Roman" w:hAnsi="Times New Roman"/>
          <w:b/>
          <w:i/>
          <w:sz w:val="24"/>
          <w:szCs w:val="24"/>
        </w:rPr>
        <w:t>2.1.</w:t>
      </w:r>
      <w:r w:rsidRPr="00BB5387">
        <w:rPr>
          <w:rFonts w:ascii="Times New Roman" w:hAnsi="Times New Roman"/>
          <w:b/>
          <w:i/>
          <w:sz w:val="24"/>
        </w:rPr>
        <w:t xml:space="preserve"> </w:t>
      </w:r>
      <w:r w:rsidR="00C308E9" w:rsidRPr="00C308E9">
        <w:rPr>
          <w:rFonts w:ascii="Times New Roman" w:hAnsi="Times New Roman"/>
          <w:b/>
          <w:bCs/>
          <w:i/>
          <w:iCs/>
          <w:sz w:val="24"/>
          <w:lang w:val="es-VE"/>
        </w:rPr>
        <w:t>Bioensayos con semillas de lechuga</w:t>
      </w:r>
      <w:r w:rsidR="00C308E9" w:rsidRPr="00C308E9">
        <w:rPr>
          <w:rFonts w:ascii="Times New Roman" w:hAnsi="Times New Roman"/>
          <w:b/>
          <w:i/>
          <w:sz w:val="24"/>
        </w:rPr>
        <w:t xml:space="preserve"> </w:t>
      </w:r>
      <w:r w:rsidR="00C308E9" w:rsidRPr="00C308E9">
        <w:rPr>
          <w:rFonts w:ascii="Times New Roman" w:hAnsi="Times New Roman"/>
          <w:b/>
          <w:bCs/>
          <w:i/>
          <w:iCs/>
          <w:sz w:val="24"/>
          <w:lang w:val="es-VE"/>
        </w:rPr>
        <w:t>en papel de filtro</w:t>
      </w:r>
    </w:p>
    <w:p w:rsidR="00C308E9" w:rsidRDefault="00C308E9" w:rsidP="00C308E9">
      <w:pPr>
        <w:spacing w:after="0" w:line="360" w:lineRule="auto"/>
        <w:jc w:val="both"/>
        <w:rPr>
          <w:rFonts w:ascii="Times New Roman" w:hAnsi="Times New Roman"/>
          <w:bCs/>
          <w:sz w:val="24"/>
          <w:lang w:val="es-VE"/>
        </w:rPr>
      </w:pPr>
      <w:r w:rsidRPr="00C308E9">
        <w:rPr>
          <w:rFonts w:ascii="Times New Roman" w:hAnsi="Times New Roman"/>
          <w:bCs/>
          <w:iCs/>
          <w:sz w:val="24"/>
          <w:lang w:val="es-VE"/>
        </w:rPr>
        <w:t xml:space="preserve">Se realizaron 8 bioensayos con semillas de lechuga en papel de filtro No.201, a suelos tratados, contaminados </w:t>
      </w:r>
      <w:r w:rsidRPr="00C308E9">
        <w:rPr>
          <w:rFonts w:ascii="Times New Roman" w:hAnsi="Times New Roman"/>
          <w:bCs/>
          <w:iCs/>
          <w:sz w:val="24"/>
        </w:rPr>
        <w:t xml:space="preserve">con lodo base diésel (Tabla </w:t>
      </w:r>
      <w:r w:rsidR="00363D42">
        <w:rPr>
          <w:rFonts w:ascii="Times New Roman" w:hAnsi="Times New Roman"/>
          <w:bCs/>
          <w:iCs/>
          <w:sz w:val="24"/>
        </w:rPr>
        <w:t>2.1</w:t>
      </w:r>
      <w:r w:rsidRPr="00C308E9">
        <w:rPr>
          <w:rFonts w:ascii="Times New Roman" w:hAnsi="Times New Roman"/>
          <w:bCs/>
          <w:iCs/>
          <w:sz w:val="24"/>
        </w:rPr>
        <w:t>). Este bioensayo evalúa el nivel</w:t>
      </w:r>
      <w:r w:rsidRPr="00C308E9">
        <w:rPr>
          <w:rFonts w:ascii="Times New Roman" w:hAnsi="Times New Roman"/>
          <w:b/>
          <w:bCs/>
          <w:i/>
          <w:iCs/>
          <w:sz w:val="24"/>
        </w:rPr>
        <w:t xml:space="preserve"> de </w:t>
      </w:r>
      <w:r w:rsidRPr="00C308E9">
        <w:rPr>
          <w:rFonts w:ascii="Times New Roman" w:hAnsi="Times New Roman"/>
          <w:bCs/>
          <w:iCs/>
          <w:sz w:val="24"/>
        </w:rPr>
        <w:t>afectación que pudiera existir, del arrastre o infiltración de los contaminantes de un suelo</w:t>
      </w:r>
      <w:r w:rsidRPr="00C308E9">
        <w:rPr>
          <w:rFonts w:ascii="Times New Roman" w:hAnsi="Times New Roman"/>
          <w:bCs/>
          <w:sz w:val="24"/>
          <w:lang w:val="es-VE"/>
        </w:rPr>
        <w:t xml:space="preserve"> (transporte de contaminantes y/o lixiviados). </w:t>
      </w:r>
    </w:p>
    <w:p w:rsidR="00612806" w:rsidRPr="00C308E9" w:rsidRDefault="00612806" w:rsidP="00C308E9">
      <w:pPr>
        <w:spacing w:after="0" w:line="360" w:lineRule="auto"/>
        <w:jc w:val="both"/>
        <w:rPr>
          <w:rFonts w:ascii="Times New Roman" w:hAnsi="Times New Roman"/>
          <w:bCs/>
          <w:sz w:val="24"/>
          <w:lang w:val="es-VE"/>
        </w:rPr>
      </w:pPr>
      <w:r w:rsidRPr="00612806">
        <w:rPr>
          <w:rFonts w:ascii="Times New Roman" w:hAnsi="Times New Roman"/>
          <w:b/>
          <w:bCs/>
          <w:iCs/>
          <w:sz w:val="24"/>
          <w:lang w:val="es-VE"/>
        </w:rPr>
        <w:t>Tabla 2.1. Relación de suelos tratados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4"/>
        <w:gridCol w:w="3260"/>
        <w:gridCol w:w="1560"/>
        <w:gridCol w:w="1559"/>
      </w:tblGrid>
      <w:tr w:rsidR="00A0518A" w:rsidRPr="00A0518A" w:rsidTr="00612806">
        <w:trPr>
          <w:trHeight w:val="384"/>
          <w:jc w:val="center"/>
        </w:trPr>
        <w:tc>
          <w:tcPr>
            <w:tcW w:w="1560" w:type="dxa"/>
            <w:shd w:val="clear" w:color="auto" w:fill="auto"/>
            <w:vAlign w:val="center"/>
          </w:tcPr>
          <w:p w:rsidR="00C308E9" w:rsidRPr="00A0518A" w:rsidRDefault="00C308E9" w:rsidP="00C308E9">
            <w:pPr>
              <w:spacing w:after="0" w:line="360" w:lineRule="auto"/>
              <w:jc w:val="center"/>
              <w:rPr>
                <w:rFonts w:ascii="Times New Roman" w:hAnsi="Times New Roman"/>
                <w:b/>
                <w:bCs/>
                <w:iCs/>
                <w:sz w:val="24"/>
                <w:lang w:val="es-VE"/>
              </w:rPr>
            </w:pPr>
            <w:r w:rsidRPr="00A0518A">
              <w:rPr>
                <w:rFonts w:ascii="Times New Roman" w:hAnsi="Times New Roman"/>
                <w:b/>
                <w:bCs/>
                <w:iCs/>
                <w:sz w:val="24"/>
                <w:lang w:val="es-VE"/>
              </w:rPr>
              <w:t>Bioensayo</w:t>
            </w:r>
          </w:p>
          <w:p w:rsidR="00C308E9" w:rsidRPr="00A0518A" w:rsidRDefault="00C308E9" w:rsidP="00C308E9">
            <w:pPr>
              <w:spacing w:after="0" w:line="360" w:lineRule="auto"/>
              <w:jc w:val="center"/>
              <w:rPr>
                <w:rFonts w:ascii="Times New Roman" w:hAnsi="Times New Roman"/>
                <w:b/>
                <w:bCs/>
                <w:iCs/>
                <w:sz w:val="24"/>
                <w:lang w:val="es-VE"/>
              </w:rPr>
            </w:pPr>
            <w:r w:rsidRPr="00A0518A">
              <w:rPr>
                <w:rFonts w:ascii="Times New Roman" w:hAnsi="Times New Roman"/>
                <w:b/>
                <w:bCs/>
                <w:iCs/>
                <w:sz w:val="24"/>
                <w:lang w:val="es-VE"/>
              </w:rPr>
              <w:t>#</w:t>
            </w:r>
          </w:p>
        </w:tc>
        <w:tc>
          <w:tcPr>
            <w:tcW w:w="1984" w:type="dxa"/>
            <w:shd w:val="clear" w:color="auto" w:fill="auto"/>
            <w:vAlign w:val="center"/>
          </w:tcPr>
          <w:p w:rsidR="00C308E9" w:rsidRPr="00A0518A" w:rsidRDefault="00C308E9" w:rsidP="00C308E9">
            <w:pPr>
              <w:spacing w:after="0" w:line="360" w:lineRule="auto"/>
              <w:jc w:val="center"/>
              <w:rPr>
                <w:rFonts w:ascii="Times New Roman" w:hAnsi="Times New Roman"/>
                <w:b/>
                <w:bCs/>
                <w:iCs/>
                <w:sz w:val="24"/>
                <w:lang w:val="es-VE"/>
              </w:rPr>
            </w:pPr>
            <w:r w:rsidRPr="00A0518A">
              <w:rPr>
                <w:rFonts w:ascii="Times New Roman" w:hAnsi="Times New Roman"/>
                <w:b/>
                <w:bCs/>
                <w:iCs/>
                <w:sz w:val="24"/>
                <w:lang w:val="es-VE"/>
              </w:rPr>
              <w:t>Suelo tratado</w:t>
            </w:r>
          </w:p>
        </w:tc>
        <w:tc>
          <w:tcPr>
            <w:tcW w:w="3260" w:type="dxa"/>
            <w:shd w:val="clear" w:color="auto" w:fill="auto"/>
            <w:vAlign w:val="center"/>
          </w:tcPr>
          <w:p w:rsidR="00C308E9" w:rsidRPr="00A0518A" w:rsidRDefault="00C308E9" w:rsidP="00C308E9">
            <w:pPr>
              <w:spacing w:after="0" w:line="360" w:lineRule="auto"/>
              <w:jc w:val="center"/>
              <w:rPr>
                <w:rFonts w:ascii="Times New Roman" w:hAnsi="Times New Roman"/>
                <w:b/>
                <w:bCs/>
                <w:iCs/>
                <w:sz w:val="24"/>
                <w:lang w:val="es-VE"/>
              </w:rPr>
            </w:pPr>
            <w:r w:rsidRPr="00A0518A">
              <w:rPr>
                <w:rFonts w:ascii="Times New Roman" w:hAnsi="Times New Roman"/>
                <w:b/>
                <w:bCs/>
                <w:iCs/>
                <w:sz w:val="24"/>
                <w:lang w:val="es-VE"/>
              </w:rPr>
              <w:t>Tipo de tratamiento aplicado</w:t>
            </w:r>
          </w:p>
        </w:tc>
        <w:tc>
          <w:tcPr>
            <w:tcW w:w="1560" w:type="dxa"/>
            <w:shd w:val="clear" w:color="auto" w:fill="auto"/>
            <w:vAlign w:val="center"/>
          </w:tcPr>
          <w:p w:rsidR="00C308E9" w:rsidRPr="00A0518A" w:rsidRDefault="00C308E9" w:rsidP="00C308E9">
            <w:pPr>
              <w:spacing w:after="0" w:line="360" w:lineRule="auto"/>
              <w:jc w:val="center"/>
              <w:rPr>
                <w:rFonts w:ascii="Times New Roman" w:hAnsi="Times New Roman"/>
                <w:b/>
                <w:bCs/>
                <w:iCs/>
                <w:sz w:val="24"/>
                <w:vertAlign w:val="superscript"/>
                <w:lang w:val="es-VE"/>
              </w:rPr>
            </w:pPr>
            <w:r w:rsidRPr="00A0518A">
              <w:rPr>
                <w:rFonts w:ascii="Times New Roman" w:hAnsi="Times New Roman"/>
                <w:b/>
                <w:bCs/>
                <w:iCs/>
                <w:sz w:val="24"/>
                <w:lang w:val="es-VE"/>
              </w:rPr>
              <w:t>G y A</w:t>
            </w:r>
            <w:r w:rsidRPr="00A0518A">
              <w:rPr>
                <w:rFonts w:ascii="Times New Roman" w:hAnsi="Times New Roman"/>
                <w:b/>
                <w:bCs/>
                <w:iCs/>
                <w:sz w:val="24"/>
                <w:vertAlign w:val="superscript"/>
                <w:lang w:val="es-VE"/>
              </w:rPr>
              <w:t>(3)</w:t>
            </w:r>
          </w:p>
          <w:p w:rsidR="00C308E9" w:rsidRPr="00A0518A" w:rsidRDefault="00C308E9" w:rsidP="00C308E9">
            <w:pPr>
              <w:spacing w:after="0" w:line="360" w:lineRule="auto"/>
              <w:jc w:val="center"/>
              <w:rPr>
                <w:rFonts w:ascii="Times New Roman" w:hAnsi="Times New Roman"/>
                <w:b/>
                <w:bCs/>
                <w:iCs/>
                <w:sz w:val="24"/>
                <w:lang w:val="es-VE"/>
              </w:rPr>
            </w:pPr>
            <w:r w:rsidRPr="00A0518A">
              <w:rPr>
                <w:rFonts w:ascii="Times New Roman" w:hAnsi="Times New Roman"/>
                <w:b/>
                <w:bCs/>
                <w:iCs/>
                <w:sz w:val="24"/>
                <w:lang w:val="es-VE"/>
              </w:rPr>
              <w:t>(mg/kg)</w:t>
            </w:r>
          </w:p>
          <w:p w:rsidR="00C308E9" w:rsidRPr="00A0518A" w:rsidRDefault="00C308E9" w:rsidP="00C308E9">
            <w:pPr>
              <w:spacing w:after="0" w:line="360" w:lineRule="auto"/>
              <w:jc w:val="center"/>
              <w:rPr>
                <w:rFonts w:ascii="Times New Roman" w:hAnsi="Times New Roman"/>
                <w:b/>
                <w:bCs/>
                <w:iCs/>
                <w:sz w:val="24"/>
                <w:vertAlign w:val="superscript"/>
                <w:lang w:val="es-VE"/>
              </w:rPr>
            </w:pPr>
            <w:r w:rsidRPr="00A0518A">
              <w:rPr>
                <w:rFonts w:ascii="Times New Roman" w:hAnsi="Times New Roman"/>
                <w:b/>
                <w:bCs/>
                <w:iCs/>
                <w:sz w:val="24"/>
                <w:lang w:val="es-VE"/>
              </w:rPr>
              <w:t>ó %</w:t>
            </w:r>
          </w:p>
        </w:tc>
        <w:tc>
          <w:tcPr>
            <w:tcW w:w="1559" w:type="dxa"/>
            <w:shd w:val="clear" w:color="auto" w:fill="auto"/>
            <w:vAlign w:val="center"/>
          </w:tcPr>
          <w:p w:rsidR="00C308E9" w:rsidRPr="00A0518A" w:rsidRDefault="00C308E9" w:rsidP="00C308E9">
            <w:pPr>
              <w:spacing w:after="0" w:line="360" w:lineRule="auto"/>
              <w:jc w:val="center"/>
              <w:rPr>
                <w:rFonts w:ascii="Times New Roman" w:hAnsi="Times New Roman"/>
                <w:b/>
                <w:bCs/>
                <w:iCs/>
                <w:sz w:val="24"/>
                <w:lang w:val="es-VE"/>
              </w:rPr>
            </w:pPr>
            <w:r w:rsidRPr="00A0518A">
              <w:rPr>
                <w:rFonts w:ascii="Times New Roman" w:hAnsi="Times New Roman"/>
                <w:b/>
                <w:bCs/>
                <w:iCs/>
                <w:sz w:val="24"/>
                <w:lang w:val="es-VE"/>
              </w:rPr>
              <w:t>HCT</w:t>
            </w:r>
            <w:r w:rsidRPr="00A0518A">
              <w:rPr>
                <w:rFonts w:ascii="Times New Roman" w:hAnsi="Times New Roman"/>
                <w:b/>
                <w:bCs/>
                <w:iCs/>
                <w:sz w:val="24"/>
                <w:vertAlign w:val="superscript"/>
                <w:lang w:val="es-VE"/>
              </w:rPr>
              <w:t>(4)</w:t>
            </w:r>
          </w:p>
          <w:p w:rsidR="00C308E9" w:rsidRPr="00A0518A" w:rsidRDefault="00C308E9" w:rsidP="00C308E9">
            <w:pPr>
              <w:spacing w:after="0" w:line="360" w:lineRule="auto"/>
              <w:jc w:val="center"/>
              <w:rPr>
                <w:rFonts w:ascii="Times New Roman" w:hAnsi="Times New Roman"/>
                <w:b/>
                <w:bCs/>
                <w:iCs/>
                <w:sz w:val="24"/>
                <w:lang w:val="es-VE"/>
              </w:rPr>
            </w:pPr>
            <w:r w:rsidRPr="00A0518A">
              <w:rPr>
                <w:rFonts w:ascii="Times New Roman" w:hAnsi="Times New Roman"/>
                <w:b/>
                <w:bCs/>
                <w:iCs/>
                <w:sz w:val="24"/>
                <w:lang w:val="es-VE"/>
              </w:rPr>
              <w:t>(mg/kg)</w:t>
            </w:r>
          </w:p>
          <w:p w:rsidR="00C308E9" w:rsidRPr="00A0518A" w:rsidRDefault="00C308E9" w:rsidP="00C308E9">
            <w:pPr>
              <w:spacing w:after="0" w:line="360" w:lineRule="auto"/>
              <w:jc w:val="center"/>
              <w:rPr>
                <w:rFonts w:ascii="Times New Roman" w:hAnsi="Times New Roman"/>
                <w:b/>
                <w:bCs/>
                <w:iCs/>
                <w:sz w:val="24"/>
                <w:lang w:val="es-VE"/>
              </w:rPr>
            </w:pPr>
            <w:r w:rsidRPr="00A0518A">
              <w:rPr>
                <w:rFonts w:ascii="Times New Roman" w:hAnsi="Times New Roman"/>
                <w:b/>
                <w:bCs/>
                <w:iCs/>
                <w:sz w:val="24"/>
                <w:lang w:val="es-VE"/>
              </w:rPr>
              <w:t>ó %</w:t>
            </w:r>
          </w:p>
        </w:tc>
      </w:tr>
      <w:tr w:rsidR="00C308E9" w:rsidRPr="00C308E9" w:rsidTr="00C308E9">
        <w:trPr>
          <w:trHeight w:val="737"/>
          <w:jc w:val="center"/>
        </w:trPr>
        <w:tc>
          <w:tcPr>
            <w:tcW w:w="1560" w:type="dxa"/>
            <w:vAlign w:val="center"/>
          </w:tcPr>
          <w:p w:rsidR="00C308E9" w:rsidRPr="00C308E9" w:rsidRDefault="00C308E9" w:rsidP="00C308E9">
            <w:pPr>
              <w:spacing w:after="0" w:line="360" w:lineRule="auto"/>
              <w:jc w:val="center"/>
              <w:rPr>
                <w:rFonts w:ascii="Times New Roman" w:hAnsi="Times New Roman"/>
                <w:bCs/>
                <w:iCs/>
                <w:sz w:val="24"/>
                <w:lang w:val="es-VE"/>
              </w:rPr>
            </w:pP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w:t>
            </w:r>
          </w:p>
        </w:tc>
        <w:tc>
          <w:tcPr>
            <w:tcW w:w="1984"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Corte con TPMr</w:t>
            </w:r>
            <w:r w:rsidRPr="00C308E9">
              <w:rPr>
                <w:rFonts w:ascii="Times New Roman" w:hAnsi="Times New Roman"/>
                <w:bCs/>
                <w:iCs/>
                <w:sz w:val="24"/>
                <w:vertAlign w:val="superscript"/>
                <w:lang w:val="es-VE"/>
              </w:rPr>
              <w:t>(1)</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Pozo BC-300L</w:t>
            </w:r>
          </w:p>
        </w:tc>
        <w:tc>
          <w:tcPr>
            <w:tcW w:w="32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 xml:space="preserve">Biorremediación      Mejorada No.1(Romero </w:t>
            </w:r>
            <w:r w:rsidRPr="00A0518A">
              <w:rPr>
                <w:rFonts w:ascii="Times New Roman" w:hAnsi="Times New Roman"/>
                <w:bCs/>
                <w:i/>
                <w:iCs/>
                <w:sz w:val="24"/>
                <w:lang w:val="es-VE"/>
              </w:rPr>
              <w:t>et al.,</w:t>
            </w:r>
            <w:r w:rsidRPr="00C308E9">
              <w:rPr>
                <w:rFonts w:ascii="Times New Roman" w:hAnsi="Times New Roman"/>
                <w:bCs/>
                <w:iCs/>
                <w:sz w:val="24"/>
                <w:lang w:val="es-VE"/>
              </w:rPr>
              <w:t xml:space="preserve"> 2017)</w:t>
            </w:r>
          </w:p>
        </w:tc>
        <w:tc>
          <w:tcPr>
            <w:tcW w:w="15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15733</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1,6%</w:t>
            </w:r>
          </w:p>
        </w:tc>
        <w:tc>
          <w:tcPr>
            <w:tcW w:w="1559"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8483</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0,8%</w:t>
            </w:r>
          </w:p>
        </w:tc>
      </w:tr>
      <w:tr w:rsidR="00C308E9" w:rsidRPr="00C308E9" w:rsidTr="00C308E9">
        <w:trPr>
          <w:jc w:val="center"/>
        </w:trPr>
        <w:tc>
          <w:tcPr>
            <w:tcW w:w="1560" w:type="dxa"/>
            <w:vAlign w:val="center"/>
          </w:tcPr>
          <w:p w:rsidR="00C308E9" w:rsidRPr="00C308E9" w:rsidRDefault="00C308E9" w:rsidP="00C308E9">
            <w:pPr>
              <w:spacing w:after="0" w:line="360" w:lineRule="auto"/>
              <w:jc w:val="center"/>
              <w:rPr>
                <w:rFonts w:ascii="Times New Roman" w:hAnsi="Times New Roman"/>
                <w:bCs/>
                <w:iCs/>
                <w:sz w:val="24"/>
                <w:lang w:val="es-VE"/>
              </w:rPr>
            </w:pP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2</w:t>
            </w:r>
          </w:p>
        </w:tc>
        <w:tc>
          <w:tcPr>
            <w:tcW w:w="1984"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Corte con TPMYr</w:t>
            </w:r>
            <w:r w:rsidRPr="00C308E9">
              <w:rPr>
                <w:rFonts w:ascii="Times New Roman" w:hAnsi="Times New Roman"/>
                <w:bCs/>
                <w:iCs/>
                <w:sz w:val="24"/>
                <w:vertAlign w:val="superscript"/>
                <w:lang w:val="es-VE"/>
              </w:rPr>
              <w:t>(2)</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Pozo BC-300L</w:t>
            </w:r>
          </w:p>
        </w:tc>
        <w:tc>
          <w:tcPr>
            <w:tcW w:w="32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 xml:space="preserve">Biorremediación Mejorada No.2 (Romero </w:t>
            </w:r>
            <w:r w:rsidRPr="00A0518A">
              <w:rPr>
                <w:rFonts w:ascii="Times New Roman" w:hAnsi="Times New Roman"/>
                <w:bCs/>
                <w:i/>
                <w:iCs/>
                <w:sz w:val="24"/>
                <w:lang w:val="es-VE"/>
              </w:rPr>
              <w:t>et al.,</w:t>
            </w:r>
            <w:r w:rsidRPr="00C308E9">
              <w:rPr>
                <w:rFonts w:ascii="Times New Roman" w:hAnsi="Times New Roman"/>
                <w:bCs/>
                <w:iCs/>
                <w:sz w:val="24"/>
                <w:lang w:val="es-VE"/>
              </w:rPr>
              <w:t xml:space="preserve"> 2017)</w:t>
            </w:r>
          </w:p>
        </w:tc>
        <w:tc>
          <w:tcPr>
            <w:tcW w:w="15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22796</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2,3%</w:t>
            </w:r>
          </w:p>
        </w:tc>
        <w:tc>
          <w:tcPr>
            <w:tcW w:w="1559"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12860</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1,3%</w:t>
            </w:r>
          </w:p>
        </w:tc>
      </w:tr>
      <w:tr w:rsidR="00C308E9" w:rsidRPr="00C308E9" w:rsidTr="00C308E9">
        <w:trPr>
          <w:jc w:val="center"/>
        </w:trPr>
        <w:tc>
          <w:tcPr>
            <w:tcW w:w="1560" w:type="dxa"/>
            <w:vAlign w:val="center"/>
          </w:tcPr>
          <w:p w:rsidR="00C308E9" w:rsidRPr="00C308E9" w:rsidRDefault="00C308E9" w:rsidP="00C308E9">
            <w:pPr>
              <w:spacing w:after="0" w:line="360" w:lineRule="auto"/>
              <w:jc w:val="center"/>
              <w:rPr>
                <w:rFonts w:ascii="Times New Roman" w:hAnsi="Times New Roman"/>
                <w:bCs/>
                <w:iCs/>
                <w:sz w:val="24"/>
                <w:lang w:val="es-VE"/>
              </w:rPr>
            </w:pP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3</w:t>
            </w:r>
          </w:p>
        </w:tc>
        <w:tc>
          <w:tcPr>
            <w:tcW w:w="1984"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Corte Pozo VDW-1008</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 Variante 1)</w:t>
            </w:r>
          </w:p>
        </w:tc>
        <w:tc>
          <w:tcPr>
            <w:tcW w:w="32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Estabilización Química-Biológica (EQB) No.1 (Cal+Producto)(Chao, 2018)</w:t>
            </w:r>
          </w:p>
        </w:tc>
        <w:tc>
          <w:tcPr>
            <w:tcW w:w="15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12613</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1,3%</w:t>
            </w:r>
          </w:p>
        </w:tc>
        <w:tc>
          <w:tcPr>
            <w:tcW w:w="1559"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4015</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0,4%</w:t>
            </w:r>
          </w:p>
        </w:tc>
      </w:tr>
      <w:tr w:rsidR="00C308E9" w:rsidRPr="00C308E9" w:rsidTr="00C308E9">
        <w:trPr>
          <w:jc w:val="center"/>
        </w:trPr>
        <w:tc>
          <w:tcPr>
            <w:tcW w:w="1560" w:type="dxa"/>
            <w:vAlign w:val="center"/>
          </w:tcPr>
          <w:p w:rsidR="00C308E9" w:rsidRPr="00C308E9" w:rsidRDefault="00C308E9" w:rsidP="00C308E9">
            <w:pPr>
              <w:spacing w:after="0" w:line="360" w:lineRule="auto"/>
              <w:jc w:val="center"/>
              <w:rPr>
                <w:rFonts w:ascii="Times New Roman" w:hAnsi="Times New Roman"/>
                <w:bCs/>
                <w:iCs/>
                <w:sz w:val="24"/>
                <w:lang w:val="es-VE"/>
              </w:rPr>
            </w:pP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4</w:t>
            </w:r>
          </w:p>
        </w:tc>
        <w:tc>
          <w:tcPr>
            <w:tcW w:w="1984"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Corte Pozo VDW-1008</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(Variante 2)</w:t>
            </w:r>
          </w:p>
        </w:tc>
        <w:tc>
          <w:tcPr>
            <w:tcW w:w="32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EQB No.2 (Cal+Agromena)</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(Chao, 2018)</w:t>
            </w:r>
          </w:p>
        </w:tc>
        <w:tc>
          <w:tcPr>
            <w:tcW w:w="15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16996</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1,7%</w:t>
            </w:r>
          </w:p>
        </w:tc>
        <w:tc>
          <w:tcPr>
            <w:tcW w:w="1559"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9015</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0,9%</w:t>
            </w:r>
          </w:p>
        </w:tc>
      </w:tr>
      <w:tr w:rsidR="00C308E9" w:rsidRPr="00C308E9" w:rsidTr="00C308E9">
        <w:trPr>
          <w:jc w:val="center"/>
        </w:trPr>
        <w:tc>
          <w:tcPr>
            <w:tcW w:w="1560" w:type="dxa"/>
            <w:vAlign w:val="center"/>
          </w:tcPr>
          <w:p w:rsidR="00C308E9" w:rsidRPr="00C308E9" w:rsidRDefault="00C308E9" w:rsidP="00C308E9">
            <w:pPr>
              <w:spacing w:after="0" w:line="360" w:lineRule="auto"/>
              <w:jc w:val="center"/>
              <w:rPr>
                <w:rFonts w:ascii="Times New Roman" w:hAnsi="Times New Roman"/>
                <w:bCs/>
                <w:iCs/>
                <w:sz w:val="24"/>
                <w:lang w:val="es-VE"/>
              </w:rPr>
            </w:pP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5</w:t>
            </w:r>
          </w:p>
        </w:tc>
        <w:tc>
          <w:tcPr>
            <w:tcW w:w="1984"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Corte Pozo VDW-1008</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(Variante 1)</w:t>
            </w:r>
          </w:p>
        </w:tc>
        <w:tc>
          <w:tcPr>
            <w:tcW w:w="32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EQB No.3 (Yeso+Producto)</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 xml:space="preserve">(Romero </w:t>
            </w:r>
            <w:r w:rsidRPr="00A0518A">
              <w:rPr>
                <w:rFonts w:ascii="Times New Roman" w:hAnsi="Times New Roman"/>
                <w:bCs/>
                <w:i/>
                <w:iCs/>
                <w:sz w:val="24"/>
                <w:lang w:val="es-VE"/>
              </w:rPr>
              <w:t>et al.,</w:t>
            </w:r>
            <w:r w:rsidRPr="00C308E9">
              <w:rPr>
                <w:rFonts w:ascii="Times New Roman" w:hAnsi="Times New Roman"/>
                <w:bCs/>
                <w:iCs/>
                <w:sz w:val="24"/>
                <w:lang w:val="es-VE"/>
              </w:rPr>
              <w:t xml:space="preserve"> 2018)</w:t>
            </w:r>
          </w:p>
        </w:tc>
        <w:tc>
          <w:tcPr>
            <w:tcW w:w="15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8700</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0,8%</w:t>
            </w:r>
          </w:p>
        </w:tc>
        <w:tc>
          <w:tcPr>
            <w:tcW w:w="1559"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4506</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0,4%</w:t>
            </w:r>
          </w:p>
        </w:tc>
      </w:tr>
      <w:tr w:rsidR="00C308E9" w:rsidRPr="00C308E9" w:rsidTr="00C308E9">
        <w:trPr>
          <w:jc w:val="center"/>
        </w:trPr>
        <w:tc>
          <w:tcPr>
            <w:tcW w:w="1560" w:type="dxa"/>
            <w:vAlign w:val="center"/>
          </w:tcPr>
          <w:p w:rsidR="00C308E9" w:rsidRPr="00C308E9" w:rsidRDefault="00C308E9" w:rsidP="00C308E9">
            <w:pPr>
              <w:spacing w:after="0" w:line="360" w:lineRule="auto"/>
              <w:jc w:val="center"/>
              <w:rPr>
                <w:rFonts w:ascii="Times New Roman" w:hAnsi="Times New Roman"/>
                <w:bCs/>
                <w:iCs/>
                <w:sz w:val="24"/>
                <w:lang w:val="es-VE"/>
              </w:rPr>
            </w:pP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6</w:t>
            </w:r>
          </w:p>
        </w:tc>
        <w:tc>
          <w:tcPr>
            <w:tcW w:w="1984"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Corte Pozo VDW-1008</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(Variante 2)</w:t>
            </w:r>
          </w:p>
        </w:tc>
        <w:tc>
          <w:tcPr>
            <w:tcW w:w="32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EQB No.4 (Yeso+Agromena)</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 xml:space="preserve">(Romero </w:t>
            </w:r>
            <w:r w:rsidRPr="00A0518A">
              <w:rPr>
                <w:rFonts w:ascii="Times New Roman" w:hAnsi="Times New Roman"/>
                <w:bCs/>
                <w:i/>
                <w:iCs/>
                <w:sz w:val="24"/>
                <w:lang w:val="es-VE"/>
              </w:rPr>
              <w:t>et al.,</w:t>
            </w:r>
            <w:r w:rsidRPr="00C308E9">
              <w:rPr>
                <w:rFonts w:ascii="Times New Roman" w:hAnsi="Times New Roman"/>
                <w:bCs/>
                <w:iCs/>
                <w:sz w:val="24"/>
                <w:lang w:val="es-VE"/>
              </w:rPr>
              <w:t xml:space="preserve"> 2018)</w:t>
            </w:r>
          </w:p>
        </w:tc>
        <w:tc>
          <w:tcPr>
            <w:tcW w:w="15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9913</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1,0%</w:t>
            </w:r>
          </w:p>
        </w:tc>
        <w:tc>
          <w:tcPr>
            <w:tcW w:w="1559"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6318</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0,6%</w:t>
            </w:r>
          </w:p>
        </w:tc>
      </w:tr>
      <w:tr w:rsidR="00C308E9" w:rsidRPr="00C308E9" w:rsidTr="00C308E9">
        <w:trPr>
          <w:trHeight w:val="992"/>
          <w:jc w:val="center"/>
        </w:trPr>
        <w:tc>
          <w:tcPr>
            <w:tcW w:w="1560" w:type="dxa"/>
            <w:vAlign w:val="center"/>
          </w:tcPr>
          <w:p w:rsidR="00C308E9" w:rsidRPr="00C308E9" w:rsidRDefault="00C308E9" w:rsidP="00C308E9">
            <w:pPr>
              <w:spacing w:after="0" w:line="360" w:lineRule="auto"/>
              <w:jc w:val="center"/>
              <w:rPr>
                <w:rFonts w:ascii="Times New Roman" w:hAnsi="Times New Roman"/>
                <w:bCs/>
                <w:iCs/>
                <w:sz w:val="24"/>
                <w:lang w:val="es-VE"/>
              </w:rPr>
            </w:pP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7</w:t>
            </w:r>
          </w:p>
        </w:tc>
        <w:tc>
          <w:tcPr>
            <w:tcW w:w="1984"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Corte Pozo VDW-1008</w:t>
            </w:r>
          </w:p>
        </w:tc>
        <w:tc>
          <w:tcPr>
            <w:tcW w:w="32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Biorremediación bioaumentación No. 1 (Consorcio Bacteriano 1)</w:t>
            </w:r>
          </w:p>
          <w:p w:rsidR="00C308E9" w:rsidRPr="00C308E9" w:rsidRDefault="00C308E9" w:rsidP="00A0518A">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w:t>
            </w:r>
            <w:r w:rsidR="00A0518A">
              <w:rPr>
                <w:rFonts w:ascii="Times New Roman" w:hAnsi="Times New Roman"/>
                <w:bCs/>
                <w:iCs/>
                <w:sz w:val="24"/>
                <w:lang w:val="es-VE"/>
              </w:rPr>
              <w:t>Toledo</w:t>
            </w:r>
            <w:r w:rsidRPr="00C308E9">
              <w:rPr>
                <w:rFonts w:ascii="Times New Roman" w:hAnsi="Times New Roman"/>
                <w:bCs/>
                <w:iCs/>
                <w:sz w:val="24"/>
                <w:lang w:val="es-VE"/>
              </w:rPr>
              <w:t xml:space="preserve"> </w:t>
            </w:r>
            <w:r w:rsidRPr="00A0518A">
              <w:rPr>
                <w:rFonts w:ascii="Times New Roman" w:hAnsi="Times New Roman"/>
                <w:bCs/>
                <w:i/>
                <w:iCs/>
                <w:sz w:val="24"/>
                <w:lang w:val="es-VE"/>
              </w:rPr>
              <w:t>et al.,</w:t>
            </w:r>
            <w:r w:rsidRPr="00C308E9">
              <w:rPr>
                <w:rFonts w:ascii="Times New Roman" w:hAnsi="Times New Roman"/>
                <w:bCs/>
                <w:iCs/>
                <w:sz w:val="24"/>
                <w:lang w:val="es-VE"/>
              </w:rPr>
              <w:t xml:space="preserve"> 2018)</w:t>
            </w:r>
          </w:p>
        </w:tc>
        <w:tc>
          <w:tcPr>
            <w:tcW w:w="1560"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18906</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1,8%</w:t>
            </w:r>
          </w:p>
        </w:tc>
        <w:tc>
          <w:tcPr>
            <w:tcW w:w="1559"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14596</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1,4%</w:t>
            </w:r>
          </w:p>
        </w:tc>
      </w:tr>
      <w:tr w:rsidR="00C308E9" w:rsidRPr="00C308E9" w:rsidTr="00C308E9">
        <w:trPr>
          <w:jc w:val="center"/>
        </w:trPr>
        <w:tc>
          <w:tcPr>
            <w:tcW w:w="1560" w:type="dxa"/>
            <w:vAlign w:val="center"/>
          </w:tcPr>
          <w:p w:rsidR="00C308E9" w:rsidRPr="00C308E9" w:rsidRDefault="00C308E9" w:rsidP="00A0518A">
            <w:pPr>
              <w:spacing w:after="0" w:line="360" w:lineRule="auto"/>
              <w:jc w:val="center"/>
              <w:rPr>
                <w:rFonts w:ascii="Times New Roman" w:hAnsi="Times New Roman"/>
                <w:bCs/>
                <w:iCs/>
                <w:sz w:val="24"/>
                <w:lang w:val="es-VE"/>
              </w:rPr>
            </w:pPr>
          </w:p>
          <w:p w:rsidR="00C308E9" w:rsidRPr="00C308E9" w:rsidRDefault="00C308E9" w:rsidP="00A0518A">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8</w:t>
            </w:r>
          </w:p>
        </w:tc>
        <w:tc>
          <w:tcPr>
            <w:tcW w:w="1984" w:type="dxa"/>
            <w:shd w:val="clear" w:color="auto" w:fill="auto"/>
            <w:vAlign w:val="center"/>
          </w:tcPr>
          <w:p w:rsidR="00C308E9" w:rsidRPr="00C308E9" w:rsidRDefault="00C308E9" w:rsidP="00A0518A">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Corte Pozo VDW-1008</w:t>
            </w:r>
          </w:p>
        </w:tc>
        <w:tc>
          <w:tcPr>
            <w:tcW w:w="3260" w:type="dxa"/>
            <w:shd w:val="clear" w:color="auto" w:fill="auto"/>
            <w:vAlign w:val="center"/>
          </w:tcPr>
          <w:p w:rsidR="00C308E9" w:rsidRPr="00C308E9" w:rsidRDefault="00C308E9" w:rsidP="00A0518A">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Biorremediación por bioaumentación No. 2 (Consorcio Bacteriano 2)</w:t>
            </w:r>
          </w:p>
          <w:p w:rsidR="00C308E9" w:rsidRPr="00C308E9" w:rsidRDefault="00C308E9" w:rsidP="00A0518A">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 xml:space="preserve">(Toledo </w:t>
            </w:r>
            <w:r w:rsidRPr="00A0518A">
              <w:rPr>
                <w:rFonts w:ascii="Times New Roman" w:hAnsi="Times New Roman"/>
                <w:bCs/>
                <w:i/>
                <w:iCs/>
                <w:sz w:val="24"/>
                <w:lang w:val="es-VE"/>
              </w:rPr>
              <w:t>et al.,</w:t>
            </w:r>
            <w:r w:rsidRPr="00C308E9">
              <w:rPr>
                <w:rFonts w:ascii="Times New Roman" w:hAnsi="Times New Roman"/>
                <w:bCs/>
                <w:iCs/>
                <w:sz w:val="24"/>
                <w:lang w:val="es-VE"/>
              </w:rPr>
              <w:t xml:space="preserve"> 2018)</w:t>
            </w:r>
          </w:p>
        </w:tc>
        <w:tc>
          <w:tcPr>
            <w:tcW w:w="1560" w:type="dxa"/>
            <w:shd w:val="clear" w:color="auto" w:fill="auto"/>
            <w:vAlign w:val="center"/>
          </w:tcPr>
          <w:p w:rsidR="00C308E9" w:rsidRPr="00C308E9" w:rsidRDefault="00C308E9" w:rsidP="00A0518A">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13863</w:t>
            </w:r>
          </w:p>
          <w:p w:rsidR="00C308E9" w:rsidRPr="00C308E9" w:rsidRDefault="00C308E9" w:rsidP="00A0518A">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1,4%</w:t>
            </w:r>
          </w:p>
        </w:tc>
        <w:tc>
          <w:tcPr>
            <w:tcW w:w="1559" w:type="dxa"/>
            <w:shd w:val="clear" w:color="auto" w:fill="auto"/>
            <w:vAlign w:val="center"/>
          </w:tcPr>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11046</w:t>
            </w:r>
          </w:p>
          <w:p w:rsidR="00C308E9" w:rsidRPr="00C308E9" w:rsidRDefault="00C308E9" w:rsidP="00C308E9">
            <w:pPr>
              <w:spacing w:after="0" w:line="360" w:lineRule="auto"/>
              <w:jc w:val="center"/>
              <w:rPr>
                <w:rFonts w:ascii="Times New Roman" w:hAnsi="Times New Roman"/>
                <w:bCs/>
                <w:iCs/>
                <w:sz w:val="24"/>
                <w:lang w:val="es-VE"/>
              </w:rPr>
            </w:pPr>
            <w:r w:rsidRPr="00C308E9">
              <w:rPr>
                <w:rFonts w:ascii="Times New Roman" w:hAnsi="Times New Roman"/>
                <w:bCs/>
                <w:iCs/>
                <w:sz w:val="24"/>
                <w:lang w:val="es-VE"/>
              </w:rPr>
              <w:t>1,1%</w:t>
            </w:r>
          </w:p>
        </w:tc>
      </w:tr>
      <w:tr w:rsidR="00C308E9" w:rsidRPr="00C308E9" w:rsidTr="00C308E9">
        <w:trPr>
          <w:jc w:val="center"/>
        </w:trPr>
        <w:tc>
          <w:tcPr>
            <w:tcW w:w="1560" w:type="dxa"/>
            <w:vAlign w:val="center"/>
          </w:tcPr>
          <w:p w:rsidR="00C308E9" w:rsidRPr="00C308E9" w:rsidRDefault="00C308E9" w:rsidP="00A0518A">
            <w:pPr>
              <w:spacing w:after="0" w:line="360" w:lineRule="auto"/>
              <w:jc w:val="center"/>
              <w:rPr>
                <w:rFonts w:ascii="Times New Roman" w:hAnsi="Times New Roman"/>
                <w:b/>
                <w:bCs/>
                <w:iCs/>
                <w:sz w:val="24"/>
                <w:lang w:val="es-VE"/>
              </w:rPr>
            </w:pPr>
            <w:r w:rsidRPr="00C308E9">
              <w:rPr>
                <w:rFonts w:ascii="Times New Roman" w:hAnsi="Times New Roman"/>
                <w:b/>
                <w:bCs/>
                <w:iCs/>
                <w:sz w:val="24"/>
                <w:lang w:val="es-VE"/>
              </w:rPr>
              <w:t>NC819 -2017</w:t>
            </w:r>
          </w:p>
        </w:tc>
        <w:tc>
          <w:tcPr>
            <w:tcW w:w="1984" w:type="dxa"/>
            <w:shd w:val="clear" w:color="auto" w:fill="auto"/>
            <w:vAlign w:val="center"/>
          </w:tcPr>
          <w:p w:rsidR="00C308E9" w:rsidRPr="00C308E9" w:rsidRDefault="00C308E9" w:rsidP="00A0518A">
            <w:pPr>
              <w:spacing w:after="0" w:line="360" w:lineRule="auto"/>
              <w:jc w:val="center"/>
              <w:rPr>
                <w:rFonts w:ascii="Times New Roman" w:hAnsi="Times New Roman"/>
                <w:b/>
                <w:bCs/>
                <w:iCs/>
                <w:sz w:val="24"/>
                <w:lang w:val="es-VE"/>
              </w:rPr>
            </w:pPr>
            <w:r w:rsidRPr="00C308E9">
              <w:rPr>
                <w:rFonts w:ascii="Times New Roman" w:hAnsi="Times New Roman"/>
                <w:b/>
                <w:bCs/>
                <w:iCs/>
                <w:sz w:val="24"/>
                <w:lang w:val="es-VE"/>
              </w:rPr>
              <w:t>-</w:t>
            </w:r>
          </w:p>
        </w:tc>
        <w:tc>
          <w:tcPr>
            <w:tcW w:w="3260" w:type="dxa"/>
            <w:shd w:val="clear" w:color="auto" w:fill="auto"/>
            <w:vAlign w:val="center"/>
          </w:tcPr>
          <w:p w:rsidR="00C308E9" w:rsidRPr="00C308E9" w:rsidRDefault="00C308E9" w:rsidP="00A0518A">
            <w:pPr>
              <w:spacing w:after="0" w:line="360" w:lineRule="auto"/>
              <w:jc w:val="center"/>
              <w:rPr>
                <w:rFonts w:ascii="Times New Roman" w:hAnsi="Times New Roman"/>
                <w:b/>
                <w:bCs/>
                <w:iCs/>
                <w:sz w:val="24"/>
                <w:lang w:val="es-VE"/>
              </w:rPr>
            </w:pPr>
            <w:r w:rsidRPr="00C308E9">
              <w:rPr>
                <w:rFonts w:ascii="Times New Roman" w:hAnsi="Times New Roman"/>
                <w:b/>
                <w:bCs/>
                <w:iCs/>
                <w:sz w:val="24"/>
                <w:lang w:val="es-VE"/>
              </w:rPr>
              <w:t>-</w:t>
            </w:r>
          </w:p>
        </w:tc>
        <w:tc>
          <w:tcPr>
            <w:tcW w:w="3119" w:type="dxa"/>
            <w:gridSpan w:val="2"/>
            <w:shd w:val="clear" w:color="auto" w:fill="auto"/>
            <w:vAlign w:val="center"/>
          </w:tcPr>
          <w:p w:rsidR="00C308E9" w:rsidRPr="00C308E9" w:rsidRDefault="00C308E9" w:rsidP="00A0518A">
            <w:pPr>
              <w:spacing w:after="0" w:line="360" w:lineRule="auto"/>
              <w:jc w:val="center"/>
              <w:rPr>
                <w:rFonts w:ascii="Times New Roman" w:hAnsi="Times New Roman"/>
                <w:b/>
                <w:bCs/>
                <w:iCs/>
                <w:sz w:val="24"/>
                <w:lang w:val="es-VE"/>
              </w:rPr>
            </w:pPr>
            <w:r w:rsidRPr="00C308E9">
              <w:rPr>
                <w:rFonts w:ascii="Times New Roman" w:hAnsi="Times New Roman"/>
                <w:b/>
                <w:bCs/>
                <w:iCs/>
                <w:sz w:val="24"/>
                <w:lang w:val="es-VE"/>
              </w:rPr>
              <w:t>10000 mg/kg ó 1%</w:t>
            </w:r>
          </w:p>
        </w:tc>
      </w:tr>
    </w:tbl>
    <w:p w:rsidR="00C308E9" w:rsidRPr="009A1F7D" w:rsidRDefault="00C308E9" w:rsidP="00C308E9">
      <w:pPr>
        <w:spacing w:after="0" w:line="360" w:lineRule="auto"/>
        <w:jc w:val="both"/>
        <w:rPr>
          <w:rFonts w:ascii="Times New Roman" w:hAnsi="Times New Roman"/>
          <w:bCs/>
          <w:i/>
          <w:iCs/>
          <w:sz w:val="20"/>
          <w:szCs w:val="20"/>
          <w:lang w:val="es-VE"/>
        </w:rPr>
      </w:pPr>
      <w:r w:rsidRPr="009A1F7D">
        <w:rPr>
          <w:rFonts w:ascii="Times New Roman" w:hAnsi="Times New Roman"/>
          <w:bCs/>
          <w:iCs/>
          <w:sz w:val="20"/>
          <w:szCs w:val="20"/>
          <w:vertAlign w:val="superscript"/>
          <w:lang w:val="es-VE"/>
        </w:rPr>
        <w:t>(1)</w:t>
      </w:r>
      <w:r w:rsidRPr="009A1F7D">
        <w:rPr>
          <w:rFonts w:ascii="Times New Roman" w:hAnsi="Times New Roman"/>
          <w:bCs/>
          <w:iCs/>
          <w:sz w:val="20"/>
          <w:szCs w:val="20"/>
          <w:lang w:val="es-VE"/>
        </w:rPr>
        <w:t xml:space="preserve">Tamaño de partícula Menor; </w:t>
      </w:r>
      <w:r w:rsidRPr="009A1F7D">
        <w:rPr>
          <w:rFonts w:ascii="Times New Roman" w:hAnsi="Times New Roman"/>
          <w:bCs/>
          <w:iCs/>
          <w:sz w:val="20"/>
          <w:szCs w:val="20"/>
          <w:vertAlign w:val="superscript"/>
          <w:lang w:val="es-VE"/>
        </w:rPr>
        <w:t>(2)</w:t>
      </w:r>
      <w:r w:rsidRPr="009A1F7D">
        <w:rPr>
          <w:rFonts w:ascii="Times New Roman" w:hAnsi="Times New Roman"/>
          <w:bCs/>
          <w:iCs/>
          <w:sz w:val="20"/>
          <w:szCs w:val="20"/>
          <w:lang w:val="es-VE"/>
        </w:rPr>
        <w:t xml:space="preserve"> Tamaño de partícula Mayor; </w:t>
      </w:r>
      <w:r w:rsidRPr="009A1F7D">
        <w:rPr>
          <w:rFonts w:ascii="Times New Roman" w:hAnsi="Times New Roman"/>
          <w:bCs/>
          <w:iCs/>
          <w:sz w:val="20"/>
          <w:szCs w:val="20"/>
          <w:vertAlign w:val="superscript"/>
          <w:lang w:val="es-VE"/>
        </w:rPr>
        <w:t>(3)</w:t>
      </w:r>
      <w:r w:rsidRPr="009A1F7D">
        <w:rPr>
          <w:rFonts w:ascii="Times New Roman" w:hAnsi="Times New Roman"/>
          <w:bCs/>
          <w:iCs/>
          <w:sz w:val="20"/>
          <w:szCs w:val="20"/>
          <w:lang w:val="es-VE"/>
        </w:rPr>
        <w:t xml:space="preserve"> Grasas y Aceites;</w:t>
      </w:r>
      <w:r w:rsidR="009A1F7D">
        <w:rPr>
          <w:rFonts w:ascii="Times New Roman" w:hAnsi="Times New Roman"/>
          <w:bCs/>
          <w:iCs/>
          <w:sz w:val="20"/>
          <w:szCs w:val="20"/>
          <w:lang w:val="es-VE"/>
        </w:rPr>
        <w:t xml:space="preserve"> </w:t>
      </w:r>
      <w:r w:rsidRPr="009A1F7D">
        <w:rPr>
          <w:rFonts w:ascii="Times New Roman" w:hAnsi="Times New Roman"/>
          <w:bCs/>
          <w:i/>
          <w:iCs/>
          <w:sz w:val="20"/>
          <w:szCs w:val="20"/>
          <w:vertAlign w:val="superscript"/>
          <w:lang w:val="es-VE"/>
        </w:rPr>
        <w:t>(4)</w:t>
      </w:r>
      <w:r w:rsidRPr="009A1F7D">
        <w:rPr>
          <w:rFonts w:ascii="Times New Roman" w:hAnsi="Times New Roman"/>
          <w:bCs/>
          <w:i/>
          <w:iCs/>
          <w:sz w:val="20"/>
          <w:szCs w:val="20"/>
          <w:lang w:val="es-VE"/>
        </w:rPr>
        <w:t xml:space="preserve"> Hidrocarburos totales</w:t>
      </w:r>
    </w:p>
    <w:p w:rsidR="00C308E9" w:rsidRPr="00A0518A" w:rsidRDefault="00C308E9" w:rsidP="00C308E9">
      <w:pPr>
        <w:spacing w:after="0" w:line="360" w:lineRule="auto"/>
        <w:jc w:val="both"/>
        <w:rPr>
          <w:rFonts w:ascii="Times New Roman" w:hAnsi="Times New Roman"/>
          <w:bCs/>
          <w:iCs/>
          <w:sz w:val="24"/>
          <w:lang w:val="es-VE"/>
        </w:rPr>
      </w:pPr>
      <w:r w:rsidRPr="00A0518A">
        <w:rPr>
          <w:rFonts w:ascii="Times New Roman" w:hAnsi="Times New Roman"/>
          <w:bCs/>
          <w:iCs/>
          <w:sz w:val="24"/>
        </w:rPr>
        <w:t>L</w:t>
      </w:r>
      <w:r w:rsidRPr="00A0518A">
        <w:rPr>
          <w:rFonts w:ascii="Times New Roman" w:hAnsi="Times New Roman"/>
          <w:bCs/>
          <w:iCs/>
          <w:sz w:val="24"/>
          <w:lang w:val="es-VE"/>
        </w:rPr>
        <w:t xml:space="preserve">as semillas de lechuga utilizadas presentan un 86% de probabilidad de germinación y certificación aprobada para su uso (figura </w:t>
      </w:r>
      <w:r w:rsidR="00363D42">
        <w:rPr>
          <w:rFonts w:ascii="Times New Roman" w:hAnsi="Times New Roman"/>
          <w:bCs/>
          <w:iCs/>
          <w:sz w:val="24"/>
          <w:lang w:val="es-VE"/>
        </w:rPr>
        <w:t>2.</w:t>
      </w:r>
      <w:r w:rsidRPr="00A0518A">
        <w:rPr>
          <w:rFonts w:ascii="Times New Roman" w:hAnsi="Times New Roman"/>
          <w:bCs/>
          <w:iCs/>
          <w:sz w:val="24"/>
          <w:lang w:val="es-VE"/>
        </w:rPr>
        <w:t>1).</w:t>
      </w:r>
    </w:p>
    <w:p w:rsidR="00C308E9" w:rsidRPr="00C308E9" w:rsidRDefault="00C308E9" w:rsidP="00C308E9">
      <w:pPr>
        <w:spacing w:after="0" w:line="360" w:lineRule="auto"/>
        <w:jc w:val="both"/>
        <w:rPr>
          <w:rFonts w:ascii="Times New Roman" w:hAnsi="Times New Roman"/>
          <w:b/>
          <w:i/>
          <w:sz w:val="24"/>
        </w:rPr>
      </w:pPr>
    </w:p>
    <w:p w:rsidR="00C308E9" w:rsidRPr="00C308E9" w:rsidRDefault="00C308E9" w:rsidP="00A0518A">
      <w:pPr>
        <w:spacing w:after="0" w:line="360" w:lineRule="auto"/>
        <w:jc w:val="center"/>
        <w:rPr>
          <w:rFonts w:ascii="Times New Roman" w:hAnsi="Times New Roman"/>
          <w:b/>
          <w:i/>
          <w:sz w:val="24"/>
        </w:rPr>
      </w:pPr>
      <w:r w:rsidRPr="00C308E9">
        <w:rPr>
          <w:rFonts w:ascii="Times New Roman" w:hAnsi="Times New Roman"/>
          <w:b/>
          <w:i/>
          <w:noProof/>
          <w:sz w:val="24"/>
          <w:lang w:eastAsia="es-ES"/>
        </w:rPr>
        <w:drawing>
          <wp:inline distT="0" distB="0" distL="0" distR="0">
            <wp:extent cx="2704336" cy="1964585"/>
            <wp:effectExtent l="0" t="0" r="1270" b="0"/>
            <wp:docPr id="19" name="Imagen 19" descr="SAM_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21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9118" cy="1968059"/>
                    </a:xfrm>
                    <a:prstGeom prst="rect">
                      <a:avLst/>
                    </a:prstGeom>
                    <a:noFill/>
                    <a:ln>
                      <a:noFill/>
                    </a:ln>
                  </pic:spPr>
                </pic:pic>
              </a:graphicData>
            </a:graphic>
          </wp:inline>
        </w:drawing>
      </w:r>
    </w:p>
    <w:p w:rsidR="00C308E9" w:rsidRDefault="00C308E9"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 xml:space="preserve">Figura </w:t>
      </w:r>
      <w:r w:rsidR="00612806" w:rsidRPr="00363D42">
        <w:rPr>
          <w:rFonts w:ascii="Times New Roman" w:hAnsi="Times New Roman"/>
          <w:b/>
          <w:bCs/>
          <w:iCs/>
          <w:sz w:val="24"/>
          <w:lang w:val="es-VE"/>
        </w:rPr>
        <w:t>2.1</w:t>
      </w:r>
      <w:r w:rsidRPr="00A0518A">
        <w:rPr>
          <w:rFonts w:ascii="Times New Roman" w:hAnsi="Times New Roman"/>
          <w:bCs/>
          <w:iCs/>
          <w:sz w:val="24"/>
          <w:lang w:val="es-VE"/>
        </w:rPr>
        <w:t xml:space="preserve"> Bioindicador semillas de lechuga</w:t>
      </w:r>
    </w:p>
    <w:p w:rsidR="00A0518A" w:rsidRDefault="00A0518A" w:rsidP="00A0518A">
      <w:pPr>
        <w:spacing w:after="0" w:line="360" w:lineRule="auto"/>
        <w:jc w:val="center"/>
        <w:rPr>
          <w:rFonts w:ascii="Times New Roman" w:hAnsi="Times New Roman"/>
          <w:bCs/>
          <w:iCs/>
          <w:sz w:val="24"/>
          <w:lang w:val="es-VE"/>
        </w:rPr>
      </w:pPr>
    </w:p>
    <w:p w:rsidR="00C308E9" w:rsidRPr="00A0518A" w:rsidRDefault="00C308E9" w:rsidP="00C308E9">
      <w:pPr>
        <w:numPr>
          <w:ilvl w:val="0"/>
          <w:numId w:val="15"/>
        </w:numPr>
        <w:spacing w:after="0" w:line="360" w:lineRule="auto"/>
        <w:jc w:val="both"/>
        <w:rPr>
          <w:rFonts w:ascii="Times New Roman" w:hAnsi="Times New Roman"/>
          <w:bCs/>
          <w:iCs/>
          <w:sz w:val="24"/>
          <w:lang w:val="es-VE"/>
        </w:rPr>
      </w:pPr>
      <w:bookmarkStart w:id="1" w:name="_Toc530085841"/>
      <w:bookmarkStart w:id="2" w:name="_Toc491697455"/>
      <w:r w:rsidRPr="00A0518A">
        <w:rPr>
          <w:rFonts w:ascii="Times New Roman" w:hAnsi="Times New Roman"/>
          <w:bCs/>
          <w:iCs/>
          <w:sz w:val="24"/>
          <w:lang w:val="es-VE"/>
        </w:rPr>
        <w:t>Preparación de las muestras</w:t>
      </w:r>
      <w:bookmarkEnd w:id="1"/>
      <w:r w:rsidRPr="00A0518A">
        <w:rPr>
          <w:rFonts w:ascii="Times New Roman" w:hAnsi="Times New Roman"/>
          <w:bCs/>
          <w:iCs/>
          <w:sz w:val="24"/>
          <w:lang w:val="es-VE"/>
        </w:rPr>
        <w:t xml:space="preserve"> </w:t>
      </w:r>
      <w:bookmarkEnd w:id="2"/>
    </w:p>
    <w:p w:rsidR="00C308E9" w:rsidRPr="00A0518A" w:rsidRDefault="00C308E9" w:rsidP="00C308E9">
      <w:pPr>
        <w:spacing w:after="0" w:line="360" w:lineRule="auto"/>
        <w:jc w:val="both"/>
        <w:rPr>
          <w:rFonts w:ascii="Times New Roman" w:hAnsi="Times New Roman"/>
          <w:bCs/>
          <w:iCs/>
          <w:sz w:val="24"/>
          <w:lang w:val="es-VE"/>
        </w:rPr>
      </w:pPr>
    </w:p>
    <w:p w:rsidR="00C308E9" w:rsidRPr="00A0518A" w:rsidRDefault="00C308E9" w:rsidP="00C308E9">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200 g de cada uno de los suelos tratados se mezclan con 800 mL de agua destilada.  Se incuban en zaranda reciprocante con agitación de 130 rpm durante 10 min, y se dejan reposar por 12 horas en refrigeración, según la norma ASTM-E-1391-03.</w:t>
      </w:r>
    </w:p>
    <w:p w:rsidR="00C308E9" w:rsidRPr="00A0518A" w:rsidRDefault="00C308E9" w:rsidP="00C308E9">
      <w:pPr>
        <w:spacing w:after="0" w:line="360" w:lineRule="auto"/>
        <w:jc w:val="both"/>
        <w:rPr>
          <w:rFonts w:ascii="Times New Roman" w:hAnsi="Times New Roman"/>
          <w:bCs/>
          <w:iCs/>
          <w:sz w:val="24"/>
          <w:lang w:val="es-VE"/>
        </w:rPr>
      </w:pPr>
    </w:p>
    <w:p w:rsidR="00C308E9" w:rsidRDefault="00C308E9" w:rsidP="00C308E9">
      <w:pPr>
        <w:spacing w:after="0" w:line="360" w:lineRule="auto"/>
        <w:jc w:val="both"/>
        <w:rPr>
          <w:rFonts w:ascii="Times New Roman" w:hAnsi="Times New Roman"/>
          <w:bCs/>
          <w:iCs/>
          <w:sz w:val="24"/>
          <w:lang w:val="es-VE"/>
        </w:rPr>
      </w:pPr>
      <w:bookmarkStart w:id="3" w:name="_Toc491697456"/>
      <w:bookmarkStart w:id="4" w:name="_Toc529115096"/>
      <w:bookmarkStart w:id="5" w:name="_Toc529115443"/>
      <w:bookmarkStart w:id="6" w:name="_Toc529744754"/>
      <w:bookmarkStart w:id="7" w:name="_Toc529745020"/>
      <w:bookmarkStart w:id="8" w:name="_Toc529745175"/>
      <w:bookmarkStart w:id="9" w:name="_Toc529780562"/>
      <w:bookmarkStart w:id="10" w:name="_Toc529875677"/>
      <w:bookmarkStart w:id="11" w:name="_Toc530085842"/>
      <w:r w:rsidRPr="00A0518A">
        <w:rPr>
          <w:rFonts w:ascii="Times New Roman" w:hAnsi="Times New Roman"/>
          <w:bCs/>
          <w:iCs/>
          <w:sz w:val="24"/>
          <w:lang w:val="es-VE"/>
        </w:rPr>
        <w:t>Con la fracción sólida suspendida (FSS) de la muestra, se preparan diluciones con agua destilada a las concentraciones de 1, 5, 25, 50 y 100 % (Acosta et al., 2014).</w:t>
      </w:r>
      <w:bookmarkEnd w:id="3"/>
      <w:bookmarkEnd w:id="4"/>
      <w:bookmarkEnd w:id="5"/>
      <w:bookmarkEnd w:id="6"/>
      <w:bookmarkEnd w:id="7"/>
      <w:bookmarkEnd w:id="8"/>
      <w:bookmarkEnd w:id="9"/>
      <w:bookmarkEnd w:id="10"/>
      <w:bookmarkEnd w:id="11"/>
    </w:p>
    <w:p w:rsidR="00A0518A" w:rsidRPr="00A0518A" w:rsidRDefault="00A0518A" w:rsidP="00C308E9">
      <w:pPr>
        <w:spacing w:after="0" w:line="360" w:lineRule="auto"/>
        <w:jc w:val="both"/>
        <w:rPr>
          <w:rFonts w:ascii="Times New Roman" w:hAnsi="Times New Roman"/>
          <w:bCs/>
          <w:iCs/>
          <w:sz w:val="24"/>
          <w:lang w:val="es-VE"/>
        </w:rPr>
      </w:pPr>
    </w:p>
    <w:p w:rsidR="00C308E9" w:rsidRDefault="00C308E9" w:rsidP="00C308E9">
      <w:pPr>
        <w:numPr>
          <w:ilvl w:val="0"/>
          <w:numId w:val="15"/>
        </w:numPr>
        <w:spacing w:after="0" w:line="360" w:lineRule="auto"/>
        <w:jc w:val="both"/>
        <w:rPr>
          <w:rFonts w:ascii="Times New Roman" w:hAnsi="Times New Roman"/>
          <w:bCs/>
          <w:iCs/>
          <w:sz w:val="24"/>
          <w:lang w:val="es-VE"/>
        </w:rPr>
      </w:pPr>
      <w:bookmarkStart w:id="12" w:name="_Toc530085843"/>
      <w:bookmarkStart w:id="13" w:name="_Toc491697457"/>
      <w:r w:rsidRPr="00A0518A">
        <w:rPr>
          <w:rFonts w:ascii="Times New Roman" w:hAnsi="Times New Roman"/>
          <w:bCs/>
          <w:iCs/>
          <w:sz w:val="24"/>
          <w:lang w:val="es-VE"/>
        </w:rPr>
        <w:t>Preparación de los bioensayos</w:t>
      </w:r>
      <w:bookmarkEnd w:id="12"/>
      <w:r w:rsidRPr="00A0518A">
        <w:rPr>
          <w:rFonts w:ascii="Times New Roman" w:hAnsi="Times New Roman"/>
          <w:bCs/>
          <w:iCs/>
          <w:sz w:val="24"/>
          <w:lang w:val="es-VE"/>
        </w:rPr>
        <w:t xml:space="preserve"> </w:t>
      </w:r>
      <w:bookmarkEnd w:id="13"/>
    </w:p>
    <w:p w:rsidR="00A0518A" w:rsidRPr="00A0518A" w:rsidRDefault="00A0518A" w:rsidP="00A0518A">
      <w:pPr>
        <w:spacing w:after="0" w:line="360" w:lineRule="auto"/>
        <w:ind w:left="720"/>
        <w:jc w:val="both"/>
        <w:rPr>
          <w:rFonts w:ascii="Times New Roman" w:hAnsi="Times New Roman"/>
          <w:bCs/>
          <w:iCs/>
          <w:sz w:val="24"/>
          <w:lang w:val="es-VE"/>
        </w:rPr>
      </w:pPr>
    </w:p>
    <w:p w:rsidR="00C308E9" w:rsidRPr="00A0518A" w:rsidRDefault="00C308E9" w:rsidP="00C308E9">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lastRenderedPageBreak/>
        <w:t>Cada bioensayo se ejecuta en placas Petri, por triplicado incluyendo las réplicas del control. Se añaden cantidades de 0,25, 1,25, 6,25, 12,5 y 25 mL de la solución madre, completando para cada caso con agua destilada a volumen final de 25 mL. De cada solución final se añaden 5 mL al papel de filtro No.201 que contiene cada placa Petri (Acosta et al., 2014).</w:t>
      </w:r>
    </w:p>
    <w:p w:rsidR="00C308E9" w:rsidRPr="00A0518A" w:rsidRDefault="00C308E9" w:rsidP="00C308E9">
      <w:pPr>
        <w:spacing w:after="0" w:line="360" w:lineRule="auto"/>
        <w:jc w:val="both"/>
        <w:rPr>
          <w:rFonts w:ascii="Times New Roman" w:hAnsi="Times New Roman"/>
          <w:bCs/>
          <w:iCs/>
          <w:sz w:val="24"/>
          <w:lang w:val="es-VE"/>
        </w:rPr>
      </w:pPr>
    </w:p>
    <w:p w:rsidR="00C308E9" w:rsidRPr="00A0518A" w:rsidRDefault="00C308E9" w:rsidP="00C308E9">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Para todos los bioensayos se colocan 20 semillas en cada placa cuidadosamente, con la ayuda de una pinza, para asegurar espacio suficiente entre las semillas para permitir la elongación de las raíces sin dificultad (Figura 2</w:t>
      </w:r>
      <w:r w:rsidR="00363D42">
        <w:rPr>
          <w:rFonts w:ascii="Times New Roman" w:hAnsi="Times New Roman"/>
          <w:bCs/>
          <w:iCs/>
          <w:sz w:val="24"/>
          <w:lang w:val="es-VE"/>
        </w:rPr>
        <w:t>.2</w:t>
      </w:r>
      <w:r w:rsidRPr="00A0518A">
        <w:rPr>
          <w:rFonts w:ascii="Times New Roman" w:hAnsi="Times New Roman"/>
          <w:bCs/>
          <w:iCs/>
          <w:sz w:val="24"/>
          <w:lang w:val="es-VE"/>
        </w:rPr>
        <w:t>). Las placas se incuban envueltas en bolsas plásticas negras para evitar la pérdida de humedad y la entrada de la luz, por un período de 120 horas (5 días) (Acosta et al., 2014).</w:t>
      </w:r>
    </w:p>
    <w:p w:rsidR="00C308E9" w:rsidRPr="00C308E9" w:rsidRDefault="00C308E9" w:rsidP="00A0518A">
      <w:pPr>
        <w:spacing w:after="0" w:line="360" w:lineRule="auto"/>
        <w:jc w:val="center"/>
        <w:rPr>
          <w:rFonts w:ascii="Times New Roman" w:hAnsi="Times New Roman"/>
          <w:b/>
          <w:bCs/>
          <w:i/>
          <w:iCs/>
          <w:sz w:val="24"/>
          <w:lang w:val="es-VE"/>
        </w:rPr>
      </w:pPr>
      <w:r w:rsidRPr="00C308E9">
        <w:rPr>
          <w:rFonts w:ascii="Times New Roman" w:hAnsi="Times New Roman"/>
          <w:b/>
          <w:bCs/>
          <w:i/>
          <w:iCs/>
          <w:noProof/>
          <w:sz w:val="24"/>
          <w:lang w:eastAsia="es-ES"/>
        </w:rPr>
        <w:drawing>
          <wp:inline distT="0" distB="0" distL="0" distR="0" wp14:anchorId="5BF2F652" wp14:editId="12E07CB0">
            <wp:extent cx="2505075" cy="1881861"/>
            <wp:effectExtent l="0" t="0" r="0" b="4445"/>
            <wp:docPr id="18" name="Imagen 18" descr="IMG_20170302_12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302_1231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538" cy="1884462"/>
                    </a:xfrm>
                    <a:prstGeom prst="rect">
                      <a:avLst/>
                    </a:prstGeom>
                    <a:noFill/>
                    <a:ln>
                      <a:noFill/>
                    </a:ln>
                  </pic:spPr>
                </pic:pic>
              </a:graphicData>
            </a:graphic>
          </wp:inline>
        </w:drawing>
      </w:r>
    </w:p>
    <w:p w:rsidR="00C308E9" w:rsidRPr="00A0518A" w:rsidRDefault="00C308E9"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Figura 2.</w:t>
      </w:r>
      <w:r w:rsidR="00612806" w:rsidRPr="00363D42">
        <w:rPr>
          <w:rFonts w:ascii="Times New Roman" w:hAnsi="Times New Roman"/>
          <w:b/>
          <w:bCs/>
          <w:iCs/>
          <w:sz w:val="24"/>
          <w:lang w:val="es-VE"/>
        </w:rPr>
        <w:t>2</w:t>
      </w:r>
      <w:r w:rsidRPr="00A0518A">
        <w:rPr>
          <w:rFonts w:ascii="Times New Roman" w:hAnsi="Times New Roman"/>
          <w:bCs/>
          <w:iCs/>
          <w:sz w:val="24"/>
          <w:lang w:val="es-VE"/>
        </w:rPr>
        <w:t xml:space="preserve"> Montaje de los bioensayos con semillas de lechuga en papel de filtro.</w:t>
      </w:r>
    </w:p>
    <w:p w:rsidR="00E168E6" w:rsidRDefault="00E168E6" w:rsidP="00C308E9">
      <w:pPr>
        <w:spacing w:after="0" w:line="360" w:lineRule="auto"/>
        <w:jc w:val="both"/>
        <w:rPr>
          <w:rFonts w:ascii="Times New Roman" w:hAnsi="Times New Roman"/>
          <w:b/>
          <w:bCs/>
          <w:i/>
          <w:sz w:val="24"/>
          <w:lang w:val="es-VE"/>
        </w:rPr>
      </w:pPr>
      <w:bookmarkStart w:id="14" w:name="_Toc491697461"/>
      <w:bookmarkStart w:id="15" w:name="_Toc530085845"/>
    </w:p>
    <w:p w:rsidR="00C308E9" w:rsidRPr="00C308E9" w:rsidRDefault="00E168E6" w:rsidP="00C308E9">
      <w:pPr>
        <w:spacing w:after="0" w:line="360" w:lineRule="auto"/>
        <w:jc w:val="both"/>
        <w:rPr>
          <w:rFonts w:ascii="Times New Roman" w:hAnsi="Times New Roman"/>
          <w:b/>
          <w:bCs/>
          <w:i/>
          <w:sz w:val="24"/>
          <w:lang w:val="es-VE"/>
        </w:rPr>
      </w:pPr>
      <w:r>
        <w:rPr>
          <w:rFonts w:ascii="Times New Roman" w:hAnsi="Times New Roman"/>
          <w:b/>
          <w:bCs/>
          <w:i/>
          <w:sz w:val="24"/>
          <w:lang w:val="es-VE"/>
        </w:rPr>
        <w:t>2.</w:t>
      </w:r>
      <w:r w:rsidR="00C308E9" w:rsidRPr="00C308E9">
        <w:rPr>
          <w:rFonts w:ascii="Times New Roman" w:hAnsi="Times New Roman"/>
          <w:b/>
          <w:bCs/>
          <w:i/>
          <w:sz w:val="24"/>
          <w:lang w:val="es-VE"/>
        </w:rPr>
        <w:t>2 Bioensayo con lombriz de tierra, Especie Ensenia Andrei</w:t>
      </w:r>
      <w:bookmarkEnd w:id="14"/>
      <w:bookmarkEnd w:id="15"/>
    </w:p>
    <w:p w:rsidR="00C308E9" w:rsidRPr="00C308E9" w:rsidRDefault="00C308E9" w:rsidP="00C308E9">
      <w:pPr>
        <w:spacing w:after="0" w:line="360" w:lineRule="auto"/>
        <w:jc w:val="both"/>
        <w:rPr>
          <w:rFonts w:ascii="Times New Roman" w:hAnsi="Times New Roman"/>
          <w:b/>
          <w:bCs/>
          <w:i/>
          <w:iCs/>
          <w:sz w:val="24"/>
          <w:lang w:val="es-VE"/>
        </w:rPr>
      </w:pPr>
    </w:p>
    <w:p w:rsidR="00C308E9" w:rsidRPr="00A0518A" w:rsidRDefault="00C308E9"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El bioensayo se le realizó a los suelos tratados (Tabla I). </w:t>
      </w:r>
      <w:r w:rsidRPr="00A0518A">
        <w:rPr>
          <w:rFonts w:ascii="Times New Roman" w:hAnsi="Times New Roman"/>
          <w:bCs/>
          <w:iCs/>
          <w:sz w:val="24"/>
        </w:rPr>
        <w:t xml:space="preserve">Este bioensayo evalúa el nivel de afectación directo de la contaminación presente en un suelo. Se utilizan </w:t>
      </w:r>
      <w:r w:rsidRPr="00A0518A">
        <w:rPr>
          <w:rFonts w:ascii="Times New Roman" w:hAnsi="Times New Roman"/>
          <w:bCs/>
          <w:iCs/>
          <w:sz w:val="24"/>
          <w:lang w:val="es-VE"/>
        </w:rPr>
        <w:t xml:space="preserve">lombrices de la especie Eisenia Andrei (Figura </w:t>
      </w:r>
      <w:r w:rsidR="00363D42">
        <w:rPr>
          <w:rFonts w:ascii="Times New Roman" w:hAnsi="Times New Roman"/>
          <w:bCs/>
          <w:iCs/>
          <w:sz w:val="24"/>
          <w:lang w:val="es-VE"/>
        </w:rPr>
        <w:t>2.</w:t>
      </w:r>
      <w:r w:rsidRPr="00A0518A">
        <w:rPr>
          <w:rFonts w:ascii="Times New Roman" w:hAnsi="Times New Roman"/>
          <w:bCs/>
          <w:iCs/>
          <w:sz w:val="24"/>
          <w:lang w:val="es-VE"/>
        </w:rPr>
        <w:t xml:space="preserve">3). </w:t>
      </w:r>
    </w:p>
    <w:p w:rsidR="00C308E9" w:rsidRPr="00C308E9" w:rsidRDefault="00C308E9" w:rsidP="00A0518A">
      <w:pPr>
        <w:spacing w:after="0" w:line="360" w:lineRule="auto"/>
        <w:jc w:val="center"/>
        <w:rPr>
          <w:rFonts w:ascii="Times New Roman" w:hAnsi="Times New Roman"/>
          <w:b/>
          <w:i/>
          <w:sz w:val="24"/>
        </w:rPr>
      </w:pPr>
      <w:bookmarkStart w:id="16" w:name="_GoBack"/>
      <w:bookmarkEnd w:id="16"/>
      <w:r w:rsidRPr="00C308E9">
        <w:rPr>
          <w:rFonts w:ascii="Times New Roman" w:hAnsi="Times New Roman"/>
          <w:b/>
          <w:i/>
          <w:noProof/>
          <w:sz w:val="24"/>
          <w:lang w:eastAsia="es-ES"/>
        </w:rPr>
        <w:drawing>
          <wp:inline distT="0" distB="0" distL="0" distR="0" wp14:anchorId="491C17B2" wp14:editId="55C5E480">
            <wp:extent cx="2276475" cy="2063359"/>
            <wp:effectExtent l="0" t="0" r="0" b="0"/>
            <wp:docPr id="17" name="Imagen 17" descr="MVC-7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VC-781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3357" cy="2069597"/>
                    </a:xfrm>
                    <a:prstGeom prst="rect">
                      <a:avLst/>
                    </a:prstGeom>
                    <a:noFill/>
                    <a:ln>
                      <a:noFill/>
                    </a:ln>
                  </pic:spPr>
                </pic:pic>
              </a:graphicData>
            </a:graphic>
          </wp:inline>
        </w:drawing>
      </w:r>
    </w:p>
    <w:p w:rsidR="00C308E9" w:rsidRPr="00A0518A" w:rsidRDefault="00C308E9"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 xml:space="preserve">Figura </w:t>
      </w:r>
      <w:r w:rsidR="00612806" w:rsidRPr="00363D42">
        <w:rPr>
          <w:rFonts w:ascii="Times New Roman" w:hAnsi="Times New Roman"/>
          <w:b/>
          <w:bCs/>
          <w:iCs/>
          <w:sz w:val="24"/>
          <w:lang w:val="es-VE"/>
        </w:rPr>
        <w:t>2.3</w:t>
      </w:r>
      <w:r w:rsidRPr="00A0518A">
        <w:rPr>
          <w:rFonts w:ascii="Times New Roman" w:hAnsi="Times New Roman"/>
          <w:bCs/>
          <w:iCs/>
          <w:sz w:val="24"/>
          <w:lang w:val="es-VE"/>
        </w:rPr>
        <w:t xml:space="preserve"> Lombrices adultas cliteladas de la especie Ensenia Andrei</w:t>
      </w:r>
    </w:p>
    <w:p w:rsidR="00C308E9" w:rsidRPr="00C308E9" w:rsidRDefault="00C308E9" w:rsidP="00C308E9">
      <w:pPr>
        <w:spacing w:after="0" w:line="360" w:lineRule="auto"/>
        <w:jc w:val="both"/>
        <w:rPr>
          <w:rFonts w:ascii="Times New Roman" w:hAnsi="Times New Roman"/>
          <w:b/>
          <w:i/>
          <w:sz w:val="24"/>
        </w:rPr>
      </w:pPr>
    </w:p>
    <w:p w:rsidR="00C308E9" w:rsidRPr="00A0518A" w:rsidRDefault="00C308E9" w:rsidP="00C308E9">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El alimento que se utilizó para su mantenimiento fue el estiércol vacuno, proporcionado también por la propia UEB. Las lombrices se mantienen durante una semana en adaptación bajo condiciones controladas de temperatura 22</w:t>
      </w:r>
      <w:r w:rsidRPr="00A0518A">
        <w:rPr>
          <w:rFonts w:ascii="Times New Roman" w:hAnsi="Times New Roman"/>
          <w:bCs/>
          <w:iCs/>
          <w:sz w:val="24"/>
          <w:vertAlign w:val="superscript"/>
          <w:lang w:val="es-VE"/>
        </w:rPr>
        <w:t>0</w:t>
      </w:r>
      <w:r w:rsidRPr="00A0518A">
        <w:rPr>
          <w:rFonts w:ascii="Times New Roman" w:hAnsi="Times New Roman"/>
          <w:bCs/>
          <w:iCs/>
          <w:sz w:val="24"/>
          <w:lang w:val="es-VE"/>
        </w:rPr>
        <w:t xml:space="preserve">C y humedad del 55% (Figura </w:t>
      </w:r>
      <w:r w:rsidR="00363D42">
        <w:rPr>
          <w:rFonts w:ascii="Times New Roman" w:hAnsi="Times New Roman"/>
          <w:bCs/>
          <w:iCs/>
          <w:sz w:val="24"/>
          <w:lang w:val="es-VE"/>
        </w:rPr>
        <w:t>2.</w:t>
      </w:r>
      <w:r w:rsidRPr="00A0518A">
        <w:rPr>
          <w:rFonts w:ascii="Times New Roman" w:hAnsi="Times New Roman"/>
          <w:bCs/>
          <w:iCs/>
          <w:sz w:val="24"/>
          <w:lang w:val="es-VE"/>
        </w:rPr>
        <w:t>4).</w:t>
      </w:r>
    </w:p>
    <w:p w:rsidR="00C308E9" w:rsidRPr="00C308E9" w:rsidRDefault="00C308E9" w:rsidP="00A0518A">
      <w:pPr>
        <w:spacing w:after="0" w:line="360" w:lineRule="auto"/>
        <w:jc w:val="center"/>
        <w:rPr>
          <w:rFonts w:ascii="Times New Roman" w:hAnsi="Times New Roman"/>
          <w:b/>
          <w:i/>
          <w:sz w:val="24"/>
        </w:rPr>
      </w:pPr>
      <w:r w:rsidRPr="00C308E9">
        <w:rPr>
          <w:rFonts w:ascii="Times New Roman" w:hAnsi="Times New Roman"/>
          <w:b/>
          <w:i/>
          <w:noProof/>
          <w:sz w:val="24"/>
          <w:lang w:eastAsia="es-ES"/>
        </w:rPr>
        <w:drawing>
          <wp:inline distT="0" distB="0" distL="0" distR="0" wp14:anchorId="23DBDE5D" wp14:editId="44EE63C9">
            <wp:extent cx="2800350" cy="2097559"/>
            <wp:effectExtent l="0" t="0" r="0" b="0"/>
            <wp:docPr id="16" name="Imagen 16" descr="IMG_20170322_15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0322_150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868" cy="2097947"/>
                    </a:xfrm>
                    <a:prstGeom prst="rect">
                      <a:avLst/>
                    </a:prstGeom>
                    <a:noFill/>
                    <a:ln>
                      <a:noFill/>
                    </a:ln>
                  </pic:spPr>
                </pic:pic>
              </a:graphicData>
            </a:graphic>
          </wp:inline>
        </w:drawing>
      </w:r>
    </w:p>
    <w:p w:rsidR="00C308E9" w:rsidRPr="00A0518A" w:rsidRDefault="00C308E9"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 xml:space="preserve">Figura </w:t>
      </w:r>
      <w:r w:rsidR="00612806" w:rsidRPr="00363D42">
        <w:rPr>
          <w:rFonts w:ascii="Times New Roman" w:hAnsi="Times New Roman"/>
          <w:b/>
          <w:bCs/>
          <w:iCs/>
          <w:sz w:val="24"/>
          <w:lang w:val="es-VE"/>
        </w:rPr>
        <w:t>2.</w:t>
      </w:r>
      <w:r w:rsidRPr="00363D42">
        <w:rPr>
          <w:rFonts w:ascii="Times New Roman" w:hAnsi="Times New Roman"/>
          <w:b/>
          <w:bCs/>
          <w:iCs/>
          <w:sz w:val="24"/>
          <w:lang w:val="es-VE"/>
        </w:rPr>
        <w:t>4</w:t>
      </w:r>
      <w:r w:rsidR="00363D42">
        <w:rPr>
          <w:rFonts w:ascii="Times New Roman" w:hAnsi="Times New Roman"/>
          <w:bCs/>
          <w:iCs/>
          <w:sz w:val="24"/>
          <w:lang w:val="es-VE"/>
        </w:rPr>
        <w:t xml:space="preserve"> </w:t>
      </w:r>
      <w:r w:rsidRPr="00A0518A">
        <w:rPr>
          <w:rFonts w:ascii="Times New Roman" w:hAnsi="Times New Roman"/>
          <w:bCs/>
          <w:iCs/>
          <w:sz w:val="24"/>
          <w:lang w:val="es-VE"/>
        </w:rPr>
        <w:t>Proceso de adaptación de las lombrices</w:t>
      </w:r>
    </w:p>
    <w:p w:rsidR="00C308E9" w:rsidRPr="00C308E9" w:rsidRDefault="00C308E9" w:rsidP="00C308E9">
      <w:pPr>
        <w:spacing w:after="0" w:line="360" w:lineRule="auto"/>
        <w:jc w:val="both"/>
        <w:rPr>
          <w:rFonts w:ascii="Times New Roman" w:hAnsi="Times New Roman"/>
          <w:b/>
          <w:i/>
          <w:sz w:val="24"/>
        </w:rPr>
      </w:pPr>
    </w:p>
    <w:p w:rsidR="00C308E9" w:rsidRDefault="00C308E9" w:rsidP="00C308E9">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Para verificar que el estiércol vacuno colectado constituye el alimento adecuado para el mantenimiento de las lombrices, se realiza la prueba de la caja, antes de iniciar los experimentos </w:t>
      </w:r>
      <w:r w:rsidRPr="00E168E6">
        <w:rPr>
          <w:rFonts w:ascii="Times New Roman" w:hAnsi="Times New Roman"/>
          <w:b/>
          <w:bCs/>
          <w:iCs/>
          <w:sz w:val="24"/>
          <w:lang w:val="es-VE"/>
        </w:rPr>
        <w:t>(Cuevas et al., 1996)</w:t>
      </w:r>
      <w:r w:rsidRPr="00A0518A">
        <w:rPr>
          <w:rFonts w:ascii="Times New Roman" w:hAnsi="Times New Roman"/>
          <w:bCs/>
          <w:iCs/>
          <w:sz w:val="24"/>
          <w:lang w:val="es-VE"/>
        </w:rPr>
        <w:t>. Esta prueba consiste en la selección de 10 lombrices las cuales se introducen en un recipiente con el alimento (estiércol) durante 24 horas. Al día siguiente se cuentan las lombrices y para una supervivencia del 100% se considera adecuado el alimento.</w:t>
      </w:r>
    </w:p>
    <w:p w:rsidR="00A0518A" w:rsidRPr="00A0518A" w:rsidRDefault="00A0518A" w:rsidP="00C308E9">
      <w:pPr>
        <w:spacing w:after="0" w:line="360" w:lineRule="auto"/>
        <w:jc w:val="both"/>
        <w:rPr>
          <w:rFonts w:ascii="Times New Roman" w:hAnsi="Times New Roman"/>
          <w:bCs/>
          <w:iCs/>
          <w:sz w:val="24"/>
          <w:lang w:val="es-VE"/>
        </w:rPr>
      </w:pPr>
    </w:p>
    <w:p w:rsidR="00C308E9" w:rsidRPr="00A0518A" w:rsidRDefault="00C308E9" w:rsidP="00C308E9">
      <w:pPr>
        <w:numPr>
          <w:ilvl w:val="0"/>
          <w:numId w:val="14"/>
        </w:numPr>
        <w:spacing w:after="0" w:line="360" w:lineRule="auto"/>
        <w:jc w:val="both"/>
        <w:rPr>
          <w:rFonts w:ascii="Times New Roman" w:hAnsi="Times New Roman"/>
          <w:bCs/>
          <w:iCs/>
          <w:sz w:val="24"/>
          <w:lang w:val="es-VE"/>
        </w:rPr>
      </w:pPr>
      <w:bookmarkStart w:id="17" w:name="_Toc491697462"/>
      <w:bookmarkStart w:id="18" w:name="_Toc530085846"/>
      <w:r w:rsidRPr="00A0518A">
        <w:rPr>
          <w:rFonts w:ascii="Times New Roman" w:hAnsi="Times New Roman"/>
          <w:bCs/>
          <w:iCs/>
          <w:sz w:val="24"/>
          <w:lang w:val="es-VE"/>
        </w:rPr>
        <w:t>Preparación del bioensayo</w:t>
      </w:r>
      <w:bookmarkEnd w:id="17"/>
      <w:bookmarkEnd w:id="18"/>
    </w:p>
    <w:p w:rsidR="00C308E9" w:rsidRPr="00A0518A" w:rsidRDefault="00C308E9" w:rsidP="00C308E9">
      <w:pPr>
        <w:spacing w:after="0" w:line="360" w:lineRule="auto"/>
        <w:jc w:val="both"/>
        <w:rPr>
          <w:rFonts w:ascii="Times New Roman" w:hAnsi="Times New Roman"/>
          <w:bCs/>
          <w:iCs/>
          <w:sz w:val="24"/>
          <w:lang w:val="es-VE"/>
        </w:rPr>
      </w:pPr>
    </w:p>
    <w:p w:rsidR="00C308E9" w:rsidRDefault="00C308E9" w:rsidP="00C308E9">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Se preparan 3 réplicas para cada experimento y el control. Para cada experimento se pesan 250 g de suelo y se depositan en recipientes a los que se añaden 10 lombrices adultas con presencia de clitelo (abultamiento en el cuerpo que constituye la estructura reproductiva). Se incuban por 14 días a 24 ± 2ºC con 8 horas de luz y 16 horas de oscuridad </w:t>
      </w:r>
      <w:r w:rsidRPr="00E168E6">
        <w:rPr>
          <w:rFonts w:ascii="Times New Roman" w:hAnsi="Times New Roman"/>
          <w:b/>
          <w:bCs/>
          <w:iCs/>
          <w:sz w:val="24"/>
          <w:lang w:val="es-VE"/>
        </w:rPr>
        <w:t>(Acosta et al., 2014)</w:t>
      </w:r>
      <w:r w:rsidRPr="00A0518A">
        <w:rPr>
          <w:rFonts w:ascii="Times New Roman" w:hAnsi="Times New Roman"/>
          <w:bCs/>
          <w:iCs/>
          <w:sz w:val="24"/>
          <w:lang w:val="es-VE"/>
        </w:rPr>
        <w:t xml:space="preserve">. </w:t>
      </w:r>
    </w:p>
    <w:p w:rsidR="00A0518A" w:rsidRPr="00A0518A" w:rsidRDefault="00A0518A" w:rsidP="00C308E9">
      <w:pPr>
        <w:spacing w:after="0" w:line="360" w:lineRule="auto"/>
        <w:jc w:val="both"/>
        <w:rPr>
          <w:rFonts w:ascii="Times New Roman" w:hAnsi="Times New Roman"/>
          <w:bCs/>
          <w:iCs/>
          <w:sz w:val="24"/>
          <w:lang w:val="es-VE"/>
        </w:rPr>
      </w:pPr>
    </w:p>
    <w:p w:rsidR="00C308E9" w:rsidRPr="00A0518A" w:rsidRDefault="00C308E9" w:rsidP="00C308E9">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Las lombrices durante el experimento no se alimentan y se aseguran condiciones de humedad del suelo en un 45% aproximadamente </w:t>
      </w:r>
      <w:r w:rsidRPr="00E168E6">
        <w:rPr>
          <w:rFonts w:ascii="Times New Roman" w:hAnsi="Times New Roman"/>
          <w:b/>
          <w:bCs/>
          <w:iCs/>
          <w:sz w:val="24"/>
          <w:lang w:val="es-VE"/>
        </w:rPr>
        <w:t>(Acosta et al., 2014)</w:t>
      </w:r>
      <w:r w:rsidRPr="00E168E6">
        <w:rPr>
          <w:rFonts w:ascii="Times New Roman" w:hAnsi="Times New Roman"/>
          <w:bCs/>
          <w:iCs/>
          <w:sz w:val="24"/>
          <w:lang w:val="es-VE"/>
        </w:rPr>
        <w:t>.</w:t>
      </w:r>
    </w:p>
    <w:p w:rsidR="00E168E6" w:rsidRDefault="00E168E6" w:rsidP="00C308E9">
      <w:pPr>
        <w:spacing w:after="0" w:line="360" w:lineRule="auto"/>
        <w:jc w:val="both"/>
        <w:rPr>
          <w:rFonts w:ascii="Times New Roman" w:hAnsi="Times New Roman"/>
          <w:bCs/>
          <w:iCs/>
          <w:sz w:val="24"/>
          <w:lang w:val="es-VE"/>
        </w:rPr>
      </w:pPr>
      <w:bookmarkStart w:id="19" w:name="_Toc530085847"/>
    </w:p>
    <w:p w:rsidR="00C308E9" w:rsidRPr="00E168E6" w:rsidRDefault="00E168E6" w:rsidP="00C308E9">
      <w:pPr>
        <w:spacing w:after="0" w:line="360" w:lineRule="auto"/>
        <w:jc w:val="both"/>
        <w:rPr>
          <w:rFonts w:ascii="Times New Roman" w:hAnsi="Times New Roman"/>
          <w:b/>
          <w:bCs/>
          <w:iCs/>
          <w:sz w:val="24"/>
          <w:lang w:val="es-VE"/>
        </w:rPr>
      </w:pPr>
      <w:r>
        <w:rPr>
          <w:rFonts w:ascii="Times New Roman" w:hAnsi="Times New Roman"/>
          <w:b/>
          <w:bCs/>
          <w:iCs/>
          <w:sz w:val="24"/>
          <w:lang w:val="es-VE"/>
        </w:rPr>
        <w:t xml:space="preserve">2.3 </w:t>
      </w:r>
      <w:r w:rsidR="00C308E9" w:rsidRPr="00E168E6">
        <w:rPr>
          <w:rFonts w:ascii="Times New Roman" w:hAnsi="Times New Roman"/>
          <w:b/>
          <w:bCs/>
          <w:iCs/>
          <w:sz w:val="24"/>
          <w:lang w:val="es-VE"/>
        </w:rPr>
        <w:t>Determinación de la CL</w:t>
      </w:r>
      <w:r w:rsidR="00C308E9" w:rsidRPr="00E168E6">
        <w:rPr>
          <w:rFonts w:ascii="Times New Roman" w:hAnsi="Times New Roman"/>
          <w:b/>
          <w:bCs/>
          <w:iCs/>
          <w:sz w:val="24"/>
          <w:vertAlign w:val="subscript"/>
          <w:lang w:val="es-VE"/>
        </w:rPr>
        <w:t>50</w:t>
      </w:r>
      <w:r w:rsidR="00C308E9" w:rsidRPr="00E168E6">
        <w:rPr>
          <w:rFonts w:ascii="Times New Roman" w:hAnsi="Times New Roman"/>
          <w:b/>
          <w:bCs/>
          <w:iCs/>
          <w:sz w:val="24"/>
          <w:lang w:val="es-VE"/>
        </w:rPr>
        <w:t xml:space="preserve"> y criterio de toxicidad</w:t>
      </w:r>
      <w:bookmarkEnd w:id="19"/>
    </w:p>
    <w:p w:rsidR="00C308E9" w:rsidRPr="00A0518A" w:rsidRDefault="00C308E9" w:rsidP="00C308E9">
      <w:pPr>
        <w:spacing w:after="0" w:line="360" w:lineRule="auto"/>
        <w:jc w:val="both"/>
        <w:rPr>
          <w:rFonts w:ascii="Times New Roman" w:hAnsi="Times New Roman"/>
          <w:sz w:val="24"/>
        </w:rPr>
      </w:pPr>
      <w:bookmarkStart w:id="20" w:name="_Toc529744756"/>
      <w:bookmarkStart w:id="21" w:name="_Toc529745023"/>
      <w:bookmarkStart w:id="22" w:name="_Toc529745180"/>
      <w:bookmarkStart w:id="23" w:name="_Toc529780568"/>
      <w:bookmarkStart w:id="24" w:name="_Toc529875683"/>
      <w:bookmarkStart w:id="25" w:name="_Toc530085848"/>
    </w:p>
    <w:p w:rsidR="00C308E9" w:rsidRPr="00A0518A" w:rsidRDefault="00C308E9" w:rsidP="00C308E9">
      <w:pPr>
        <w:spacing w:after="0" w:line="360" w:lineRule="auto"/>
        <w:jc w:val="both"/>
        <w:rPr>
          <w:rFonts w:ascii="Times New Roman" w:hAnsi="Times New Roman"/>
          <w:sz w:val="24"/>
        </w:rPr>
      </w:pPr>
      <w:r w:rsidRPr="00A0518A">
        <w:rPr>
          <w:rFonts w:ascii="Times New Roman" w:hAnsi="Times New Roman"/>
          <w:sz w:val="24"/>
        </w:rPr>
        <w:t>Para determinar el nivel de toxicidad  en ambos bioensayos se utiliza un gráfico de dosis-efecto, a partir de los porcentajes de mortalidad y las concentraciones de la sustancia de prueba. De la ecuación de la recta para cada curva obtenida, se calcula la concentración que causa una mortalidad (no germinación para el caso de las semillas y mortalidad de las lombrices) del 50% de la población (CL</w:t>
      </w:r>
      <w:r w:rsidRPr="00A0518A">
        <w:rPr>
          <w:rFonts w:ascii="Times New Roman" w:hAnsi="Times New Roman"/>
          <w:sz w:val="24"/>
          <w:vertAlign w:val="subscript"/>
        </w:rPr>
        <w:t>50</w:t>
      </w:r>
      <w:r w:rsidRPr="00A0518A">
        <w:rPr>
          <w:rFonts w:ascii="Times New Roman" w:hAnsi="Times New Roman"/>
          <w:sz w:val="24"/>
        </w:rPr>
        <w:t>) en el tiempo del ensayo. Se considera una sustancia tóxica cuando este valor de la CL</w:t>
      </w:r>
      <w:r w:rsidRPr="00A0518A">
        <w:rPr>
          <w:rFonts w:ascii="Times New Roman" w:hAnsi="Times New Roman"/>
          <w:sz w:val="24"/>
          <w:vertAlign w:val="subscript"/>
        </w:rPr>
        <w:t>50</w:t>
      </w:r>
      <w:r w:rsidRPr="00A0518A">
        <w:rPr>
          <w:rFonts w:ascii="Times New Roman" w:hAnsi="Times New Roman"/>
          <w:sz w:val="24"/>
        </w:rPr>
        <w:t xml:space="preserve"> esté por debajo del 50% de concentración de la sustancia de prueba. </w:t>
      </w:r>
    </w:p>
    <w:bookmarkEnd w:id="20"/>
    <w:bookmarkEnd w:id="21"/>
    <w:bookmarkEnd w:id="22"/>
    <w:bookmarkEnd w:id="23"/>
    <w:bookmarkEnd w:id="24"/>
    <w:bookmarkEnd w:id="25"/>
    <w:p w:rsidR="00BB5387" w:rsidRPr="00BB5387" w:rsidRDefault="00BB5387" w:rsidP="00C308E9">
      <w:pPr>
        <w:spacing w:after="0" w:line="360" w:lineRule="auto"/>
        <w:jc w:val="both"/>
        <w:rPr>
          <w:rFonts w:ascii="Times New Roman" w:hAnsi="Times New Roman"/>
          <w:b/>
        </w:rPr>
      </w:pPr>
    </w:p>
    <w:p w:rsidR="00DB1A97" w:rsidRPr="00730BD1" w:rsidRDefault="00DB1A97" w:rsidP="001B5C3B">
      <w:pPr>
        <w:numPr>
          <w:ilvl w:val="0"/>
          <w:numId w:val="7"/>
        </w:numPr>
        <w:spacing w:after="120" w:line="360" w:lineRule="auto"/>
        <w:ind w:left="284" w:hanging="284"/>
        <w:rPr>
          <w:rFonts w:ascii="Times New Roman" w:hAnsi="Times New Roman"/>
          <w:sz w:val="24"/>
          <w:szCs w:val="24"/>
          <w:lang w:val="es-ES_tradnl"/>
        </w:rPr>
      </w:pPr>
      <w:r>
        <w:rPr>
          <w:rFonts w:ascii="Times New Roman" w:hAnsi="Times New Roman"/>
          <w:b/>
          <w:sz w:val="24"/>
          <w:szCs w:val="24"/>
          <w:lang w:val="es-ES_tradnl"/>
        </w:rPr>
        <w:t xml:space="preserve">RESULTADOS Y DISCUSIÓN </w:t>
      </w:r>
    </w:p>
    <w:p w:rsidR="00A0518A" w:rsidRPr="00E168E6" w:rsidRDefault="00E168E6" w:rsidP="00A0518A">
      <w:pPr>
        <w:spacing w:after="0" w:line="360" w:lineRule="auto"/>
        <w:jc w:val="both"/>
        <w:rPr>
          <w:rFonts w:ascii="Times New Roman" w:hAnsi="Times New Roman"/>
          <w:b/>
          <w:bCs/>
          <w:iCs/>
          <w:sz w:val="24"/>
          <w:lang w:val="es-VE"/>
        </w:rPr>
      </w:pPr>
      <w:r w:rsidRPr="00E168E6">
        <w:rPr>
          <w:rFonts w:ascii="Times New Roman" w:hAnsi="Times New Roman"/>
          <w:b/>
          <w:bCs/>
          <w:iCs/>
          <w:sz w:val="24"/>
          <w:lang w:val="es-VE"/>
        </w:rPr>
        <w:t xml:space="preserve">3.1 </w:t>
      </w:r>
      <w:r w:rsidR="00A0518A" w:rsidRPr="00E168E6">
        <w:rPr>
          <w:rFonts w:ascii="Times New Roman" w:hAnsi="Times New Roman"/>
          <w:b/>
          <w:bCs/>
          <w:iCs/>
          <w:sz w:val="24"/>
          <w:lang w:val="es-VE"/>
        </w:rPr>
        <w:t>Resultados de los bioensayos con semillas de lechuga en papel de filtro</w:t>
      </w:r>
    </w:p>
    <w:p w:rsidR="00E168E6" w:rsidRDefault="00E168E6"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Los resultados obtenidos del % de mortalidad (no germinación), para los bioensayos con semillas en papel de filtro se reflejan desde la figura </w:t>
      </w:r>
      <w:r w:rsidR="00612806">
        <w:rPr>
          <w:rFonts w:ascii="Times New Roman" w:hAnsi="Times New Roman"/>
          <w:bCs/>
          <w:iCs/>
          <w:sz w:val="24"/>
          <w:lang w:val="es-VE"/>
        </w:rPr>
        <w:t>3.1</w:t>
      </w:r>
      <w:r w:rsidRPr="00A0518A">
        <w:rPr>
          <w:rFonts w:ascii="Times New Roman" w:hAnsi="Times New Roman"/>
          <w:bCs/>
          <w:iCs/>
          <w:sz w:val="24"/>
          <w:lang w:val="es-VE"/>
        </w:rPr>
        <w:t xml:space="preserve"> hasta la </w:t>
      </w:r>
      <w:r w:rsidR="00612806">
        <w:rPr>
          <w:rFonts w:ascii="Times New Roman" w:hAnsi="Times New Roman"/>
          <w:bCs/>
          <w:iCs/>
          <w:sz w:val="24"/>
          <w:lang w:val="es-VE"/>
        </w:rPr>
        <w:t>3.</w:t>
      </w:r>
      <w:r w:rsidR="00363D42">
        <w:rPr>
          <w:rFonts w:ascii="Times New Roman" w:hAnsi="Times New Roman"/>
          <w:bCs/>
          <w:iCs/>
          <w:sz w:val="24"/>
          <w:lang w:val="es-VE"/>
        </w:rPr>
        <w:t>4</w:t>
      </w:r>
      <w:r w:rsidRPr="00A0518A">
        <w:rPr>
          <w:rFonts w:ascii="Times New Roman" w:hAnsi="Times New Roman"/>
          <w:bCs/>
          <w:iCs/>
          <w:sz w:val="24"/>
          <w:lang w:val="es-VE"/>
        </w:rPr>
        <w:t xml:space="preserve">. En los controles hubo una germinación del 100% del bioindicador, por lo que se consideran válidos todos los bioensayos </w:t>
      </w:r>
      <w:r w:rsidRPr="00E168E6">
        <w:rPr>
          <w:rFonts w:ascii="Times New Roman" w:hAnsi="Times New Roman"/>
          <w:b/>
          <w:bCs/>
          <w:iCs/>
          <w:sz w:val="24"/>
          <w:lang w:val="es-VE"/>
        </w:rPr>
        <w:t xml:space="preserve">(Acosta </w:t>
      </w:r>
      <w:r w:rsidRPr="00E168E6">
        <w:rPr>
          <w:rFonts w:ascii="Times New Roman" w:hAnsi="Times New Roman"/>
          <w:b/>
          <w:bCs/>
          <w:i/>
          <w:iCs/>
          <w:sz w:val="24"/>
          <w:lang w:val="es-VE"/>
        </w:rPr>
        <w:t>et al.,</w:t>
      </w:r>
      <w:r w:rsidRPr="00E168E6">
        <w:rPr>
          <w:rFonts w:ascii="Times New Roman" w:hAnsi="Times New Roman"/>
          <w:b/>
          <w:bCs/>
          <w:iCs/>
          <w:sz w:val="24"/>
          <w:lang w:val="es-VE"/>
        </w:rPr>
        <w:t xml:space="preserve"> 2015)</w:t>
      </w:r>
      <w:r w:rsidRPr="00A0518A">
        <w:rPr>
          <w:rFonts w:ascii="Times New Roman" w:hAnsi="Times New Roman"/>
          <w:bCs/>
          <w:iCs/>
          <w:sz w:val="24"/>
          <w:lang w:val="es-VE"/>
        </w:rPr>
        <w:t xml:space="preserve">. </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La figura </w:t>
      </w:r>
      <w:r w:rsidR="00612806">
        <w:rPr>
          <w:rFonts w:ascii="Times New Roman" w:hAnsi="Times New Roman"/>
          <w:bCs/>
          <w:iCs/>
          <w:sz w:val="24"/>
          <w:lang w:val="es-VE"/>
        </w:rPr>
        <w:t>3.1</w:t>
      </w:r>
      <w:r w:rsidRPr="00A0518A">
        <w:rPr>
          <w:rFonts w:ascii="Times New Roman" w:hAnsi="Times New Roman"/>
          <w:bCs/>
          <w:iCs/>
          <w:sz w:val="24"/>
          <w:lang w:val="es-VE"/>
        </w:rPr>
        <w:t xml:space="preserve"> nos muestra el comportamiento del % de mortalidad del biondicador para los suelos tratados por el proceso de biorremediación mejorada No.1 y 2, de los bioensayos 1 y 2 respectivamente. Se puede constatar que al 100% de concentración evaluada, existe una mortalidad del 42% y 44% respectivamente. Esto indica la baja toxicidad que aportan estos suelos contaminados tratados, los cuales no alcanzan una concentración mayor al 50% de mortalidad en todo el experimento. El arrastre o lixiviación de contaminantes de estos suelos tratados no son tóxicos para los ecosistemas.</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center"/>
        <w:rPr>
          <w:rFonts w:ascii="Times New Roman" w:hAnsi="Times New Roman"/>
          <w:bCs/>
          <w:iCs/>
          <w:sz w:val="24"/>
          <w:lang w:val="es-VE"/>
        </w:rPr>
      </w:pPr>
      <w:r w:rsidRPr="00A0518A">
        <w:rPr>
          <w:rFonts w:eastAsia="MS Mincho"/>
          <w:noProof/>
          <w:lang w:eastAsia="es-ES"/>
        </w:rPr>
        <w:lastRenderedPageBreak/>
        <w:drawing>
          <wp:inline distT="0" distB="0" distL="0" distR="0">
            <wp:extent cx="5238750" cy="2981325"/>
            <wp:effectExtent l="0" t="0" r="0" b="9525"/>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518A" w:rsidRPr="00A0518A" w:rsidRDefault="00A0518A"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 xml:space="preserve">Figura </w:t>
      </w:r>
      <w:r w:rsidR="00612806" w:rsidRPr="00363D42">
        <w:rPr>
          <w:rFonts w:ascii="Times New Roman" w:hAnsi="Times New Roman"/>
          <w:b/>
          <w:bCs/>
          <w:iCs/>
          <w:sz w:val="24"/>
          <w:lang w:val="es-VE"/>
        </w:rPr>
        <w:t>3.1</w:t>
      </w:r>
      <w:r w:rsidRPr="00A0518A">
        <w:rPr>
          <w:rFonts w:ascii="Times New Roman" w:hAnsi="Times New Roman"/>
          <w:bCs/>
          <w:iCs/>
          <w:sz w:val="24"/>
          <w:lang w:val="es-VE"/>
        </w:rPr>
        <w:t xml:space="preserve"> Curva relación dosis-res</w:t>
      </w:r>
      <w:r>
        <w:rPr>
          <w:rFonts w:ascii="Times New Roman" w:hAnsi="Times New Roman"/>
          <w:bCs/>
          <w:iCs/>
          <w:sz w:val="24"/>
          <w:lang w:val="es-VE"/>
        </w:rPr>
        <w:t>puesta respecto a la mortalidad</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Los resultados correspondientes al bioensayo 3 y 4 (figura </w:t>
      </w:r>
      <w:r w:rsidR="00612806">
        <w:rPr>
          <w:rFonts w:ascii="Times New Roman" w:hAnsi="Times New Roman"/>
          <w:bCs/>
          <w:iCs/>
          <w:sz w:val="24"/>
          <w:lang w:val="es-VE"/>
        </w:rPr>
        <w:t>3.2</w:t>
      </w:r>
      <w:r w:rsidRPr="00A0518A">
        <w:rPr>
          <w:rFonts w:ascii="Times New Roman" w:hAnsi="Times New Roman"/>
          <w:bCs/>
          <w:iCs/>
          <w:sz w:val="24"/>
          <w:lang w:val="es-VE"/>
        </w:rPr>
        <w:t>), indican una baja toxicidad por parte de los cortes contaminados tratados por el proceso EQB No. 1 y 2 , al presentarse solo un 48% y 43% de mortalidad del bioindicador al 100 % de concentración evaluada, respectivamente. El aporte de contaminantes de estos suelos tratados, no es tóxico para los ecosistemas.</w:t>
      </w:r>
    </w:p>
    <w:p w:rsidR="00A0518A" w:rsidRPr="00A0518A" w:rsidRDefault="00E25D18" w:rsidP="00A0518A">
      <w:pPr>
        <w:spacing w:after="0" w:line="360" w:lineRule="auto"/>
        <w:jc w:val="center"/>
        <w:rPr>
          <w:rFonts w:ascii="Times New Roman" w:hAnsi="Times New Roman"/>
          <w:bCs/>
          <w:iCs/>
          <w:sz w:val="24"/>
          <w:lang w:val="es-VE"/>
        </w:rPr>
      </w:pPr>
      <w:r>
        <w:rPr>
          <w:noProof/>
          <w:lang w:eastAsia="es-ES"/>
        </w:rPr>
        <w:drawing>
          <wp:inline distT="0" distB="0" distL="0" distR="0" wp14:anchorId="03CD5497" wp14:editId="7732D196">
            <wp:extent cx="5219700" cy="273367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518A" w:rsidRPr="00A0518A" w:rsidRDefault="00A0518A"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 xml:space="preserve">Figura </w:t>
      </w:r>
      <w:r w:rsidR="00612806" w:rsidRPr="00363D42">
        <w:rPr>
          <w:rFonts w:ascii="Times New Roman" w:hAnsi="Times New Roman"/>
          <w:b/>
          <w:bCs/>
          <w:iCs/>
          <w:sz w:val="24"/>
          <w:lang w:val="es-VE"/>
        </w:rPr>
        <w:t>3.2</w:t>
      </w:r>
      <w:r w:rsidRPr="00A0518A">
        <w:rPr>
          <w:rFonts w:ascii="Times New Roman" w:hAnsi="Times New Roman"/>
          <w:bCs/>
          <w:iCs/>
          <w:sz w:val="24"/>
          <w:lang w:val="es-VE"/>
        </w:rPr>
        <w:t xml:space="preserve"> Curva relación dosis-res</w:t>
      </w:r>
      <w:r>
        <w:rPr>
          <w:rFonts w:ascii="Times New Roman" w:hAnsi="Times New Roman"/>
          <w:bCs/>
          <w:iCs/>
          <w:sz w:val="24"/>
          <w:lang w:val="es-VE"/>
        </w:rPr>
        <w:t>puesta respecto a la mortalidad</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El bioensayo 5 y 6 (figura </w:t>
      </w:r>
      <w:r w:rsidR="00612806">
        <w:rPr>
          <w:rFonts w:ascii="Times New Roman" w:hAnsi="Times New Roman"/>
          <w:bCs/>
          <w:iCs/>
          <w:sz w:val="24"/>
          <w:lang w:val="es-VE"/>
        </w:rPr>
        <w:t>3.3</w:t>
      </w:r>
      <w:r w:rsidRPr="00A0518A">
        <w:rPr>
          <w:rFonts w:ascii="Times New Roman" w:hAnsi="Times New Roman"/>
          <w:bCs/>
          <w:iCs/>
          <w:sz w:val="24"/>
          <w:lang w:val="es-VE"/>
        </w:rPr>
        <w:t xml:space="preserve">), indican baja toxicidad de los cortes contaminados tratados por el proceso de EQB No.3 y 4, al solo presentarse un 50% y 47% de mortalidad del </w:t>
      </w:r>
      <w:r w:rsidRPr="00A0518A">
        <w:rPr>
          <w:rFonts w:ascii="Times New Roman" w:hAnsi="Times New Roman"/>
          <w:bCs/>
          <w:iCs/>
          <w:sz w:val="24"/>
          <w:lang w:val="es-VE"/>
        </w:rPr>
        <w:lastRenderedPageBreak/>
        <w:t>bioindicador al 100 % de concentración evaluada, respectivamente. El aporte de contaminantes no se identifica como tóxicos a los ecosistemas.</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E25D18" w:rsidP="00A0518A">
      <w:pPr>
        <w:spacing w:after="0" w:line="360" w:lineRule="auto"/>
        <w:jc w:val="center"/>
        <w:rPr>
          <w:rFonts w:ascii="Times New Roman" w:hAnsi="Times New Roman"/>
          <w:bCs/>
          <w:iCs/>
          <w:sz w:val="24"/>
          <w:lang w:val="es-VE"/>
        </w:rPr>
      </w:pPr>
      <w:r>
        <w:rPr>
          <w:noProof/>
          <w:lang w:eastAsia="es-ES"/>
        </w:rPr>
        <w:drawing>
          <wp:inline distT="0" distB="0" distL="0" distR="0" wp14:anchorId="56067F95" wp14:editId="2FF81211">
            <wp:extent cx="5391150" cy="2752725"/>
            <wp:effectExtent l="0" t="0" r="0" b="952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518A" w:rsidRPr="00A0518A" w:rsidRDefault="00A0518A"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 xml:space="preserve">Figura </w:t>
      </w:r>
      <w:r w:rsidR="00612806" w:rsidRPr="00363D42">
        <w:rPr>
          <w:rFonts w:ascii="Times New Roman" w:hAnsi="Times New Roman"/>
          <w:b/>
          <w:bCs/>
          <w:iCs/>
          <w:sz w:val="24"/>
          <w:lang w:val="es-VE"/>
        </w:rPr>
        <w:t>3.3</w:t>
      </w:r>
      <w:r w:rsidRPr="00A0518A">
        <w:rPr>
          <w:rFonts w:ascii="Times New Roman" w:hAnsi="Times New Roman"/>
          <w:bCs/>
          <w:iCs/>
          <w:sz w:val="24"/>
          <w:lang w:val="es-VE"/>
        </w:rPr>
        <w:t xml:space="preserve"> Curva relación dosis-respuesta respecto a la mortalidad.</w:t>
      </w:r>
    </w:p>
    <w:p w:rsid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En la figura </w:t>
      </w:r>
      <w:r w:rsidR="00612806">
        <w:rPr>
          <w:rFonts w:ascii="Times New Roman" w:hAnsi="Times New Roman"/>
          <w:bCs/>
          <w:iCs/>
          <w:sz w:val="24"/>
          <w:lang w:val="es-VE"/>
        </w:rPr>
        <w:t>3.4</w:t>
      </w:r>
      <w:r w:rsidRPr="00A0518A">
        <w:rPr>
          <w:rFonts w:ascii="Times New Roman" w:hAnsi="Times New Roman"/>
          <w:bCs/>
          <w:iCs/>
          <w:sz w:val="24"/>
          <w:lang w:val="es-VE"/>
        </w:rPr>
        <w:t xml:space="preserve"> se observan los resultados correspondientes a los bioensayos 7 y 8, de los suelos tratados por el proceso de biorremediación por bioaumentación No.1 y 2, respectivamente. En ambos ensayos existe una mortalidad mayor al 50% durante la experimentación. Al calcular la CL50,  se obtiene que: </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center"/>
        <w:rPr>
          <w:rFonts w:ascii="Times New Roman" w:hAnsi="Times New Roman"/>
          <w:bCs/>
          <w:iCs/>
          <w:sz w:val="24"/>
          <w:lang w:val="es-VE"/>
        </w:rPr>
      </w:pPr>
      <w:r w:rsidRPr="00A0518A">
        <w:rPr>
          <w:rFonts w:eastAsia="MS Mincho"/>
          <w:noProof/>
          <w:lang w:eastAsia="es-ES"/>
        </w:rPr>
        <w:drawing>
          <wp:inline distT="0" distB="0" distL="0" distR="0">
            <wp:extent cx="5581650" cy="3267075"/>
            <wp:effectExtent l="0" t="0" r="0" b="9525"/>
            <wp:docPr id="2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0518A" w:rsidRPr="00A0518A" w:rsidRDefault="00A0518A"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 xml:space="preserve">Figura </w:t>
      </w:r>
      <w:r w:rsidR="00612806" w:rsidRPr="00363D42">
        <w:rPr>
          <w:rFonts w:ascii="Times New Roman" w:hAnsi="Times New Roman"/>
          <w:b/>
          <w:bCs/>
          <w:iCs/>
          <w:sz w:val="24"/>
          <w:lang w:val="es-VE"/>
        </w:rPr>
        <w:t>3.4</w:t>
      </w:r>
      <w:r w:rsidRPr="00A0518A">
        <w:rPr>
          <w:rFonts w:ascii="Times New Roman" w:hAnsi="Times New Roman"/>
          <w:bCs/>
          <w:iCs/>
          <w:sz w:val="24"/>
          <w:lang w:val="es-VE"/>
        </w:rPr>
        <w:t xml:space="preserve"> Curva relación dosis-resp</w:t>
      </w:r>
      <w:r w:rsidR="003351E2">
        <w:rPr>
          <w:rFonts w:ascii="Times New Roman" w:hAnsi="Times New Roman"/>
          <w:bCs/>
          <w:iCs/>
          <w:sz w:val="24"/>
          <w:lang w:val="es-VE"/>
        </w:rPr>
        <w:t>uesta respecto a la mortalidad</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Para el bioensayo 7 a una concentración de 45% , existe una no germinación de más de la mitad de las semillas sembradas, lo que indica el grado de toxicidad que aporta este suelo contaminado tratado por el proceso de biorremediación por bioaumentación No.1, el cual resulta tóxico a los ecosistemas.</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Para el bioensayo 8, a 23% de concentración, existe una no germinación de más de la mitad de las semillas sembradas, siendo superior el grado de toxicidad que aporta este suelo contaminado tratado por el proceso de biorremediación por bioaumentación No.2, en comparación con el bioensayo 7; ambos tóxicos al ecosistema.</w:t>
      </w:r>
    </w:p>
    <w:p w:rsidR="00E168E6" w:rsidRDefault="00E168E6" w:rsidP="00A0518A">
      <w:pPr>
        <w:spacing w:after="0" w:line="360" w:lineRule="auto"/>
        <w:jc w:val="both"/>
        <w:rPr>
          <w:rFonts w:ascii="Times New Roman" w:hAnsi="Times New Roman"/>
          <w:bCs/>
          <w:iCs/>
          <w:sz w:val="24"/>
          <w:lang w:val="es-VE"/>
        </w:rPr>
      </w:pPr>
    </w:p>
    <w:p w:rsidR="00A0518A" w:rsidRPr="00E168E6" w:rsidRDefault="00E168E6" w:rsidP="00A0518A">
      <w:pPr>
        <w:spacing w:after="0" w:line="360" w:lineRule="auto"/>
        <w:jc w:val="both"/>
        <w:rPr>
          <w:rFonts w:ascii="Times New Roman" w:hAnsi="Times New Roman"/>
          <w:b/>
          <w:bCs/>
          <w:iCs/>
          <w:sz w:val="24"/>
          <w:lang w:val="es-VE"/>
        </w:rPr>
      </w:pPr>
      <w:r>
        <w:rPr>
          <w:rFonts w:ascii="Times New Roman" w:hAnsi="Times New Roman"/>
          <w:b/>
          <w:bCs/>
          <w:iCs/>
          <w:sz w:val="24"/>
          <w:lang w:val="es-VE"/>
        </w:rPr>
        <w:t>3</w:t>
      </w:r>
      <w:r w:rsidR="00A0518A" w:rsidRPr="00E168E6">
        <w:rPr>
          <w:rFonts w:ascii="Times New Roman" w:hAnsi="Times New Roman"/>
          <w:b/>
          <w:bCs/>
          <w:iCs/>
          <w:sz w:val="24"/>
          <w:lang w:val="es-VE"/>
        </w:rPr>
        <w:t>. 2 Resultados de los bioensayos con lombriz de tierra Ensenia Andrei</w:t>
      </w:r>
    </w:p>
    <w:p w:rsidR="00E168E6" w:rsidRDefault="00E168E6"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Se logró la supervivencia y adaptación de las lombrices adultas colectadas. Fue satisfactoria la prueba de caja inicial, al comprobar que todas las lombrices se alimentaron y se mantuvieron con vitalidad. De ahí que el estiércol vacuno resultó ser un alimento adecuado durante la realización del bioensayo. </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De la figura </w:t>
      </w:r>
      <w:r w:rsidR="00363D42">
        <w:rPr>
          <w:rFonts w:ascii="Times New Roman" w:hAnsi="Times New Roman"/>
          <w:bCs/>
          <w:iCs/>
          <w:sz w:val="24"/>
          <w:lang w:val="es-VE"/>
        </w:rPr>
        <w:t>3.5</w:t>
      </w:r>
      <w:r w:rsidRPr="00A0518A">
        <w:rPr>
          <w:rFonts w:ascii="Times New Roman" w:hAnsi="Times New Roman"/>
          <w:bCs/>
          <w:iCs/>
          <w:sz w:val="24"/>
          <w:lang w:val="es-VE"/>
        </w:rPr>
        <w:t xml:space="preserve"> a la </w:t>
      </w:r>
      <w:r w:rsidR="00363D42">
        <w:rPr>
          <w:rFonts w:ascii="Times New Roman" w:hAnsi="Times New Roman"/>
          <w:bCs/>
          <w:iCs/>
          <w:sz w:val="24"/>
          <w:lang w:val="es-VE"/>
        </w:rPr>
        <w:t>3.8</w:t>
      </w:r>
      <w:r w:rsidRPr="00A0518A">
        <w:rPr>
          <w:rFonts w:ascii="Times New Roman" w:hAnsi="Times New Roman"/>
          <w:bCs/>
          <w:iCs/>
          <w:sz w:val="24"/>
          <w:lang w:val="es-VE"/>
        </w:rPr>
        <w:t xml:space="preserve"> se reflejan los resultados obtenidos del % de mortalidad para los bioensayos con la lombriz de tierra Ensenia Andrei, de los suelos los tratados (tabla </w:t>
      </w:r>
      <w:r w:rsidR="001E72CF">
        <w:rPr>
          <w:rFonts w:ascii="Times New Roman" w:hAnsi="Times New Roman"/>
          <w:bCs/>
          <w:iCs/>
          <w:sz w:val="24"/>
          <w:lang w:val="es-VE"/>
        </w:rPr>
        <w:t>2.1</w:t>
      </w:r>
      <w:r w:rsidRPr="00A0518A">
        <w:rPr>
          <w:rFonts w:ascii="Times New Roman" w:hAnsi="Times New Roman"/>
          <w:bCs/>
          <w:iCs/>
          <w:sz w:val="24"/>
          <w:lang w:val="es-VE"/>
        </w:rPr>
        <w:t xml:space="preserve">), durante 14 días. En los controles no hubo mortalidad por lo que se considera </w:t>
      </w:r>
      <w:r w:rsidR="00E168E6">
        <w:rPr>
          <w:rFonts w:ascii="Times New Roman" w:hAnsi="Times New Roman"/>
          <w:bCs/>
          <w:iCs/>
          <w:sz w:val="24"/>
          <w:lang w:val="es-VE"/>
        </w:rPr>
        <w:t>válido el experimento</w:t>
      </w:r>
      <w:r w:rsidRPr="00A0518A">
        <w:rPr>
          <w:rFonts w:ascii="Times New Roman" w:hAnsi="Times New Roman"/>
          <w:bCs/>
          <w:iCs/>
          <w:sz w:val="24"/>
          <w:lang w:val="es-VE"/>
        </w:rPr>
        <w:t xml:space="preserve"> </w:t>
      </w:r>
      <w:r w:rsidRPr="00E168E6">
        <w:rPr>
          <w:rFonts w:ascii="Times New Roman" w:hAnsi="Times New Roman"/>
          <w:b/>
          <w:bCs/>
          <w:iCs/>
          <w:sz w:val="24"/>
          <w:lang w:val="es-VE"/>
        </w:rPr>
        <w:t>(Acosta et al., 2015)</w:t>
      </w:r>
      <w:r w:rsidRPr="00A0518A">
        <w:rPr>
          <w:rFonts w:ascii="Times New Roman" w:hAnsi="Times New Roman"/>
          <w:bCs/>
          <w:iCs/>
          <w:sz w:val="24"/>
          <w:lang w:val="es-VE"/>
        </w:rPr>
        <w:t>.</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En la figura </w:t>
      </w:r>
      <w:r w:rsidR="00363D42">
        <w:rPr>
          <w:rFonts w:ascii="Times New Roman" w:hAnsi="Times New Roman"/>
          <w:bCs/>
          <w:iCs/>
          <w:sz w:val="24"/>
          <w:lang w:val="es-VE"/>
        </w:rPr>
        <w:t>3.5</w:t>
      </w:r>
      <w:r w:rsidRPr="00A0518A">
        <w:rPr>
          <w:rFonts w:ascii="Times New Roman" w:hAnsi="Times New Roman"/>
          <w:bCs/>
          <w:iCs/>
          <w:sz w:val="24"/>
          <w:lang w:val="es-VE"/>
        </w:rPr>
        <w:t xml:space="preserve"> se reflejan los resultados de los bioensayos 1 y 2. Al calcular la CL50, se obtiene que, a 26% de concentración mueren más de la mitad de las lombrices expuestas. Este resultado indica el grado de toxicidad que aún representan estos suelos para la biota de los ecosistemas. </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center"/>
        <w:rPr>
          <w:rFonts w:ascii="Times New Roman" w:hAnsi="Times New Roman"/>
          <w:bCs/>
          <w:iCs/>
          <w:sz w:val="24"/>
          <w:lang w:val="es-VE"/>
        </w:rPr>
      </w:pPr>
      <w:r w:rsidRPr="00A0518A">
        <w:rPr>
          <w:rFonts w:eastAsia="MS Mincho"/>
          <w:noProof/>
          <w:lang w:eastAsia="es-ES"/>
        </w:rPr>
        <w:lastRenderedPageBreak/>
        <w:drawing>
          <wp:inline distT="0" distB="0" distL="0" distR="0">
            <wp:extent cx="5524500" cy="3219450"/>
            <wp:effectExtent l="0" t="0" r="0" b="0"/>
            <wp:docPr id="2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0518A" w:rsidRDefault="00A0518A"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 xml:space="preserve">Figura </w:t>
      </w:r>
      <w:r w:rsidR="00363D42" w:rsidRPr="00363D42">
        <w:rPr>
          <w:rFonts w:ascii="Times New Roman" w:hAnsi="Times New Roman"/>
          <w:b/>
          <w:bCs/>
          <w:iCs/>
          <w:sz w:val="24"/>
          <w:lang w:val="es-VE"/>
        </w:rPr>
        <w:t>3.5</w:t>
      </w:r>
      <w:r w:rsidRPr="00A0518A">
        <w:rPr>
          <w:rFonts w:ascii="Times New Roman" w:hAnsi="Times New Roman"/>
          <w:bCs/>
          <w:iCs/>
          <w:sz w:val="24"/>
          <w:lang w:val="es-VE"/>
        </w:rPr>
        <w:t xml:space="preserve"> Curva relación dosis-respuesta respecto a la morta</w:t>
      </w:r>
      <w:r>
        <w:rPr>
          <w:rFonts w:ascii="Times New Roman" w:hAnsi="Times New Roman"/>
          <w:bCs/>
          <w:iCs/>
          <w:sz w:val="24"/>
          <w:lang w:val="es-VE"/>
        </w:rPr>
        <w:t xml:space="preserve">lidad </w:t>
      </w:r>
    </w:p>
    <w:p w:rsidR="00E168E6" w:rsidRDefault="00E168E6"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En la figura </w:t>
      </w:r>
      <w:r w:rsidR="00363D42">
        <w:rPr>
          <w:rFonts w:ascii="Times New Roman" w:hAnsi="Times New Roman"/>
          <w:bCs/>
          <w:iCs/>
          <w:sz w:val="24"/>
          <w:lang w:val="es-VE"/>
        </w:rPr>
        <w:t>3.6</w:t>
      </w:r>
      <w:r w:rsidRPr="00A0518A">
        <w:rPr>
          <w:rFonts w:ascii="Times New Roman" w:hAnsi="Times New Roman"/>
          <w:bCs/>
          <w:iCs/>
          <w:sz w:val="24"/>
          <w:lang w:val="es-VE"/>
        </w:rPr>
        <w:t xml:space="preserve"> se reflejan los resultados de los bioensayos 3 y 4. </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center"/>
        <w:rPr>
          <w:rFonts w:ascii="Times New Roman" w:hAnsi="Times New Roman"/>
          <w:bCs/>
          <w:iCs/>
          <w:sz w:val="24"/>
          <w:lang w:val="es-VE"/>
        </w:rPr>
      </w:pPr>
      <w:r w:rsidRPr="00A0518A">
        <w:rPr>
          <w:rFonts w:eastAsia="MS Mincho"/>
          <w:noProof/>
          <w:lang w:eastAsia="es-ES"/>
        </w:rPr>
        <w:drawing>
          <wp:inline distT="0" distB="0" distL="0" distR="0">
            <wp:extent cx="5543550" cy="3457575"/>
            <wp:effectExtent l="0" t="0" r="0" b="9525"/>
            <wp:docPr id="2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0518A" w:rsidRPr="00A0518A" w:rsidRDefault="00A0518A"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 xml:space="preserve">Figura </w:t>
      </w:r>
      <w:r w:rsidR="00363D42" w:rsidRPr="00363D42">
        <w:rPr>
          <w:rFonts w:ascii="Times New Roman" w:hAnsi="Times New Roman"/>
          <w:b/>
          <w:bCs/>
          <w:iCs/>
          <w:sz w:val="24"/>
          <w:lang w:val="es-VE"/>
        </w:rPr>
        <w:t>3.6</w:t>
      </w:r>
      <w:r w:rsidRPr="00A0518A">
        <w:rPr>
          <w:rFonts w:ascii="Times New Roman" w:hAnsi="Times New Roman"/>
          <w:bCs/>
          <w:iCs/>
          <w:sz w:val="24"/>
          <w:lang w:val="es-VE"/>
        </w:rPr>
        <w:t xml:space="preserve"> Curva relación dosis-respuesta respecto a la mortalidad. </w:t>
      </w:r>
    </w:p>
    <w:p w:rsidR="00E168E6" w:rsidRDefault="00E168E6"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Para el bioensayo 3 a una concentración del 100% se obtiene un 67% de mortalidad del bioindicador. Al calcular la CL50, se obtiene, que a 55% de concentración mueren más de la mitad de estos organismos. Esto indica un bajo grado de toxicidad que aporta este </w:t>
      </w:r>
      <w:r w:rsidRPr="00A0518A">
        <w:rPr>
          <w:rFonts w:ascii="Times New Roman" w:hAnsi="Times New Roman"/>
          <w:bCs/>
          <w:iCs/>
          <w:sz w:val="24"/>
          <w:lang w:val="es-VE"/>
        </w:rPr>
        <w:lastRenderedPageBreak/>
        <w:t>suelo contaminado tratado por el proceso de EQB No.1, el cual no resulta tóxico a la biota de los ecosistemas.</w:t>
      </w:r>
    </w:p>
    <w:p w:rsidR="00A0518A" w:rsidRPr="00A0518A" w:rsidRDefault="00A0518A" w:rsidP="00A0518A">
      <w:pPr>
        <w:spacing w:after="0" w:line="360" w:lineRule="auto"/>
        <w:jc w:val="both"/>
        <w:rPr>
          <w:rFonts w:ascii="Times New Roman" w:hAnsi="Times New Roman"/>
          <w:bCs/>
          <w:iCs/>
          <w:sz w:val="24"/>
          <w:lang w:val="es-VE"/>
        </w:rPr>
      </w:pPr>
    </w:p>
    <w:p w:rsid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Para el bioensayo 4 según la CL50 calculada, a 43% de concentración se muere más de la mitad de los organismos expuestos. Se alcanza un 100% de mortalidad de los organismos expuestos a 50% de la concentración evaluada. Este suelo contaminado tratado por el proceso de EQB No. 2, aún aporta contaminación y resulta tóxico a la biota de los ecosistemas. </w:t>
      </w:r>
    </w:p>
    <w:p w:rsidR="00E168E6" w:rsidRPr="00A0518A" w:rsidRDefault="00E168E6" w:rsidP="00A0518A">
      <w:pPr>
        <w:spacing w:after="0" w:line="360" w:lineRule="auto"/>
        <w:jc w:val="both"/>
        <w:rPr>
          <w:rFonts w:ascii="Times New Roman" w:hAnsi="Times New Roman"/>
          <w:bCs/>
          <w:iCs/>
          <w:sz w:val="24"/>
          <w:lang w:val="es-VE"/>
        </w:rPr>
      </w:pPr>
    </w:p>
    <w:p w:rsidR="00F164D1" w:rsidRDefault="00A0518A" w:rsidP="00E168E6">
      <w:pPr>
        <w:spacing w:after="0" w:line="360" w:lineRule="auto"/>
        <w:rPr>
          <w:rFonts w:ascii="Times New Roman" w:hAnsi="Times New Roman"/>
          <w:bCs/>
          <w:iCs/>
          <w:sz w:val="24"/>
          <w:lang w:val="es-VE"/>
        </w:rPr>
      </w:pPr>
      <w:r w:rsidRPr="00A0518A">
        <w:rPr>
          <w:rFonts w:ascii="Times New Roman" w:hAnsi="Times New Roman"/>
          <w:bCs/>
          <w:iCs/>
          <w:sz w:val="24"/>
          <w:lang w:val="es-VE"/>
        </w:rPr>
        <w:t xml:space="preserve">En la figura </w:t>
      </w:r>
      <w:r w:rsidR="00363D42">
        <w:rPr>
          <w:rFonts w:ascii="Times New Roman" w:hAnsi="Times New Roman"/>
          <w:bCs/>
          <w:iCs/>
          <w:sz w:val="24"/>
          <w:lang w:val="es-VE"/>
        </w:rPr>
        <w:t>3.7</w:t>
      </w:r>
      <w:r w:rsidRPr="00A0518A">
        <w:rPr>
          <w:rFonts w:ascii="Times New Roman" w:hAnsi="Times New Roman"/>
          <w:bCs/>
          <w:iCs/>
          <w:sz w:val="24"/>
          <w:lang w:val="es-VE"/>
        </w:rPr>
        <w:t xml:space="preserve"> se obtienen los resultados asociados a los bioensayos 5 y 6.</w:t>
      </w:r>
    </w:p>
    <w:p w:rsidR="00F164D1" w:rsidRPr="00A0518A" w:rsidRDefault="00F164D1" w:rsidP="00E168E6">
      <w:pPr>
        <w:spacing w:after="0" w:line="360" w:lineRule="auto"/>
        <w:rPr>
          <w:rFonts w:ascii="Times New Roman" w:hAnsi="Times New Roman"/>
          <w:bCs/>
          <w:iCs/>
          <w:sz w:val="24"/>
          <w:lang w:val="es-VE"/>
        </w:rPr>
      </w:pPr>
    </w:p>
    <w:p w:rsidR="00A0518A" w:rsidRPr="00A0518A" w:rsidRDefault="00E168E6" w:rsidP="00E168E6">
      <w:pPr>
        <w:spacing w:after="0" w:line="360" w:lineRule="auto"/>
        <w:jc w:val="center"/>
        <w:rPr>
          <w:rFonts w:ascii="Times New Roman" w:hAnsi="Times New Roman"/>
          <w:bCs/>
          <w:iCs/>
          <w:sz w:val="24"/>
          <w:lang w:val="es-VE"/>
        </w:rPr>
      </w:pPr>
      <w:r w:rsidRPr="00A0518A">
        <w:rPr>
          <w:rFonts w:eastAsia="MS Mincho"/>
          <w:noProof/>
          <w:lang w:eastAsia="es-ES"/>
        </w:rPr>
        <w:drawing>
          <wp:inline distT="0" distB="0" distL="0" distR="0" wp14:anchorId="44C2BC63" wp14:editId="7DC1FC2D">
            <wp:extent cx="5734050" cy="3600450"/>
            <wp:effectExtent l="0" t="0" r="0" b="0"/>
            <wp:docPr id="3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518A" w:rsidRDefault="00363D42" w:rsidP="00E168E6">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Figura 3.7</w:t>
      </w:r>
      <w:r w:rsidR="00A0518A" w:rsidRPr="00A0518A">
        <w:rPr>
          <w:rFonts w:ascii="Times New Roman" w:hAnsi="Times New Roman"/>
          <w:bCs/>
          <w:iCs/>
          <w:sz w:val="24"/>
          <w:lang w:val="es-VE"/>
        </w:rPr>
        <w:t xml:space="preserve"> Curva relación dosis-respuesta respecto a la mortalidad. </w:t>
      </w:r>
    </w:p>
    <w:p w:rsidR="00E168E6" w:rsidRPr="00A0518A" w:rsidRDefault="00E168E6" w:rsidP="00E168E6">
      <w:pPr>
        <w:spacing w:after="0" w:line="360" w:lineRule="auto"/>
        <w:jc w:val="center"/>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En el bioensayo 5 a 100% de concentración se obtiene un 93% de mortalidad del bioindicador. Al calcular la CL50,  se obtiene que, a 67% de concentración se muere más de la mitad de los organismos expuestos. Esto indica baja toxicidad que aporta este suelo contaminado tratado por el proceso de EQB No. 3, el cual no resulta tóxico a la  biota del ecosistema.</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El bioensayo 6 según la CL50 calculada, a 41% de concentración se muere más de la mitad de los organismos expuestos. Se alcanza un 87% de mortalidad de los organismos </w:t>
      </w:r>
      <w:r w:rsidRPr="00A0518A">
        <w:rPr>
          <w:rFonts w:ascii="Times New Roman" w:hAnsi="Times New Roman"/>
          <w:bCs/>
          <w:iCs/>
          <w:sz w:val="24"/>
          <w:lang w:val="es-VE"/>
        </w:rPr>
        <w:lastRenderedPageBreak/>
        <w:t>expuestos a tan solo el 50% de la concentración evaluada. Este suelo contaminado tratado por el proceso de EQB No. 4, aún aporta contaminantes que resultan tóxicos a la biota de los ecosistemas.</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En la figura </w:t>
      </w:r>
      <w:r w:rsidR="00363D42">
        <w:rPr>
          <w:rFonts w:ascii="Times New Roman" w:hAnsi="Times New Roman"/>
          <w:bCs/>
          <w:iCs/>
          <w:sz w:val="24"/>
          <w:lang w:val="es-VE"/>
        </w:rPr>
        <w:t>3.8</w:t>
      </w:r>
      <w:r w:rsidRPr="00A0518A">
        <w:rPr>
          <w:rFonts w:ascii="Times New Roman" w:hAnsi="Times New Roman"/>
          <w:bCs/>
          <w:iCs/>
          <w:sz w:val="24"/>
          <w:lang w:val="es-VE"/>
        </w:rPr>
        <w:t xml:space="preserve"> se obtienen los resultados asociados a los bioensayos 7 y 8.</w:t>
      </w:r>
    </w:p>
    <w:p w:rsidR="00A0518A" w:rsidRPr="00A0518A" w:rsidRDefault="00A0518A" w:rsidP="00A0518A">
      <w:pPr>
        <w:spacing w:after="0" w:line="360" w:lineRule="auto"/>
        <w:jc w:val="center"/>
        <w:rPr>
          <w:rFonts w:ascii="Times New Roman" w:hAnsi="Times New Roman"/>
          <w:bCs/>
          <w:iCs/>
          <w:sz w:val="24"/>
          <w:lang w:val="es-VE"/>
        </w:rPr>
      </w:pPr>
      <w:r w:rsidRPr="00A0518A">
        <w:rPr>
          <w:rFonts w:eastAsia="MS Mincho"/>
          <w:noProof/>
          <w:lang w:eastAsia="es-ES"/>
        </w:rPr>
        <w:drawing>
          <wp:inline distT="0" distB="0" distL="0" distR="0">
            <wp:extent cx="5743575" cy="3343275"/>
            <wp:effectExtent l="0" t="0" r="9525" b="9525"/>
            <wp:docPr id="32"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0518A" w:rsidRDefault="00A0518A" w:rsidP="00A0518A">
      <w:pPr>
        <w:spacing w:after="0" w:line="360" w:lineRule="auto"/>
        <w:jc w:val="center"/>
        <w:rPr>
          <w:rFonts w:ascii="Times New Roman" w:hAnsi="Times New Roman"/>
          <w:bCs/>
          <w:iCs/>
          <w:sz w:val="24"/>
          <w:lang w:val="es-VE"/>
        </w:rPr>
      </w:pPr>
      <w:r w:rsidRPr="00363D42">
        <w:rPr>
          <w:rFonts w:ascii="Times New Roman" w:hAnsi="Times New Roman"/>
          <w:b/>
          <w:bCs/>
          <w:iCs/>
          <w:sz w:val="24"/>
          <w:lang w:val="es-VE"/>
        </w:rPr>
        <w:t xml:space="preserve">Figura </w:t>
      </w:r>
      <w:r w:rsidR="00363D42" w:rsidRPr="00363D42">
        <w:rPr>
          <w:rFonts w:ascii="Times New Roman" w:hAnsi="Times New Roman"/>
          <w:b/>
          <w:bCs/>
          <w:iCs/>
          <w:sz w:val="24"/>
          <w:lang w:val="es-VE"/>
        </w:rPr>
        <w:t>3.8</w:t>
      </w:r>
      <w:r w:rsidRPr="00A0518A">
        <w:rPr>
          <w:rFonts w:ascii="Times New Roman" w:hAnsi="Times New Roman"/>
          <w:bCs/>
          <w:iCs/>
          <w:sz w:val="24"/>
          <w:lang w:val="es-VE"/>
        </w:rPr>
        <w:t xml:space="preserve"> Curva relación dosis-respuesta respecto a la mortalidad. </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En el bioensayo 7 a 50% de la concentración evaluada, se obtiene un 33% de mortalidad del bioindicador. Al calcular la CL50,  se obtiene que, a 55% de concentración mueran más de la mitad de los organismos expuestos. Esto indica baja toxicidad que aporta este suelo contaminado tratado por el proceso de biorremediación por bioaumentación No.1, el cual no resulta tóxico a la biota del ecosistema.</w:t>
      </w:r>
    </w:p>
    <w:p w:rsidR="00A0518A" w:rsidRPr="00A0518A" w:rsidRDefault="00A0518A" w:rsidP="00A0518A">
      <w:pPr>
        <w:spacing w:after="0" w:line="360" w:lineRule="auto"/>
        <w:jc w:val="both"/>
        <w:rPr>
          <w:rFonts w:ascii="Times New Roman" w:hAnsi="Times New Roman"/>
          <w:bCs/>
          <w:iCs/>
          <w:sz w:val="24"/>
          <w:lang w:val="es-VE"/>
        </w:rPr>
      </w:pPr>
    </w:p>
    <w:p w:rsidR="00A0518A" w:rsidRPr="00A0518A" w:rsidRDefault="00A0518A" w:rsidP="00A0518A">
      <w:pPr>
        <w:spacing w:after="0" w:line="360" w:lineRule="auto"/>
        <w:jc w:val="both"/>
        <w:rPr>
          <w:rFonts w:ascii="Times New Roman" w:hAnsi="Times New Roman"/>
          <w:bCs/>
          <w:iCs/>
          <w:sz w:val="24"/>
          <w:lang w:val="es-VE"/>
        </w:rPr>
      </w:pPr>
      <w:r w:rsidRPr="00A0518A">
        <w:rPr>
          <w:rFonts w:ascii="Times New Roman" w:hAnsi="Times New Roman"/>
          <w:bCs/>
          <w:iCs/>
          <w:sz w:val="24"/>
          <w:lang w:val="es-VE"/>
        </w:rPr>
        <w:t>El bioensayo 8 según la CL50 calculada, a 43% de concentración se mueren más de la mitad de los organismos expuestos. Se alcanza un 80% de mortalidad de los organismos expuestos a 50% de la concentración evaluada. Este suelo contaminado tratado por el proceso de biorremediación por bioaumentación No. 2, aún aporta contaminantes que resultan tóxicos a la biota de los ecosistemas.</w:t>
      </w:r>
    </w:p>
    <w:p w:rsidR="005D47B3" w:rsidRDefault="005D47B3" w:rsidP="005D47B3">
      <w:pPr>
        <w:spacing w:after="0" w:line="360" w:lineRule="auto"/>
        <w:jc w:val="both"/>
        <w:rPr>
          <w:rFonts w:ascii="Times New Roman" w:hAnsi="Times New Roman"/>
          <w:bCs/>
          <w:iCs/>
          <w:sz w:val="24"/>
          <w:lang w:val="es-VE"/>
        </w:rPr>
      </w:pPr>
    </w:p>
    <w:p w:rsidR="006C7F87" w:rsidRDefault="006C7F87" w:rsidP="005D47B3">
      <w:pPr>
        <w:spacing w:after="0" w:line="360" w:lineRule="auto"/>
        <w:jc w:val="both"/>
        <w:rPr>
          <w:rFonts w:ascii="Times New Roman" w:hAnsi="Times New Roman"/>
          <w:bCs/>
          <w:iCs/>
          <w:sz w:val="24"/>
          <w:lang w:val="es-VE"/>
        </w:rPr>
      </w:pPr>
    </w:p>
    <w:p w:rsidR="006C7F87" w:rsidRDefault="006C7F87" w:rsidP="005D47B3">
      <w:pPr>
        <w:spacing w:after="0" w:line="360" w:lineRule="auto"/>
        <w:jc w:val="both"/>
        <w:rPr>
          <w:rFonts w:ascii="Times New Roman" w:hAnsi="Times New Roman"/>
          <w:bCs/>
          <w:iCs/>
          <w:sz w:val="24"/>
          <w:lang w:val="es-VE"/>
        </w:rPr>
      </w:pPr>
    </w:p>
    <w:p w:rsidR="006C7F87" w:rsidRPr="00A0518A" w:rsidRDefault="006C7F87" w:rsidP="005D47B3">
      <w:pPr>
        <w:spacing w:after="0" w:line="360" w:lineRule="auto"/>
        <w:jc w:val="both"/>
        <w:rPr>
          <w:rFonts w:ascii="Times New Roman" w:hAnsi="Times New Roman"/>
          <w:bCs/>
          <w:iCs/>
          <w:sz w:val="24"/>
          <w:lang w:val="es-VE"/>
        </w:rPr>
      </w:pPr>
    </w:p>
    <w:p w:rsidR="00B1218C" w:rsidRDefault="00247135" w:rsidP="00AB1A44">
      <w:pPr>
        <w:numPr>
          <w:ilvl w:val="0"/>
          <w:numId w:val="2"/>
        </w:numPr>
        <w:spacing w:after="120" w:line="360" w:lineRule="auto"/>
        <w:ind w:left="425" w:hanging="425"/>
        <w:jc w:val="both"/>
        <w:rPr>
          <w:rFonts w:ascii="Times New Roman" w:hAnsi="Times New Roman"/>
          <w:b/>
          <w:sz w:val="24"/>
          <w:szCs w:val="24"/>
          <w:lang w:val="es-ES_tradnl"/>
        </w:rPr>
      </w:pPr>
      <w:r>
        <w:rPr>
          <w:rFonts w:ascii="Times New Roman" w:hAnsi="Times New Roman"/>
          <w:b/>
          <w:sz w:val="24"/>
          <w:szCs w:val="24"/>
          <w:lang w:val="es-ES_tradnl"/>
        </w:rPr>
        <w:lastRenderedPageBreak/>
        <w:t>CONCLUSION</w:t>
      </w:r>
      <w:r w:rsidR="00A0518A">
        <w:rPr>
          <w:rFonts w:ascii="Times New Roman" w:hAnsi="Times New Roman"/>
          <w:b/>
          <w:sz w:val="24"/>
          <w:szCs w:val="24"/>
          <w:lang w:val="es-ES_tradnl"/>
        </w:rPr>
        <w:t>ES</w:t>
      </w:r>
    </w:p>
    <w:p w:rsidR="00A0518A" w:rsidRPr="00A0518A" w:rsidRDefault="00A0518A" w:rsidP="00A0518A">
      <w:pPr>
        <w:pStyle w:val="Prrafodelista"/>
        <w:numPr>
          <w:ilvl w:val="0"/>
          <w:numId w:val="16"/>
        </w:numPr>
        <w:spacing w:after="0" w:line="360" w:lineRule="auto"/>
        <w:jc w:val="both"/>
        <w:rPr>
          <w:rFonts w:ascii="Times New Roman" w:hAnsi="Times New Roman"/>
          <w:bCs/>
          <w:iCs/>
          <w:sz w:val="24"/>
          <w:lang w:val="es-VE"/>
        </w:rPr>
      </w:pPr>
      <w:r w:rsidRPr="00A0518A">
        <w:rPr>
          <w:rFonts w:ascii="Times New Roman" w:hAnsi="Times New Roman"/>
          <w:bCs/>
          <w:iCs/>
          <w:sz w:val="24"/>
          <w:lang w:val="es-VE"/>
        </w:rPr>
        <w:t>Se reporta toxicidad por los suelos tratados del proceso de biorremediación por bioaumentación No.1 y 2 (consorcio bacteriano 1 y 2 respectivamente), en la experimentación realizada con semillas de lechuga en papel de filtro.</w:t>
      </w:r>
    </w:p>
    <w:p w:rsidR="00A0518A" w:rsidRPr="00A0518A" w:rsidRDefault="00A0518A" w:rsidP="00A0518A">
      <w:pPr>
        <w:pStyle w:val="Prrafodelista"/>
        <w:numPr>
          <w:ilvl w:val="0"/>
          <w:numId w:val="16"/>
        </w:num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Los suelos tratados por el proceso de biorremediación mejorada para ambos tamaños de partículas y la estabilización química-biológica en todas sus variantes, evaluados en la experimentación realizada con semillas de lechuga en papel de filtro, no aportan toxicidad a los ecosistemas.   </w:t>
      </w:r>
    </w:p>
    <w:p w:rsidR="00A0518A" w:rsidRPr="00A0518A" w:rsidRDefault="00A0518A" w:rsidP="00A0518A">
      <w:pPr>
        <w:pStyle w:val="Prrafodelista"/>
        <w:numPr>
          <w:ilvl w:val="0"/>
          <w:numId w:val="16"/>
        </w:numPr>
        <w:spacing w:after="0" w:line="360" w:lineRule="auto"/>
        <w:jc w:val="both"/>
        <w:rPr>
          <w:rFonts w:ascii="Times New Roman" w:hAnsi="Times New Roman"/>
          <w:bCs/>
          <w:iCs/>
          <w:sz w:val="24"/>
          <w:lang w:val="es-VE"/>
        </w:rPr>
      </w:pPr>
      <w:r w:rsidRPr="00A0518A">
        <w:rPr>
          <w:rFonts w:ascii="Times New Roman" w:hAnsi="Times New Roman"/>
          <w:bCs/>
          <w:iCs/>
          <w:sz w:val="24"/>
          <w:lang w:val="es-VE"/>
        </w:rPr>
        <w:t xml:space="preserve">La evaluación realizada con lombrices, reporta toxicidad para la biota de los ecosistemas de los suelos tratados por los procesos de biorremediación mejorada para ambos tamaños de partículas, la estabilización química-biológica 2 y 4 (variantes Cal+agromena / Yeso+Agromena, respectivamente) y la biorremediación por bioaumentación No.2. (Consorcio 2). </w:t>
      </w:r>
    </w:p>
    <w:p w:rsidR="00247135" w:rsidRPr="00A0518A" w:rsidRDefault="00A0518A" w:rsidP="00A0518A">
      <w:pPr>
        <w:pStyle w:val="Prrafodelista"/>
        <w:numPr>
          <w:ilvl w:val="0"/>
          <w:numId w:val="16"/>
        </w:numPr>
        <w:spacing w:after="0" w:line="360" w:lineRule="auto"/>
        <w:jc w:val="both"/>
        <w:rPr>
          <w:rFonts w:ascii="Times New Roman" w:hAnsi="Times New Roman"/>
          <w:bCs/>
          <w:iCs/>
          <w:sz w:val="24"/>
          <w:lang w:val="es-VE"/>
        </w:rPr>
      </w:pPr>
      <w:r w:rsidRPr="00A0518A">
        <w:rPr>
          <w:rFonts w:ascii="Times New Roman" w:hAnsi="Times New Roman"/>
          <w:bCs/>
          <w:iCs/>
          <w:sz w:val="24"/>
          <w:lang w:val="es-VE"/>
        </w:rPr>
        <w:t>Los suelos tratados por el proceso de estabilización química-biológica 1 y 3 (variantes Cal+producto /Yeso+producto, respectivamente) y biorremediación por bioaumentación No.1. (Consorcio 1), evaluados en la experimentación con lombrices, no reportan toxicidad para la biota de los ecosistemas.</w:t>
      </w:r>
    </w:p>
    <w:p w:rsidR="00A0518A" w:rsidRPr="00726DBE" w:rsidRDefault="00A0518A" w:rsidP="0012455E">
      <w:pPr>
        <w:spacing w:after="120" w:line="360" w:lineRule="auto"/>
        <w:jc w:val="both"/>
        <w:rPr>
          <w:rFonts w:ascii="Times New Roman" w:hAnsi="Times New Roman"/>
          <w:b/>
          <w:caps/>
          <w:sz w:val="24"/>
          <w:szCs w:val="24"/>
        </w:rPr>
      </w:pPr>
    </w:p>
    <w:p w:rsidR="00B1218C" w:rsidRPr="00A0518A" w:rsidRDefault="002A7748" w:rsidP="0012455E">
      <w:pPr>
        <w:spacing w:after="120" w:line="360" w:lineRule="auto"/>
        <w:jc w:val="both"/>
        <w:rPr>
          <w:caps/>
        </w:rPr>
      </w:pPr>
      <w:r w:rsidRPr="00A0518A">
        <w:rPr>
          <w:rFonts w:ascii="Times New Roman" w:hAnsi="Times New Roman"/>
          <w:b/>
          <w:caps/>
          <w:sz w:val="24"/>
          <w:szCs w:val="24"/>
        </w:rPr>
        <w:t>referencias</w:t>
      </w:r>
    </w:p>
    <w:p w:rsidR="00A0518A" w:rsidRPr="00A0518A" w:rsidRDefault="00A0518A" w:rsidP="00A0518A">
      <w:pPr>
        <w:pStyle w:val="EndNoteBibliography"/>
        <w:spacing w:line="360" w:lineRule="auto"/>
        <w:ind w:left="709" w:hanging="709"/>
        <w:rPr>
          <w:rFonts w:ascii="Times New Roman" w:eastAsia="Calibri" w:hAnsi="Times New Roman" w:cs="Times New Roman"/>
          <w:bCs/>
          <w:iCs/>
          <w:noProof w:val="0"/>
          <w:sz w:val="24"/>
          <w:lang w:val="es-VE"/>
        </w:rPr>
      </w:pPr>
      <w:r w:rsidRPr="00A0518A">
        <w:rPr>
          <w:rFonts w:ascii="Times New Roman" w:eastAsia="Calibri" w:hAnsi="Times New Roman" w:cs="Times New Roman"/>
          <w:bCs/>
          <w:iCs/>
          <w:noProof w:val="0"/>
          <w:sz w:val="24"/>
          <w:lang w:val="es-VE"/>
        </w:rPr>
        <w:t>Acosta, S., Romero S R, (2014).   Elaboración de procedimientos de trabajo para la realización de los bioensayos con Larvas de Camarones, Algas Marinas, Semillas de Lechugas y Lombrices de Tierra , a productos y desechos peligrosos tratados, de la industria petrolera. Proyecto 7084. Etapa 02. Centro de Investigación del Petróleo.</w:t>
      </w:r>
    </w:p>
    <w:p w:rsidR="00A0518A" w:rsidRPr="00726DBE" w:rsidRDefault="00A0518A" w:rsidP="00A0518A">
      <w:pPr>
        <w:pStyle w:val="EndNoteBibliography"/>
        <w:spacing w:line="360" w:lineRule="auto"/>
        <w:ind w:left="709" w:hanging="709"/>
        <w:rPr>
          <w:rFonts w:ascii="Times New Roman" w:eastAsia="Calibri" w:hAnsi="Times New Roman" w:cs="Times New Roman"/>
          <w:bCs/>
          <w:iCs/>
          <w:noProof w:val="0"/>
          <w:sz w:val="24"/>
        </w:rPr>
      </w:pPr>
      <w:r w:rsidRPr="00A0518A">
        <w:rPr>
          <w:rFonts w:ascii="Times New Roman" w:eastAsia="Calibri" w:hAnsi="Times New Roman" w:cs="Times New Roman"/>
          <w:bCs/>
          <w:iCs/>
          <w:noProof w:val="0"/>
          <w:sz w:val="24"/>
          <w:lang w:val="es-VE"/>
        </w:rPr>
        <w:t xml:space="preserve">Acosta, S., Romero S R, (2015). Ensayos Ecotoxicológicos a desechos peligrosos tratados de la industria petrolera, utilizando lombrices y semillas de lechuga. </w:t>
      </w:r>
      <w:r w:rsidRPr="00726DBE">
        <w:rPr>
          <w:rFonts w:ascii="Times New Roman" w:eastAsia="Calibri" w:hAnsi="Times New Roman" w:cs="Times New Roman"/>
          <w:bCs/>
          <w:iCs/>
          <w:noProof w:val="0"/>
          <w:sz w:val="24"/>
        </w:rPr>
        <w:t>Etapa 03.</w:t>
      </w:r>
    </w:p>
    <w:p w:rsidR="00A0518A" w:rsidRPr="00726DBE" w:rsidRDefault="00A0518A" w:rsidP="00A0518A">
      <w:pPr>
        <w:pStyle w:val="EndNoteBibliography"/>
        <w:spacing w:line="360" w:lineRule="auto"/>
        <w:ind w:left="709" w:hanging="709"/>
        <w:rPr>
          <w:rFonts w:ascii="Times New Roman" w:eastAsia="Calibri" w:hAnsi="Times New Roman" w:cs="Times New Roman"/>
          <w:bCs/>
          <w:iCs/>
          <w:noProof w:val="0"/>
          <w:sz w:val="24"/>
        </w:rPr>
      </w:pPr>
      <w:r w:rsidRPr="00726DBE">
        <w:rPr>
          <w:rFonts w:ascii="Times New Roman" w:eastAsia="Calibri" w:hAnsi="Times New Roman" w:cs="Times New Roman"/>
          <w:bCs/>
          <w:iCs/>
          <w:noProof w:val="0"/>
          <w:sz w:val="24"/>
        </w:rPr>
        <w:t>ASTM-E: 1391-03. Standard Guide for Collection, Storage, Characterization, and Manipulation of Sediments for Toxicological Testing and for Selection of Samplers Used to Collect Benthic Invertebrates.</w:t>
      </w:r>
    </w:p>
    <w:p w:rsidR="00A0518A" w:rsidRPr="00A0518A" w:rsidRDefault="00A0518A" w:rsidP="00A0518A">
      <w:pPr>
        <w:pStyle w:val="EndNoteBibliography"/>
        <w:spacing w:line="360" w:lineRule="auto"/>
        <w:ind w:left="709" w:hanging="709"/>
        <w:rPr>
          <w:rFonts w:ascii="Times New Roman" w:eastAsia="Calibri" w:hAnsi="Times New Roman" w:cs="Times New Roman"/>
          <w:bCs/>
          <w:iCs/>
          <w:noProof w:val="0"/>
          <w:sz w:val="24"/>
          <w:lang w:val="es-VE"/>
        </w:rPr>
      </w:pPr>
      <w:r w:rsidRPr="00A0518A">
        <w:rPr>
          <w:rFonts w:ascii="Times New Roman" w:eastAsia="Calibri" w:hAnsi="Times New Roman" w:cs="Times New Roman"/>
          <w:bCs/>
          <w:iCs/>
          <w:noProof w:val="0"/>
          <w:sz w:val="24"/>
          <w:lang w:val="es-VE"/>
        </w:rPr>
        <w:t xml:space="preserve">Chao, C. (2018). Tesis de Diploma. Proceso de estabilización química-biológica en el tratamiento de residuos sólidos de lodo base combustible diésel, CUJAE, La Habana, Cuba. </w:t>
      </w:r>
    </w:p>
    <w:p w:rsidR="00A0518A" w:rsidRPr="00A0518A" w:rsidRDefault="00A0518A" w:rsidP="00A0518A">
      <w:pPr>
        <w:pStyle w:val="EndNoteBibliography"/>
        <w:spacing w:line="360" w:lineRule="auto"/>
        <w:ind w:left="709" w:hanging="709"/>
        <w:rPr>
          <w:rFonts w:ascii="Times New Roman" w:eastAsia="Calibri" w:hAnsi="Times New Roman" w:cs="Times New Roman"/>
          <w:bCs/>
          <w:iCs/>
          <w:noProof w:val="0"/>
          <w:sz w:val="24"/>
          <w:lang w:val="es-VE"/>
        </w:rPr>
      </w:pPr>
      <w:r w:rsidRPr="00A0518A">
        <w:rPr>
          <w:rFonts w:ascii="Times New Roman" w:eastAsia="Calibri" w:hAnsi="Times New Roman" w:cs="Times New Roman"/>
          <w:bCs/>
          <w:iCs/>
          <w:noProof w:val="0"/>
          <w:sz w:val="24"/>
          <w:lang w:val="es-VE"/>
        </w:rPr>
        <w:lastRenderedPageBreak/>
        <w:t xml:space="preserve">Cuevas, J.R., J. Morejón., M. Ojeda y V. Vale. (1996). La lombricultura una opción ecológica. Agricultura orgánica.  2 (1): 13-14. </w:t>
      </w:r>
    </w:p>
    <w:p w:rsidR="00A0518A" w:rsidRPr="00A0518A" w:rsidRDefault="00A0518A" w:rsidP="00A0518A">
      <w:pPr>
        <w:pStyle w:val="EndNoteBibliography"/>
        <w:spacing w:line="360" w:lineRule="auto"/>
        <w:ind w:left="709" w:hanging="709"/>
        <w:rPr>
          <w:rFonts w:ascii="Times New Roman" w:eastAsia="Calibri" w:hAnsi="Times New Roman" w:cs="Times New Roman"/>
          <w:bCs/>
          <w:iCs/>
          <w:noProof w:val="0"/>
          <w:sz w:val="24"/>
          <w:lang w:val="es-VE"/>
        </w:rPr>
      </w:pPr>
      <w:r w:rsidRPr="00A0518A">
        <w:rPr>
          <w:rFonts w:ascii="Times New Roman" w:eastAsia="Calibri" w:hAnsi="Times New Roman" w:cs="Times New Roman"/>
          <w:bCs/>
          <w:iCs/>
          <w:noProof w:val="0"/>
          <w:sz w:val="24"/>
          <w:lang w:val="es-VE"/>
        </w:rPr>
        <w:t>NC: 819/2017. Norma Cubana “Manejo de Fondaje de Tanques de Almacenamiento de Petróleos y sus Derivados.” (onshore), Habana, Cuba.</w:t>
      </w:r>
    </w:p>
    <w:p w:rsidR="00A0518A" w:rsidRPr="00A0518A" w:rsidRDefault="00A0518A" w:rsidP="00A0518A">
      <w:pPr>
        <w:pStyle w:val="EndNoteBibliography"/>
        <w:spacing w:line="360" w:lineRule="auto"/>
        <w:ind w:left="709" w:hanging="709"/>
        <w:rPr>
          <w:rFonts w:ascii="Times New Roman" w:eastAsia="Calibri" w:hAnsi="Times New Roman" w:cs="Times New Roman"/>
          <w:bCs/>
          <w:iCs/>
          <w:noProof w:val="0"/>
          <w:sz w:val="24"/>
          <w:lang w:val="es-VE"/>
        </w:rPr>
      </w:pPr>
      <w:r w:rsidRPr="00A0518A">
        <w:rPr>
          <w:rFonts w:ascii="Times New Roman" w:eastAsia="Calibri" w:hAnsi="Times New Roman" w:cs="Times New Roman"/>
          <w:bCs/>
          <w:iCs/>
          <w:noProof w:val="0"/>
          <w:sz w:val="24"/>
          <w:lang w:val="es-VE"/>
        </w:rPr>
        <w:t>Rico-Martínez y Martínez- Jerónimo (2009). “Ecotoxicología general”. (Coord.)Toxicología Ambiental. Textos Universitarios. UAA y UdeG. México.</w:t>
      </w:r>
    </w:p>
    <w:p w:rsidR="00A0518A" w:rsidRPr="00A0518A" w:rsidRDefault="00A0518A" w:rsidP="00A0518A">
      <w:pPr>
        <w:pStyle w:val="EndNoteBibliography"/>
        <w:spacing w:line="360" w:lineRule="auto"/>
        <w:ind w:left="709" w:hanging="709"/>
        <w:rPr>
          <w:rFonts w:ascii="Times New Roman" w:eastAsia="Calibri" w:hAnsi="Times New Roman" w:cs="Times New Roman"/>
          <w:bCs/>
          <w:iCs/>
          <w:noProof w:val="0"/>
          <w:sz w:val="24"/>
          <w:lang w:val="es-VE"/>
        </w:rPr>
      </w:pPr>
      <w:r w:rsidRPr="00A0518A">
        <w:rPr>
          <w:rFonts w:ascii="Times New Roman" w:eastAsia="Calibri" w:hAnsi="Times New Roman" w:cs="Times New Roman"/>
          <w:bCs/>
          <w:iCs/>
          <w:noProof w:val="0"/>
          <w:sz w:val="24"/>
          <w:lang w:val="es-VE"/>
        </w:rPr>
        <w:t>Romero Silva, R; Cañete Perez C; Navarro Sosa Y (2017). Informe de etapa 05, Proyecto 9018, 2017. Informe de resultados: Evaluación de un proceso de biorremediación, mediante la técnica de landfarming, con incremento de acondicionadores orgánicos y utilización de desechos con microbiota degradadora de hidrocarburos.</w:t>
      </w:r>
    </w:p>
    <w:p w:rsidR="00A0518A" w:rsidRPr="00A0518A" w:rsidRDefault="00A0518A" w:rsidP="00A0518A">
      <w:pPr>
        <w:pStyle w:val="EndNoteBibliography"/>
        <w:spacing w:line="360" w:lineRule="auto"/>
        <w:ind w:left="709" w:hanging="709"/>
        <w:rPr>
          <w:rFonts w:ascii="Times New Roman" w:eastAsia="Calibri" w:hAnsi="Times New Roman" w:cs="Times New Roman"/>
          <w:bCs/>
          <w:iCs/>
          <w:noProof w:val="0"/>
          <w:sz w:val="24"/>
          <w:lang w:val="es-VE"/>
        </w:rPr>
      </w:pPr>
      <w:r w:rsidRPr="00A0518A">
        <w:rPr>
          <w:rFonts w:ascii="Times New Roman" w:eastAsia="Calibri" w:hAnsi="Times New Roman" w:cs="Times New Roman"/>
          <w:bCs/>
          <w:iCs/>
          <w:noProof w:val="0"/>
          <w:sz w:val="24"/>
          <w:lang w:val="es-VE"/>
        </w:rPr>
        <w:t>Romero Silva, R; Cañete Perez C; Navarro Sosa Y (2018). Informe de etapa 06, Proyecto 9018, 2017. Informe de resultados: Evaluación de un proceso de estabilización química-biológica de cortes de perforación contaminados con lodo base-diésel combustible</w:t>
      </w:r>
    </w:p>
    <w:p w:rsidR="00A0518A" w:rsidRPr="00A0518A" w:rsidRDefault="00A0518A" w:rsidP="00A0518A">
      <w:pPr>
        <w:pStyle w:val="EndNoteBibliography"/>
        <w:spacing w:line="360" w:lineRule="auto"/>
        <w:ind w:left="709" w:hanging="709"/>
        <w:rPr>
          <w:rFonts w:ascii="Times New Roman" w:eastAsia="Calibri" w:hAnsi="Times New Roman" w:cs="Times New Roman"/>
          <w:bCs/>
          <w:iCs/>
          <w:noProof w:val="0"/>
          <w:sz w:val="24"/>
          <w:lang w:val="es-VE"/>
        </w:rPr>
      </w:pPr>
      <w:r w:rsidRPr="00A0518A">
        <w:rPr>
          <w:rFonts w:ascii="Times New Roman" w:eastAsia="Calibri" w:hAnsi="Times New Roman" w:cs="Times New Roman"/>
          <w:bCs/>
          <w:iCs/>
          <w:noProof w:val="0"/>
          <w:sz w:val="24"/>
          <w:lang w:val="es-VE"/>
        </w:rPr>
        <w:t>Romero, R., Acosta S, (2015). Ensayos Eco-toxicológicos a desechos peligrosos tratados de la industria petrolera, utilizando larvas de camarón y algas marinas. Proyecto 7084. Etapa 04. Centro de Investigación del Petróleo.</w:t>
      </w:r>
    </w:p>
    <w:p w:rsidR="00A0518A" w:rsidRPr="00A0518A" w:rsidRDefault="00A0518A" w:rsidP="00A0518A">
      <w:pPr>
        <w:pStyle w:val="EndNoteBibliography"/>
        <w:spacing w:after="0" w:line="360" w:lineRule="auto"/>
        <w:ind w:left="709" w:hanging="709"/>
        <w:rPr>
          <w:rFonts w:ascii="Times New Roman" w:eastAsia="Calibri" w:hAnsi="Times New Roman" w:cs="Times New Roman"/>
          <w:bCs/>
          <w:iCs/>
          <w:noProof w:val="0"/>
          <w:sz w:val="24"/>
          <w:lang w:val="es-VE"/>
        </w:rPr>
      </w:pPr>
    </w:p>
    <w:p w:rsidR="00A0518A" w:rsidRPr="00A0518A" w:rsidRDefault="00A0518A" w:rsidP="00A0518A">
      <w:pPr>
        <w:pStyle w:val="EndNoteBibliography"/>
        <w:spacing w:after="0" w:line="360" w:lineRule="auto"/>
        <w:ind w:left="709" w:hanging="709"/>
        <w:rPr>
          <w:rFonts w:ascii="Times New Roman" w:eastAsia="Calibri" w:hAnsi="Times New Roman" w:cs="Times New Roman"/>
          <w:bCs/>
          <w:iCs/>
          <w:noProof w:val="0"/>
          <w:sz w:val="24"/>
          <w:lang w:val="es-VE"/>
        </w:rPr>
      </w:pPr>
      <w:r w:rsidRPr="00A0518A">
        <w:rPr>
          <w:rFonts w:ascii="Times New Roman" w:eastAsia="Calibri" w:hAnsi="Times New Roman" w:cs="Times New Roman"/>
          <w:bCs/>
          <w:iCs/>
          <w:noProof w:val="0"/>
          <w:sz w:val="24"/>
          <w:lang w:val="es-VE"/>
        </w:rPr>
        <w:t xml:space="preserve"> </w:t>
      </w:r>
    </w:p>
    <w:p w:rsidR="002621B2" w:rsidRPr="00A0518A" w:rsidRDefault="002621B2" w:rsidP="00A0518A">
      <w:pPr>
        <w:pStyle w:val="EndNoteBibliography"/>
        <w:spacing w:after="0" w:line="360" w:lineRule="auto"/>
        <w:ind w:left="709" w:hanging="709"/>
        <w:rPr>
          <w:rFonts w:ascii="Times New Roman" w:eastAsia="Calibri" w:hAnsi="Times New Roman" w:cs="Times New Roman"/>
          <w:bCs/>
          <w:iCs/>
          <w:noProof w:val="0"/>
          <w:sz w:val="24"/>
          <w:lang w:val="es-VE"/>
        </w:rPr>
      </w:pPr>
    </w:p>
    <w:sectPr w:rsidR="002621B2" w:rsidRPr="00A0518A" w:rsidSect="00730BD1">
      <w:headerReference w:type="default" r:id="rId22"/>
      <w:footerReference w:type="default" r:id="rId23"/>
      <w:pgSz w:w="11906" w:h="16838"/>
      <w:pgMar w:top="64" w:right="1701" w:bottom="1418" w:left="1701" w:header="568" w:footer="7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D1E" w:rsidRDefault="00550D1E" w:rsidP="002B65B1">
      <w:pPr>
        <w:spacing w:after="0" w:line="240" w:lineRule="auto"/>
      </w:pPr>
      <w:r>
        <w:separator/>
      </w:r>
    </w:p>
  </w:endnote>
  <w:endnote w:type="continuationSeparator" w:id="0">
    <w:p w:rsidR="00550D1E" w:rsidRDefault="00550D1E" w:rsidP="002B6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875" w:rsidRPr="00FD32F9" w:rsidRDefault="00980875" w:rsidP="00961DBB">
    <w:pPr>
      <w:pStyle w:val="Piedepgina"/>
      <w:jc w:val="center"/>
      <w:rPr>
        <w:rFonts w:ascii="Times New Roman" w:hAnsi="Times New Roman"/>
        <w:i/>
      </w:rPr>
    </w:pPr>
    <w:r w:rsidRPr="006C7F87">
      <w:rPr>
        <w:rFonts w:ascii="Times New Roman" w:hAnsi="Times New Roman"/>
        <w:b/>
        <w:i/>
      </w:rPr>
      <w:fldChar w:fldCharType="begin"/>
    </w:r>
    <w:r w:rsidRPr="006C7F87">
      <w:rPr>
        <w:rFonts w:ascii="Times New Roman" w:hAnsi="Times New Roman"/>
        <w:b/>
        <w:i/>
      </w:rPr>
      <w:instrText xml:space="preserve"> PAGE   \* MERGEFORMAT </w:instrText>
    </w:r>
    <w:r w:rsidRPr="006C7F87">
      <w:rPr>
        <w:rFonts w:ascii="Times New Roman" w:hAnsi="Times New Roman"/>
        <w:b/>
        <w:i/>
      </w:rPr>
      <w:fldChar w:fldCharType="separate"/>
    </w:r>
    <w:r w:rsidR="006C7F87">
      <w:rPr>
        <w:rFonts w:ascii="Times New Roman" w:hAnsi="Times New Roman"/>
        <w:b/>
        <w:i/>
        <w:noProof/>
      </w:rPr>
      <w:t>16</w:t>
    </w:r>
    <w:r w:rsidRPr="006C7F87">
      <w:rPr>
        <w:rFonts w:ascii="Times New Roman" w:hAnsi="Times New Roman"/>
        <w:b/>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D1E" w:rsidRDefault="00550D1E" w:rsidP="002B65B1">
      <w:pPr>
        <w:spacing w:after="0" w:line="240" w:lineRule="auto"/>
      </w:pPr>
      <w:r>
        <w:separator/>
      </w:r>
    </w:p>
  </w:footnote>
  <w:footnote w:type="continuationSeparator" w:id="0">
    <w:p w:rsidR="00550D1E" w:rsidRDefault="00550D1E" w:rsidP="002B65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875" w:rsidRDefault="00980875" w:rsidP="009A7C3A">
    <w:pPr>
      <w:pStyle w:val="Encabezado"/>
      <w:jc w:val="right"/>
      <w:rPr>
        <w:rFonts w:ascii="Arial Narrow" w:hAnsi="Arial Narrow" w:cs="Arial"/>
        <w:i/>
        <w:caps/>
        <w:sz w:val="20"/>
        <w:szCs w:val="24"/>
        <w:u w:val="single"/>
        <w:lang w:val="es-ES_tradnl"/>
      </w:rPr>
    </w:pPr>
  </w:p>
  <w:p w:rsidR="009A7C3A" w:rsidRPr="00961DBB" w:rsidRDefault="009A7C3A" w:rsidP="009A7C3A">
    <w:pPr>
      <w:pStyle w:val="Encabezado"/>
      <w:tabs>
        <w:tab w:val="left" w:pos="7088"/>
      </w:tabs>
      <w:jc w:val="right"/>
      <w:rPr>
        <w:rFonts w:ascii="Arial Narrow" w:hAnsi="Arial Narrow" w:cs="Arial"/>
        <w:i/>
        <w:caps/>
        <w:sz w:val="20"/>
        <w:szCs w:val="24"/>
        <w:u w:val="single"/>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sz w:val="24"/>
        <w:szCs w:val="24"/>
        <w:lang w:val="es-ES"/>
      </w:rPr>
    </w:lvl>
  </w:abstractNum>
  <w:abstractNum w:abstractNumId="1">
    <w:nsid w:val="00000003"/>
    <w:multiLevelType w:val="singleLevel"/>
    <w:tmpl w:val="00000003"/>
    <w:name w:val="WW8Num4"/>
    <w:lvl w:ilvl="0">
      <w:start w:val="1"/>
      <w:numFmt w:val="decimal"/>
      <w:lvlText w:val="%1."/>
      <w:lvlJc w:val="left"/>
      <w:pPr>
        <w:tabs>
          <w:tab w:val="num" w:pos="0"/>
        </w:tabs>
        <w:ind w:left="720" w:hanging="360"/>
      </w:pPr>
      <w:rPr>
        <w:rFonts w:ascii="Times New Roman" w:hAnsi="Times New Roman" w:cs="Times New Roman"/>
        <w:color w:val="auto"/>
        <w:sz w:val="24"/>
        <w:szCs w:val="24"/>
        <w:lang w:val="es-ES" w:eastAsia="es-ES"/>
      </w:rPr>
    </w:lvl>
  </w:abstractNum>
  <w:abstractNum w:abstractNumId="2">
    <w:nsid w:val="00000004"/>
    <w:multiLevelType w:val="singleLevel"/>
    <w:tmpl w:val="4F90C87E"/>
    <w:lvl w:ilvl="0">
      <w:start w:val="4"/>
      <w:numFmt w:val="decimal"/>
      <w:lvlText w:val="%1."/>
      <w:lvlJc w:val="left"/>
      <w:pPr>
        <w:tabs>
          <w:tab w:val="num" w:pos="0"/>
        </w:tabs>
        <w:ind w:left="720" w:hanging="360"/>
      </w:pPr>
      <w:rPr>
        <w:rFonts w:ascii="Times New Roman" w:hAnsi="Times New Roman" w:cs="Times New Roman" w:hint="default"/>
        <w:b/>
        <w:sz w:val="24"/>
        <w:szCs w:val="24"/>
        <w:lang w:val="es-ES_tradnl"/>
      </w:rPr>
    </w:lvl>
  </w:abstractNum>
  <w:abstractNum w:abstractNumId="3">
    <w:nsid w:val="026F16AE"/>
    <w:multiLevelType w:val="hybridMultilevel"/>
    <w:tmpl w:val="00668D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0B1EAC"/>
    <w:multiLevelType w:val="hybridMultilevel"/>
    <w:tmpl w:val="0E90FF1C"/>
    <w:lvl w:ilvl="0" w:tplc="97703B88">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325B50"/>
    <w:multiLevelType w:val="hybridMultilevel"/>
    <w:tmpl w:val="94920D26"/>
    <w:lvl w:ilvl="0" w:tplc="240A000F">
      <w:start w:val="1"/>
      <w:numFmt w:val="decimal"/>
      <w:lvlText w:val="%1."/>
      <w:lvlJc w:val="left"/>
      <w:pPr>
        <w:ind w:left="1260" w:hanging="360"/>
      </w:p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6">
    <w:nsid w:val="121444CE"/>
    <w:multiLevelType w:val="hybridMultilevel"/>
    <w:tmpl w:val="49886578"/>
    <w:lvl w:ilvl="0" w:tplc="03145148">
      <w:start w:val="1"/>
      <w:numFmt w:val="decimal"/>
      <w:lvlText w:val="%1."/>
      <w:lvlJc w:val="left"/>
      <w:pPr>
        <w:ind w:left="720" w:hanging="360"/>
      </w:pPr>
      <w:rPr>
        <w:rFonts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3B05D9E"/>
    <w:multiLevelType w:val="hybridMultilevel"/>
    <w:tmpl w:val="465825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D6653FF"/>
    <w:multiLevelType w:val="multilevel"/>
    <w:tmpl w:val="F3C8D20A"/>
    <w:lvl w:ilvl="0">
      <w:start w:val="1"/>
      <w:numFmt w:val="decimal"/>
      <w:lvlText w:val="%1."/>
      <w:lvlJc w:val="left"/>
      <w:pPr>
        <w:ind w:left="720" w:hanging="360"/>
      </w:pPr>
      <w:rPr>
        <w:rFonts w:hint="default"/>
      </w:rPr>
    </w:lvl>
    <w:lvl w:ilvl="1">
      <w:start w:val="1"/>
      <w:numFmt w:val="decimal"/>
      <w:isLgl/>
      <w:lvlText w:val="%1.%2."/>
      <w:lvlJc w:val="left"/>
      <w:pPr>
        <w:ind w:left="3272" w:hanging="720"/>
      </w:pPr>
      <w:rPr>
        <w:rFonts w:cs="Times New Roman" w:hint="default"/>
        <w:color w:val="auto"/>
      </w:rPr>
    </w:lvl>
    <w:lvl w:ilvl="2">
      <w:start w:val="1"/>
      <w:numFmt w:val="decimal"/>
      <w:isLgl/>
      <w:lvlText w:val="%1.%2.%3."/>
      <w:lvlJc w:val="left"/>
      <w:pPr>
        <w:ind w:left="1440" w:hanging="1080"/>
      </w:pPr>
      <w:rPr>
        <w:rFonts w:cs="Times New Roman" w:hint="default"/>
        <w:color w:val="auto"/>
      </w:rPr>
    </w:lvl>
    <w:lvl w:ilvl="3">
      <w:start w:val="1"/>
      <w:numFmt w:val="decimal"/>
      <w:isLgl/>
      <w:lvlText w:val="%1.%2.%3.%4."/>
      <w:lvlJc w:val="left"/>
      <w:pPr>
        <w:ind w:left="1800" w:hanging="1440"/>
      </w:pPr>
      <w:rPr>
        <w:rFonts w:cs="Times New Roman" w:hint="default"/>
        <w:color w:val="auto"/>
      </w:rPr>
    </w:lvl>
    <w:lvl w:ilvl="4">
      <w:start w:val="1"/>
      <w:numFmt w:val="decimal"/>
      <w:isLgl/>
      <w:lvlText w:val="%1.%2.%3.%4.%5."/>
      <w:lvlJc w:val="left"/>
      <w:pPr>
        <w:ind w:left="1800" w:hanging="1440"/>
      </w:pPr>
      <w:rPr>
        <w:rFonts w:cs="Times New Roman" w:hint="default"/>
        <w:color w:val="auto"/>
      </w:rPr>
    </w:lvl>
    <w:lvl w:ilvl="5">
      <w:start w:val="1"/>
      <w:numFmt w:val="decimal"/>
      <w:isLgl/>
      <w:lvlText w:val="%1.%2.%3.%4.%5.%6."/>
      <w:lvlJc w:val="left"/>
      <w:pPr>
        <w:ind w:left="2160" w:hanging="1800"/>
      </w:pPr>
      <w:rPr>
        <w:rFonts w:cs="Times New Roman" w:hint="default"/>
        <w:color w:val="auto"/>
      </w:rPr>
    </w:lvl>
    <w:lvl w:ilvl="6">
      <w:start w:val="1"/>
      <w:numFmt w:val="decimal"/>
      <w:isLgl/>
      <w:lvlText w:val="%1.%2.%3.%4.%5.%6.%7."/>
      <w:lvlJc w:val="left"/>
      <w:pPr>
        <w:ind w:left="2520" w:hanging="2160"/>
      </w:pPr>
      <w:rPr>
        <w:rFonts w:cs="Times New Roman" w:hint="default"/>
        <w:color w:val="auto"/>
      </w:rPr>
    </w:lvl>
    <w:lvl w:ilvl="7">
      <w:start w:val="1"/>
      <w:numFmt w:val="decimal"/>
      <w:isLgl/>
      <w:lvlText w:val="%1.%2.%3.%4.%5.%6.%7.%8."/>
      <w:lvlJc w:val="left"/>
      <w:pPr>
        <w:ind w:left="2880" w:hanging="2520"/>
      </w:pPr>
      <w:rPr>
        <w:rFonts w:cs="Times New Roman" w:hint="default"/>
        <w:color w:val="auto"/>
      </w:rPr>
    </w:lvl>
    <w:lvl w:ilvl="8">
      <w:start w:val="1"/>
      <w:numFmt w:val="decimal"/>
      <w:isLgl/>
      <w:lvlText w:val="%1.%2.%3.%4.%5.%6.%7.%8.%9."/>
      <w:lvlJc w:val="left"/>
      <w:pPr>
        <w:ind w:left="2880" w:hanging="2520"/>
      </w:pPr>
      <w:rPr>
        <w:rFonts w:cs="Times New Roman" w:hint="default"/>
        <w:color w:val="auto"/>
      </w:rPr>
    </w:lvl>
  </w:abstractNum>
  <w:abstractNum w:abstractNumId="9">
    <w:nsid w:val="2F6041F6"/>
    <w:multiLevelType w:val="hybridMultilevel"/>
    <w:tmpl w:val="6928B3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4F1017"/>
    <w:multiLevelType w:val="multilevel"/>
    <w:tmpl w:val="D1CC328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DF36279"/>
    <w:multiLevelType w:val="hybridMultilevel"/>
    <w:tmpl w:val="0F22CA6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62E276D"/>
    <w:multiLevelType w:val="hybridMultilevel"/>
    <w:tmpl w:val="8B9A0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18857FF"/>
    <w:multiLevelType w:val="hybridMultilevel"/>
    <w:tmpl w:val="E6B42B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8B46295"/>
    <w:multiLevelType w:val="hybridMultilevel"/>
    <w:tmpl w:val="AED83DE0"/>
    <w:lvl w:ilvl="0" w:tplc="07CEEC82">
      <w:start w:val="1"/>
      <w:numFmt w:val="decimal"/>
      <w:lvlText w:val="%1."/>
      <w:lvlJc w:val="left"/>
      <w:pPr>
        <w:ind w:left="720" w:hanging="360"/>
      </w:pPr>
      <w:rPr>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B315065"/>
    <w:multiLevelType w:val="multilevel"/>
    <w:tmpl w:val="0290B37A"/>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 w:numId="4">
    <w:abstractNumId w:val="5"/>
  </w:num>
  <w:num w:numId="5">
    <w:abstractNumId w:val="14"/>
  </w:num>
  <w:num w:numId="6">
    <w:abstractNumId w:val="6"/>
  </w:num>
  <w:num w:numId="7">
    <w:abstractNumId w:val="15"/>
  </w:num>
  <w:num w:numId="8">
    <w:abstractNumId w:val="12"/>
  </w:num>
  <w:num w:numId="9">
    <w:abstractNumId w:val="10"/>
  </w:num>
  <w:num w:numId="10">
    <w:abstractNumId w:val="8"/>
  </w:num>
  <w:num w:numId="11">
    <w:abstractNumId w:val="9"/>
  </w:num>
  <w:num w:numId="12">
    <w:abstractNumId w:val="7"/>
  </w:num>
  <w:num w:numId="13">
    <w:abstractNumId w:val="4"/>
  </w:num>
  <w:num w:numId="14">
    <w:abstractNumId w:val="13"/>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607"/>
    <w:rsid w:val="0001438C"/>
    <w:rsid w:val="0004084B"/>
    <w:rsid w:val="000B0CB4"/>
    <w:rsid w:val="000B32B0"/>
    <w:rsid w:val="000C5243"/>
    <w:rsid w:val="000F33B6"/>
    <w:rsid w:val="000F5D1D"/>
    <w:rsid w:val="00103220"/>
    <w:rsid w:val="00105DE3"/>
    <w:rsid w:val="00112F67"/>
    <w:rsid w:val="0012455E"/>
    <w:rsid w:val="00133918"/>
    <w:rsid w:val="00153FF9"/>
    <w:rsid w:val="00163591"/>
    <w:rsid w:val="00166F13"/>
    <w:rsid w:val="001926FF"/>
    <w:rsid w:val="001A0289"/>
    <w:rsid w:val="001B5C3B"/>
    <w:rsid w:val="001B735B"/>
    <w:rsid w:val="001D2843"/>
    <w:rsid w:val="001D71AF"/>
    <w:rsid w:val="001E72CF"/>
    <w:rsid w:val="00206455"/>
    <w:rsid w:val="0021691D"/>
    <w:rsid w:val="00221B0E"/>
    <w:rsid w:val="002327BC"/>
    <w:rsid w:val="00247135"/>
    <w:rsid w:val="00256E9E"/>
    <w:rsid w:val="002621B2"/>
    <w:rsid w:val="00270200"/>
    <w:rsid w:val="00280882"/>
    <w:rsid w:val="002A005F"/>
    <w:rsid w:val="002A2B24"/>
    <w:rsid w:val="002A7748"/>
    <w:rsid w:val="002B3BEC"/>
    <w:rsid w:val="002B65B1"/>
    <w:rsid w:val="002C7B0A"/>
    <w:rsid w:val="002D29D1"/>
    <w:rsid w:val="002E1303"/>
    <w:rsid w:val="002E20D3"/>
    <w:rsid w:val="002E5FAB"/>
    <w:rsid w:val="00306F8D"/>
    <w:rsid w:val="00316D63"/>
    <w:rsid w:val="003351E2"/>
    <w:rsid w:val="003363BE"/>
    <w:rsid w:val="003611AC"/>
    <w:rsid w:val="00363D42"/>
    <w:rsid w:val="003707CD"/>
    <w:rsid w:val="00375B10"/>
    <w:rsid w:val="003A0DAC"/>
    <w:rsid w:val="003B2BC3"/>
    <w:rsid w:val="003B3FD7"/>
    <w:rsid w:val="003D7BE2"/>
    <w:rsid w:val="003E3DB7"/>
    <w:rsid w:val="003E4A8D"/>
    <w:rsid w:val="003E7573"/>
    <w:rsid w:val="003F1064"/>
    <w:rsid w:val="003F2389"/>
    <w:rsid w:val="004144C8"/>
    <w:rsid w:val="00425095"/>
    <w:rsid w:val="00440A3C"/>
    <w:rsid w:val="0044283F"/>
    <w:rsid w:val="00443DC5"/>
    <w:rsid w:val="004E00EE"/>
    <w:rsid w:val="004E58DC"/>
    <w:rsid w:val="00502BFF"/>
    <w:rsid w:val="00550D1E"/>
    <w:rsid w:val="005873BB"/>
    <w:rsid w:val="005B35DB"/>
    <w:rsid w:val="005C088B"/>
    <w:rsid w:val="005D09E5"/>
    <w:rsid w:val="005D47B3"/>
    <w:rsid w:val="005D6EA0"/>
    <w:rsid w:val="005E1C61"/>
    <w:rsid w:val="005E3DD0"/>
    <w:rsid w:val="005F63A2"/>
    <w:rsid w:val="00606244"/>
    <w:rsid w:val="00612806"/>
    <w:rsid w:val="0065605A"/>
    <w:rsid w:val="00657DB7"/>
    <w:rsid w:val="006600B5"/>
    <w:rsid w:val="00662BC0"/>
    <w:rsid w:val="00671409"/>
    <w:rsid w:val="0067619F"/>
    <w:rsid w:val="00682D32"/>
    <w:rsid w:val="00683E77"/>
    <w:rsid w:val="006879BA"/>
    <w:rsid w:val="006C7F87"/>
    <w:rsid w:val="006E7199"/>
    <w:rsid w:val="006F6B02"/>
    <w:rsid w:val="00716EB7"/>
    <w:rsid w:val="00726D07"/>
    <w:rsid w:val="00726DBE"/>
    <w:rsid w:val="00730BD1"/>
    <w:rsid w:val="0073307D"/>
    <w:rsid w:val="00747D23"/>
    <w:rsid w:val="00751BC4"/>
    <w:rsid w:val="00760771"/>
    <w:rsid w:val="00763A77"/>
    <w:rsid w:val="00772284"/>
    <w:rsid w:val="007802A0"/>
    <w:rsid w:val="007820BD"/>
    <w:rsid w:val="00797E81"/>
    <w:rsid w:val="007A6AC1"/>
    <w:rsid w:val="007C431A"/>
    <w:rsid w:val="007E4E45"/>
    <w:rsid w:val="007F105B"/>
    <w:rsid w:val="007F3333"/>
    <w:rsid w:val="008010C3"/>
    <w:rsid w:val="00813B06"/>
    <w:rsid w:val="00813BA6"/>
    <w:rsid w:val="00822F7A"/>
    <w:rsid w:val="00822F81"/>
    <w:rsid w:val="00823BE9"/>
    <w:rsid w:val="00844260"/>
    <w:rsid w:val="00880460"/>
    <w:rsid w:val="008A1F97"/>
    <w:rsid w:val="008A7A32"/>
    <w:rsid w:val="008B1D74"/>
    <w:rsid w:val="008E4D74"/>
    <w:rsid w:val="008F3C5F"/>
    <w:rsid w:val="0093247B"/>
    <w:rsid w:val="009464DE"/>
    <w:rsid w:val="00950794"/>
    <w:rsid w:val="00952C05"/>
    <w:rsid w:val="00961DBB"/>
    <w:rsid w:val="00963CA1"/>
    <w:rsid w:val="0096501A"/>
    <w:rsid w:val="00965DEC"/>
    <w:rsid w:val="00971B5E"/>
    <w:rsid w:val="00980875"/>
    <w:rsid w:val="009A1F7D"/>
    <w:rsid w:val="009A7C3A"/>
    <w:rsid w:val="009B4D70"/>
    <w:rsid w:val="009B6122"/>
    <w:rsid w:val="009D7F13"/>
    <w:rsid w:val="009D7F28"/>
    <w:rsid w:val="00A0518A"/>
    <w:rsid w:val="00A23553"/>
    <w:rsid w:val="00A241B5"/>
    <w:rsid w:val="00A2459F"/>
    <w:rsid w:val="00A36DC7"/>
    <w:rsid w:val="00A454B1"/>
    <w:rsid w:val="00A4723B"/>
    <w:rsid w:val="00A512C4"/>
    <w:rsid w:val="00A517D5"/>
    <w:rsid w:val="00A53618"/>
    <w:rsid w:val="00A5798E"/>
    <w:rsid w:val="00A63230"/>
    <w:rsid w:val="00A71890"/>
    <w:rsid w:val="00A92106"/>
    <w:rsid w:val="00AA7AB8"/>
    <w:rsid w:val="00AB05B9"/>
    <w:rsid w:val="00AB1A44"/>
    <w:rsid w:val="00AD0B74"/>
    <w:rsid w:val="00AD25CB"/>
    <w:rsid w:val="00AF790A"/>
    <w:rsid w:val="00B1218C"/>
    <w:rsid w:val="00B1294C"/>
    <w:rsid w:val="00B16165"/>
    <w:rsid w:val="00B2528C"/>
    <w:rsid w:val="00B3311D"/>
    <w:rsid w:val="00B37DE1"/>
    <w:rsid w:val="00B56A6F"/>
    <w:rsid w:val="00B56C10"/>
    <w:rsid w:val="00B7124C"/>
    <w:rsid w:val="00B917DA"/>
    <w:rsid w:val="00B95EC1"/>
    <w:rsid w:val="00BB5387"/>
    <w:rsid w:val="00BE20EA"/>
    <w:rsid w:val="00BF32F0"/>
    <w:rsid w:val="00C206DC"/>
    <w:rsid w:val="00C308E9"/>
    <w:rsid w:val="00C67C10"/>
    <w:rsid w:val="00C76DDB"/>
    <w:rsid w:val="00C9158A"/>
    <w:rsid w:val="00CC649A"/>
    <w:rsid w:val="00CE2BD2"/>
    <w:rsid w:val="00CE5845"/>
    <w:rsid w:val="00D00719"/>
    <w:rsid w:val="00D200BA"/>
    <w:rsid w:val="00D213E4"/>
    <w:rsid w:val="00D7630C"/>
    <w:rsid w:val="00D92D81"/>
    <w:rsid w:val="00D9340E"/>
    <w:rsid w:val="00DA3656"/>
    <w:rsid w:val="00DB0DA9"/>
    <w:rsid w:val="00DB1A97"/>
    <w:rsid w:val="00DD2177"/>
    <w:rsid w:val="00DD53C4"/>
    <w:rsid w:val="00DD59D5"/>
    <w:rsid w:val="00E168E6"/>
    <w:rsid w:val="00E25D18"/>
    <w:rsid w:val="00E373DD"/>
    <w:rsid w:val="00E40056"/>
    <w:rsid w:val="00E63108"/>
    <w:rsid w:val="00E808E9"/>
    <w:rsid w:val="00E9153A"/>
    <w:rsid w:val="00EA62D4"/>
    <w:rsid w:val="00EC3041"/>
    <w:rsid w:val="00F164D1"/>
    <w:rsid w:val="00F25C56"/>
    <w:rsid w:val="00F66569"/>
    <w:rsid w:val="00F7651E"/>
    <w:rsid w:val="00F81BA3"/>
    <w:rsid w:val="00FC3B8D"/>
    <w:rsid w:val="00FC6BD7"/>
    <w:rsid w:val="00FD32F9"/>
    <w:rsid w:val="00FE0607"/>
    <w:rsid w:val="00FE2CB0"/>
    <w:rsid w:val="00FF30E0"/>
    <w:rsid w:val="00FF70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5C0E20-8500-4F8C-8046-DEAF9EC3D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EE"/>
    <w:pPr>
      <w:spacing w:after="200" w:line="276" w:lineRule="auto"/>
    </w:pPr>
    <w:rPr>
      <w:sz w:val="22"/>
      <w:szCs w:val="22"/>
      <w:lang w:eastAsia="en-US"/>
    </w:rPr>
  </w:style>
  <w:style w:type="paragraph" w:styleId="Ttulo4">
    <w:name w:val="heading 4"/>
    <w:basedOn w:val="Normal"/>
    <w:next w:val="Normal"/>
    <w:link w:val="Ttulo4Car"/>
    <w:uiPriority w:val="9"/>
    <w:semiHidden/>
    <w:unhideWhenUsed/>
    <w:qFormat/>
    <w:rsid w:val="009A7C3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65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65B1"/>
  </w:style>
  <w:style w:type="paragraph" w:styleId="Piedepgina">
    <w:name w:val="footer"/>
    <w:basedOn w:val="Normal"/>
    <w:link w:val="PiedepginaCar"/>
    <w:uiPriority w:val="99"/>
    <w:unhideWhenUsed/>
    <w:rsid w:val="002B65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65B1"/>
  </w:style>
  <w:style w:type="paragraph" w:styleId="Textodeglobo">
    <w:name w:val="Balloon Text"/>
    <w:basedOn w:val="Normal"/>
    <w:link w:val="TextodegloboCar"/>
    <w:uiPriority w:val="99"/>
    <w:semiHidden/>
    <w:unhideWhenUsed/>
    <w:rsid w:val="00A921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2106"/>
    <w:rPr>
      <w:rFonts w:ascii="Tahoma" w:hAnsi="Tahoma" w:cs="Tahoma"/>
      <w:sz w:val="16"/>
      <w:szCs w:val="16"/>
    </w:rPr>
  </w:style>
  <w:style w:type="character" w:styleId="Hipervnculo">
    <w:name w:val="Hyperlink"/>
    <w:basedOn w:val="Fuentedeprrafopredeter"/>
    <w:uiPriority w:val="99"/>
    <w:unhideWhenUsed/>
    <w:rsid w:val="008B1D74"/>
    <w:rPr>
      <w:color w:val="0000FF"/>
      <w:u w:val="single"/>
    </w:rPr>
  </w:style>
  <w:style w:type="paragraph" w:styleId="Textoindependiente">
    <w:name w:val="Body Text"/>
    <w:basedOn w:val="Normal"/>
    <w:link w:val="TextoindependienteCar"/>
    <w:rsid w:val="00B1218C"/>
    <w:pPr>
      <w:suppressAutoHyphens/>
      <w:autoSpaceDE w:val="0"/>
      <w:spacing w:after="120" w:line="240" w:lineRule="auto"/>
    </w:pPr>
    <w:rPr>
      <w:sz w:val="20"/>
      <w:szCs w:val="20"/>
      <w:lang w:val="en-US" w:eastAsia="zh-CN"/>
    </w:rPr>
  </w:style>
  <w:style w:type="character" w:customStyle="1" w:styleId="TextoindependienteCar">
    <w:name w:val="Texto independiente Car"/>
    <w:basedOn w:val="Fuentedeprrafopredeter"/>
    <w:link w:val="Textoindependiente"/>
    <w:rsid w:val="00B1218C"/>
    <w:rPr>
      <w:lang w:val="en-US" w:eastAsia="zh-CN"/>
    </w:rPr>
  </w:style>
  <w:style w:type="paragraph" w:customStyle="1" w:styleId="FigureCaption">
    <w:name w:val="Figure Caption"/>
    <w:basedOn w:val="Normal"/>
    <w:rsid w:val="00B1218C"/>
    <w:pPr>
      <w:suppressAutoHyphens/>
      <w:autoSpaceDE w:val="0"/>
      <w:spacing w:after="0" w:line="240" w:lineRule="auto"/>
      <w:jc w:val="both"/>
    </w:pPr>
    <w:rPr>
      <w:rFonts w:ascii="Times New Roman" w:hAnsi="Times New Roman"/>
      <w:sz w:val="16"/>
      <w:szCs w:val="16"/>
      <w:lang w:val="en-US" w:eastAsia="zh-CN"/>
    </w:rPr>
  </w:style>
  <w:style w:type="character" w:styleId="Refdecomentario">
    <w:name w:val="annotation reference"/>
    <w:basedOn w:val="Fuentedeprrafopredeter"/>
    <w:uiPriority w:val="99"/>
    <w:semiHidden/>
    <w:unhideWhenUsed/>
    <w:rsid w:val="00D00719"/>
    <w:rPr>
      <w:sz w:val="16"/>
      <w:szCs w:val="16"/>
    </w:rPr>
  </w:style>
  <w:style w:type="paragraph" w:styleId="Textocomentario">
    <w:name w:val="annotation text"/>
    <w:basedOn w:val="Normal"/>
    <w:link w:val="TextocomentarioCar"/>
    <w:uiPriority w:val="99"/>
    <w:semiHidden/>
    <w:unhideWhenUsed/>
    <w:rsid w:val="00D00719"/>
    <w:rPr>
      <w:sz w:val="20"/>
      <w:szCs w:val="20"/>
    </w:rPr>
  </w:style>
  <w:style w:type="character" w:customStyle="1" w:styleId="TextocomentarioCar">
    <w:name w:val="Texto comentario Car"/>
    <w:basedOn w:val="Fuentedeprrafopredeter"/>
    <w:link w:val="Textocomentario"/>
    <w:uiPriority w:val="99"/>
    <w:semiHidden/>
    <w:rsid w:val="00D00719"/>
    <w:rPr>
      <w:lang w:val="es-ES"/>
    </w:rPr>
  </w:style>
  <w:style w:type="paragraph" w:styleId="Asuntodelcomentario">
    <w:name w:val="annotation subject"/>
    <w:basedOn w:val="Textocomentario"/>
    <w:next w:val="Textocomentario"/>
    <w:link w:val="AsuntodelcomentarioCar"/>
    <w:uiPriority w:val="99"/>
    <w:semiHidden/>
    <w:unhideWhenUsed/>
    <w:rsid w:val="00D00719"/>
    <w:rPr>
      <w:b/>
      <w:bCs/>
    </w:rPr>
  </w:style>
  <w:style w:type="character" w:customStyle="1" w:styleId="AsuntodelcomentarioCar">
    <w:name w:val="Asunto del comentario Car"/>
    <w:basedOn w:val="TextocomentarioCar"/>
    <w:link w:val="Asuntodelcomentario"/>
    <w:uiPriority w:val="99"/>
    <w:semiHidden/>
    <w:rsid w:val="00D00719"/>
    <w:rPr>
      <w:b/>
      <w:bCs/>
      <w:lang w:val="es-ES"/>
    </w:rPr>
  </w:style>
  <w:style w:type="paragraph" w:styleId="Prrafodelista">
    <w:name w:val="List Paragraph"/>
    <w:basedOn w:val="Normal"/>
    <w:link w:val="PrrafodelistaCar"/>
    <w:uiPriority w:val="34"/>
    <w:qFormat/>
    <w:rsid w:val="00BB5387"/>
    <w:pPr>
      <w:ind w:left="720"/>
      <w:contextualSpacing/>
    </w:pPr>
  </w:style>
  <w:style w:type="table" w:customStyle="1" w:styleId="Tabladecuadrcula1clara-nfasis61">
    <w:name w:val="Tabla de cuadrícula 1 clara - Énfasis 61"/>
    <w:basedOn w:val="Tablanormal"/>
    <w:uiPriority w:val="46"/>
    <w:rsid w:val="00BB538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PrrafodelistaCar">
    <w:name w:val="Párrafo de lista Car"/>
    <w:link w:val="Prrafodelista"/>
    <w:uiPriority w:val="34"/>
    <w:rsid w:val="00BB5387"/>
    <w:rPr>
      <w:sz w:val="22"/>
      <w:szCs w:val="22"/>
      <w:lang w:eastAsia="en-US"/>
    </w:rPr>
  </w:style>
  <w:style w:type="table" w:customStyle="1" w:styleId="Tablaconcuadrcula2">
    <w:name w:val="Tabla con cuadrícula2"/>
    <w:basedOn w:val="Tablanormal"/>
    <w:next w:val="Tablaconcuadrcula"/>
    <w:uiPriority w:val="59"/>
    <w:rsid w:val="00880460"/>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8804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880460"/>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ar"/>
    <w:rsid w:val="0012455E"/>
    <w:pPr>
      <w:spacing w:after="160" w:line="240" w:lineRule="auto"/>
      <w:jc w:val="both"/>
    </w:pPr>
    <w:rPr>
      <w:rFonts w:eastAsiaTheme="minorHAnsi" w:cstheme="minorBidi"/>
      <w:noProof/>
      <w:lang w:val="en-US"/>
    </w:rPr>
  </w:style>
  <w:style w:type="character" w:customStyle="1" w:styleId="EndNoteBibliographyCar">
    <w:name w:val="EndNote Bibliography Car"/>
    <w:basedOn w:val="Fuentedeprrafopredeter"/>
    <w:link w:val="EndNoteBibliography"/>
    <w:rsid w:val="0012455E"/>
    <w:rPr>
      <w:rFonts w:eastAsiaTheme="minorHAnsi" w:cstheme="minorBidi"/>
      <w:noProof/>
      <w:sz w:val="22"/>
      <w:szCs w:val="22"/>
      <w:lang w:val="en-US" w:eastAsia="en-US"/>
    </w:rPr>
  </w:style>
  <w:style w:type="paragraph" w:styleId="HTMLconformatoprevio">
    <w:name w:val="HTML Preformatted"/>
    <w:basedOn w:val="Normal"/>
    <w:link w:val="HTMLconformatoprevioCar"/>
    <w:uiPriority w:val="99"/>
    <w:unhideWhenUsed/>
    <w:rsid w:val="004E5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4E58DC"/>
    <w:rPr>
      <w:rFonts w:ascii="Courier New" w:eastAsia="Times New Roman" w:hAnsi="Courier New" w:cs="Courier New"/>
    </w:rPr>
  </w:style>
  <w:style w:type="paragraph" w:customStyle="1" w:styleId="Default">
    <w:name w:val="Default"/>
    <w:rsid w:val="009A7C3A"/>
    <w:pPr>
      <w:autoSpaceDE w:val="0"/>
      <w:autoSpaceDN w:val="0"/>
      <w:adjustRightInd w:val="0"/>
    </w:pPr>
    <w:rPr>
      <w:rFonts w:ascii="Times New Roman" w:hAnsi="Times New Roman"/>
      <w:color w:val="000000"/>
      <w:sz w:val="24"/>
      <w:szCs w:val="24"/>
    </w:rPr>
  </w:style>
  <w:style w:type="character" w:customStyle="1" w:styleId="Ttulo4Car">
    <w:name w:val="Título 4 Car"/>
    <w:basedOn w:val="Fuentedeprrafopredeter"/>
    <w:link w:val="Ttulo4"/>
    <w:uiPriority w:val="9"/>
    <w:semiHidden/>
    <w:rsid w:val="009A7C3A"/>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3434">
      <w:bodyDiv w:val="1"/>
      <w:marLeft w:val="0"/>
      <w:marRight w:val="0"/>
      <w:marTop w:val="0"/>
      <w:marBottom w:val="0"/>
      <w:divBdr>
        <w:top w:val="none" w:sz="0" w:space="0" w:color="auto"/>
        <w:left w:val="none" w:sz="0" w:space="0" w:color="auto"/>
        <w:bottom w:val="none" w:sz="0" w:space="0" w:color="auto"/>
        <w:right w:val="none" w:sz="0" w:space="0" w:color="auto"/>
      </w:divBdr>
      <w:divsChild>
        <w:div w:id="1929650619">
          <w:marLeft w:val="0"/>
          <w:marRight w:val="0"/>
          <w:marTop w:val="0"/>
          <w:marBottom w:val="0"/>
          <w:divBdr>
            <w:top w:val="none" w:sz="0" w:space="0" w:color="auto"/>
            <w:left w:val="none" w:sz="0" w:space="0" w:color="auto"/>
            <w:bottom w:val="none" w:sz="0" w:space="0" w:color="auto"/>
            <w:right w:val="none" w:sz="0" w:space="0" w:color="auto"/>
          </w:divBdr>
        </w:div>
      </w:divsChild>
    </w:div>
    <w:div w:id="1094982625">
      <w:bodyDiv w:val="1"/>
      <w:marLeft w:val="0"/>
      <w:marRight w:val="0"/>
      <w:marTop w:val="0"/>
      <w:marBottom w:val="0"/>
      <w:divBdr>
        <w:top w:val="none" w:sz="0" w:space="0" w:color="auto"/>
        <w:left w:val="none" w:sz="0" w:space="0" w:color="auto"/>
        <w:bottom w:val="none" w:sz="0" w:space="0" w:color="auto"/>
        <w:right w:val="none" w:sz="0" w:space="0" w:color="auto"/>
      </w:divBdr>
    </w:div>
    <w:div w:id="1140685198">
      <w:bodyDiv w:val="1"/>
      <w:marLeft w:val="0"/>
      <w:marRight w:val="0"/>
      <w:marTop w:val="0"/>
      <w:marBottom w:val="0"/>
      <w:divBdr>
        <w:top w:val="none" w:sz="0" w:space="0" w:color="auto"/>
        <w:left w:val="none" w:sz="0" w:space="0" w:color="auto"/>
        <w:bottom w:val="none" w:sz="0" w:space="0" w:color="auto"/>
        <w:right w:val="none" w:sz="0" w:space="0" w:color="auto"/>
      </w:divBdr>
    </w:div>
    <w:div w:id="180114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ta\AppData\Local\Temp\Plantilla%20Centro%20Azucar%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obertors\AppData\Local\Microsoft\Windows\Temporary%20Internet%20Files\Content.Outlook\S7SIBTFZ\Etapa%208%20nuevo%20(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C:\Users\Robertors\AppData\Local\Microsoft\Windows\Temporary%20Internet%20Files\Content.Outlook\S7SIBTFZ\Etapa%208%20nuevo%20(7).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oleObject" Target="file:///C:\Users\Robertors\AppData\Local\Microsoft\Windows\Temporary%20Internet%20Files\Content.Outlook\S7SIBTFZ\Etapa%208%20nuevo.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3.xml"/><Relationship Id="rId4" Type="http://schemas.openxmlformats.org/officeDocument/2006/relationships/oleObject" Target="file:///C:\Users\Robertors\AppData\Local\Microsoft\Windows\Temporary%20Internet%20Files\Content.Outlook\S7SIBTFZ\Etapa%208%20nuevo%20(7).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4.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5.xml"/><Relationship Id="rId4" Type="http://schemas.openxmlformats.org/officeDocument/2006/relationships/oleObject" Target="file:///C:\Users\Robertors\AppData\Local\Microsoft\Windows\Temporary%20Internet%20Files\Content.Outlook\S7SIBTFZ\Etapa%208%20nuev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E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BIOENSAYOS 1 Y 2 </a:t>
            </a:r>
          </a:p>
        </c:rich>
      </c:tx>
      <c:layout>
        <c:manualLayout>
          <c:xMode val="edge"/>
          <c:yMode val="edge"/>
          <c:x val="0.41401267969465905"/>
          <c:y val="5.4945054945054944E-2"/>
        </c:manualLayout>
      </c:layout>
      <c:overlay val="0"/>
      <c:spPr>
        <a:noFill/>
        <a:ln>
          <a:noFill/>
        </a:ln>
        <a:effectLst/>
      </c:spPr>
      <c:txPr>
        <a:bodyPr rot="0" spcFirstLastPara="1" vertOverflow="ellipsis" vert="horz" wrap="square" anchor="ctr" anchorCtr="1"/>
        <a:lstStyle/>
        <a:p>
          <a:pPr>
            <a:defRPr lang="es-E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autoTitleDeleted val="0"/>
    <c:plotArea>
      <c:layout>
        <c:manualLayout>
          <c:layoutTarget val="inner"/>
          <c:xMode val="edge"/>
          <c:yMode val="edge"/>
          <c:x val="0.16209764128901527"/>
          <c:y val="0.16708333333333336"/>
          <c:w val="0.74233547761604679"/>
          <c:h val="0.65408209390492866"/>
        </c:manualLayout>
      </c:layout>
      <c:scatterChart>
        <c:scatterStyle val="lineMarker"/>
        <c:varyColors val="0"/>
        <c:ser>
          <c:idx val="0"/>
          <c:order val="0"/>
          <c:tx>
            <c:v>Bioensayo 1</c:v>
          </c:tx>
          <c:spPr>
            <a:ln w="19050" cap="rnd">
              <a:solidFill>
                <a:srgbClr val="4F81BD"/>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lang="es-ES" sz="900" b="0" i="0" u="none" strike="noStrike" kern="1200" spc="0" baseline="0">
                    <a:solidFill>
                      <a:sysClr val="windowText" lastClr="000000">
                        <a:lumMod val="65000"/>
                        <a:lumOff val="35000"/>
                      </a:sys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'[Etapa 8 nuevo (5).xlsx]Semillas'!$A$3:$A$7</c:f>
              <c:numCache>
                <c:formatCode>General</c:formatCode>
                <c:ptCount val="5"/>
                <c:pt idx="0">
                  <c:v>1</c:v>
                </c:pt>
                <c:pt idx="1">
                  <c:v>5</c:v>
                </c:pt>
                <c:pt idx="2">
                  <c:v>25</c:v>
                </c:pt>
                <c:pt idx="3">
                  <c:v>50</c:v>
                </c:pt>
                <c:pt idx="4">
                  <c:v>100</c:v>
                </c:pt>
              </c:numCache>
            </c:numRef>
          </c:xVal>
          <c:yVal>
            <c:numRef>
              <c:f>'[Etapa 8 nuevo (5).xlsx]Semillas'!$D$3:$D$7</c:f>
              <c:numCache>
                <c:formatCode>0</c:formatCode>
                <c:ptCount val="5"/>
                <c:pt idx="0">
                  <c:v>15.384615384615385</c:v>
                </c:pt>
                <c:pt idx="1">
                  <c:v>30.76923076923077</c:v>
                </c:pt>
                <c:pt idx="2">
                  <c:v>34.615384615384613</c:v>
                </c:pt>
                <c:pt idx="3">
                  <c:v>40.384615384615387</c:v>
                </c:pt>
                <c:pt idx="4">
                  <c:v>42.307692307692307</c:v>
                </c:pt>
              </c:numCache>
            </c:numRef>
          </c:yVal>
          <c:smooth val="0"/>
        </c:ser>
        <c:ser>
          <c:idx val="1"/>
          <c:order val="1"/>
          <c:tx>
            <c:v>Bioensayo 2</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spc="0" baseline="0">
                    <a:solidFill>
                      <a:sysClr val="windowText" lastClr="000000">
                        <a:lumMod val="65000"/>
                        <a:lumOff val="35000"/>
                      </a:sys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'[Etapa 8 nuevo (5).xlsx]Semillas'!$A$11:$A$15</c:f>
              <c:numCache>
                <c:formatCode>General</c:formatCode>
                <c:ptCount val="5"/>
                <c:pt idx="0">
                  <c:v>1</c:v>
                </c:pt>
                <c:pt idx="1">
                  <c:v>5</c:v>
                </c:pt>
                <c:pt idx="2">
                  <c:v>25</c:v>
                </c:pt>
                <c:pt idx="3">
                  <c:v>50</c:v>
                </c:pt>
                <c:pt idx="4">
                  <c:v>100</c:v>
                </c:pt>
              </c:numCache>
            </c:numRef>
          </c:xVal>
          <c:yVal>
            <c:numRef>
              <c:f>'[Etapa 8 nuevo (5).xlsx]Semillas'!$D$11:$D$15</c:f>
              <c:numCache>
                <c:formatCode>0</c:formatCode>
                <c:ptCount val="5"/>
                <c:pt idx="0">
                  <c:v>19.23076923076923</c:v>
                </c:pt>
                <c:pt idx="1">
                  <c:v>23.076923076923077</c:v>
                </c:pt>
                <c:pt idx="2">
                  <c:v>36.53846153846154</c:v>
                </c:pt>
                <c:pt idx="3">
                  <c:v>40.384615384615387</c:v>
                </c:pt>
                <c:pt idx="4">
                  <c:v>44.230769230769234</c:v>
                </c:pt>
              </c:numCache>
            </c:numRef>
          </c:yVal>
          <c:smooth val="0"/>
        </c:ser>
        <c:dLbls>
          <c:dLblPos val="t"/>
          <c:showLegendKey val="0"/>
          <c:showVal val="1"/>
          <c:showCatName val="0"/>
          <c:showSerName val="0"/>
          <c:showPercent val="0"/>
          <c:showBubbleSize val="0"/>
        </c:dLbls>
        <c:axId val="177263568"/>
        <c:axId val="177264128"/>
      </c:scatterChart>
      <c:valAx>
        <c:axId val="177263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s-ES" sz="12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s-ES" b="1">
                    <a:latin typeface="Times New Roman" panose="02020603050405020304" pitchFamily="18" charset="0"/>
                    <a:cs typeface="Times New Roman" panose="02020603050405020304" pitchFamily="18" charset="0"/>
                  </a:rPr>
                  <a:t>Concentracion (%)</a:t>
                </a:r>
              </a:p>
            </c:rich>
          </c:tx>
          <c:overlay val="0"/>
          <c:spPr>
            <a:noFill/>
            <a:ln>
              <a:noFill/>
            </a:ln>
            <a:effectLst/>
          </c:spPr>
          <c:txPr>
            <a:bodyPr rot="0" spcFirstLastPara="1" vertOverflow="ellipsis" vert="horz" wrap="square" anchor="ctr" anchorCtr="1"/>
            <a:lstStyle/>
            <a:p>
              <a:pPr>
                <a:defRPr lang="es-ES" sz="12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s-ES" sz="1200" b="0" i="0" u="none" strike="noStrike" kern="1200" spc="0" baseline="0">
                <a:solidFill>
                  <a:sysClr val="windowText" lastClr="000000">
                    <a:lumMod val="65000"/>
                    <a:lumOff val="35000"/>
                  </a:sys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264128"/>
        <c:crosses val="autoZero"/>
        <c:crossBetween val="midCat"/>
      </c:valAx>
      <c:valAx>
        <c:axId val="17726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s-ES" sz="12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s-ES" b="1">
                    <a:latin typeface="Times New Roman" panose="02020603050405020304" pitchFamily="18" charset="0"/>
                    <a:cs typeface="Times New Roman" panose="02020603050405020304" pitchFamily="18" charset="0"/>
                  </a:rPr>
                  <a:t>Mortalidad (%)</a:t>
                </a:r>
              </a:p>
            </c:rich>
          </c:tx>
          <c:layout>
            <c:manualLayout>
              <c:xMode val="edge"/>
              <c:yMode val="edge"/>
              <c:x val="3.0604073730327429E-2"/>
              <c:y val="0.29179537988215049"/>
            </c:manualLayout>
          </c:layout>
          <c:overlay val="0"/>
          <c:spPr>
            <a:noFill/>
            <a:ln>
              <a:noFill/>
            </a:ln>
            <a:effectLst/>
          </c:spPr>
          <c:txPr>
            <a:bodyPr rot="-5400000" spcFirstLastPara="1" vertOverflow="ellipsis" vert="horz" wrap="square" anchor="ctr" anchorCtr="1"/>
            <a:lstStyle/>
            <a:p>
              <a:pPr>
                <a:defRPr lang="es-ES" sz="12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s-ES" sz="1200" b="0" i="0" u="none" strike="noStrike" kern="1200" spc="0" baseline="0">
                <a:solidFill>
                  <a:sysClr val="windowText" lastClr="000000">
                    <a:lumMod val="65000"/>
                    <a:lumOff val="35000"/>
                  </a:sys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263568"/>
        <c:crosses val="autoZero"/>
        <c:crossBetween val="midCat"/>
      </c:valAx>
      <c:spPr>
        <a:noFill/>
        <a:ln>
          <a:noFill/>
        </a:ln>
        <a:effectLst/>
      </c:spPr>
    </c:plotArea>
    <c:legend>
      <c:legendPos val="r"/>
      <c:layout>
        <c:manualLayout>
          <c:xMode val="edge"/>
          <c:yMode val="edge"/>
          <c:x val="0.71115908569681219"/>
          <c:y val="0.41083721677647428"/>
          <c:w val="0.22783354993247204"/>
          <c:h val="0.16419911796739695"/>
        </c:manualLayout>
      </c:layout>
      <c:overlay val="0"/>
      <c:spPr>
        <a:noFill/>
        <a:ln>
          <a:noFill/>
        </a:ln>
        <a:effectLst/>
      </c:spPr>
      <c:txPr>
        <a:bodyPr rot="0" spcFirstLastPara="1" vertOverflow="ellipsis" vert="horz" wrap="square" anchor="ctr" anchorCtr="1"/>
        <a:lstStyle/>
        <a:p>
          <a:pPr>
            <a:defRPr lang="es-ES" sz="1000" b="0"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legend>
    <c:plotVisOnly val="1"/>
    <c:dispBlanksAs val="gap"/>
    <c:showDLblsOverMax val="0"/>
  </c:chart>
  <c:spPr>
    <a:noFill/>
    <a:ln w="9525" cap="flat" cmpd="sng" algn="ctr">
      <a:solidFill>
        <a:schemeClr val="tx1"/>
      </a:solidFill>
      <a:round/>
    </a:ln>
    <a:effectLst/>
  </c:spPr>
  <c:txPr>
    <a:bodyPr/>
    <a:lstStyle/>
    <a:p>
      <a:pPr algn="ctr" rtl="0">
        <a:defRPr lang="es-ES" sz="1200" b="0" i="0" u="none" strike="noStrike" kern="1200" spc="0" baseline="0">
          <a:solidFill>
            <a:sysClr val="windowText" lastClr="000000">
              <a:lumMod val="65000"/>
              <a:lumOff val="35000"/>
            </a:sysClr>
          </a:solidFill>
          <a:latin typeface="Verdana" panose="020B0604030504040204" pitchFamily="34" charset="0"/>
          <a:ea typeface="Verdana" panose="020B0604030504040204" pitchFamily="34" charset="0"/>
          <a:cs typeface="Verdana" panose="020B0604030504040204" pitchFamily="34" charset="0"/>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n-U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rPr>
              <a:t>BIOENSAYOS 3 Y 4 </a:t>
            </a:r>
          </a:p>
        </c:rich>
      </c:tx>
      <c:layout>
        <c:manualLayout>
          <c:xMode val="edge"/>
          <c:yMode val="edge"/>
          <c:x val="0.41172718339117564"/>
          <c:y val="5.5248618784530384E-2"/>
        </c:manualLayout>
      </c:layout>
      <c:overlay val="0"/>
      <c:spPr>
        <a:noFill/>
        <a:ln>
          <a:noFill/>
        </a:ln>
        <a:effectLst/>
      </c:spPr>
      <c:txPr>
        <a:bodyPr rot="0" spcFirstLastPara="1" vertOverflow="ellipsis" vert="horz" wrap="square" anchor="ctr" anchorCtr="1"/>
        <a:lstStyle/>
        <a:p>
          <a:pPr algn="ctr" rtl="0">
            <a:defRPr lang="en-U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autoTitleDeleted val="0"/>
    <c:plotArea>
      <c:layout>
        <c:manualLayout>
          <c:layoutTarget val="inner"/>
          <c:xMode val="edge"/>
          <c:yMode val="edge"/>
          <c:x val="0.14524660720727448"/>
          <c:y val="0.16708342396426967"/>
          <c:w val="0.74233547761604679"/>
          <c:h val="0.65408209390492866"/>
        </c:manualLayout>
      </c:layout>
      <c:scatterChart>
        <c:scatterStyle val="lineMarker"/>
        <c:varyColors val="0"/>
        <c:ser>
          <c:idx val="0"/>
          <c:order val="0"/>
          <c:tx>
            <c:v>Bioensayo 3</c:v>
          </c:tx>
          <c:spPr>
            <a:ln w="19050" cap="rnd">
              <a:solidFill>
                <a:srgbClr val="4F81BD"/>
              </a:solidFill>
              <a:round/>
            </a:ln>
            <a:effectLst/>
          </c:spPr>
          <c:marker>
            <c:symbol val="circle"/>
            <c:size val="5"/>
            <c:spPr>
              <a:solidFill>
                <a:schemeClr val="accent1"/>
              </a:solidFill>
              <a:ln w="9525">
                <a:solidFill>
                  <a:srgbClr val="4F81B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Semillas!$A$19:$A$23</c:f>
              <c:numCache>
                <c:formatCode>General</c:formatCode>
                <c:ptCount val="5"/>
                <c:pt idx="0">
                  <c:v>1</c:v>
                </c:pt>
                <c:pt idx="1">
                  <c:v>5</c:v>
                </c:pt>
                <c:pt idx="2">
                  <c:v>25</c:v>
                </c:pt>
                <c:pt idx="3">
                  <c:v>50</c:v>
                </c:pt>
                <c:pt idx="4">
                  <c:v>100</c:v>
                </c:pt>
              </c:numCache>
            </c:numRef>
          </c:xVal>
          <c:yVal>
            <c:numRef>
              <c:f>Semillas!$D$19:$D$23</c:f>
              <c:numCache>
                <c:formatCode>0</c:formatCode>
                <c:ptCount val="5"/>
                <c:pt idx="0">
                  <c:v>9.615384615384615</c:v>
                </c:pt>
                <c:pt idx="1">
                  <c:v>13.461538461538462</c:v>
                </c:pt>
                <c:pt idx="2">
                  <c:v>32.692307692307693</c:v>
                </c:pt>
                <c:pt idx="3">
                  <c:v>32.692307692307693</c:v>
                </c:pt>
                <c:pt idx="4">
                  <c:v>48.07692307692308</c:v>
                </c:pt>
              </c:numCache>
            </c:numRef>
          </c:yVal>
          <c:smooth val="0"/>
        </c:ser>
        <c:ser>
          <c:idx val="1"/>
          <c:order val="1"/>
          <c:tx>
            <c:v>Bioensayo 4</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1.7566909975669009E-2"/>
                  <c:y val="-3.934959349593496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Semillas!$A$27:$A$31</c:f>
              <c:numCache>
                <c:formatCode>General</c:formatCode>
                <c:ptCount val="5"/>
                <c:pt idx="0">
                  <c:v>1</c:v>
                </c:pt>
                <c:pt idx="1">
                  <c:v>5</c:v>
                </c:pt>
                <c:pt idx="2">
                  <c:v>25</c:v>
                </c:pt>
                <c:pt idx="3">
                  <c:v>50</c:v>
                </c:pt>
                <c:pt idx="4">
                  <c:v>100</c:v>
                </c:pt>
              </c:numCache>
            </c:numRef>
          </c:xVal>
          <c:yVal>
            <c:numRef>
              <c:f>Semillas!$D$27:$D$31</c:f>
              <c:numCache>
                <c:formatCode>0</c:formatCode>
                <c:ptCount val="5"/>
                <c:pt idx="0">
                  <c:v>11.538461538461538</c:v>
                </c:pt>
                <c:pt idx="1">
                  <c:v>19.23076923076923</c:v>
                </c:pt>
                <c:pt idx="2">
                  <c:v>21.31782945736434</c:v>
                </c:pt>
                <c:pt idx="3">
                  <c:v>34.883720930232556</c:v>
                </c:pt>
                <c:pt idx="4">
                  <c:v>42.63565891472868</c:v>
                </c:pt>
              </c:numCache>
            </c:numRef>
          </c:yVal>
          <c:smooth val="0"/>
        </c:ser>
        <c:dLbls>
          <c:dLblPos val="t"/>
          <c:showLegendKey val="0"/>
          <c:showVal val="1"/>
          <c:showCatName val="0"/>
          <c:showSerName val="0"/>
          <c:showPercent val="0"/>
          <c:showBubbleSize val="0"/>
        </c:dLbls>
        <c:axId val="177266928"/>
        <c:axId val="177267488"/>
      </c:scatterChart>
      <c:valAx>
        <c:axId val="177266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rPr>
                  <a:t>Concentración (%)</a:t>
                </a:r>
              </a:p>
            </c:rich>
          </c:tx>
          <c:overlay val="0"/>
          <c:spPr>
            <a:noFill/>
            <a:ln>
              <a:noFill/>
            </a:ln>
            <a:effectLst/>
          </c:spPr>
          <c:txPr>
            <a:bodyPr rot="0" spcFirstLastPara="1" vertOverflow="ellipsis" vert="horz" wrap="square" anchor="ctr" anchorCtr="1"/>
            <a:lstStyle/>
            <a:p>
              <a:pPr algn="ctr" rtl="0">
                <a:def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267488"/>
        <c:crosses val="autoZero"/>
        <c:crossBetween val="midCat"/>
      </c:valAx>
      <c:valAx>
        <c:axId val="17726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rPr>
                  <a:t>Mortalidad (%)</a:t>
                </a:r>
              </a:p>
            </c:rich>
          </c:tx>
          <c:layout>
            <c:manualLayout>
              <c:xMode val="edge"/>
              <c:yMode val="edge"/>
              <c:x val="4.832895888013998E-2"/>
              <c:y val="0.31873754730934878"/>
            </c:manualLayout>
          </c:layout>
          <c:overlay val="0"/>
          <c:spPr>
            <a:noFill/>
            <a:ln>
              <a:noFill/>
            </a:ln>
            <a:effectLst/>
          </c:spPr>
          <c:txPr>
            <a:bodyPr rot="-5400000" spcFirstLastPara="1" vertOverflow="ellipsis" vert="horz" wrap="square" anchor="ctr" anchorCtr="1"/>
            <a:lstStyle/>
            <a:p>
              <a:pPr algn="ctr" rtl="0">
                <a:def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266928"/>
        <c:crosses val="autoZero"/>
        <c:crossBetween val="midCat"/>
      </c:valAx>
      <c:spPr>
        <a:noFill/>
        <a:ln>
          <a:noFill/>
        </a:ln>
        <a:effectLst/>
      </c:spPr>
    </c:plotArea>
    <c:legend>
      <c:legendPos val="r"/>
      <c:layout>
        <c:manualLayout>
          <c:xMode val="edge"/>
          <c:yMode val="edge"/>
          <c:x val="0.72132957832825628"/>
          <c:y val="0.5195028670196713"/>
          <c:w val="0.21995382876410521"/>
          <c:h val="0.188681170951192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legend>
    <c:plotVisOnly val="1"/>
    <c:dispBlanksAs val="gap"/>
    <c:showDLblsOverMax val="0"/>
  </c:chart>
  <c:spPr>
    <a:noFill/>
    <a:ln w="9525" cap="flat" cmpd="sng" algn="ctr">
      <a:solidFill>
        <a:schemeClr val="tx1"/>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n-U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rPr>
              <a:t>BIOENSAYOS 5 Y 6  </a:t>
            </a:r>
          </a:p>
        </c:rich>
      </c:tx>
      <c:layout>
        <c:manualLayout>
          <c:xMode val="edge"/>
          <c:yMode val="edge"/>
          <c:x val="0.4574505874937676"/>
          <c:y val="9.0137222780038398E-2"/>
        </c:manualLayout>
      </c:layout>
      <c:overlay val="0"/>
      <c:spPr>
        <a:noFill/>
        <a:ln>
          <a:noFill/>
        </a:ln>
        <a:effectLst/>
      </c:spPr>
      <c:txPr>
        <a:bodyPr rot="0" spcFirstLastPara="1" vertOverflow="ellipsis" vert="horz" wrap="square" anchor="ctr" anchorCtr="1"/>
        <a:lstStyle/>
        <a:p>
          <a:pPr algn="ctr" rtl="0">
            <a:defRPr lang="en-U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autoTitleDeleted val="0"/>
    <c:plotArea>
      <c:layout>
        <c:manualLayout>
          <c:layoutTarget val="inner"/>
          <c:xMode val="edge"/>
          <c:yMode val="edge"/>
          <c:x val="0.15857165273860443"/>
          <c:y val="0.19827262820217648"/>
          <c:w val="0.74233547761604679"/>
          <c:h val="0.65408209390492866"/>
        </c:manualLayout>
      </c:layout>
      <c:scatterChart>
        <c:scatterStyle val="lineMarker"/>
        <c:varyColors val="0"/>
        <c:ser>
          <c:idx val="0"/>
          <c:order val="0"/>
          <c:tx>
            <c:v>Bioensayo 5</c:v>
          </c:tx>
          <c:spPr>
            <a:ln w="19050" cap="rnd">
              <a:solidFill>
                <a:srgbClr val="4F81BD"/>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Semillas!$A$35:$A$39</c:f>
              <c:numCache>
                <c:formatCode>General</c:formatCode>
                <c:ptCount val="5"/>
                <c:pt idx="0">
                  <c:v>1</c:v>
                </c:pt>
                <c:pt idx="1">
                  <c:v>5</c:v>
                </c:pt>
                <c:pt idx="2">
                  <c:v>25</c:v>
                </c:pt>
                <c:pt idx="3">
                  <c:v>50</c:v>
                </c:pt>
                <c:pt idx="4">
                  <c:v>100</c:v>
                </c:pt>
              </c:numCache>
            </c:numRef>
          </c:xVal>
          <c:yVal>
            <c:numRef>
              <c:f>Semillas!$D$35:$D$39</c:f>
              <c:numCache>
                <c:formatCode>0</c:formatCode>
                <c:ptCount val="5"/>
                <c:pt idx="0">
                  <c:v>25.193798449612402</c:v>
                </c:pt>
                <c:pt idx="1">
                  <c:v>25.193798449612402</c:v>
                </c:pt>
                <c:pt idx="2">
                  <c:v>27.131782945736433</c:v>
                </c:pt>
                <c:pt idx="3">
                  <c:v>31.007751937984494</c:v>
                </c:pt>
                <c:pt idx="4">
                  <c:v>50.387596899224803</c:v>
                </c:pt>
              </c:numCache>
            </c:numRef>
          </c:yVal>
          <c:smooth val="0"/>
        </c:ser>
        <c:ser>
          <c:idx val="1"/>
          <c:order val="1"/>
          <c:tx>
            <c:v>Bioensayo 6</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1.1877133105802047E-2"/>
                  <c:y val="-3.907727797001153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Semillas!$A$43:$A$47</c:f>
              <c:numCache>
                <c:formatCode>General</c:formatCode>
                <c:ptCount val="5"/>
                <c:pt idx="0">
                  <c:v>1</c:v>
                </c:pt>
                <c:pt idx="1">
                  <c:v>5</c:v>
                </c:pt>
                <c:pt idx="2">
                  <c:v>25</c:v>
                </c:pt>
                <c:pt idx="3">
                  <c:v>50</c:v>
                </c:pt>
                <c:pt idx="4">
                  <c:v>100</c:v>
                </c:pt>
              </c:numCache>
            </c:numRef>
          </c:xVal>
          <c:yVal>
            <c:numRef>
              <c:f>Semillas!$D$43:$D$47</c:f>
              <c:numCache>
                <c:formatCode>0</c:formatCode>
                <c:ptCount val="5"/>
                <c:pt idx="0">
                  <c:v>25.193798449612402</c:v>
                </c:pt>
                <c:pt idx="1">
                  <c:v>27.131782945736433</c:v>
                </c:pt>
                <c:pt idx="2">
                  <c:v>46.511627906976742</c:v>
                </c:pt>
                <c:pt idx="3">
                  <c:v>46.511627906976742</c:v>
                </c:pt>
                <c:pt idx="4">
                  <c:v>46.511627906976742</c:v>
                </c:pt>
              </c:numCache>
            </c:numRef>
          </c:yVal>
          <c:smooth val="0"/>
        </c:ser>
        <c:dLbls>
          <c:dLblPos val="t"/>
          <c:showLegendKey val="0"/>
          <c:showVal val="1"/>
          <c:showCatName val="0"/>
          <c:showSerName val="0"/>
          <c:showPercent val="0"/>
          <c:showBubbleSize val="0"/>
        </c:dLbls>
        <c:axId val="417029360"/>
        <c:axId val="417029920"/>
      </c:scatterChart>
      <c:valAx>
        <c:axId val="417029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rPr>
                  <a:t>Concentración (%)</a:t>
                </a:r>
              </a:p>
            </c:rich>
          </c:tx>
          <c:overlay val="0"/>
          <c:spPr>
            <a:noFill/>
            <a:ln>
              <a:noFill/>
            </a:ln>
            <a:effectLst/>
          </c:spPr>
          <c:txPr>
            <a:bodyPr rot="0" spcFirstLastPara="1" vertOverflow="ellipsis" vert="horz" wrap="square" anchor="ctr" anchorCtr="1"/>
            <a:lstStyle/>
            <a:p>
              <a:pPr algn="ctr" rtl="0">
                <a:def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417029920"/>
        <c:crosses val="autoZero"/>
        <c:crossBetween val="midCat"/>
      </c:valAx>
      <c:valAx>
        <c:axId val="41702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rPr>
                  <a:t>Mortalidad (%)</a:t>
                </a:r>
              </a:p>
            </c:rich>
          </c:tx>
          <c:layout>
            <c:manualLayout>
              <c:xMode val="edge"/>
              <c:yMode val="edge"/>
              <c:x val="5.2105239422391786E-2"/>
              <c:y val="0.30119766279215099"/>
            </c:manualLayout>
          </c:layout>
          <c:overlay val="0"/>
          <c:spPr>
            <a:noFill/>
            <a:ln>
              <a:noFill/>
            </a:ln>
            <a:effectLst/>
          </c:spPr>
          <c:txPr>
            <a:bodyPr rot="-5400000" spcFirstLastPara="1" vertOverflow="ellipsis" vert="horz" wrap="square" anchor="ctr" anchorCtr="1"/>
            <a:lstStyle/>
            <a:p>
              <a:pPr algn="ctr" rtl="0">
                <a:defRPr lang="es-ES" sz="1200" b="1"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417029360"/>
        <c:crosses val="autoZero"/>
        <c:crossBetween val="midCat"/>
      </c:valAx>
      <c:spPr>
        <a:noFill/>
        <a:ln>
          <a:noFill/>
        </a:ln>
        <a:effectLst/>
      </c:spPr>
    </c:plotArea>
    <c:legend>
      <c:legendPos val="r"/>
      <c:layout>
        <c:manualLayout>
          <c:xMode val="edge"/>
          <c:yMode val="edge"/>
          <c:x val="0.70699166017217141"/>
          <c:y val="0.56181747177796559"/>
          <c:w val="0.20479893938172405"/>
          <c:h val="0.122627001886608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legend>
    <c:plotVisOnly val="1"/>
    <c:dispBlanksAs val="gap"/>
    <c:showDLblsOverMax val="0"/>
  </c:chart>
  <c:spPr>
    <a:noFill/>
    <a:ln w="9525" cap="flat" cmpd="sng" algn="ctr">
      <a:solidFill>
        <a:schemeClr val="tx1"/>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ea typeface="Verdana" panose="020B0604030504040204" pitchFamily="34" charset="0"/>
                <a:cs typeface="Times New Roman" panose="02020603050405020304" pitchFamily="18" charset="0"/>
              </a:rPr>
              <a:t>BIOENSAYOS 7 Y 8  </a:t>
            </a:r>
          </a:p>
        </c:rich>
      </c:tx>
      <c:layout>
        <c:manualLayout>
          <c:xMode val="edge"/>
          <c:yMode val="edge"/>
          <c:x val="0.41269261437257054"/>
          <c:y val="7.346187039706429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5787816870992391"/>
          <c:y val="0.1670832398188789"/>
          <c:w val="0.74233547761604679"/>
          <c:h val="0.65408209390492866"/>
        </c:manualLayout>
      </c:layout>
      <c:scatterChart>
        <c:scatterStyle val="lineMarker"/>
        <c:varyColors val="0"/>
        <c:ser>
          <c:idx val="0"/>
          <c:order val="0"/>
          <c:tx>
            <c:v>Bioensayo 7</c:v>
          </c:tx>
          <c:spPr>
            <a:ln w="19050" cap="rnd">
              <a:solidFill>
                <a:srgbClr val="4F81BD"/>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numRef>
              <c:f>'[Etapa 8 nuevo (7).xlsx]Semillas'!$A$51:$A$56</c:f>
              <c:numCache>
                <c:formatCode>General</c:formatCode>
                <c:ptCount val="6"/>
                <c:pt idx="0">
                  <c:v>1</c:v>
                </c:pt>
                <c:pt idx="1">
                  <c:v>5</c:v>
                </c:pt>
                <c:pt idx="2">
                  <c:v>25</c:v>
                </c:pt>
                <c:pt idx="3">
                  <c:v>50</c:v>
                </c:pt>
                <c:pt idx="4">
                  <c:v>100</c:v>
                </c:pt>
              </c:numCache>
            </c:numRef>
          </c:xVal>
          <c:yVal>
            <c:numRef>
              <c:f>'[Etapa 8 nuevo (7).xlsx]Semillas'!$D$51:$D$56</c:f>
              <c:numCache>
                <c:formatCode>0</c:formatCode>
                <c:ptCount val="6"/>
                <c:pt idx="0">
                  <c:v>38.759689922480618</c:v>
                </c:pt>
                <c:pt idx="1">
                  <c:v>38.759689922480618</c:v>
                </c:pt>
                <c:pt idx="2">
                  <c:v>48.449612403100772</c:v>
                </c:pt>
                <c:pt idx="3">
                  <c:v>53.846153846153847</c:v>
                </c:pt>
                <c:pt idx="4">
                  <c:v>60.077519379844958</c:v>
                </c:pt>
              </c:numCache>
            </c:numRef>
          </c:yVal>
          <c:smooth val="0"/>
        </c:ser>
        <c:ser>
          <c:idx val="1"/>
          <c:order val="1"/>
          <c:tx>
            <c:v>Bioensayo 8</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1"/>
            <c:dispEq val="1"/>
            <c:trendlineLbl>
              <c:layout>
                <c:manualLayout>
                  <c:x val="0.215700456797739"/>
                  <c:y val="0.3290633107277775"/>
                </c:manualLayout>
              </c:layout>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t>y = 0,2212x + 39,971</a:t>
                    </a:r>
                    <a:br>
                      <a:rPr lang="en-US" sz="1000" b="1"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br>
                    <a:r>
                      <a:rPr lang="en-US" sz="1000" b="1"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t>R² = 0,92</a:t>
                    </a:r>
                    <a:endParaRPr lang="en-US" sz="1000" b="1">
                      <a:solidFill>
                        <a:schemeClr val="accent1"/>
                      </a:solidFill>
                      <a:latin typeface="Times New Roman" panose="02020603050405020304" pitchFamily="18" charset="0"/>
                      <a:ea typeface="Verdana" panose="020B0604030504040204" pitchFamily="34"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rendlineLbl>
          </c:trendline>
          <c:trendline>
            <c:spPr>
              <a:ln w="19050" cap="rnd">
                <a:solidFill>
                  <a:schemeClr val="accent2"/>
                </a:solidFill>
                <a:prstDash val="sysDot"/>
              </a:ln>
              <a:effectLst/>
            </c:spPr>
            <c:trendlineType val="linear"/>
            <c:dispRSqr val="1"/>
            <c:dispEq val="1"/>
            <c:trendlineLbl>
              <c:layout>
                <c:manualLayout>
                  <c:x val="0.19634843624344936"/>
                  <c:y val="0.4501273394238183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t>y = 0,293x + 43,39</a:t>
                    </a:r>
                    <a:br>
                      <a:rPr lang="en-US" sz="1000" b="1"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br>
                    <a:r>
                      <a:rPr lang="en-US" sz="1000" b="1"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t>R² = 0,8903</a:t>
                    </a:r>
                    <a:endParaRPr lang="en-US" sz="1000" b="1">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rendlineLbl>
          </c:trendline>
          <c:xVal>
            <c:numRef>
              <c:f>'[Etapa 8 nuevo (7).xlsx]Semillas'!$A$59:$A$63</c:f>
              <c:numCache>
                <c:formatCode>General</c:formatCode>
                <c:ptCount val="5"/>
                <c:pt idx="0">
                  <c:v>1</c:v>
                </c:pt>
                <c:pt idx="1">
                  <c:v>5</c:v>
                </c:pt>
                <c:pt idx="2">
                  <c:v>25</c:v>
                </c:pt>
                <c:pt idx="3">
                  <c:v>50</c:v>
                </c:pt>
                <c:pt idx="4">
                  <c:v>100</c:v>
                </c:pt>
              </c:numCache>
            </c:numRef>
          </c:xVal>
          <c:yVal>
            <c:numRef>
              <c:f>'[Etapa 8 nuevo (7).xlsx]Semillas'!$D$59:$D$63</c:f>
              <c:numCache>
                <c:formatCode>0</c:formatCode>
                <c:ptCount val="5"/>
                <c:pt idx="0">
                  <c:v>40.384615384615387</c:v>
                </c:pt>
                <c:pt idx="1">
                  <c:v>42.63565891472868</c:v>
                </c:pt>
                <c:pt idx="2">
                  <c:v>54.263565891472865</c:v>
                </c:pt>
                <c:pt idx="3">
                  <c:v>63.46153846153846</c:v>
                </c:pt>
                <c:pt idx="4">
                  <c:v>69.230769230769226</c:v>
                </c:pt>
              </c:numCache>
            </c:numRef>
          </c:yVal>
          <c:smooth val="0"/>
        </c:ser>
        <c:dLbls>
          <c:dLblPos val="t"/>
          <c:showLegendKey val="0"/>
          <c:showVal val="1"/>
          <c:showCatName val="0"/>
          <c:showSerName val="0"/>
          <c:showPercent val="0"/>
          <c:showBubbleSize val="0"/>
        </c:dLbls>
        <c:axId val="417032720"/>
        <c:axId val="417033280"/>
      </c:scatterChart>
      <c:valAx>
        <c:axId val="417032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b="1">
                    <a:latin typeface="Times New Roman" panose="02020603050405020304" pitchFamily="18" charset="0"/>
                    <a:ea typeface="Verdana" panose="020B0604030504040204" pitchFamily="34" charset="0"/>
                    <a:cs typeface="Times New Roman" panose="02020603050405020304" pitchFamily="18" charset="0"/>
                  </a:rPr>
                  <a:t>Concentracion</a:t>
                </a:r>
                <a:r>
                  <a:rPr lang="es-ES" sz="1200" b="1" baseline="0">
                    <a:latin typeface="Times New Roman" panose="02020603050405020304" pitchFamily="18" charset="0"/>
                    <a:ea typeface="Verdana" panose="020B0604030504040204" pitchFamily="34" charset="0"/>
                    <a:cs typeface="Times New Roman" panose="02020603050405020304" pitchFamily="18" charset="0"/>
                  </a:rPr>
                  <a:t> (%)</a:t>
                </a:r>
                <a:endParaRPr lang="es-ES" sz="1200" b="1">
                  <a:latin typeface="Times New Roman" panose="02020603050405020304" pitchFamily="18" charset="0"/>
                  <a:ea typeface="Verdana" panose="020B0604030504040204"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417033280"/>
        <c:crosses val="autoZero"/>
        <c:crossBetween val="midCat"/>
      </c:valAx>
      <c:valAx>
        <c:axId val="41703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b="1">
                    <a:latin typeface="Times New Roman" panose="02020603050405020304" pitchFamily="18" charset="0"/>
                    <a:ea typeface="Verdana" panose="020B0604030504040204" pitchFamily="34" charset="0"/>
                    <a:cs typeface="Times New Roman" panose="02020603050405020304" pitchFamily="18" charset="0"/>
                  </a:rPr>
                  <a:t>Mortalidad (%)</a:t>
                </a:r>
              </a:p>
            </c:rich>
          </c:tx>
          <c:layout>
            <c:manualLayout>
              <c:xMode val="edge"/>
              <c:yMode val="edge"/>
              <c:x val="4.9212333306821496E-2"/>
              <c:y val="0.3076346020545651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417032720"/>
        <c:crosses val="autoZero"/>
        <c:crossBetween val="midCat"/>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layout>
        <c:manualLayout>
          <c:xMode val="edge"/>
          <c:yMode val="edge"/>
          <c:x val="0.75293282784096427"/>
          <c:y val="0.34958729565332514"/>
          <c:w val="0.24441068209667727"/>
          <c:h val="0.16005919820770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legend>
    <c:plotVisOnly val="1"/>
    <c:dispBlanksAs val="gap"/>
    <c:showDLblsOverMax val="0"/>
  </c:chart>
  <c:spPr>
    <a:noFill/>
    <a:ln w="9525" cap="flat" cmpd="sng" algn="ctr">
      <a:solidFill>
        <a:schemeClr val="tx1"/>
      </a:solidFill>
      <a:round/>
    </a:ln>
    <a:effectLst/>
  </c:spPr>
  <c:txPr>
    <a:bodyPr/>
    <a:lstStyle/>
    <a:p>
      <a:pPr>
        <a:defRPr/>
      </a:pPr>
      <a:endParaRPr lang="es-E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ea typeface="Verdana" panose="020B0604030504040204" pitchFamily="34" charset="0"/>
                <a:cs typeface="Times New Roman" panose="02020603050405020304" pitchFamily="18" charset="0"/>
              </a:rPr>
              <a:t>BIOENSAYO</a:t>
            </a:r>
            <a:r>
              <a:rPr lang="en-US" sz="1000" b="1" baseline="0">
                <a:latin typeface="Times New Roman" panose="02020603050405020304" pitchFamily="18" charset="0"/>
                <a:ea typeface="Verdana" panose="020B0604030504040204" pitchFamily="34" charset="0"/>
                <a:cs typeface="Times New Roman" panose="02020603050405020304" pitchFamily="18" charset="0"/>
              </a:rPr>
              <a:t> 1 Y 2</a:t>
            </a:r>
            <a:r>
              <a:rPr lang="en-US" sz="1000" b="1">
                <a:latin typeface="Times New Roman" panose="02020603050405020304" pitchFamily="18" charset="0"/>
                <a:ea typeface="Verdana" panose="020B0604030504040204" pitchFamily="34" charset="0"/>
                <a:cs typeface="Times New Roman" panose="02020603050405020304" pitchFamily="18" charset="0"/>
              </a:rPr>
              <a:t> </a:t>
            </a:r>
          </a:p>
        </c:rich>
      </c:tx>
      <c:layout>
        <c:manualLayout>
          <c:xMode val="edge"/>
          <c:yMode val="edge"/>
          <c:x val="0.45625788743300955"/>
          <c:y val="4.7855609731019405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6209764128901527"/>
          <c:y val="0.16708333333333336"/>
          <c:w val="0.74233547761604679"/>
          <c:h val="0.65408209390492866"/>
        </c:manualLayout>
      </c:layout>
      <c:scatterChart>
        <c:scatterStyle val="lineMarker"/>
        <c:varyColors val="0"/>
        <c:ser>
          <c:idx val="0"/>
          <c:order val="0"/>
          <c:spPr>
            <a:ln w="19050" cap="rnd">
              <a:solidFill>
                <a:schemeClr val="tx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5124355145262022"/>
                  <c:y val="0.31417912997561698"/>
                </c:manualLayout>
              </c:layout>
              <c:tx>
                <c:rich>
                  <a:bodyPr rot="0" spcFirstLastPara="1" vertOverflow="ellipsis" vert="horz" wrap="square" anchor="ctr" anchorCtr="1"/>
                  <a:lstStyle/>
                  <a:p>
                    <a:pPr>
                      <a:defRPr sz="9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r>
                      <a:rPr lang="en-US" sz="1000" b="1"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t>y = 1,0062x + 23,574</a:t>
                    </a:r>
                    <a:br>
                      <a:rPr lang="en-US" sz="1000" b="1"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br>
                    <a:r>
                      <a:rPr lang="en-US" sz="1000" b="1"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t>R² = 0,5568</a:t>
                    </a:r>
                    <a:endParaRPr lang="en-US" sz="1000" b="1">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ES"/>
                </a:p>
              </c:txPr>
            </c:trendlineLbl>
          </c:trendline>
          <c:xVal>
            <c:numRef>
              <c:f>'[Etapa 8 nuevo.xlsx]Hoja2'!$A$3:$A$8</c:f>
              <c:numCache>
                <c:formatCode>General</c:formatCode>
                <c:ptCount val="6"/>
                <c:pt idx="0">
                  <c:v>1</c:v>
                </c:pt>
                <c:pt idx="1">
                  <c:v>5</c:v>
                </c:pt>
                <c:pt idx="2">
                  <c:v>25</c:v>
                </c:pt>
                <c:pt idx="3">
                  <c:v>50</c:v>
                </c:pt>
                <c:pt idx="4">
                  <c:v>100</c:v>
                </c:pt>
              </c:numCache>
            </c:numRef>
          </c:xVal>
          <c:yVal>
            <c:numRef>
              <c:f>'[Etapa 8 nuevo.xlsx]Hoja2'!$D$3:$D$8</c:f>
              <c:numCache>
                <c:formatCode>0</c:formatCode>
                <c:ptCount val="6"/>
                <c:pt idx="0">
                  <c:v>0</c:v>
                </c:pt>
                <c:pt idx="1">
                  <c:v>0</c:v>
                </c:pt>
                <c:pt idx="2">
                  <c:v>100</c:v>
                </c:pt>
                <c:pt idx="3">
                  <c:v>100</c:v>
                </c:pt>
                <c:pt idx="4">
                  <c:v>100</c:v>
                </c:pt>
              </c:numCache>
            </c:numRef>
          </c:yVal>
          <c:smooth val="0"/>
        </c:ser>
        <c:dLbls>
          <c:dLblPos val="t"/>
          <c:showLegendKey val="0"/>
          <c:showVal val="1"/>
          <c:showCatName val="0"/>
          <c:showSerName val="0"/>
          <c:showPercent val="0"/>
          <c:showBubbleSize val="0"/>
        </c:dLbls>
        <c:axId val="177268960"/>
        <c:axId val="177269520"/>
      </c:scatterChart>
      <c:valAx>
        <c:axId val="17726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b="1">
                    <a:latin typeface="Times New Roman" panose="02020603050405020304" pitchFamily="18" charset="0"/>
                    <a:ea typeface="Verdana" panose="020B0604030504040204" pitchFamily="34" charset="0"/>
                    <a:cs typeface="Times New Roman" panose="02020603050405020304" pitchFamily="18" charset="0"/>
                  </a:rPr>
                  <a:t>Concentración</a:t>
                </a:r>
                <a:r>
                  <a:rPr lang="es-ES" sz="1200" b="1" baseline="0">
                    <a:latin typeface="Times New Roman" panose="02020603050405020304" pitchFamily="18" charset="0"/>
                    <a:ea typeface="Verdana" panose="020B0604030504040204" pitchFamily="34" charset="0"/>
                    <a:cs typeface="Times New Roman" panose="02020603050405020304" pitchFamily="18" charset="0"/>
                  </a:rPr>
                  <a:t> (%)</a:t>
                </a:r>
                <a:endParaRPr lang="es-ES" sz="1200" b="1">
                  <a:latin typeface="Times New Roman" panose="02020603050405020304" pitchFamily="18" charset="0"/>
                  <a:ea typeface="Verdana" panose="020B0604030504040204"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269520"/>
        <c:crosses val="autoZero"/>
        <c:crossBetween val="midCat"/>
      </c:valAx>
      <c:valAx>
        <c:axId val="17726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b="1">
                    <a:latin typeface="Times New Roman" panose="02020603050405020304" pitchFamily="18" charset="0"/>
                    <a:ea typeface="Verdana" panose="020B0604030504040204" pitchFamily="34" charset="0"/>
                    <a:cs typeface="Times New Roman" panose="02020603050405020304" pitchFamily="18" charset="0"/>
                  </a:rPr>
                  <a:t>Mortalidad (%)</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268960"/>
        <c:crosses val="autoZero"/>
        <c:crossBetween val="midCat"/>
      </c:valAx>
      <c:spPr>
        <a:noFill/>
        <a:ln>
          <a:noFill/>
        </a:ln>
        <a:effectLst/>
      </c:spPr>
    </c:plotArea>
    <c:plotVisOnly val="1"/>
    <c:dispBlanksAs val="gap"/>
    <c:showDLblsOverMax val="0"/>
  </c:chart>
  <c:spPr>
    <a:noFill/>
    <a:ln w="9525" cap="flat" cmpd="sng" algn="ctr">
      <a:solidFill>
        <a:schemeClr val="tx1"/>
      </a:solidFill>
      <a:round/>
    </a:ln>
    <a:effectLst/>
  </c:spPr>
  <c:txPr>
    <a:bodyPr/>
    <a:lstStyle/>
    <a:p>
      <a:pPr>
        <a:defRPr/>
      </a:pPr>
      <a:endParaRPr lang="es-E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000" b="1">
                <a:latin typeface="Times New Roman" panose="02020603050405020304" pitchFamily="18" charset="0"/>
                <a:ea typeface="Verdana" panose="020B0604030504040204" pitchFamily="34" charset="0"/>
                <a:cs typeface="Times New Roman" panose="02020603050405020304" pitchFamily="18" charset="0"/>
              </a:rPr>
              <a:t>BIOENSAYOS 3 Y 4</a:t>
            </a:r>
          </a:p>
        </c:rich>
      </c:tx>
      <c:layout>
        <c:manualLayout>
          <c:xMode val="edge"/>
          <c:yMode val="edge"/>
          <c:x val="0.38911991351367275"/>
          <c:y val="7.714574032128224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manualLayout>
          <c:layoutTarget val="inner"/>
          <c:xMode val="edge"/>
          <c:yMode val="edge"/>
          <c:x val="0.11228627443302708"/>
          <c:y val="0.20064109741637454"/>
          <c:w val="0.74233547761604679"/>
          <c:h val="0.65408209390492866"/>
        </c:manualLayout>
      </c:layout>
      <c:scatterChart>
        <c:scatterStyle val="lineMarker"/>
        <c:varyColors val="0"/>
        <c:ser>
          <c:idx val="0"/>
          <c:order val="0"/>
          <c:tx>
            <c:v>Bioensayo 3</c:v>
          </c:tx>
          <c:spPr>
            <a:ln w="19050" cap="rnd">
              <a:solidFill>
                <a:srgbClr val="4F81BD"/>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6428966997681991"/>
                  <c:y val="0.10624729760019667"/>
                </c:manualLayout>
              </c:layout>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t>y = 0,6348x + 15,022</a:t>
                    </a:r>
                    <a:br>
                      <a:rPr lang="en-US" sz="1000" b="1"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br>
                    <a:r>
                      <a:rPr lang="en-US" sz="1000" b="1"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t>R² = 0,7404</a:t>
                    </a:r>
                    <a:endParaRPr lang="en-US" sz="1000" b="1">
                      <a:solidFill>
                        <a:schemeClr val="accent1"/>
                      </a:solidFill>
                      <a:latin typeface="Times New Roman" panose="02020603050405020304" pitchFamily="18" charset="0"/>
                      <a:ea typeface="Verdana" panose="020B0604030504040204" pitchFamily="34"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rendlineLbl>
          </c:trendline>
          <c:xVal>
            <c:numRef>
              <c:f>'[Etapa 8 nuevo (7).xlsx]Hoja2'!$A$18:$A$23</c:f>
              <c:numCache>
                <c:formatCode>General</c:formatCode>
                <c:ptCount val="6"/>
                <c:pt idx="0">
                  <c:v>1</c:v>
                </c:pt>
                <c:pt idx="1">
                  <c:v>5</c:v>
                </c:pt>
                <c:pt idx="2">
                  <c:v>25</c:v>
                </c:pt>
                <c:pt idx="3">
                  <c:v>50</c:v>
                </c:pt>
                <c:pt idx="4">
                  <c:v>100</c:v>
                </c:pt>
              </c:numCache>
            </c:numRef>
          </c:xVal>
          <c:yVal>
            <c:numRef>
              <c:f>'[Etapa 8 nuevo (7).xlsx]Hoja2'!$D$18:$D$23</c:f>
              <c:numCache>
                <c:formatCode>0</c:formatCode>
                <c:ptCount val="6"/>
                <c:pt idx="0">
                  <c:v>0</c:v>
                </c:pt>
                <c:pt idx="1">
                  <c:v>13.333333333333334</c:v>
                </c:pt>
                <c:pt idx="2">
                  <c:v>46.666666666666664</c:v>
                </c:pt>
                <c:pt idx="3">
                  <c:v>63.333333333333336</c:v>
                </c:pt>
                <c:pt idx="4">
                  <c:v>66.666666666666671</c:v>
                </c:pt>
              </c:numCache>
            </c:numRef>
          </c:yVal>
          <c:smooth val="0"/>
        </c:ser>
        <c:ser>
          <c:idx val="1"/>
          <c:order val="1"/>
          <c:tx>
            <c:v>Bioensayo 4</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1"/>
            <c:dispEq val="1"/>
            <c:trendlineLbl>
              <c:layout>
                <c:manualLayout>
                  <c:x val="0.24969631373397913"/>
                  <c:y val="0.3731181536192273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r>
                      <a:rPr lang="en-US" sz="1000" b="1"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t>y = 1,176x - 2,5702</a:t>
                    </a:r>
                    <a:br>
                      <a:rPr lang="en-US" sz="1000" b="1"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br>
                    <a:r>
                      <a:rPr lang="en-US" sz="1000" b="1"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t>R² = 0,7605</a:t>
                    </a:r>
                    <a:endParaRPr lang="en-US" sz="1000" b="1">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rendlineLbl>
          </c:trendline>
          <c:xVal>
            <c:numRef>
              <c:f>'[Etapa 8 nuevo (7).xlsx]Hoja2'!$A$26:$A$30</c:f>
              <c:numCache>
                <c:formatCode>General</c:formatCode>
                <c:ptCount val="5"/>
                <c:pt idx="0">
                  <c:v>1</c:v>
                </c:pt>
                <c:pt idx="1">
                  <c:v>5</c:v>
                </c:pt>
                <c:pt idx="2">
                  <c:v>25</c:v>
                </c:pt>
                <c:pt idx="3">
                  <c:v>50</c:v>
                </c:pt>
                <c:pt idx="4">
                  <c:v>100</c:v>
                </c:pt>
              </c:numCache>
            </c:numRef>
          </c:xVal>
          <c:yVal>
            <c:numRef>
              <c:f>'[Etapa 8 nuevo (7).xlsx]Hoja2'!$D$26:$D$30</c:f>
              <c:numCache>
                <c:formatCode>0</c:formatCode>
                <c:ptCount val="5"/>
                <c:pt idx="0">
                  <c:v>0</c:v>
                </c:pt>
                <c:pt idx="1">
                  <c:v>0</c:v>
                </c:pt>
                <c:pt idx="2">
                  <c:v>0</c:v>
                </c:pt>
                <c:pt idx="3">
                  <c:v>100</c:v>
                </c:pt>
                <c:pt idx="4">
                  <c:v>100</c:v>
                </c:pt>
              </c:numCache>
            </c:numRef>
          </c:yVal>
          <c:smooth val="0"/>
        </c:ser>
        <c:dLbls>
          <c:dLblPos val="t"/>
          <c:showLegendKey val="0"/>
          <c:showVal val="1"/>
          <c:showCatName val="0"/>
          <c:showSerName val="0"/>
          <c:showPercent val="0"/>
          <c:showBubbleSize val="0"/>
        </c:dLbls>
        <c:axId val="177272320"/>
        <c:axId val="177272880"/>
      </c:scatterChart>
      <c:valAx>
        <c:axId val="177272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b="1">
                    <a:latin typeface="Times New Roman" panose="02020603050405020304" pitchFamily="18" charset="0"/>
                    <a:ea typeface="Verdana" panose="020B0604030504040204" pitchFamily="34" charset="0"/>
                    <a:cs typeface="Times New Roman" panose="02020603050405020304" pitchFamily="18" charset="0"/>
                  </a:rPr>
                  <a:t>Concentración</a:t>
                </a:r>
                <a:r>
                  <a:rPr lang="es-ES" sz="1200" b="1" baseline="0">
                    <a:latin typeface="Times New Roman" panose="02020603050405020304" pitchFamily="18" charset="0"/>
                    <a:ea typeface="Verdana" panose="020B0604030504040204" pitchFamily="34" charset="0"/>
                    <a:cs typeface="Times New Roman" panose="02020603050405020304" pitchFamily="18" charset="0"/>
                  </a:rPr>
                  <a:t> (%)</a:t>
                </a:r>
                <a:endParaRPr lang="es-ES" sz="1200" b="1">
                  <a:latin typeface="Times New Roman" panose="02020603050405020304" pitchFamily="18" charset="0"/>
                  <a:ea typeface="Verdana" panose="020B0604030504040204"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272880"/>
        <c:crosses val="autoZero"/>
        <c:crossBetween val="midCat"/>
      </c:valAx>
      <c:valAx>
        <c:axId val="17727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b="1">
                    <a:latin typeface="Times New Roman" panose="02020603050405020304" pitchFamily="18" charset="0"/>
                    <a:ea typeface="Verdana" panose="020B0604030504040204" pitchFamily="34" charset="0"/>
                    <a:cs typeface="Times New Roman" panose="02020603050405020304" pitchFamily="18" charset="0"/>
                  </a:rPr>
                  <a:t>Mortalidad (%)</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272320"/>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76910084693021619"/>
          <c:y val="0.23050664121530262"/>
          <c:w val="0.22894611928444236"/>
          <c:h val="0.184603949299725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legend>
    <c:plotVisOnly val="1"/>
    <c:dispBlanksAs val="gap"/>
    <c:showDLblsOverMax val="0"/>
  </c:chart>
  <c:spPr>
    <a:noFill/>
    <a:ln w="9525" cap="flat" cmpd="sng" algn="ctr">
      <a:solidFill>
        <a:schemeClr val="tx1"/>
      </a:solidFill>
      <a:round/>
    </a:ln>
    <a:effectLst/>
  </c:spPr>
  <c:txPr>
    <a:bodyPr/>
    <a:lstStyle/>
    <a:p>
      <a:pPr>
        <a:defRPr/>
      </a:pPr>
      <a:endParaRPr lang="es-E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r>
              <a:rPr lang="es-ES" sz="1000" b="1">
                <a:latin typeface="Times New Roman" panose="02020603050405020304" pitchFamily="18" charset="0"/>
                <a:cs typeface="Times New Roman" panose="02020603050405020304" pitchFamily="18" charset="0"/>
              </a:rPr>
              <a:t>BIOENSAYOS 5 Y 6 </a:t>
            </a:r>
          </a:p>
        </c:rich>
      </c:tx>
      <c:layout>
        <c:manualLayout>
          <c:xMode val="edge"/>
          <c:yMode val="edge"/>
          <c:x val="0.4250992366412214"/>
          <c:y val="5.156537753222836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autoTitleDeleted val="0"/>
    <c:plotArea>
      <c:layout>
        <c:manualLayout>
          <c:layoutTarget val="inner"/>
          <c:xMode val="edge"/>
          <c:yMode val="edge"/>
          <c:x val="0.16209764128901527"/>
          <c:y val="0.16708333333333336"/>
          <c:w val="0.74233547761604679"/>
          <c:h val="0.65408209390492866"/>
        </c:manualLayout>
      </c:layout>
      <c:scatterChart>
        <c:scatterStyle val="lineMarker"/>
        <c:varyColors val="0"/>
        <c:ser>
          <c:idx val="0"/>
          <c:order val="0"/>
          <c:tx>
            <c:v>Bioensayo 5</c:v>
          </c:tx>
          <c:spPr>
            <a:ln w="19050" cap="rnd">
              <a:solidFill>
                <a:srgbClr val="4F81BD"/>
              </a:solidFill>
              <a:round/>
            </a:ln>
            <a:effectLst/>
          </c:spPr>
          <c:marker>
            <c:symbol val="circle"/>
            <c:size val="5"/>
            <c:spPr>
              <a:solidFill>
                <a:schemeClr val="accent1"/>
              </a:solidFill>
              <a:ln w="9525">
                <a:solidFill>
                  <a:schemeClr val="accent1"/>
                </a:solidFill>
              </a:ln>
              <a:effectLst/>
            </c:spPr>
          </c:marker>
          <c:dLbls>
            <c:dLbl>
              <c:idx val="4"/>
              <c:layout>
                <c:manualLayout>
                  <c:x val="-7.3370044366467633E-3"/>
                  <c:y val="-1.4249622154641226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rgbClr val="4F81BD"/>
                </a:solidFill>
                <a:prstDash val="sysDot"/>
              </a:ln>
              <a:effectLst/>
            </c:spPr>
            <c:trendlineType val="linear"/>
            <c:dispRSqr val="1"/>
            <c:dispEq val="1"/>
            <c:trendlineLbl>
              <c:layout>
                <c:manualLayout>
                  <c:x val="0.17616640943137921"/>
                  <c:y val="0.15130775319751696"/>
                </c:manualLayout>
              </c:layout>
              <c:tx>
                <c:rich>
                  <a:bodyPr rot="0" spcFirstLastPara="1" vertOverflow="ellipsis" vert="horz" wrap="square" anchor="ctr" anchorCtr="1"/>
                  <a:lstStyle/>
                  <a:p>
                    <a:pPr algn="ctr" rtl="0">
                      <a:defRPr lang="en-US" sz="900" b="0"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n-US" sz="1000" b="1" i="0" u="none" strike="noStrike" kern="1200"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t>y = 0,8816x - 9,2463</a:t>
                    </a:r>
                    <a:br>
                      <a:rPr lang="en-US" sz="1000" b="1" i="0" u="none" strike="noStrike" kern="1200"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br>
                    <a:r>
                      <a:rPr lang="en-US" sz="1000" b="1" i="0" u="none" strike="noStrike" kern="1200"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t>R² = 0,8143</a:t>
                    </a:r>
                  </a:p>
                </c:rich>
              </c:tx>
              <c:numFmt formatCode="General" sourceLinked="0"/>
              <c:spPr>
                <a:noFill/>
                <a:ln>
                  <a:noFill/>
                </a:ln>
                <a:effectLst/>
              </c:spPr>
              <c:txPr>
                <a:bodyPr rot="0" spcFirstLastPara="1" vertOverflow="ellipsis" vert="horz" wrap="square" anchor="ctr" anchorCtr="1"/>
                <a:lstStyle/>
                <a:p>
                  <a:pPr algn="ctr" rtl="0">
                    <a:defRPr lang="en-US" sz="900" b="0" i="0" u="none" strike="noStrike" kern="120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rendlineLbl>
          </c:trendline>
          <c:xVal>
            <c:numRef>
              <c:f>'[Etapa 8 nuevo (7).xlsx]Hoja2'!$A$34:$A$39</c:f>
              <c:numCache>
                <c:formatCode>General</c:formatCode>
                <c:ptCount val="6"/>
                <c:pt idx="0">
                  <c:v>1</c:v>
                </c:pt>
                <c:pt idx="1">
                  <c:v>5</c:v>
                </c:pt>
                <c:pt idx="2">
                  <c:v>25</c:v>
                </c:pt>
                <c:pt idx="3">
                  <c:v>50</c:v>
                </c:pt>
                <c:pt idx="4">
                  <c:v>100</c:v>
                </c:pt>
              </c:numCache>
            </c:numRef>
          </c:xVal>
          <c:yVal>
            <c:numRef>
              <c:f>'[Etapa 8 nuevo (7).xlsx]Hoja2'!$D$34:$D$39</c:f>
              <c:numCache>
                <c:formatCode>0</c:formatCode>
                <c:ptCount val="6"/>
                <c:pt idx="0">
                  <c:v>0</c:v>
                </c:pt>
                <c:pt idx="1">
                  <c:v>0</c:v>
                </c:pt>
                <c:pt idx="2">
                  <c:v>6.666666666666667</c:v>
                </c:pt>
                <c:pt idx="3">
                  <c:v>10</c:v>
                </c:pt>
                <c:pt idx="4">
                  <c:v>93.333333333333329</c:v>
                </c:pt>
              </c:numCache>
            </c:numRef>
          </c:yVal>
          <c:smooth val="0"/>
        </c:ser>
        <c:ser>
          <c:idx val="1"/>
          <c:order val="1"/>
          <c:tx>
            <c:v>Bioensayo 6</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1"/>
            <c:dispEq val="1"/>
            <c:trendlineLbl>
              <c:layout>
                <c:manualLayout>
                  <c:x val="0.18363041829073692"/>
                  <c:y val="0.3725992584260301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r>
                      <a:rPr lang="en-US" sz="1000" b="1" baseline="0">
                        <a:solidFill>
                          <a:schemeClr val="accent2">
                            <a:lumMod val="75000"/>
                          </a:schemeClr>
                        </a:solidFill>
                        <a:latin typeface="Times New Roman" panose="02020603050405020304" pitchFamily="18" charset="0"/>
                        <a:cs typeface="Times New Roman" panose="02020603050405020304" pitchFamily="18" charset="0"/>
                      </a:rPr>
                      <a:t>y = 0,9828x + 9,0891</a:t>
                    </a:r>
                    <a:br>
                      <a:rPr lang="en-US" sz="1000" b="1" baseline="0">
                        <a:solidFill>
                          <a:schemeClr val="accent2">
                            <a:lumMod val="75000"/>
                          </a:schemeClr>
                        </a:solidFill>
                        <a:latin typeface="Times New Roman" panose="02020603050405020304" pitchFamily="18" charset="0"/>
                        <a:cs typeface="Times New Roman" panose="02020603050405020304" pitchFamily="18" charset="0"/>
                      </a:rPr>
                    </a:br>
                    <a:r>
                      <a:rPr lang="en-US" sz="1000" b="1" baseline="0">
                        <a:solidFill>
                          <a:schemeClr val="accent2">
                            <a:lumMod val="75000"/>
                          </a:schemeClr>
                        </a:solidFill>
                        <a:latin typeface="Times New Roman" panose="02020603050405020304" pitchFamily="18" charset="0"/>
                        <a:cs typeface="Times New Roman" panose="02020603050405020304" pitchFamily="18" charset="0"/>
                      </a:rPr>
                      <a:t>R² = 0,7536</a:t>
                    </a:r>
                    <a:endParaRPr lang="en-US" sz="1000" b="1">
                      <a:solidFill>
                        <a:schemeClr val="accent2">
                          <a:lumMod val="75000"/>
                        </a:schemeClr>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rendlineLbl>
          </c:trendline>
          <c:xVal>
            <c:numRef>
              <c:f>'[Etapa 8 nuevo (7).xlsx]Hoja2'!$A$42:$A$46</c:f>
              <c:numCache>
                <c:formatCode>General</c:formatCode>
                <c:ptCount val="5"/>
                <c:pt idx="0">
                  <c:v>1</c:v>
                </c:pt>
                <c:pt idx="1">
                  <c:v>5</c:v>
                </c:pt>
                <c:pt idx="2">
                  <c:v>25</c:v>
                </c:pt>
                <c:pt idx="3">
                  <c:v>50</c:v>
                </c:pt>
                <c:pt idx="4">
                  <c:v>100</c:v>
                </c:pt>
              </c:numCache>
            </c:numRef>
          </c:xVal>
          <c:yVal>
            <c:numRef>
              <c:f>'[Etapa 8 nuevo (7).xlsx]Hoja2'!$D$42:$D$46</c:f>
              <c:numCache>
                <c:formatCode>0</c:formatCode>
                <c:ptCount val="5"/>
                <c:pt idx="0">
                  <c:v>3.3333333333333335</c:v>
                </c:pt>
                <c:pt idx="1">
                  <c:v>30</c:v>
                </c:pt>
                <c:pt idx="2">
                  <c:v>33.333333333333336</c:v>
                </c:pt>
                <c:pt idx="3">
                  <c:v>86.666666666666671</c:v>
                </c:pt>
                <c:pt idx="4">
                  <c:v>100</c:v>
                </c:pt>
              </c:numCache>
            </c:numRef>
          </c:yVal>
          <c:smooth val="0"/>
        </c:ser>
        <c:dLbls>
          <c:dLblPos val="t"/>
          <c:showLegendKey val="0"/>
          <c:showVal val="1"/>
          <c:showCatName val="0"/>
          <c:showSerName val="0"/>
          <c:showPercent val="0"/>
          <c:showBubbleSize val="0"/>
        </c:dLbls>
        <c:axId val="177275680"/>
        <c:axId val="177276240"/>
      </c:scatterChart>
      <c:valAx>
        <c:axId val="177275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r>
                  <a:rPr lang="es-ES" sz="1200" b="1">
                    <a:latin typeface="Times New Roman" panose="02020603050405020304" pitchFamily="18" charset="0"/>
                    <a:cs typeface="Times New Roman" panose="02020603050405020304" pitchFamily="18" charset="0"/>
                  </a:rPr>
                  <a:t>Concentración (%)</a:t>
                </a:r>
              </a:p>
            </c:rich>
          </c:tx>
          <c:layout>
            <c:manualLayout>
              <c:xMode val="edge"/>
              <c:yMode val="edge"/>
              <c:x val="0.39600825469335416"/>
              <c:y val="0.8579979988689259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276240"/>
        <c:crosses val="autoZero"/>
        <c:crossBetween val="midCat"/>
      </c:valAx>
      <c:valAx>
        <c:axId val="17727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r>
                  <a:rPr lang="es-ES" sz="1200" b="1">
                    <a:latin typeface="Times New Roman" panose="02020603050405020304" pitchFamily="18" charset="0"/>
                    <a:cs typeface="Times New Roman" panose="02020603050405020304" pitchFamily="18" charset="0"/>
                  </a:rPr>
                  <a:t>Mortalidad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275680"/>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0.80398165345610872"/>
          <c:y val="0.23403685650404812"/>
          <c:w val="0.18599959888734838"/>
          <c:h val="0.187987890402588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legend>
    <c:plotVisOnly val="1"/>
    <c:dispBlanksAs val="gap"/>
    <c:showDLblsOverMax val="0"/>
  </c:chart>
  <c:spPr>
    <a:noFill/>
    <a:ln w="9525" cap="flat" cmpd="sng" algn="ctr">
      <a:solidFill>
        <a:schemeClr val="tx1"/>
      </a:solidFill>
      <a:round/>
    </a:ln>
    <a:effectLst/>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s-E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s-E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r>
              <a:rPr lang="es-E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rPr>
              <a:t>BIOENSAYOS 7 Y 8</a:t>
            </a:r>
          </a:p>
        </c:rich>
      </c:tx>
      <c:layout>
        <c:manualLayout>
          <c:xMode val="edge"/>
          <c:yMode val="edge"/>
          <c:x val="0.37941533484424467"/>
          <c:y val="5.8769496317651444E-2"/>
        </c:manualLayout>
      </c:layout>
      <c:overlay val="0"/>
      <c:spPr>
        <a:noFill/>
        <a:ln>
          <a:noFill/>
        </a:ln>
        <a:effectLst/>
      </c:spPr>
      <c:txPr>
        <a:bodyPr rot="0" spcFirstLastPara="1" vertOverflow="ellipsis" vert="horz" wrap="square" anchor="ctr" anchorCtr="1"/>
        <a:lstStyle/>
        <a:p>
          <a:pPr algn="ctr" rtl="0">
            <a:defRPr lang="es-ES" sz="1000" b="1" i="0" u="none" strike="noStrike" kern="1200" spc="0" baseline="0">
              <a:solidFill>
                <a:sysClr val="windowText" lastClr="000000">
                  <a:lumMod val="65000"/>
                  <a:lumOff val="35000"/>
                </a:sysClr>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itle>
    <c:autoTitleDeleted val="0"/>
    <c:plotArea>
      <c:layout>
        <c:manualLayout>
          <c:layoutTarget val="inner"/>
          <c:xMode val="edge"/>
          <c:yMode val="edge"/>
          <c:x val="0.13786835616627782"/>
          <c:y val="0.17075633333873211"/>
          <c:w val="0.74233547761604679"/>
          <c:h val="0.65408209390492866"/>
        </c:manualLayout>
      </c:layout>
      <c:scatterChart>
        <c:scatterStyle val="lineMarker"/>
        <c:varyColors val="0"/>
        <c:ser>
          <c:idx val="0"/>
          <c:order val="0"/>
          <c:tx>
            <c:v>Bioensayo 8</c:v>
          </c:tx>
          <c:spPr>
            <a:ln w="19050" cap="rnd">
              <a:solidFill>
                <a:srgbClr val="4F81BD"/>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24004410216949607"/>
                  <c:y val="0.2920534501627730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t>y = 1,0509x + 3,9575</a:t>
                    </a:r>
                    <a:br>
                      <a:rPr lang="en-US" sz="1000" b="1"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br>
                    <a:r>
                      <a:rPr lang="en-US" sz="1000" b="1"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rPr>
                      <a:t>R² = 0,9069</a:t>
                    </a:r>
                    <a:endParaRPr lang="en-US" sz="1000" b="1">
                      <a:solidFill>
                        <a:schemeClr val="accent1"/>
                      </a:solidFill>
                      <a:latin typeface="Times New Roman" panose="02020603050405020304" pitchFamily="18" charset="0"/>
                      <a:ea typeface="Verdana" panose="020B0604030504040204" pitchFamily="34"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rendlineLbl>
          </c:trendline>
          <c:xVal>
            <c:numRef>
              <c:f>'[Etapa 8 nuevo.xlsx]Hoja2'!$A$58:$A$63</c:f>
              <c:numCache>
                <c:formatCode>General</c:formatCode>
                <c:ptCount val="6"/>
                <c:pt idx="0">
                  <c:v>1</c:v>
                </c:pt>
                <c:pt idx="1">
                  <c:v>5</c:v>
                </c:pt>
                <c:pt idx="2">
                  <c:v>25</c:v>
                </c:pt>
                <c:pt idx="3">
                  <c:v>50</c:v>
                </c:pt>
                <c:pt idx="4">
                  <c:v>100</c:v>
                </c:pt>
              </c:numCache>
            </c:numRef>
          </c:xVal>
          <c:yVal>
            <c:numRef>
              <c:f>'[Etapa 8 nuevo.xlsx]Hoja2'!$D$58:$D$63</c:f>
              <c:numCache>
                <c:formatCode>0</c:formatCode>
                <c:ptCount val="6"/>
                <c:pt idx="0">
                  <c:v>3.3333333333333335</c:v>
                </c:pt>
                <c:pt idx="1">
                  <c:v>3.3333333333333335</c:v>
                </c:pt>
                <c:pt idx="2">
                  <c:v>20</c:v>
                </c:pt>
                <c:pt idx="3">
                  <c:v>80</c:v>
                </c:pt>
                <c:pt idx="4">
                  <c:v>100</c:v>
                </c:pt>
              </c:numCache>
            </c:numRef>
          </c:yVal>
          <c:smooth val="0"/>
        </c:ser>
        <c:ser>
          <c:idx val="1"/>
          <c:order val="1"/>
          <c:tx>
            <c:v>Bioensayo 7</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896986623683865E-2"/>
                  <c:y val="4.23507682839075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2917665769532559E-2"/>
                  <c:y val="2.398530068464135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1"/>
            <c:dispEq val="1"/>
            <c:trendlineLbl>
              <c:layout>
                <c:manualLayout>
                  <c:x val="0.23197659993993289"/>
                  <c:y val="0.35650253120069386"/>
                </c:manualLayout>
              </c:layout>
              <c:tx>
                <c:rich>
                  <a:bodyPr rot="0" spcFirstLastPara="1" vertOverflow="ellipsis" vert="horz" wrap="square" anchor="ctr" anchorCtr="1"/>
                  <a:lstStyle/>
                  <a:p>
                    <a:pPr algn="ctr" rtl="0">
                      <a:defRPr lang="en-US" sz="1000" b="1" i="0" u="none" strike="noStrike" kern="1200"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defRPr>
                    </a:pPr>
                    <a:r>
                      <a:rPr lang="en-US" sz="1000" b="1" i="0" u="none" strike="noStrike" kern="1200"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t>y = 1,0026x - 5,6277</a:t>
                    </a:r>
                    <a:br>
                      <a:rPr lang="en-US" sz="1000" b="1" i="0" u="none" strike="noStrike" kern="1200"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br>
                    <a:r>
                      <a:rPr lang="en-US" sz="1000" b="1" i="0" u="none" strike="noStrike" kern="1200" baseline="0">
                        <a:solidFill>
                          <a:schemeClr val="accent2">
                            <a:lumMod val="75000"/>
                          </a:schemeClr>
                        </a:solidFill>
                        <a:latin typeface="Times New Roman" panose="02020603050405020304" pitchFamily="18" charset="0"/>
                        <a:ea typeface="Verdana" panose="020B0604030504040204" pitchFamily="34" charset="0"/>
                        <a:cs typeface="Times New Roman" panose="02020603050405020304" pitchFamily="18" charset="0"/>
                      </a:rPr>
                      <a:t>R² = 0,9742</a:t>
                    </a:r>
                  </a:p>
                </c:rich>
              </c:tx>
              <c:numFmt formatCode="General" sourceLinked="0"/>
              <c:spPr>
                <a:noFill/>
                <a:ln>
                  <a:noFill/>
                </a:ln>
                <a:effectLst/>
              </c:spPr>
              <c:txPr>
                <a:bodyPr rot="0" spcFirstLastPara="1" vertOverflow="ellipsis" vert="horz" wrap="square" anchor="ctr" anchorCtr="1"/>
                <a:lstStyle/>
                <a:p>
                  <a:pPr algn="ctr" rtl="0">
                    <a:defRPr lang="en-US" sz="1000" b="1" i="0" u="none" strike="noStrike" kern="1200" baseline="0">
                      <a:solidFill>
                        <a:schemeClr val="accent1"/>
                      </a:solidFill>
                      <a:latin typeface="Times New Roman" panose="02020603050405020304" pitchFamily="18" charset="0"/>
                      <a:ea typeface="Verdana" panose="020B0604030504040204" pitchFamily="34" charset="0"/>
                      <a:cs typeface="Times New Roman" panose="02020603050405020304" pitchFamily="18" charset="0"/>
                    </a:defRPr>
                  </a:pPr>
                  <a:endParaRPr lang="es-ES"/>
                </a:p>
              </c:txPr>
            </c:trendlineLbl>
          </c:trendline>
          <c:xVal>
            <c:numRef>
              <c:f>'[Etapa 8 nuevo.xlsx]Hoja2'!$A$50:$A$54</c:f>
              <c:numCache>
                <c:formatCode>General</c:formatCode>
                <c:ptCount val="5"/>
                <c:pt idx="0">
                  <c:v>1</c:v>
                </c:pt>
                <c:pt idx="1">
                  <c:v>5</c:v>
                </c:pt>
                <c:pt idx="2">
                  <c:v>25</c:v>
                </c:pt>
                <c:pt idx="3">
                  <c:v>50</c:v>
                </c:pt>
                <c:pt idx="4">
                  <c:v>100</c:v>
                </c:pt>
              </c:numCache>
            </c:numRef>
          </c:xVal>
          <c:yVal>
            <c:numRef>
              <c:f>'[Etapa 8 nuevo.xlsx]Hoja2'!$D$50:$D$54</c:f>
              <c:numCache>
                <c:formatCode>0</c:formatCode>
                <c:ptCount val="5"/>
                <c:pt idx="0">
                  <c:v>0</c:v>
                </c:pt>
                <c:pt idx="1">
                  <c:v>0</c:v>
                </c:pt>
                <c:pt idx="2">
                  <c:v>20</c:v>
                </c:pt>
                <c:pt idx="3">
                  <c:v>33.333333333333336</c:v>
                </c:pt>
                <c:pt idx="4">
                  <c:v>100</c:v>
                </c:pt>
              </c:numCache>
            </c:numRef>
          </c:yVal>
          <c:smooth val="0"/>
        </c:ser>
        <c:dLbls>
          <c:dLblPos val="t"/>
          <c:showLegendKey val="0"/>
          <c:showVal val="1"/>
          <c:showCatName val="0"/>
          <c:showSerName val="0"/>
          <c:showPercent val="0"/>
          <c:showBubbleSize val="0"/>
        </c:dLbls>
        <c:axId val="177071328"/>
        <c:axId val="177071888"/>
      </c:scatterChart>
      <c:valAx>
        <c:axId val="177071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b="1">
                    <a:latin typeface="Times New Roman" panose="02020603050405020304" pitchFamily="18" charset="0"/>
                    <a:ea typeface="Verdana" panose="020B0604030504040204" pitchFamily="34" charset="0"/>
                    <a:cs typeface="Times New Roman" panose="02020603050405020304" pitchFamily="18" charset="0"/>
                  </a:rPr>
                  <a:t>Concentración</a:t>
                </a:r>
                <a:r>
                  <a:rPr lang="es-ES" sz="1200" b="1" baseline="0">
                    <a:latin typeface="Times New Roman" panose="02020603050405020304" pitchFamily="18" charset="0"/>
                    <a:ea typeface="Verdana" panose="020B0604030504040204" pitchFamily="34" charset="0"/>
                    <a:cs typeface="Times New Roman" panose="02020603050405020304" pitchFamily="18" charset="0"/>
                  </a:rPr>
                  <a:t> (%)</a:t>
                </a:r>
                <a:endParaRPr lang="es-ES" sz="1200" b="1">
                  <a:latin typeface="Times New Roman" panose="02020603050405020304" pitchFamily="18" charset="0"/>
                  <a:ea typeface="Verdana" panose="020B0604030504040204" pitchFamily="34" charset="0"/>
                  <a:cs typeface="Times New Roman" panose="02020603050405020304" pitchFamily="18" charset="0"/>
                </a:endParaRPr>
              </a:p>
            </c:rich>
          </c:tx>
          <c:layout>
            <c:manualLayout>
              <c:xMode val="edge"/>
              <c:yMode val="edge"/>
              <c:x val="0.39723705134887027"/>
              <c:y val="0.876261866695048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071888"/>
        <c:crosses val="autoZero"/>
        <c:crossBetween val="midCat"/>
      </c:valAx>
      <c:valAx>
        <c:axId val="17707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S" sz="1200" b="1">
                    <a:latin typeface="Times New Roman" panose="02020603050405020304" pitchFamily="18" charset="0"/>
                    <a:ea typeface="Verdana" panose="020B0604030504040204" pitchFamily="34" charset="0"/>
                    <a:cs typeface="Times New Roman" panose="02020603050405020304" pitchFamily="18" charset="0"/>
                  </a:rPr>
                  <a:t>Mortalidad (%)</a:t>
                </a:r>
              </a:p>
            </c:rich>
          </c:tx>
          <c:layout>
            <c:manualLayout>
              <c:xMode val="edge"/>
              <c:yMode val="edge"/>
              <c:x val="4.1493559557006905E-2"/>
              <c:y val="0.3096247197458566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ES"/>
          </a:p>
        </c:txPr>
        <c:crossAx val="177071328"/>
        <c:crosses val="autoZero"/>
        <c:crossBetween val="midCat"/>
      </c:valAx>
      <c:spPr>
        <a:noFill/>
        <a:ln w="25400">
          <a:noFill/>
        </a:ln>
        <a:effectLst/>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77488428374313911"/>
          <c:y val="0.2553956823773097"/>
          <c:w val="0.20333450855956434"/>
          <c:h val="0.194754245462906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noFill/>
    <a:ln w="9525" cap="flat" cmpd="sng" algn="ctr">
      <a:solidFill>
        <a:schemeClr val="tx1"/>
      </a:solidFill>
      <a:round/>
    </a:ln>
    <a:effectLst/>
  </c:spPr>
  <c:txPr>
    <a:bodyPr/>
    <a:lstStyle/>
    <a:p>
      <a:pPr>
        <a:defRPr/>
      </a:pPr>
      <a:endParaRPr lang="es-E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0.43515</cdr:x>
      <cdr:y>0.41643</cdr:y>
    </cdr:from>
    <cdr:to>
      <cdr:x>0.43571</cdr:x>
      <cdr:y>0.81912</cdr:y>
    </cdr:to>
    <cdr:cxnSp macro="">
      <cdr:nvCxnSpPr>
        <cdr:cNvPr id="2" name="Conector recto de flecha 1"/>
        <cdr:cNvCxnSpPr/>
      </cdr:nvCxnSpPr>
      <cdr:spPr>
        <a:xfrm xmlns:a="http://schemas.openxmlformats.org/drawingml/2006/main" flipH="1">
          <a:off x="2641397" y="1435100"/>
          <a:ext cx="3378" cy="138775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0.4415</cdr:x>
      <cdr:y>0.60143</cdr:y>
    </cdr:from>
    <cdr:to>
      <cdr:x>0.58447</cdr:x>
      <cdr:y>0.69111</cdr:y>
    </cdr:to>
    <cdr:sp macro="" textlink="">
      <cdr:nvSpPr>
        <cdr:cNvPr id="4" name="CuadroTexto 1"/>
        <cdr:cNvSpPr txBox="1"/>
      </cdr:nvSpPr>
      <cdr:spPr>
        <a:xfrm xmlns:a="http://schemas.openxmlformats.org/drawingml/2006/main">
          <a:off x="2679959" y="2072648"/>
          <a:ext cx="867840" cy="30905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800">
              <a:latin typeface="Verdana" panose="020B0604030504040204" pitchFamily="34" charset="0"/>
              <a:ea typeface="Verdana" panose="020B0604030504040204" pitchFamily="34" charset="0"/>
              <a:cs typeface="Verdana" panose="020B0604030504040204" pitchFamily="34" charset="0"/>
            </a:rPr>
            <a:t>CL</a:t>
          </a:r>
          <a:r>
            <a:rPr lang="es-ES" sz="700">
              <a:latin typeface="Verdana" panose="020B0604030504040204" pitchFamily="34" charset="0"/>
              <a:ea typeface="Verdana" panose="020B0604030504040204" pitchFamily="34" charset="0"/>
              <a:cs typeface="Verdana" panose="020B0604030504040204" pitchFamily="34" charset="0"/>
            </a:rPr>
            <a:t>50</a:t>
          </a:r>
          <a:r>
            <a:rPr lang="es-ES" sz="800">
              <a:latin typeface="Verdana" panose="020B0604030504040204" pitchFamily="34" charset="0"/>
              <a:ea typeface="Verdana" panose="020B0604030504040204" pitchFamily="34" charset="0"/>
              <a:cs typeface="Verdana" panose="020B0604030504040204" pitchFamily="34" charset="0"/>
            </a:rPr>
            <a:t> (45 %)</a:t>
          </a:r>
        </a:p>
      </cdr:txBody>
    </cdr:sp>
  </cdr:relSizeAnchor>
  <cdr:relSizeAnchor xmlns:cdr="http://schemas.openxmlformats.org/drawingml/2006/chartDrawing">
    <cdr:from>
      <cdr:x>0.29007</cdr:x>
      <cdr:y>0.4138</cdr:y>
    </cdr:from>
    <cdr:to>
      <cdr:x>0.29187</cdr:x>
      <cdr:y>0.82276</cdr:y>
    </cdr:to>
    <cdr:cxnSp macro="">
      <cdr:nvCxnSpPr>
        <cdr:cNvPr id="5" name="Conector recto de flecha 4"/>
        <cdr:cNvCxnSpPr/>
      </cdr:nvCxnSpPr>
      <cdr:spPr>
        <a:xfrm xmlns:a="http://schemas.openxmlformats.org/drawingml/2006/main" flipH="1">
          <a:off x="1760765" y="1426029"/>
          <a:ext cx="10885" cy="140936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0.29177</cdr:x>
      <cdr:y>0.60108</cdr:y>
    </cdr:from>
    <cdr:to>
      <cdr:x>0.43474</cdr:x>
      <cdr:y>0.69076</cdr:y>
    </cdr:to>
    <cdr:sp macro="" textlink="">
      <cdr:nvSpPr>
        <cdr:cNvPr id="11" name="CuadroTexto 1"/>
        <cdr:cNvSpPr txBox="1"/>
      </cdr:nvSpPr>
      <cdr:spPr>
        <a:xfrm xmlns:a="http://schemas.openxmlformats.org/drawingml/2006/main">
          <a:off x="1973428" y="2268794"/>
          <a:ext cx="966994" cy="33849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800">
              <a:latin typeface="Verdana" panose="020B0604030504040204" pitchFamily="34" charset="0"/>
              <a:ea typeface="Verdana" panose="020B0604030504040204" pitchFamily="34" charset="0"/>
              <a:cs typeface="Verdana" panose="020B0604030504040204" pitchFamily="34" charset="0"/>
            </a:rPr>
            <a:t>CL</a:t>
          </a:r>
          <a:r>
            <a:rPr lang="es-ES" sz="700">
              <a:latin typeface="Verdana" panose="020B0604030504040204" pitchFamily="34" charset="0"/>
              <a:ea typeface="Verdana" panose="020B0604030504040204" pitchFamily="34" charset="0"/>
              <a:cs typeface="Verdana" panose="020B0604030504040204" pitchFamily="34" charset="0"/>
            </a:rPr>
            <a:t>50</a:t>
          </a:r>
          <a:r>
            <a:rPr lang="es-ES" sz="800">
              <a:latin typeface="Verdana" panose="020B0604030504040204" pitchFamily="34" charset="0"/>
              <a:ea typeface="Verdana" panose="020B0604030504040204" pitchFamily="34" charset="0"/>
              <a:cs typeface="Verdana" panose="020B0604030504040204" pitchFamily="34" charset="0"/>
            </a:rPr>
            <a:t> (23 %)</a:t>
          </a:r>
        </a:p>
      </cdr:txBody>
    </cdr:sp>
  </cdr:relSizeAnchor>
</c:userShapes>
</file>

<file path=word/drawings/drawing2.xml><?xml version="1.0" encoding="utf-8"?>
<c:userShapes xmlns:c="http://schemas.openxmlformats.org/drawingml/2006/chart">
  <cdr:relSizeAnchor xmlns:cdr="http://schemas.openxmlformats.org/drawingml/2006/chartDrawing">
    <cdr:from>
      <cdr:x>0.31779</cdr:x>
      <cdr:y>0.58907</cdr:y>
    </cdr:from>
    <cdr:to>
      <cdr:x>0.31849</cdr:x>
      <cdr:y>0.81641</cdr:y>
    </cdr:to>
    <cdr:cxnSp macro="">
      <cdr:nvCxnSpPr>
        <cdr:cNvPr id="3" name="Conector recto de flecha 2"/>
        <cdr:cNvCxnSpPr/>
      </cdr:nvCxnSpPr>
      <cdr:spPr>
        <a:xfrm xmlns:a="http://schemas.openxmlformats.org/drawingml/2006/main">
          <a:off x="2072420" y="2016649"/>
          <a:ext cx="4565" cy="77828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0.31839</cdr:x>
      <cdr:y>0.57325</cdr:y>
    </cdr:from>
    <cdr:to>
      <cdr:x>0.45729</cdr:x>
      <cdr:y>0.66167</cdr:y>
    </cdr:to>
    <cdr:sp macro="" textlink="">
      <cdr:nvSpPr>
        <cdr:cNvPr id="7" name="CuadroTexto 1"/>
        <cdr:cNvSpPr txBox="1"/>
      </cdr:nvSpPr>
      <cdr:spPr>
        <a:xfrm xmlns:a="http://schemas.openxmlformats.org/drawingml/2006/main">
          <a:off x="1995487" y="2003425"/>
          <a:ext cx="870568" cy="3090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000">
              <a:latin typeface="Verdana" panose="020B0604030504040204" pitchFamily="34" charset="0"/>
              <a:ea typeface="Verdana" panose="020B0604030504040204" pitchFamily="34" charset="0"/>
              <a:cs typeface="Verdana" panose="020B0604030504040204" pitchFamily="34" charset="0"/>
            </a:rPr>
            <a:t>CL</a:t>
          </a:r>
          <a:r>
            <a:rPr lang="es-ES" sz="800">
              <a:latin typeface="Verdana" panose="020B0604030504040204" pitchFamily="34" charset="0"/>
              <a:ea typeface="Verdana" panose="020B0604030504040204" pitchFamily="34" charset="0"/>
              <a:cs typeface="Verdana" panose="020B0604030504040204" pitchFamily="34" charset="0"/>
            </a:rPr>
            <a:t>50</a:t>
          </a:r>
          <a:r>
            <a:rPr lang="es-ES" sz="900">
              <a:latin typeface="Verdana" panose="020B0604030504040204" pitchFamily="34" charset="0"/>
              <a:ea typeface="Verdana" panose="020B0604030504040204" pitchFamily="34" charset="0"/>
              <a:cs typeface="Verdana" panose="020B0604030504040204" pitchFamily="34" charset="0"/>
            </a:rPr>
            <a:t> </a:t>
          </a:r>
          <a:r>
            <a:rPr lang="es-ES" sz="1000">
              <a:latin typeface="Verdana" panose="020B0604030504040204" pitchFamily="34" charset="0"/>
              <a:ea typeface="Verdana" panose="020B0604030504040204" pitchFamily="34" charset="0"/>
              <a:cs typeface="Verdana" panose="020B0604030504040204" pitchFamily="34" charset="0"/>
            </a:rPr>
            <a:t>(26 %)</a:t>
          </a:r>
        </a:p>
      </cdr:txBody>
    </cdr:sp>
  </cdr:relSizeAnchor>
</c:userShapes>
</file>

<file path=word/drawings/drawing3.xml><?xml version="1.0" encoding="utf-8"?>
<c:userShapes xmlns:c="http://schemas.openxmlformats.org/drawingml/2006/chart">
  <cdr:relSizeAnchor xmlns:cdr="http://schemas.openxmlformats.org/drawingml/2006/chartDrawing">
    <cdr:from>
      <cdr:x>0.46264</cdr:x>
      <cdr:y>0.56729</cdr:y>
    </cdr:from>
    <cdr:to>
      <cdr:x>0.4638</cdr:x>
      <cdr:y>0.76927</cdr:y>
    </cdr:to>
    <cdr:cxnSp macro="">
      <cdr:nvCxnSpPr>
        <cdr:cNvPr id="3" name="Conector recto de flecha 2"/>
        <cdr:cNvCxnSpPr/>
      </cdr:nvCxnSpPr>
      <cdr:spPr>
        <a:xfrm xmlns:a="http://schemas.openxmlformats.org/drawingml/2006/main" flipH="1">
          <a:off x="3398268" y="2453746"/>
          <a:ext cx="8508" cy="873681"/>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0.45912</cdr:x>
      <cdr:y>0.63663</cdr:y>
    </cdr:from>
    <cdr:to>
      <cdr:x>0.57248</cdr:x>
      <cdr:y>0.6928</cdr:y>
    </cdr:to>
    <cdr:sp macro="" textlink="">
      <cdr:nvSpPr>
        <cdr:cNvPr id="9" name="CuadroTexto 1"/>
        <cdr:cNvSpPr txBox="1"/>
      </cdr:nvSpPr>
      <cdr:spPr>
        <a:xfrm xmlns:a="http://schemas.openxmlformats.org/drawingml/2006/main">
          <a:off x="3355739" y="2737125"/>
          <a:ext cx="828480" cy="2415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800">
              <a:latin typeface="Verdana" panose="020B0604030504040204" pitchFamily="34" charset="0"/>
              <a:ea typeface="Verdana" panose="020B0604030504040204" pitchFamily="34" charset="0"/>
              <a:cs typeface="Verdana" panose="020B0604030504040204" pitchFamily="34" charset="0"/>
            </a:rPr>
            <a:t>CL</a:t>
          </a:r>
          <a:r>
            <a:rPr lang="es-ES" sz="700">
              <a:latin typeface="Verdana" panose="020B0604030504040204" pitchFamily="34" charset="0"/>
              <a:ea typeface="Verdana" panose="020B0604030504040204" pitchFamily="34" charset="0"/>
              <a:cs typeface="Verdana" panose="020B0604030504040204" pitchFamily="34" charset="0"/>
            </a:rPr>
            <a:t>50</a:t>
          </a:r>
          <a:r>
            <a:rPr lang="es-ES" sz="800">
              <a:latin typeface="Verdana" panose="020B0604030504040204" pitchFamily="34" charset="0"/>
              <a:ea typeface="Verdana" panose="020B0604030504040204" pitchFamily="34" charset="0"/>
              <a:cs typeface="Verdana" panose="020B0604030504040204" pitchFamily="34" charset="0"/>
            </a:rPr>
            <a:t> (55 %)</a:t>
          </a:r>
        </a:p>
      </cdr:txBody>
    </cdr:sp>
  </cdr:relSizeAnchor>
  <cdr:relSizeAnchor xmlns:cdr="http://schemas.openxmlformats.org/drawingml/2006/chartDrawing">
    <cdr:from>
      <cdr:x>0.37953</cdr:x>
      <cdr:y>0.57373</cdr:y>
    </cdr:from>
    <cdr:to>
      <cdr:x>0.3808</cdr:x>
      <cdr:y>0.77327</cdr:y>
    </cdr:to>
    <cdr:cxnSp macro="">
      <cdr:nvCxnSpPr>
        <cdr:cNvPr id="7" name="Conector recto de flecha 6"/>
        <cdr:cNvCxnSpPr/>
      </cdr:nvCxnSpPr>
      <cdr:spPr>
        <a:xfrm xmlns:a="http://schemas.openxmlformats.org/drawingml/2006/main" flipH="1">
          <a:off x="2384426" y="1996546"/>
          <a:ext cx="7936" cy="69435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0.2816</cdr:x>
      <cdr:y>0.68781</cdr:y>
    </cdr:from>
    <cdr:to>
      <cdr:x>0.37913</cdr:x>
      <cdr:y>0.7508</cdr:y>
    </cdr:to>
    <cdr:sp macro="" textlink="">
      <cdr:nvSpPr>
        <cdr:cNvPr id="8" name="CuadroTexto 1"/>
        <cdr:cNvSpPr txBox="1"/>
      </cdr:nvSpPr>
      <cdr:spPr>
        <a:xfrm xmlns:a="http://schemas.openxmlformats.org/drawingml/2006/main">
          <a:off x="2058219" y="2957170"/>
          <a:ext cx="712835" cy="27084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800">
              <a:latin typeface="Verdana" panose="020B0604030504040204" pitchFamily="34" charset="0"/>
              <a:ea typeface="Verdana" panose="020B0604030504040204" pitchFamily="34" charset="0"/>
              <a:cs typeface="Verdana" panose="020B0604030504040204" pitchFamily="34" charset="0"/>
            </a:rPr>
            <a:t>CL</a:t>
          </a:r>
          <a:r>
            <a:rPr lang="es-ES" sz="700">
              <a:latin typeface="Verdana" panose="020B0604030504040204" pitchFamily="34" charset="0"/>
              <a:ea typeface="Verdana" panose="020B0604030504040204" pitchFamily="34" charset="0"/>
              <a:cs typeface="Verdana" panose="020B0604030504040204" pitchFamily="34" charset="0"/>
            </a:rPr>
            <a:t>50</a:t>
          </a:r>
          <a:r>
            <a:rPr lang="es-ES" sz="800">
              <a:latin typeface="Verdana" panose="020B0604030504040204" pitchFamily="34" charset="0"/>
              <a:ea typeface="Verdana" panose="020B0604030504040204" pitchFamily="34" charset="0"/>
              <a:cs typeface="Verdana" panose="020B0604030504040204" pitchFamily="34" charset="0"/>
            </a:rPr>
            <a:t> (43 %)</a:t>
          </a:r>
        </a:p>
      </cdr:txBody>
    </cdr:sp>
  </cdr:relSizeAnchor>
</c:userShapes>
</file>

<file path=word/drawings/drawing4.xml><?xml version="1.0" encoding="utf-8"?>
<c:userShapes xmlns:c="http://schemas.openxmlformats.org/drawingml/2006/chart">
  <cdr:relSizeAnchor xmlns:cdr="http://schemas.openxmlformats.org/drawingml/2006/chartDrawing">
    <cdr:from>
      <cdr:x>0.5771</cdr:x>
      <cdr:y>0.49291</cdr:y>
    </cdr:from>
    <cdr:to>
      <cdr:x>0.57813</cdr:x>
      <cdr:y>0.72553</cdr:y>
    </cdr:to>
    <cdr:cxnSp macro="">
      <cdr:nvCxnSpPr>
        <cdr:cNvPr id="2" name="Conector recto de flecha 1"/>
        <cdr:cNvCxnSpPr/>
      </cdr:nvCxnSpPr>
      <cdr:spPr>
        <a:xfrm xmlns:a="http://schemas.openxmlformats.org/drawingml/2006/main">
          <a:off x="5026588" y="2070742"/>
          <a:ext cx="8962" cy="977257"/>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0.57612</cdr:x>
      <cdr:y>0.61342</cdr:y>
    </cdr:from>
    <cdr:to>
      <cdr:x>0.67655</cdr:x>
      <cdr:y>0.68208</cdr:y>
    </cdr:to>
    <cdr:sp macro="" textlink="">
      <cdr:nvSpPr>
        <cdr:cNvPr id="4" name="CuadroTexto 1"/>
        <cdr:cNvSpPr txBox="1"/>
      </cdr:nvSpPr>
      <cdr:spPr>
        <a:xfrm xmlns:a="http://schemas.openxmlformats.org/drawingml/2006/main">
          <a:off x="5018019" y="2577003"/>
          <a:ext cx="874781" cy="2884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000">
              <a:latin typeface="Verdana" panose="020B0604030504040204" pitchFamily="34" charset="0"/>
              <a:ea typeface="Verdana" panose="020B0604030504040204" pitchFamily="34" charset="0"/>
              <a:cs typeface="Verdana" panose="020B0604030504040204" pitchFamily="34" charset="0"/>
            </a:rPr>
            <a:t>CL</a:t>
          </a:r>
          <a:r>
            <a:rPr lang="es-ES" sz="800">
              <a:latin typeface="Verdana" panose="020B0604030504040204" pitchFamily="34" charset="0"/>
              <a:ea typeface="Verdana" panose="020B0604030504040204" pitchFamily="34" charset="0"/>
              <a:cs typeface="Verdana" panose="020B0604030504040204" pitchFamily="34" charset="0"/>
            </a:rPr>
            <a:t>50</a:t>
          </a:r>
          <a:r>
            <a:rPr lang="es-ES" sz="900">
              <a:latin typeface="Verdana" panose="020B0604030504040204" pitchFamily="34" charset="0"/>
              <a:ea typeface="Verdana" panose="020B0604030504040204" pitchFamily="34" charset="0"/>
              <a:cs typeface="Verdana" panose="020B0604030504040204" pitchFamily="34" charset="0"/>
            </a:rPr>
            <a:t> </a:t>
          </a:r>
          <a:r>
            <a:rPr lang="es-ES" sz="1000">
              <a:latin typeface="Verdana" panose="020B0604030504040204" pitchFamily="34" charset="0"/>
              <a:ea typeface="Verdana" panose="020B0604030504040204" pitchFamily="34" charset="0"/>
              <a:cs typeface="Verdana" panose="020B0604030504040204" pitchFamily="34" charset="0"/>
            </a:rPr>
            <a:t>(</a:t>
          </a:r>
          <a:r>
            <a:rPr lang="es-ES" sz="800">
              <a:latin typeface="Verdana" panose="020B0604030504040204" pitchFamily="34" charset="0"/>
              <a:ea typeface="Verdana" panose="020B0604030504040204" pitchFamily="34" charset="0"/>
              <a:cs typeface="Verdana" panose="020B0604030504040204" pitchFamily="34" charset="0"/>
            </a:rPr>
            <a:t>67</a:t>
          </a:r>
          <a:r>
            <a:rPr lang="es-ES" sz="1000">
              <a:latin typeface="Verdana" panose="020B0604030504040204" pitchFamily="34" charset="0"/>
              <a:ea typeface="Verdana" panose="020B0604030504040204" pitchFamily="34" charset="0"/>
              <a:cs typeface="Verdana" panose="020B0604030504040204" pitchFamily="34" charset="0"/>
            </a:rPr>
            <a:t> %)</a:t>
          </a:r>
        </a:p>
      </cdr:txBody>
    </cdr:sp>
  </cdr:relSizeAnchor>
  <cdr:relSizeAnchor xmlns:cdr="http://schemas.openxmlformats.org/drawingml/2006/chartDrawing">
    <cdr:from>
      <cdr:x>0.41029</cdr:x>
      <cdr:y>0.47549</cdr:y>
    </cdr:from>
    <cdr:to>
      <cdr:x>0.41242</cdr:x>
      <cdr:y>0.72788</cdr:y>
    </cdr:to>
    <cdr:cxnSp macro="">
      <cdr:nvCxnSpPr>
        <cdr:cNvPr id="7" name="Conector recto de flecha 6"/>
        <cdr:cNvCxnSpPr/>
      </cdr:nvCxnSpPr>
      <cdr:spPr>
        <a:xfrm xmlns:a="http://schemas.openxmlformats.org/drawingml/2006/main">
          <a:off x="2997013" y="1991753"/>
          <a:ext cx="15561" cy="105726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0.40797</cdr:x>
      <cdr:y>0.48008</cdr:y>
    </cdr:from>
    <cdr:to>
      <cdr:x>0.50431</cdr:x>
      <cdr:y>0.52714</cdr:y>
    </cdr:to>
    <cdr:sp macro="" textlink="">
      <cdr:nvSpPr>
        <cdr:cNvPr id="8" name="CuadroTexto 1"/>
        <cdr:cNvSpPr txBox="1"/>
      </cdr:nvSpPr>
      <cdr:spPr>
        <a:xfrm xmlns:a="http://schemas.openxmlformats.org/drawingml/2006/main">
          <a:off x="3553470" y="2016847"/>
          <a:ext cx="839142" cy="1977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000" b="0">
              <a:latin typeface="Verdana" panose="020B0604030504040204" pitchFamily="34" charset="0"/>
              <a:ea typeface="Verdana" panose="020B0604030504040204" pitchFamily="34" charset="0"/>
              <a:cs typeface="Verdana" panose="020B0604030504040204" pitchFamily="34" charset="0"/>
            </a:rPr>
            <a:t>CL</a:t>
          </a:r>
          <a:r>
            <a:rPr lang="es-ES" sz="900" b="0">
              <a:latin typeface="Verdana" panose="020B0604030504040204" pitchFamily="34" charset="0"/>
              <a:ea typeface="Verdana" panose="020B0604030504040204" pitchFamily="34" charset="0"/>
              <a:cs typeface="Verdana" panose="020B0604030504040204" pitchFamily="34" charset="0"/>
            </a:rPr>
            <a:t>50</a:t>
          </a:r>
          <a:r>
            <a:rPr lang="es-ES" sz="1000" b="0">
              <a:latin typeface="Verdana" panose="020B0604030504040204" pitchFamily="34" charset="0"/>
              <a:ea typeface="Verdana" panose="020B0604030504040204" pitchFamily="34" charset="0"/>
              <a:cs typeface="Verdana" panose="020B0604030504040204" pitchFamily="34" charset="0"/>
            </a:rPr>
            <a:t> (41 %)</a:t>
          </a:r>
        </a:p>
      </cdr:txBody>
    </cdr:sp>
  </cdr:relSizeAnchor>
</c:userShapes>
</file>

<file path=word/drawings/drawing5.xml><?xml version="1.0" encoding="utf-8"?>
<c:userShapes xmlns:c="http://schemas.openxmlformats.org/drawingml/2006/chart">
  <cdr:relSizeAnchor xmlns:cdr="http://schemas.openxmlformats.org/drawingml/2006/chartDrawing">
    <cdr:from>
      <cdr:x>0.39363</cdr:x>
      <cdr:y>0.50422</cdr:y>
    </cdr:from>
    <cdr:to>
      <cdr:x>0.39527</cdr:x>
      <cdr:y>0.72776</cdr:y>
    </cdr:to>
    <cdr:cxnSp macro="">
      <cdr:nvCxnSpPr>
        <cdr:cNvPr id="3" name="Conector recto de flecha 2"/>
        <cdr:cNvCxnSpPr/>
      </cdr:nvCxnSpPr>
      <cdr:spPr>
        <a:xfrm xmlns:a="http://schemas.openxmlformats.org/drawingml/2006/main" flipH="1">
          <a:off x="2576477" y="1670318"/>
          <a:ext cx="10730" cy="74053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0.26804</cdr:x>
      <cdr:y>0.64809</cdr:y>
    </cdr:from>
    <cdr:to>
      <cdr:x>0.40633</cdr:x>
      <cdr:y>0.73747</cdr:y>
    </cdr:to>
    <cdr:sp macro="" textlink="">
      <cdr:nvSpPr>
        <cdr:cNvPr id="7" name="CuadroTexto 1"/>
        <cdr:cNvSpPr txBox="1"/>
      </cdr:nvSpPr>
      <cdr:spPr>
        <a:xfrm xmlns:a="http://schemas.openxmlformats.org/drawingml/2006/main">
          <a:off x="1688522" y="2240834"/>
          <a:ext cx="871167" cy="3090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800">
              <a:latin typeface="Verdana" panose="020B0604030504040204" pitchFamily="34" charset="0"/>
              <a:ea typeface="Verdana" panose="020B0604030504040204" pitchFamily="34" charset="0"/>
              <a:cs typeface="Verdana" panose="020B0604030504040204" pitchFamily="34" charset="0"/>
            </a:rPr>
            <a:t>CL</a:t>
          </a:r>
          <a:r>
            <a:rPr lang="es-ES" sz="700">
              <a:latin typeface="Verdana" panose="020B0604030504040204" pitchFamily="34" charset="0"/>
              <a:ea typeface="Verdana" panose="020B0604030504040204" pitchFamily="34" charset="0"/>
              <a:cs typeface="Verdana" panose="020B0604030504040204" pitchFamily="34" charset="0"/>
            </a:rPr>
            <a:t>50</a:t>
          </a:r>
          <a:r>
            <a:rPr lang="es-ES" sz="800">
              <a:latin typeface="Verdana" panose="020B0604030504040204" pitchFamily="34" charset="0"/>
              <a:ea typeface="Verdana" panose="020B0604030504040204" pitchFamily="34" charset="0"/>
              <a:cs typeface="Verdana" panose="020B0604030504040204" pitchFamily="34" charset="0"/>
            </a:rPr>
            <a:t> (43 %)</a:t>
          </a:r>
        </a:p>
      </cdr:txBody>
    </cdr:sp>
  </cdr:relSizeAnchor>
  <cdr:relSizeAnchor xmlns:cdr="http://schemas.openxmlformats.org/drawingml/2006/chartDrawing">
    <cdr:from>
      <cdr:x>0.47561</cdr:x>
      <cdr:y>0.50098</cdr:y>
    </cdr:from>
    <cdr:to>
      <cdr:x>0.47561</cdr:x>
      <cdr:y>0.731</cdr:y>
    </cdr:to>
    <cdr:cxnSp macro="">
      <cdr:nvCxnSpPr>
        <cdr:cNvPr id="5" name="Conector recto de flecha 4"/>
        <cdr:cNvCxnSpPr/>
      </cdr:nvCxnSpPr>
      <cdr:spPr>
        <a:xfrm xmlns:a="http://schemas.openxmlformats.org/drawingml/2006/main" flipH="1">
          <a:off x="3113094" y="1659586"/>
          <a:ext cx="1" cy="76199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0.47173</cdr:x>
      <cdr:y>0.6417</cdr:y>
    </cdr:from>
    <cdr:to>
      <cdr:x>0.61002</cdr:x>
      <cdr:y>0.73108</cdr:y>
    </cdr:to>
    <cdr:sp macro="" textlink="">
      <cdr:nvSpPr>
        <cdr:cNvPr id="10" name="CuadroTexto 1"/>
        <cdr:cNvSpPr txBox="1"/>
      </cdr:nvSpPr>
      <cdr:spPr>
        <a:xfrm xmlns:a="http://schemas.openxmlformats.org/drawingml/2006/main">
          <a:off x="3087652" y="2125754"/>
          <a:ext cx="905167" cy="29608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800">
              <a:latin typeface="Verdana" panose="020B0604030504040204" pitchFamily="34" charset="0"/>
              <a:ea typeface="Verdana" panose="020B0604030504040204" pitchFamily="34" charset="0"/>
              <a:cs typeface="Verdana" panose="020B0604030504040204" pitchFamily="34" charset="0"/>
            </a:rPr>
            <a:t>CL</a:t>
          </a:r>
          <a:r>
            <a:rPr lang="es-ES" sz="700">
              <a:latin typeface="Verdana" panose="020B0604030504040204" pitchFamily="34" charset="0"/>
              <a:ea typeface="Verdana" panose="020B0604030504040204" pitchFamily="34" charset="0"/>
              <a:cs typeface="Verdana" panose="020B0604030504040204" pitchFamily="34" charset="0"/>
            </a:rPr>
            <a:t>50</a:t>
          </a:r>
          <a:r>
            <a:rPr lang="es-ES" sz="800">
              <a:latin typeface="Verdana" panose="020B0604030504040204" pitchFamily="34" charset="0"/>
              <a:ea typeface="Verdana" panose="020B0604030504040204" pitchFamily="34" charset="0"/>
              <a:cs typeface="Verdana" panose="020B0604030504040204" pitchFamily="34" charset="0"/>
            </a:rPr>
            <a:t> (55 %)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9ABE3-2B96-47A3-B877-D717DE044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Centro Azucar 2019</Template>
  <TotalTime>0</TotalTime>
  <Pages>16</Pages>
  <Words>3449</Words>
  <Characters>18970</Characters>
  <Application>Microsoft Office Word</Application>
  <DocSecurity>0</DocSecurity>
  <Lines>158</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22375</CharactersWithSpaces>
  <SharedDoc>false</SharedDoc>
  <HLinks>
    <vt:vector size="12" baseType="variant">
      <vt:variant>
        <vt:i4>6553615</vt:i4>
      </vt:variant>
      <vt:variant>
        <vt:i4>0</vt:i4>
      </vt:variant>
      <vt:variant>
        <vt:i4>0</vt:i4>
      </vt:variant>
      <vt:variant>
        <vt:i4>5</vt:i4>
      </vt:variant>
      <vt:variant>
        <vt:lpwstr>mailto:someone@yahoo.com.br</vt:lpwstr>
      </vt:variant>
      <vt:variant>
        <vt:lpwstr/>
      </vt:variant>
      <vt:variant>
        <vt:i4>6357029</vt:i4>
      </vt:variant>
      <vt:variant>
        <vt:i4>0</vt:i4>
      </vt:variant>
      <vt:variant>
        <vt:i4>0</vt:i4>
      </vt:variant>
      <vt:variant>
        <vt:i4>5</vt:i4>
      </vt:variant>
      <vt:variant>
        <vt:lpwstr>http://centroazucar.qf.uclv.edu.cu/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Chao R. Chao Reyes</dc:creator>
  <cp:lastModifiedBy>Roberto Romero Silva</cp:lastModifiedBy>
  <cp:revision>2</cp:revision>
  <dcterms:created xsi:type="dcterms:W3CDTF">2019-04-22T14:19:00Z</dcterms:created>
  <dcterms:modified xsi:type="dcterms:W3CDTF">2019-04-22T14:19:00Z</dcterms:modified>
</cp:coreProperties>
</file>