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11" w:rsidRDefault="00525D11" w:rsidP="00525D11">
      <w:pPr>
        <w:tabs>
          <w:tab w:val="center" w:pos="4252"/>
          <w:tab w:val="left" w:pos="6795"/>
        </w:tabs>
        <w:spacing w:after="0"/>
        <w:jc w:val="center"/>
        <w:rPr>
          <w:rFonts w:ascii="Times New Roman" w:hAnsi="Times New Roman" w:cs="Times New Roman"/>
          <w:b/>
          <w:sz w:val="28"/>
          <w:szCs w:val="28"/>
        </w:rPr>
      </w:pPr>
      <w:r w:rsidRPr="00530462">
        <w:rPr>
          <w:rFonts w:ascii="Times New Roman" w:hAnsi="Times New Roman" w:cs="Times New Roman"/>
          <w:b/>
          <w:sz w:val="28"/>
          <w:szCs w:val="28"/>
        </w:rPr>
        <w:t>Estudios de Ingeniería de Tránsito.</w:t>
      </w:r>
    </w:p>
    <w:p w:rsidR="00525D11" w:rsidRDefault="00525D11" w:rsidP="00525D11">
      <w:pPr>
        <w:tabs>
          <w:tab w:val="center" w:pos="4252"/>
          <w:tab w:val="left" w:pos="6795"/>
        </w:tabs>
        <w:spacing w:after="0"/>
        <w:rPr>
          <w:rFonts w:ascii="Times New Roman" w:hAnsi="Times New Roman" w:cs="Times New Roman"/>
          <w:b/>
          <w:sz w:val="24"/>
          <w:szCs w:val="24"/>
        </w:rPr>
      </w:pPr>
    </w:p>
    <w:p w:rsidR="00525D11" w:rsidRPr="00530462" w:rsidRDefault="00525D11" w:rsidP="00525D11">
      <w:pPr>
        <w:spacing w:after="0"/>
        <w:jc w:val="center"/>
        <w:rPr>
          <w:rFonts w:ascii="Times New Roman" w:hAnsi="Times New Roman" w:cs="Times New Roman"/>
          <w:b/>
          <w:sz w:val="28"/>
          <w:szCs w:val="28"/>
        </w:rPr>
      </w:pPr>
      <w:r w:rsidRPr="00530462">
        <w:rPr>
          <w:rFonts w:ascii="Times New Roman" w:hAnsi="Times New Roman" w:cs="Times New Roman"/>
          <w:b/>
          <w:sz w:val="28"/>
          <w:szCs w:val="28"/>
        </w:rPr>
        <w:t>OBTENCIÓN DEL COEFICIENTE DE EQUIVALENCIA DE BICICLETAS A AUTOS EN VÍAS CAMAGÜEYANAS.</w:t>
      </w:r>
    </w:p>
    <w:p w:rsidR="00525D11" w:rsidRDefault="00525D11" w:rsidP="00525D11">
      <w:pPr>
        <w:spacing w:after="0"/>
        <w:jc w:val="center"/>
        <w:rPr>
          <w:rFonts w:ascii="Times New Roman" w:hAnsi="Times New Roman" w:cs="Times New Roman"/>
          <w:b/>
          <w:i/>
          <w:sz w:val="24"/>
          <w:szCs w:val="24"/>
        </w:rPr>
      </w:pPr>
    </w:p>
    <w:p w:rsidR="00525D11" w:rsidRPr="00CC42D6" w:rsidRDefault="00525D11" w:rsidP="00525D11">
      <w:pPr>
        <w:spacing w:after="0"/>
        <w:jc w:val="center"/>
        <w:rPr>
          <w:rFonts w:ascii="Times New Roman" w:hAnsi="Times New Roman" w:cs="Times New Roman"/>
          <w:b/>
          <w:i/>
          <w:sz w:val="28"/>
          <w:szCs w:val="28"/>
          <w:lang w:val="en-US"/>
        </w:rPr>
      </w:pPr>
      <w:r w:rsidRPr="00CC42D6">
        <w:rPr>
          <w:rFonts w:ascii="Times New Roman" w:hAnsi="Times New Roman" w:cs="Times New Roman"/>
          <w:b/>
          <w:i/>
          <w:sz w:val="28"/>
          <w:szCs w:val="28"/>
          <w:lang w:val="en-US"/>
        </w:rPr>
        <w:t xml:space="preserve">OBTAINING OF THE COEFFICIENT OF EQUIVALENCE OF BICYCLES TO CARS IN ROADS CAMAGÜEYANAS </w:t>
      </w:r>
    </w:p>
    <w:p w:rsidR="00525D11" w:rsidRPr="00CC42D6" w:rsidRDefault="00525D11" w:rsidP="00525D11">
      <w:pPr>
        <w:spacing w:after="0"/>
        <w:jc w:val="center"/>
        <w:rPr>
          <w:rFonts w:ascii="Times New Roman" w:hAnsi="Times New Roman" w:cs="Times New Roman"/>
          <w:sz w:val="24"/>
          <w:szCs w:val="24"/>
          <w:lang w:val="en-US"/>
        </w:rPr>
      </w:pPr>
    </w:p>
    <w:p w:rsidR="00525D11" w:rsidRPr="00B67B30" w:rsidRDefault="00525D11" w:rsidP="00525D11">
      <w:pPr>
        <w:spacing w:after="0" w:line="360" w:lineRule="auto"/>
        <w:jc w:val="center"/>
        <w:rPr>
          <w:rFonts w:ascii="Times New Roman" w:hAnsi="Times New Roman" w:cs="Times New Roman"/>
          <w:b/>
          <w:sz w:val="24"/>
          <w:szCs w:val="24"/>
        </w:rPr>
      </w:pPr>
      <w:r w:rsidRPr="00B67B30">
        <w:rPr>
          <w:rFonts w:ascii="Times New Roman" w:hAnsi="Times New Roman" w:cs="Times New Roman"/>
          <w:b/>
          <w:sz w:val="24"/>
          <w:szCs w:val="24"/>
        </w:rPr>
        <w:t>MSc. Ing. Lorena Rey Céspedes</w:t>
      </w:r>
      <w:r w:rsidRPr="00B67B30">
        <w:rPr>
          <w:rFonts w:ascii="Times New Roman" w:hAnsi="Times New Roman" w:cs="Times New Roman"/>
          <w:b/>
          <w:sz w:val="24"/>
          <w:szCs w:val="24"/>
          <w:vertAlign w:val="superscript"/>
        </w:rPr>
        <w:t>1</w:t>
      </w:r>
      <w:r w:rsidRPr="00B67B30">
        <w:rPr>
          <w:rFonts w:ascii="Times New Roman" w:hAnsi="Times New Roman" w:cs="Times New Roman"/>
          <w:b/>
          <w:sz w:val="24"/>
          <w:szCs w:val="24"/>
        </w:rPr>
        <w:t>, Dra. Ing. Ileana Cadenas Freixas</w:t>
      </w:r>
      <w:r w:rsidRPr="00B67B30">
        <w:rPr>
          <w:rFonts w:ascii="Times New Roman" w:hAnsi="Times New Roman" w:cs="Times New Roman"/>
          <w:b/>
          <w:sz w:val="24"/>
          <w:szCs w:val="24"/>
          <w:vertAlign w:val="superscript"/>
        </w:rPr>
        <w:t>2</w:t>
      </w:r>
      <w:r w:rsidRPr="00B67B30">
        <w:rPr>
          <w:rFonts w:ascii="Times New Roman" w:hAnsi="Times New Roman" w:cs="Times New Roman"/>
          <w:b/>
          <w:sz w:val="24"/>
          <w:szCs w:val="24"/>
        </w:rPr>
        <w:t>, Ing. Amanda Power Rubio</w:t>
      </w:r>
      <w:r w:rsidRPr="00B67B30">
        <w:rPr>
          <w:rFonts w:ascii="Times New Roman" w:hAnsi="Times New Roman" w:cs="Times New Roman"/>
          <w:b/>
          <w:sz w:val="24"/>
          <w:szCs w:val="24"/>
          <w:vertAlign w:val="superscript"/>
        </w:rPr>
        <w:t>3</w:t>
      </w:r>
    </w:p>
    <w:p w:rsidR="00525D11" w:rsidRDefault="00525D11" w:rsidP="00525D11">
      <w:pPr>
        <w:pStyle w:val="Prrafodelista"/>
        <w:numPr>
          <w:ilvl w:val="0"/>
          <w:numId w:val="2"/>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MSc. Ing. Lorena Rey Céspedes. </w:t>
      </w:r>
      <w:r w:rsidRPr="00B67B30">
        <w:rPr>
          <w:rFonts w:ascii="Times New Roman" w:hAnsi="Times New Roman" w:cs="Times New Roman"/>
          <w:sz w:val="24"/>
          <w:szCs w:val="24"/>
        </w:rPr>
        <w:t xml:space="preserve">Universidad de Camagüey, Cuba. </w:t>
      </w:r>
      <w:hyperlink r:id="rId8" w:history="1">
        <w:r w:rsidRPr="00B67B30">
          <w:rPr>
            <w:rStyle w:val="Hipervnculo"/>
            <w:rFonts w:ascii="Times New Roman" w:hAnsi="Times New Roman" w:cs="Times New Roman"/>
            <w:sz w:val="24"/>
            <w:szCs w:val="24"/>
          </w:rPr>
          <w:t>lorena.rey@reduc.edu.cu</w:t>
        </w:r>
      </w:hyperlink>
    </w:p>
    <w:p w:rsidR="00525D11" w:rsidRDefault="00525D11" w:rsidP="00525D11">
      <w:pPr>
        <w:pStyle w:val="Prrafodelista"/>
        <w:numPr>
          <w:ilvl w:val="0"/>
          <w:numId w:val="2"/>
        </w:numPr>
        <w:spacing w:after="0" w:line="360" w:lineRule="auto"/>
        <w:ind w:left="426"/>
        <w:rPr>
          <w:rFonts w:ascii="Times New Roman" w:hAnsi="Times New Roman" w:cs="Times New Roman"/>
          <w:sz w:val="24"/>
          <w:szCs w:val="24"/>
        </w:rPr>
      </w:pPr>
      <w:r w:rsidRPr="00B67B30">
        <w:rPr>
          <w:rFonts w:ascii="Times New Roman" w:hAnsi="Times New Roman" w:cs="Times New Roman"/>
          <w:sz w:val="24"/>
          <w:szCs w:val="24"/>
        </w:rPr>
        <w:t>Dra. Ing. Ileana Cadenas Freixas</w:t>
      </w:r>
      <w:r>
        <w:rPr>
          <w:rFonts w:ascii="Times New Roman" w:hAnsi="Times New Roman" w:cs="Times New Roman"/>
          <w:sz w:val="24"/>
          <w:szCs w:val="24"/>
        </w:rPr>
        <w:t xml:space="preserve">. </w:t>
      </w:r>
      <w:r w:rsidRPr="00B67B30">
        <w:rPr>
          <w:rFonts w:ascii="Times New Roman" w:hAnsi="Times New Roman" w:cs="Times New Roman"/>
          <w:sz w:val="24"/>
          <w:szCs w:val="24"/>
        </w:rPr>
        <w:t>Universidad de Camagüey, Cuba</w:t>
      </w:r>
      <w:r>
        <w:rPr>
          <w:rFonts w:ascii="Times New Roman" w:hAnsi="Times New Roman" w:cs="Times New Roman"/>
          <w:sz w:val="24"/>
          <w:szCs w:val="24"/>
        </w:rPr>
        <w:t xml:space="preserve">. </w:t>
      </w:r>
      <w:hyperlink r:id="rId9" w:history="1">
        <w:r w:rsidRPr="00B67B30">
          <w:rPr>
            <w:rStyle w:val="Hipervnculo"/>
            <w:rFonts w:ascii="Times New Roman" w:hAnsi="Times New Roman" w:cs="Times New Roman"/>
            <w:sz w:val="24"/>
            <w:szCs w:val="24"/>
          </w:rPr>
          <w:t>ileana.cadenas@reduc.edu.cu</w:t>
        </w:r>
      </w:hyperlink>
    </w:p>
    <w:p w:rsidR="00525D11" w:rsidRPr="00B67B30" w:rsidRDefault="00525D11" w:rsidP="00525D11">
      <w:pPr>
        <w:pStyle w:val="Prrafodelista"/>
        <w:numPr>
          <w:ilvl w:val="0"/>
          <w:numId w:val="2"/>
        </w:numPr>
        <w:spacing w:after="0" w:line="360" w:lineRule="auto"/>
        <w:ind w:left="426"/>
        <w:rPr>
          <w:color w:val="0000FF" w:themeColor="hyperlink"/>
          <w:u w:val="single"/>
        </w:rPr>
      </w:pPr>
      <w:r w:rsidRPr="00B67B30">
        <w:rPr>
          <w:rFonts w:ascii="Times New Roman" w:hAnsi="Times New Roman" w:cs="Times New Roman"/>
          <w:sz w:val="24"/>
          <w:szCs w:val="24"/>
        </w:rPr>
        <w:t>Ing. Amanda Power Rubio</w:t>
      </w:r>
      <w:r>
        <w:rPr>
          <w:rFonts w:ascii="Times New Roman" w:hAnsi="Times New Roman" w:cs="Times New Roman"/>
          <w:sz w:val="24"/>
          <w:szCs w:val="24"/>
        </w:rPr>
        <w:t xml:space="preserve">. Empresa de proyecto </w:t>
      </w:r>
      <w:proofErr w:type="spellStart"/>
      <w:r>
        <w:rPr>
          <w:rFonts w:ascii="Times New Roman" w:hAnsi="Times New Roman" w:cs="Times New Roman"/>
          <w:sz w:val="24"/>
          <w:szCs w:val="24"/>
        </w:rPr>
        <w:t>Crever</w:t>
      </w:r>
      <w:proofErr w:type="spellEnd"/>
      <w:r>
        <w:rPr>
          <w:rFonts w:ascii="Times New Roman" w:hAnsi="Times New Roman" w:cs="Times New Roman"/>
          <w:sz w:val="24"/>
          <w:szCs w:val="24"/>
        </w:rPr>
        <w:t xml:space="preserve">, Cuba. </w:t>
      </w:r>
      <w:r w:rsidRPr="00B67B30">
        <w:rPr>
          <w:rStyle w:val="Hipervnculo"/>
          <w:rFonts w:ascii="Times New Roman" w:hAnsi="Times New Roman" w:cs="Times New Roman"/>
          <w:sz w:val="24"/>
          <w:szCs w:val="24"/>
        </w:rPr>
        <w:t>amanda@crever.cu</w:t>
      </w:r>
    </w:p>
    <w:p w:rsidR="00525D11" w:rsidRDefault="00525D11" w:rsidP="00525D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525D11" w:rsidRPr="00B67B30" w:rsidRDefault="00525D11" w:rsidP="00525D11">
      <w:pPr>
        <w:spacing w:after="0" w:line="360" w:lineRule="auto"/>
        <w:jc w:val="both"/>
        <w:rPr>
          <w:rFonts w:ascii="Times New Roman" w:hAnsi="Times New Roman" w:cs="Times New Roman"/>
          <w:sz w:val="24"/>
          <w:szCs w:val="24"/>
        </w:rPr>
      </w:pPr>
      <w:r w:rsidRPr="00B67B30">
        <w:rPr>
          <w:rFonts w:ascii="Times New Roman" w:hAnsi="Times New Roman" w:cs="Times New Roman"/>
          <w:bCs/>
          <w:sz w:val="24"/>
          <w:szCs w:val="24"/>
        </w:rPr>
        <w:t xml:space="preserve">Cada vez son más comunes en todo el mundo los flujos de tráfico heterogéneos que contienen vehículos motorizados y no motorizados. Este flujo contiene vehículos convencionales (automóviles, ómnibus y camiones) y no convencionales (bicicletas, motocicletas, otros). </w:t>
      </w:r>
      <w:r w:rsidRPr="00B67B30">
        <w:rPr>
          <w:rFonts w:ascii="Times New Roman" w:hAnsi="Times New Roman" w:cs="Times New Roman"/>
          <w:sz w:val="24"/>
          <w:szCs w:val="24"/>
          <w:lang w:val="es-MX"/>
        </w:rPr>
        <w:t>El modo de tránsito no motorizado juega un papel muy importante en el cumplimiento de la demanda de viajes en muchos países</w:t>
      </w:r>
      <w:r w:rsidRPr="00B67B30">
        <w:rPr>
          <w:rFonts w:ascii="Times New Roman" w:hAnsi="Times New Roman" w:cs="Times New Roman"/>
          <w:sz w:val="24"/>
          <w:szCs w:val="24"/>
        </w:rPr>
        <w:t>. El ciclismo es cada vez más frecuente debido a sus beneficios sociales y personales. En consecuencia, comprender el comportamiento de los ciclistas y considerar a los ciclistas como elementos relevantes en el transporte y en la modelación del tránsito es esencial.</w:t>
      </w:r>
    </w:p>
    <w:p w:rsidR="00525D11" w:rsidRPr="00B67B30" w:rsidRDefault="00525D11" w:rsidP="00525D11">
      <w:pPr>
        <w:spacing w:after="0" w:line="360" w:lineRule="auto"/>
        <w:jc w:val="both"/>
        <w:rPr>
          <w:rFonts w:ascii="Times New Roman" w:hAnsi="Times New Roman" w:cs="Times New Roman"/>
          <w:bCs/>
          <w:sz w:val="24"/>
          <w:szCs w:val="24"/>
        </w:rPr>
      </w:pPr>
      <w:r w:rsidRPr="00B67B30">
        <w:rPr>
          <w:rFonts w:ascii="Times New Roman" w:hAnsi="Times New Roman" w:cs="Times New Roman"/>
          <w:bCs/>
          <w:sz w:val="24"/>
          <w:szCs w:val="24"/>
        </w:rPr>
        <w:t xml:space="preserve">Debido al nivel económico de Cuba y al grado de desarrollo del transporte, las bicicletas constituyen un gran porciento de la corriente de circulación en las ciudades es por ello que se debe considerar el impacto de las bicicletas sobre la capacidad y el nivel de servicio. </w:t>
      </w:r>
    </w:p>
    <w:p w:rsidR="00525D11" w:rsidRPr="00B67B30" w:rsidRDefault="00525D11" w:rsidP="00525D11">
      <w:pPr>
        <w:spacing w:after="0" w:line="360" w:lineRule="auto"/>
        <w:jc w:val="both"/>
        <w:rPr>
          <w:rFonts w:ascii="Times New Roman" w:hAnsi="Times New Roman" w:cs="Times New Roman"/>
          <w:sz w:val="24"/>
          <w:szCs w:val="24"/>
          <w:lang w:val="es-ES_tradnl"/>
        </w:rPr>
      </w:pPr>
      <w:r w:rsidRPr="00B67B30">
        <w:rPr>
          <w:rFonts w:ascii="Times New Roman" w:hAnsi="Times New Roman" w:cs="Times New Roman"/>
          <w:sz w:val="24"/>
          <w:szCs w:val="24"/>
        </w:rPr>
        <w:t xml:space="preserve">En los últimos años la ciudad de Camagüey se ha caracterizado por un volumen considerable de ciclos en las vías urbanas. Se acostumbra a realizar los cálculos de Ingeniería de tránsito convirtiendo todos los vehículos a una unidad equivalente, sin embargo no se documentan estudios sobre el valor de coeficiente de equivalencia de bicicletas a autos en arterias con las características actuales de la ciudad. </w:t>
      </w:r>
    </w:p>
    <w:p w:rsidR="00525D11" w:rsidRPr="00B67B30" w:rsidRDefault="00525D11" w:rsidP="00525D11">
      <w:pPr>
        <w:spacing w:after="0" w:line="360" w:lineRule="auto"/>
        <w:jc w:val="both"/>
        <w:rPr>
          <w:rFonts w:ascii="Times New Roman" w:hAnsi="Times New Roman" w:cs="Times New Roman"/>
          <w:sz w:val="24"/>
          <w:szCs w:val="24"/>
        </w:rPr>
      </w:pPr>
      <w:r w:rsidRPr="00B67B30">
        <w:rPr>
          <w:rFonts w:ascii="Times New Roman" w:hAnsi="Times New Roman" w:cs="Times New Roman"/>
          <w:sz w:val="24"/>
          <w:szCs w:val="24"/>
        </w:rPr>
        <w:lastRenderedPageBreak/>
        <w:t xml:space="preserve">En este trabajo se presentan los resultados de estudios realizados que se constituyen en herramientas técnicas científicamente fundamentadas para la toma de decisiones referidas a la obtención del coeficiente de equivalencia de bicicletas a autos en las vías camagüeyanas. </w:t>
      </w:r>
    </w:p>
    <w:p w:rsidR="00525D11" w:rsidRPr="00B67B30" w:rsidRDefault="00525D11" w:rsidP="00525D11">
      <w:pPr>
        <w:spacing w:after="0" w:line="360" w:lineRule="auto"/>
        <w:jc w:val="both"/>
        <w:rPr>
          <w:rFonts w:ascii="Times New Roman" w:hAnsi="Times New Roman" w:cs="Times New Roman"/>
          <w:sz w:val="24"/>
          <w:szCs w:val="24"/>
          <w:lang w:val="es-CO"/>
        </w:rPr>
      </w:pPr>
      <w:r w:rsidRPr="00B67B30">
        <w:rPr>
          <w:rFonts w:ascii="Times New Roman" w:hAnsi="Times New Roman" w:cs="Times New Roman"/>
          <w:b/>
          <w:sz w:val="24"/>
          <w:szCs w:val="24"/>
          <w:lang w:val="es-CO"/>
        </w:rPr>
        <w:t>Palabras claves:</w:t>
      </w:r>
      <w:r w:rsidRPr="00B67B30">
        <w:rPr>
          <w:rFonts w:ascii="Times New Roman" w:hAnsi="Times New Roman" w:cs="Times New Roman"/>
          <w:sz w:val="24"/>
          <w:szCs w:val="24"/>
          <w:lang w:val="es-CO"/>
        </w:rPr>
        <w:t xml:space="preserve"> </w:t>
      </w:r>
      <w:r>
        <w:rPr>
          <w:rFonts w:ascii="Times New Roman" w:hAnsi="Times New Roman" w:cs="Times New Roman"/>
          <w:sz w:val="24"/>
          <w:szCs w:val="24"/>
          <w:lang w:val="es-CO"/>
        </w:rPr>
        <w:t>E</w:t>
      </w:r>
      <w:r w:rsidRPr="00B67B30">
        <w:rPr>
          <w:rFonts w:ascii="Times New Roman" w:hAnsi="Times New Roman" w:cs="Times New Roman"/>
          <w:sz w:val="24"/>
          <w:szCs w:val="24"/>
          <w:lang w:val="es-CO"/>
        </w:rPr>
        <w:t>studios de tránsito</w:t>
      </w:r>
      <w:r>
        <w:rPr>
          <w:rFonts w:ascii="Times New Roman" w:hAnsi="Times New Roman" w:cs="Times New Roman"/>
          <w:sz w:val="24"/>
          <w:szCs w:val="24"/>
          <w:lang w:val="es-CO"/>
        </w:rPr>
        <w:t>;</w:t>
      </w:r>
      <w:r w:rsidRPr="00B67B30">
        <w:rPr>
          <w:rFonts w:ascii="Times New Roman" w:hAnsi="Times New Roman" w:cs="Times New Roman"/>
          <w:sz w:val="24"/>
          <w:szCs w:val="24"/>
          <w:lang w:val="es-CO"/>
        </w:rPr>
        <w:t xml:space="preserve"> </w:t>
      </w:r>
      <w:r>
        <w:rPr>
          <w:rFonts w:ascii="Times New Roman" w:hAnsi="Times New Roman" w:cs="Times New Roman"/>
          <w:sz w:val="24"/>
          <w:szCs w:val="24"/>
          <w:lang w:val="es-CO"/>
        </w:rPr>
        <w:t>F</w:t>
      </w:r>
      <w:r w:rsidRPr="00B67B30">
        <w:rPr>
          <w:rFonts w:ascii="Times New Roman" w:hAnsi="Times New Roman" w:cs="Times New Roman"/>
          <w:sz w:val="24"/>
          <w:szCs w:val="24"/>
          <w:lang w:val="es-CO"/>
        </w:rPr>
        <w:t>actor de equivalencia de bicicletas</w:t>
      </w:r>
      <w:r>
        <w:rPr>
          <w:rFonts w:ascii="Times New Roman" w:hAnsi="Times New Roman" w:cs="Times New Roman"/>
          <w:sz w:val="24"/>
          <w:szCs w:val="24"/>
          <w:lang w:val="es-CO"/>
        </w:rPr>
        <w:t>;</w:t>
      </w:r>
      <w:r w:rsidRPr="00B67B30">
        <w:rPr>
          <w:rFonts w:ascii="Times New Roman" w:hAnsi="Times New Roman" w:cs="Times New Roman"/>
          <w:sz w:val="24"/>
          <w:szCs w:val="24"/>
          <w:lang w:val="es-CO"/>
        </w:rPr>
        <w:t xml:space="preserve"> </w:t>
      </w:r>
      <w:r>
        <w:rPr>
          <w:rFonts w:ascii="Times New Roman" w:hAnsi="Times New Roman" w:cs="Times New Roman"/>
          <w:sz w:val="24"/>
          <w:szCs w:val="24"/>
          <w:lang w:val="es-CO"/>
        </w:rPr>
        <w:t>V</w:t>
      </w:r>
      <w:r w:rsidRPr="00B67B30">
        <w:rPr>
          <w:rFonts w:ascii="Times New Roman" w:hAnsi="Times New Roman" w:cs="Times New Roman"/>
          <w:sz w:val="24"/>
          <w:szCs w:val="24"/>
          <w:lang w:val="es-CO"/>
        </w:rPr>
        <w:t>ías urbanas.</w:t>
      </w:r>
    </w:p>
    <w:p w:rsidR="00525D11" w:rsidRPr="00FB35EF" w:rsidRDefault="00525D11" w:rsidP="00525D11">
      <w:pPr>
        <w:spacing w:after="0" w:line="360" w:lineRule="auto"/>
        <w:jc w:val="both"/>
        <w:rPr>
          <w:rFonts w:ascii="Times New Roman" w:hAnsi="Times New Roman" w:cs="Times New Roman"/>
          <w:sz w:val="24"/>
          <w:szCs w:val="24"/>
          <w:lang w:val="en-US"/>
        </w:rPr>
      </w:pPr>
      <w:r w:rsidRPr="00FB35EF">
        <w:rPr>
          <w:rFonts w:ascii="Times New Roman" w:hAnsi="Times New Roman" w:cs="Times New Roman"/>
          <w:b/>
          <w:i/>
          <w:sz w:val="24"/>
          <w:szCs w:val="24"/>
          <w:lang w:val="en-US"/>
        </w:rPr>
        <w:t>Abstract:</w:t>
      </w:r>
      <w:r w:rsidRPr="00FB35EF">
        <w:rPr>
          <w:rFonts w:ascii="Times New Roman" w:hAnsi="Times New Roman" w:cs="Times New Roman"/>
          <w:sz w:val="24"/>
          <w:szCs w:val="24"/>
          <w:lang w:val="en-US"/>
        </w:rPr>
        <w:t xml:space="preserve"> </w:t>
      </w:r>
    </w:p>
    <w:p w:rsidR="00525D11" w:rsidRPr="000E2D12" w:rsidRDefault="00525D11" w:rsidP="00525D11">
      <w:pPr>
        <w:spacing w:after="0" w:line="360" w:lineRule="auto"/>
        <w:jc w:val="both"/>
        <w:rPr>
          <w:rFonts w:ascii="Times New Roman" w:hAnsi="Times New Roman" w:cs="Times New Roman"/>
          <w:sz w:val="24"/>
          <w:szCs w:val="24"/>
          <w:lang w:val="en-US"/>
        </w:rPr>
      </w:pPr>
      <w:r w:rsidRPr="000E2D12">
        <w:rPr>
          <w:rFonts w:ascii="Times New Roman" w:hAnsi="Times New Roman" w:cs="Times New Roman"/>
          <w:sz w:val="24"/>
          <w:szCs w:val="24"/>
          <w:lang w:val="en-US"/>
        </w:rPr>
        <w:t>Increasingly, heterogeneous traffic flows containing motorized and non-motorized vehicles are increasingly common worldwide. This flow contains conventional vehicles (cars, buses and trucks) and unconventional vehicles (bicycles, motorcycles, others). The non-motorized transit mode plays a very important role in meeting the travel demand in many countries. Cycling is becoming more frequent due to its social and personal benefits. Consequently, understanding the behavior of cyclists and considering cyclists as relevant elements in transportation and modeling of traffic is essential.</w:t>
      </w:r>
    </w:p>
    <w:p w:rsidR="00525D11" w:rsidRPr="000E2D12" w:rsidRDefault="00525D11" w:rsidP="00525D11">
      <w:pPr>
        <w:spacing w:after="0" w:line="360" w:lineRule="auto"/>
        <w:jc w:val="both"/>
        <w:rPr>
          <w:rFonts w:ascii="Times New Roman" w:hAnsi="Times New Roman" w:cs="Times New Roman"/>
          <w:sz w:val="24"/>
          <w:szCs w:val="24"/>
          <w:lang w:val="en-US"/>
        </w:rPr>
      </w:pPr>
      <w:r w:rsidRPr="000E2D12">
        <w:rPr>
          <w:rFonts w:ascii="Times New Roman" w:hAnsi="Times New Roman" w:cs="Times New Roman"/>
          <w:sz w:val="24"/>
          <w:szCs w:val="24"/>
          <w:lang w:val="en-US"/>
        </w:rPr>
        <w:t>Due to the economic level of Cuba and the degree of development of transport, bicycles constitute a large percentage of the flow of traffic in cities, which is why the impact of bicycles on the capacity and level of service must be considered.</w:t>
      </w:r>
    </w:p>
    <w:p w:rsidR="00525D11" w:rsidRPr="000E2D12" w:rsidRDefault="00525D11" w:rsidP="00525D11">
      <w:pPr>
        <w:spacing w:after="0" w:line="360" w:lineRule="auto"/>
        <w:jc w:val="both"/>
        <w:rPr>
          <w:rFonts w:ascii="Times New Roman" w:hAnsi="Times New Roman" w:cs="Times New Roman"/>
          <w:sz w:val="24"/>
          <w:szCs w:val="24"/>
          <w:lang w:val="en-US"/>
        </w:rPr>
      </w:pPr>
      <w:r w:rsidRPr="000E2D12">
        <w:rPr>
          <w:rFonts w:ascii="Times New Roman" w:hAnsi="Times New Roman" w:cs="Times New Roman"/>
          <w:sz w:val="24"/>
          <w:szCs w:val="24"/>
          <w:lang w:val="en-US"/>
        </w:rPr>
        <w:t>In recent years the city of Camagüey has been characterized by a considerable volume of cycles on urban roads. It is customary to make the calculations of Traffic Engineering converting all vehicles to an equivalent unit, however no studies are documented on the coefficient value of equivalence of bicycles to cars on arteries with the current characteristics of the city.</w:t>
      </w:r>
    </w:p>
    <w:p w:rsidR="00525D11" w:rsidRPr="000E2D12" w:rsidRDefault="00525D11" w:rsidP="00525D11">
      <w:pPr>
        <w:spacing w:after="0" w:line="360" w:lineRule="auto"/>
        <w:jc w:val="both"/>
        <w:rPr>
          <w:rFonts w:ascii="Times New Roman" w:hAnsi="Times New Roman" w:cs="Times New Roman"/>
          <w:sz w:val="24"/>
          <w:szCs w:val="24"/>
          <w:lang w:val="en-US"/>
        </w:rPr>
      </w:pPr>
      <w:r w:rsidRPr="000E2D12">
        <w:rPr>
          <w:rFonts w:ascii="Times New Roman" w:hAnsi="Times New Roman" w:cs="Times New Roman"/>
          <w:sz w:val="24"/>
          <w:szCs w:val="24"/>
          <w:lang w:val="en-US"/>
        </w:rPr>
        <w:t>This paper presents the results of studies carried out that constitute scientifically based technical tools for making decisions related to obtaining the coefficient of equivalence of bicycles to cars in the roads of Camagüey.</w:t>
      </w:r>
    </w:p>
    <w:p w:rsidR="00525D11" w:rsidRPr="00FB35EF" w:rsidRDefault="00525D11" w:rsidP="00525D11">
      <w:pPr>
        <w:spacing w:after="0" w:line="360" w:lineRule="auto"/>
        <w:jc w:val="both"/>
        <w:rPr>
          <w:rFonts w:ascii="Times New Roman" w:hAnsi="Times New Roman" w:cs="Times New Roman"/>
          <w:sz w:val="24"/>
          <w:szCs w:val="24"/>
          <w:lang w:val="en-US"/>
        </w:rPr>
      </w:pPr>
      <w:r w:rsidRPr="000E2D12">
        <w:rPr>
          <w:rFonts w:ascii="Times New Roman" w:hAnsi="Times New Roman" w:cs="Times New Roman"/>
          <w:b/>
          <w:sz w:val="24"/>
          <w:szCs w:val="24"/>
          <w:lang w:val="en-US"/>
        </w:rPr>
        <w:t>Keywords:</w:t>
      </w:r>
      <w:r w:rsidRPr="000E2D1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0E2D12">
        <w:rPr>
          <w:rFonts w:ascii="Times New Roman" w:hAnsi="Times New Roman" w:cs="Times New Roman"/>
          <w:sz w:val="24"/>
          <w:szCs w:val="24"/>
          <w:lang w:val="en-US"/>
        </w:rPr>
        <w:t>raffic studies</w:t>
      </w:r>
      <w:r>
        <w:rPr>
          <w:rFonts w:ascii="Times New Roman" w:hAnsi="Times New Roman" w:cs="Times New Roman"/>
          <w:sz w:val="24"/>
          <w:szCs w:val="24"/>
          <w:lang w:val="en-US"/>
        </w:rPr>
        <w:t>;</w:t>
      </w:r>
      <w:r w:rsidRPr="000E2D12">
        <w:rPr>
          <w:rFonts w:ascii="Times New Roman" w:hAnsi="Times New Roman" w:cs="Times New Roman"/>
          <w:sz w:val="24"/>
          <w:szCs w:val="24"/>
          <w:lang w:val="en-US"/>
        </w:rPr>
        <w:t xml:space="preserve"> </w:t>
      </w:r>
      <w:r>
        <w:rPr>
          <w:rFonts w:ascii="Times New Roman" w:hAnsi="Times New Roman" w:cs="Times New Roman"/>
          <w:sz w:val="24"/>
          <w:szCs w:val="24"/>
          <w:lang w:val="en-US"/>
        </w:rPr>
        <w:t>Bicycle equivalence factor;</w:t>
      </w:r>
      <w:r w:rsidRPr="000E2D12">
        <w:rPr>
          <w:rFonts w:ascii="Times New Roman" w:hAnsi="Times New Roman" w:cs="Times New Roman"/>
          <w:sz w:val="24"/>
          <w:szCs w:val="24"/>
          <w:lang w:val="en-US"/>
        </w:rPr>
        <w:t xml:space="preserve"> </w:t>
      </w:r>
      <w:r>
        <w:rPr>
          <w:rFonts w:ascii="Times New Roman" w:hAnsi="Times New Roman" w:cs="Times New Roman"/>
          <w:sz w:val="24"/>
          <w:szCs w:val="24"/>
          <w:lang w:val="en-US"/>
        </w:rPr>
        <w:t>U</w:t>
      </w:r>
      <w:r w:rsidRPr="000E2D12">
        <w:rPr>
          <w:rFonts w:ascii="Times New Roman" w:hAnsi="Times New Roman" w:cs="Times New Roman"/>
          <w:sz w:val="24"/>
          <w:szCs w:val="24"/>
          <w:lang w:val="en-US"/>
        </w:rPr>
        <w:t>rban roads.</w:t>
      </w:r>
    </w:p>
    <w:p w:rsidR="00525D11" w:rsidRDefault="00525D11" w:rsidP="00525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25D11" w:rsidRPr="00210F7A" w:rsidRDefault="00525D11" w:rsidP="00525D11">
      <w:pPr>
        <w:spacing w:after="0" w:line="360" w:lineRule="auto"/>
        <w:jc w:val="both"/>
        <w:rPr>
          <w:rFonts w:ascii="Times New Roman" w:hAnsi="Times New Roman" w:cs="Times New Roman"/>
          <w:sz w:val="24"/>
          <w:szCs w:val="24"/>
          <w:lang w:val="es-MX"/>
        </w:rPr>
      </w:pPr>
      <w:r w:rsidRPr="00210F7A">
        <w:rPr>
          <w:rFonts w:ascii="Times New Roman" w:hAnsi="Times New Roman" w:cs="Times New Roman"/>
          <w:sz w:val="24"/>
          <w:szCs w:val="24"/>
          <w:lang w:val="es-MX"/>
        </w:rPr>
        <w:t xml:space="preserve">La ciudad de Camagüey pertenece al grupo de las siete primeras villas fundadas por los colonizadores españoles. Luego del establecimiento definitivo de la villa de Santa </w:t>
      </w:r>
      <w:r w:rsidR="00FE0E25">
        <w:rPr>
          <w:rFonts w:ascii="Times New Roman" w:hAnsi="Times New Roman" w:cs="Times New Roman"/>
          <w:sz w:val="24"/>
          <w:szCs w:val="24"/>
          <w:lang w:val="es-MX"/>
        </w:rPr>
        <w:t>Madame</w:t>
      </w:r>
      <w:r w:rsidRPr="00210F7A">
        <w:rPr>
          <w:rFonts w:ascii="Times New Roman" w:hAnsi="Times New Roman" w:cs="Times New Roman"/>
          <w:sz w:val="24"/>
          <w:szCs w:val="24"/>
          <w:lang w:val="es-MX"/>
        </w:rPr>
        <w:t xml:space="preserve"> del Puerto del Príncipe entre los ríos Tínima y Hatibonico, el centro lo constituyó la Plaza Mayor presidida por la parroquial mayor en cuyo entorno se levantó el edificio del Ayuntamiento, sede del Cabildo y la vivienda de los principales vecinos, centro </w:t>
      </w:r>
      <w:r w:rsidRPr="00210F7A">
        <w:rPr>
          <w:rFonts w:ascii="Times New Roman" w:hAnsi="Times New Roman" w:cs="Times New Roman"/>
          <w:sz w:val="24"/>
          <w:szCs w:val="24"/>
          <w:lang w:val="es-MX"/>
        </w:rPr>
        <w:lastRenderedPageBreak/>
        <w:t>cívico, cultural, político, religioso, comercial y de justicia, que la dotaron de peculiar polifuncionalidad.</w:t>
      </w:r>
    </w:p>
    <w:p w:rsidR="00525D11" w:rsidRDefault="00525D11" w:rsidP="00525D11">
      <w:pPr>
        <w:spacing w:after="0" w:line="360" w:lineRule="auto"/>
        <w:jc w:val="both"/>
        <w:rPr>
          <w:rFonts w:ascii="Times New Roman" w:hAnsi="Times New Roman" w:cs="Times New Roman"/>
          <w:color w:val="FF0000"/>
          <w:sz w:val="24"/>
          <w:szCs w:val="24"/>
          <w:lang w:val="es-MX"/>
        </w:rPr>
      </w:pPr>
      <w:r w:rsidRPr="00210F7A">
        <w:rPr>
          <w:rFonts w:ascii="Times New Roman" w:hAnsi="Times New Roman" w:cs="Times New Roman"/>
          <w:sz w:val="24"/>
          <w:szCs w:val="24"/>
          <w:lang w:val="es-MX"/>
        </w:rPr>
        <w:t>Con las características de ciudad medieval, desarrolló una trama urbana radio concéntrica, que se mantiene hasta la actualidad. Se creó el núcleo urbano geométricamente y en su entorno un laberíntico entramado de calles.  El núcleo urbano ha sido foco del desarrollo económico, político, social y cultural lo que ha definido que el centro de la ciudad coincida con el Centro Histórico.</w:t>
      </w:r>
      <w:r>
        <w:rPr>
          <w:rFonts w:ascii="Times New Roman" w:hAnsi="Times New Roman" w:cs="Times New Roman"/>
          <w:sz w:val="24"/>
          <w:szCs w:val="24"/>
          <w:lang w:val="es-MX"/>
        </w:rPr>
        <w:t xml:space="preserve"> </w:t>
      </w:r>
      <w:r w:rsidRPr="00273DC6">
        <w:rPr>
          <w:rFonts w:ascii="Times New Roman" w:hAnsi="Times New Roman" w:cs="Times New Roman"/>
          <w:sz w:val="24"/>
          <w:szCs w:val="24"/>
          <w:lang w:val="es-MX"/>
        </w:rPr>
        <w:t>(</w:t>
      </w:r>
      <w:r w:rsidRPr="00273DC6">
        <w:rPr>
          <w:rFonts w:ascii="Times New Roman" w:hAnsi="Times New Roman" w:cs="Times New Roman"/>
          <w:bCs/>
          <w:iCs/>
          <w:sz w:val="24"/>
          <w:szCs w:val="24"/>
          <w:lang w:val="es-ES_tradnl"/>
        </w:rPr>
        <w:t>Centro Histórico Urbano de Camagüey</w:t>
      </w:r>
      <w:r w:rsidRPr="00273DC6">
        <w:rPr>
          <w:rFonts w:ascii="Times New Roman" w:hAnsi="Times New Roman" w:cs="Times New Roman"/>
          <w:bCs/>
          <w:sz w:val="24"/>
          <w:szCs w:val="24"/>
          <w:lang w:val="es-ES_tradnl"/>
        </w:rPr>
        <w:t>, 2009;</w:t>
      </w:r>
      <w:r w:rsidRPr="00273DC6">
        <w:rPr>
          <w:rFonts w:ascii="Times New Roman" w:hAnsi="Times New Roman" w:cs="Times New Roman"/>
          <w:iCs/>
          <w:sz w:val="24"/>
          <w:szCs w:val="24"/>
          <w:lang w:val="es-ES_tradnl"/>
        </w:rPr>
        <w:t xml:space="preserve"> Camagüey Ciego de Ávila. Guía de Arquitectura y Paisaje, 2009</w:t>
      </w:r>
      <w:r w:rsidRPr="00273DC6">
        <w:rPr>
          <w:rFonts w:ascii="Times New Roman" w:hAnsi="Times New Roman" w:cs="Times New Roman"/>
          <w:bCs/>
          <w:sz w:val="24"/>
          <w:szCs w:val="24"/>
          <w:lang w:val="es-ES_tradnl"/>
        </w:rPr>
        <w:t>]</w:t>
      </w:r>
      <w:r w:rsidRPr="00273DC6">
        <w:rPr>
          <w:rFonts w:ascii="Times New Roman" w:hAnsi="Times New Roman" w:cs="Times New Roman"/>
          <w:sz w:val="24"/>
          <w:szCs w:val="24"/>
          <w:lang w:val="es-MX"/>
        </w:rPr>
        <w:t>)</w:t>
      </w:r>
      <w:r>
        <w:rPr>
          <w:rFonts w:ascii="Times New Roman" w:hAnsi="Times New Roman" w:cs="Times New Roman"/>
          <w:sz w:val="24"/>
          <w:szCs w:val="24"/>
          <w:lang w:val="es-MX"/>
        </w:rPr>
        <w:t>.</w:t>
      </w:r>
    </w:p>
    <w:p w:rsidR="00525D11" w:rsidRDefault="00525D11" w:rsidP="00525D11">
      <w:pPr>
        <w:spacing w:after="0" w:line="360" w:lineRule="auto"/>
        <w:jc w:val="both"/>
        <w:rPr>
          <w:rFonts w:ascii="Times New Roman" w:hAnsi="Times New Roman" w:cs="Times New Roman"/>
          <w:sz w:val="24"/>
          <w:szCs w:val="24"/>
        </w:rPr>
      </w:pPr>
      <w:r w:rsidRPr="00E26142">
        <w:rPr>
          <w:rFonts w:ascii="Times New Roman" w:hAnsi="Times New Roman" w:cs="Times New Roman"/>
          <w:sz w:val="24"/>
          <w:szCs w:val="24"/>
        </w:rPr>
        <w:t xml:space="preserve">A partir del aumento poblacional y el desarrollo turístico se ha generado un aumento del tránsito vehicular y de peatones, ocasionando implicaciones como: grandes volúmenes de circulación, estacionamiento en la calzada, dificultades en la movilidad dada por diferentes factores que inciden en las vía como son: bicicletas, vehículos pesados, motores, vehículos de tracción animal, afectando la capacidad y los niveles de servicio a los que operan las vías. </w:t>
      </w:r>
      <w:r w:rsidRPr="00087C6C">
        <w:rPr>
          <w:rFonts w:ascii="Times New Roman" w:hAnsi="Times New Roman" w:cs="Times New Roman"/>
          <w:sz w:val="24"/>
          <w:szCs w:val="24"/>
        </w:rPr>
        <w:t>(León,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Chavez</w:t>
      </w:r>
      <w:proofErr w:type="spellEnd"/>
      <w:r>
        <w:rPr>
          <w:rFonts w:ascii="Times New Roman" w:hAnsi="Times New Roman" w:cs="Times New Roman"/>
          <w:sz w:val="24"/>
          <w:szCs w:val="24"/>
        </w:rPr>
        <w:t>, 2018</w:t>
      </w:r>
      <w:r w:rsidRPr="00087C6C">
        <w:rPr>
          <w:rFonts w:ascii="Times New Roman" w:hAnsi="Times New Roman" w:cs="Times New Roman"/>
          <w:sz w:val="24"/>
          <w:szCs w:val="24"/>
        </w:rPr>
        <w:t>)</w:t>
      </w:r>
      <w:r>
        <w:rPr>
          <w:rFonts w:ascii="Times New Roman" w:hAnsi="Times New Roman" w:cs="Times New Roman"/>
          <w:sz w:val="24"/>
          <w:szCs w:val="24"/>
        </w:rPr>
        <w:t>.</w:t>
      </w:r>
    </w:p>
    <w:p w:rsidR="00525D11" w:rsidRPr="00E26142" w:rsidRDefault="00525D11" w:rsidP="00525D11">
      <w:pPr>
        <w:spacing w:after="0" w:line="360" w:lineRule="auto"/>
        <w:jc w:val="both"/>
        <w:rPr>
          <w:rFonts w:ascii="Times New Roman" w:hAnsi="Times New Roman" w:cs="Times New Roman"/>
          <w:sz w:val="24"/>
          <w:szCs w:val="24"/>
        </w:rPr>
      </w:pPr>
      <w:r w:rsidRPr="00CC42D6">
        <w:rPr>
          <w:rFonts w:ascii="Times New Roman" w:hAnsi="Times New Roman" w:cs="Times New Roman"/>
          <w:sz w:val="24"/>
          <w:szCs w:val="24"/>
        </w:rPr>
        <w:t>Las metodologías elaboradas y utilizadas a nivel internacional para análisis de Capacidad y Niveles de Servicio no incluyen la circulación de bicicletas, motocicletas, ni vehículos de tracción animal, es por tanto necesario considerar cómo influyen estos tipos de vehículos en el tránsito.</w:t>
      </w:r>
      <w:r w:rsidRPr="00CC42D6">
        <w:rPr>
          <w:rFonts w:ascii="Times New Roman" w:hAnsi="Times New Roman" w:cs="Times New Roman"/>
          <w:bCs/>
          <w:sz w:val="24"/>
          <w:szCs w:val="24"/>
        </w:rPr>
        <w:t xml:space="preserve"> O lo que es lo mismo cuáles serían los PCE a utilizar.</w:t>
      </w:r>
    </w:p>
    <w:p w:rsidR="00525D11" w:rsidRDefault="00525D11" w:rsidP="00525D11">
      <w:pPr>
        <w:spacing w:after="0" w:line="360" w:lineRule="auto"/>
        <w:jc w:val="both"/>
        <w:rPr>
          <w:rFonts w:ascii="Times New Roman" w:hAnsi="Times New Roman" w:cs="Times New Roman"/>
          <w:sz w:val="24"/>
          <w:szCs w:val="24"/>
          <w:u w:val="single"/>
        </w:rPr>
      </w:pPr>
      <w:r w:rsidRPr="00E26142">
        <w:rPr>
          <w:rFonts w:ascii="Times New Roman" w:hAnsi="Times New Roman" w:cs="Times New Roman"/>
          <w:sz w:val="24"/>
          <w:szCs w:val="24"/>
        </w:rPr>
        <w:t xml:space="preserve">A nivel internacional la bicicleta es el medio de transporte personal preferido por muchas personas, es un medio de transporte sano, ecológico, sostenible y económico. 800 millones de bicicletas son utilizadas diariamente en el mundo, la mayoría son bicicletas domésticas y de paseo, denominadas genéricamente bicicleta urbana o </w:t>
      </w:r>
      <w:r w:rsidRPr="00E26142">
        <w:rPr>
          <w:rFonts w:ascii="Times New Roman" w:hAnsi="Times New Roman" w:cs="Times New Roman"/>
          <w:sz w:val="24"/>
          <w:szCs w:val="24"/>
          <w:u w:val="single"/>
        </w:rPr>
        <w:t>City-</w:t>
      </w:r>
      <w:proofErr w:type="spellStart"/>
      <w:r w:rsidRPr="00E26142">
        <w:rPr>
          <w:rFonts w:ascii="Times New Roman" w:hAnsi="Times New Roman" w:cs="Times New Roman"/>
          <w:sz w:val="24"/>
          <w:szCs w:val="24"/>
          <w:u w:val="single"/>
        </w:rPr>
        <w:t>bike</w:t>
      </w:r>
      <w:proofErr w:type="spellEnd"/>
      <w:r w:rsidRPr="00E26142">
        <w:rPr>
          <w:rFonts w:ascii="Times New Roman" w:hAnsi="Times New Roman" w:cs="Times New Roman"/>
          <w:sz w:val="24"/>
          <w:szCs w:val="24"/>
          <w:u w:val="single"/>
        </w:rPr>
        <w:t>.</w:t>
      </w:r>
    </w:p>
    <w:p w:rsidR="00525D11" w:rsidRPr="00980AF8" w:rsidRDefault="00525D11" w:rsidP="00525D11">
      <w:pPr>
        <w:spacing w:after="0" w:line="360" w:lineRule="auto"/>
        <w:jc w:val="both"/>
        <w:rPr>
          <w:rFonts w:ascii="Times New Roman" w:hAnsi="Times New Roman" w:cs="Times New Roman"/>
          <w:sz w:val="24"/>
          <w:szCs w:val="24"/>
        </w:rPr>
      </w:pPr>
      <w:r w:rsidRPr="00B3524D">
        <w:rPr>
          <w:rFonts w:ascii="Times New Roman" w:hAnsi="Times New Roman" w:cs="Times New Roman"/>
          <w:sz w:val="24"/>
          <w:szCs w:val="24"/>
        </w:rPr>
        <w:t xml:space="preserve">En los países desarrollados han surgido las </w:t>
      </w:r>
      <w:proofErr w:type="spellStart"/>
      <w:r w:rsidRPr="00B3524D">
        <w:rPr>
          <w:rFonts w:ascii="Times New Roman" w:hAnsi="Times New Roman" w:cs="Times New Roman"/>
          <w:sz w:val="24"/>
          <w:szCs w:val="24"/>
        </w:rPr>
        <w:t>ciclovías</w:t>
      </w:r>
      <w:proofErr w:type="spellEnd"/>
      <w:r w:rsidRPr="00B3524D">
        <w:rPr>
          <w:rFonts w:ascii="Times New Roman" w:hAnsi="Times New Roman" w:cs="Times New Roman"/>
          <w:sz w:val="24"/>
          <w:szCs w:val="24"/>
        </w:rPr>
        <w:t>, es decir, vías con características especiales por las cuales solamente circulan ciclos, de este modo no int</w:t>
      </w:r>
      <w:r>
        <w:rPr>
          <w:rFonts w:ascii="Times New Roman" w:hAnsi="Times New Roman" w:cs="Times New Roman"/>
          <w:sz w:val="24"/>
          <w:szCs w:val="24"/>
        </w:rPr>
        <w:t xml:space="preserve">ervienen en el flujo vehicular. </w:t>
      </w:r>
      <w:r w:rsidRPr="00980AF8">
        <w:rPr>
          <w:rFonts w:ascii="Times New Roman" w:hAnsi="Times New Roman" w:cs="Times New Roman"/>
          <w:sz w:val="24"/>
          <w:szCs w:val="24"/>
        </w:rPr>
        <w:t>Pero aun así se han desarrollado investigaciones para determinar la incidencia de los ciclos y su PCE, en países como China y la India, donde las bicicletas representan un gran porcentaje de los vehículos que componen la corriente del tránsito.</w:t>
      </w:r>
      <w:r>
        <w:rPr>
          <w:rFonts w:ascii="Times New Roman" w:hAnsi="Times New Roman" w:cs="Times New Roman"/>
          <w:sz w:val="24"/>
          <w:szCs w:val="24"/>
        </w:rPr>
        <w:t xml:space="preserve"> (Wang, 2008;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Nakamura</w:t>
      </w:r>
      <w:proofErr w:type="spellEnd"/>
      <w:r>
        <w:rPr>
          <w:rFonts w:ascii="Times New Roman" w:hAnsi="Times New Roman" w:cs="Times New Roman"/>
          <w:sz w:val="24"/>
          <w:szCs w:val="24"/>
        </w:rPr>
        <w:t>, 2005).</w:t>
      </w:r>
    </w:p>
    <w:p w:rsidR="00525D11" w:rsidRDefault="00525D11" w:rsidP="00525D11">
      <w:pPr>
        <w:spacing w:after="0" w:line="360" w:lineRule="auto"/>
        <w:jc w:val="both"/>
        <w:rPr>
          <w:rFonts w:ascii="Times New Roman" w:hAnsi="Times New Roman" w:cs="Times New Roman"/>
          <w:color w:val="FF0000"/>
          <w:sz w:val="24"/>
          <w:szCs w:val="24"/>
        </w:rPr>
      </w:pPr>
      <w:r w:rsidRPr="00B3524D">
        <w:rPr>
          <w:rFonts w:ascii="Times New Roman" w:hAnsi="Times New Roman" w:cs="Times New Roman"/>
          <w:sz w:val="24"/>
          <w:szCs w:val="24"/>
        </w:rPr>
        <w:t xml:space="preserve">En Cuba las bicicletas se integran al flujo vehicular mixto, no hay presencia de </w:t>
      </w:r>
      <w:proofErr w:type="spellStart"/>
      <w:r w:rsidRPr="00B3524D">
        <w:rPr>
          <w:rFonts w:ascii="Times New Roman" w:hAnsi="Times New Roman" w:cs="Times New Roman"/>
          <w:sz w:val="24"/>
          <w:szCs w:val="24"/>
        </w:rPr>
        <w:t>ciclovías</w:t>
      </w:r>
      <w:proofErr w:type="spellEnd"/>
      <w:r w:rsidRPr="00B3524D">
        <w:rPr>
          <w:rFonts w:ascii="Times New Roman" w:hAnsi="Times New Roman" w:cs="Times New Roman"/>
          <w:sz w:val="24"/>
          <w:szCs w:val="24"/>
        </w:rPr>
        <w:t xml:space="preserve"> por lo que es necesario considerar un factor de equivalencia para las mismas con el fin de obtener un flujo vehicular en autos equivalentes. Existe un alto volumen de bicicletas en las vías urbanas. El orden en que priman los volúmenes por tipo de vehículos, en la ciudad </w:t>
      </w:r>
      <w:r w:rsidRPr="00B3524D">
        <w:rPr>
          <w:rFonts w:ascii="Times New Roman" w:hAnsi="Times New Roman" w:cs="Times New Roman"/>
          <w:sz w:val="24"/>
          <w:szCs w:val="24"/>
        </w:rPr>
        <w:lastRenderedPageBreak/>
        <w:t xml:space="preserve">de Camagüey, son: ciclos (50-70 %); autos (15-30 %); motos (10-20 %); camiones (0-3 %); ómnibus (0-2 %) </w:t>
      </w:r>
      <w:r w:rsidRPr="00087C6C">
        <w:rPr>
          <w:rFonts w:ascii="Times New Roman" w:hAnsi="Times New Roman" w:cs="Times New Roman"/>
          <w:sz w:val="24"/>
          <w:szCs w:val="24"/>
        </w:rPr>
        <w:fldChar w:fldCharType="begin"/>
      </w:r>
      <w:r w:rsidRPr="00087C6C">
        <w:rPr>
          <w:rFonts w:ascii="Times New Roman" w:hAnsi="Times New Roman" w:cs="Times New Roman"/>
          <w:sz w:val="24"/>
          <w:szCs w:val="24"/>
        </w:rPr>
        <w:instrText xml:space="preserve"> ADDIN EN.CITE &lt;EndNote&gt;&lt;Cite&gt;&lt;Author&gt;Rey&lt;/Author&gt;&lt;Year&gt;2013&lt;/Year&gt;&lt;RecNum&gt;43&lt;/RecNum&gt;&lt;DisplayText&gt;(Rey, 2013)&lt;/DisplayText&gt;&lt;record&gt;&lt;rec-number&gt;43&lt;/rec-number&gt;&lt;foreign-keys&gt;&lt;key app="EN" db-id="dza00sxflszwt6e0zv159vv59p2prfat5szs"&gt;43&lt;/key&gt;&lt;/foreign-keys&gt;&lt;ref-type name="Thesis"&gt;32&lt;/ref-type&gt;&lt;contributors&gt;&lt;authors&gt;&lt;author&gt;Rey, L.&lt;/author&gt;&lt;/authors&gt;&lt;/contributors&gt;&lt;titles&gt;&lt;title&gt;Evaluación de la incidencia  del reordenamiento vial en el tránsito en el Centro Histórico  de la Ciudad de Camagüey&lt;/title&gt;&lt;secondary-title&gt;Departamento de Ingeniería Civil&lt;/secondary-title&gt;&lt;/titles&gt;&lt;volume&gt;Tesis de maestría no publicada&lt;/volume&gt;&lt;dates&gt;&lt;year&gt;2013&lt;/year&gt;&lt;/dates&gt;&lt;pub-location&gt;Camagüey&lt;/pub-location&gt;&lt;publisher&gt;Universidad de Camagüey &amp;apos;&amp;apos;Ignacio Agramonte Loynaz&amp;apos;&amp;apos;&lt;/publisher&gt;&lt;urls&gt;&lt;/urls&gt;&lt;/record&gt;&lt;/Cite&gt;&lt;/EndNote&gt;</w:instrText>
      </w:r>
      <w:r w:rsidRPr="00087C6C">
        <w:rPr>
          <w:rFonts w:ascii="Times New Roman" w:hAnsi="Times New Roman" w:cs="Times New Roman"/>
          <w:sz w:val="24"/>
          <w:szCs w:val="24"/>
        </w:rPr>
        <w:fldChar w:fldCharType="separate"/>
      </w:r>
      <w:r w:rsidRPr="00087C6C">
        <w:rPr>
          <w:rFonts w:ascii="Times New Roman" w:hAnsi="Times New Roman" w:cs="Times New Roman"/>
          <w:sz w:val="24"/>
          <w:szCs w:val="24"/>
        </w:rPr>
        <w:t>(</w:t>
      </w:r>
      <w:hyperlink w:anchor="_ENREF_37" w:tooltip="Rey, 2013 #43" w:history="1">
        <w:r w:rsidRPr="00087C6C">
          <w:rPr>
            <w:rStyle w:val="Hipervnculo"/>
            <w:rFonts w:ascii="Times New Roman" w:hAnsi="Times New Roman" w:cs="Times New Roman"/>
            <w:color w:val="auto"/>
            <w:sz w:val="24"/>
            <w:szCs w:val="24"/>
            <w:u w:val="none"/>
          </w:rPr>
          <w:t>Rey, 2013</w:t>
        </w:r>
      </w:hyperlink>
      <w:r w:rsidRPr="00087C6C">
        <w:rPr>
          <w:rFonts w:ascii="Times New Roman" w:hAnsi="Times New Roman" w:cs="Times New Roman"/>
          <w:sz w:val="24"/>
          <w:szCs w:val="24"/>
        </w:rPr>
        <w:t>)</w:t>
      </w:r>
      <w:r w:rsidRPr="00087C6C">
        <w:rPr>
          <w:rFonts w:ascii="Times New Roman" w:hAnsi="Times New Roman" w:cs="Times New Roman"/>
          <w:sz w:val="24"/>
          <w:szCs w:val="24"/>
        </w:rPr>
        <w:fldChar w:fldCharType="end"/>
      </w:r>
      <w:r w:rsidRPr="00087C6C">
        <w:rPr>
          <w:rFonts w:ascii="Times New Roman" w:hAnsi="Times New Roman" w:cs="Times New Roman"/>
          <w:sz w:val="24"/>
          <w:szCs w:val="24"/>
        </w:rPr>
        <w:t>.</w:t>
      </w:r>
    </w:p>
    <w:p w:rsidR="00525D11" w:rsidRPr="00E91CA3" w:rsidRDefault="00525D11" w:rsidP="00525D11">
      <w:pPr>
        <w:spacing w:after="0" w:line="360" w:lineRule="auto"/>
        <w:jc w:val="both"/>
        <w:rPr>
          <w:rFonts w:ascii="Times New Roman" w:hAnsi="Times New Roman" w:cs="Times New Roman"/>
          <w:sz w:val="24"/>
          <w:szCs w:val="24"/>
        </w:rPr>
      </w:pPr>
      <w:r w:rsidRPr="00E91CA3">
        <w:rPr>
          <w:rFonts w:ascii="Times New Roman" w:hAnsi="Times New Roman" w:cs="Times New Roman"/>
          <w:sz w:val="24"/>
          <w:szCs w:val="24"/>
        </w:rPr>
        <w:t xml:space="preserve">Los </w:t>
      </w:r>
      <w:r w:rsidRPr="00E91CA3">
        <w:rPr>
          <w:rFonts w:ascii="Times New Roman" w:hAnsi="Times New Roman" w:cs="Times New Roman"/>
          <w:bCs/>
          <w:sz w:val="24"/>
          <w:szCs w:val="24"/>
          <w:lang w:val="es-MX"/>
        </w:rPr>
        <w:t>factores de equivalencia a vehículos ligeros o autos (</w:t>
      </w:r>
      <w:r w:rsidRPr="00E91CA3">
        <w:rPr>
          <w:rFonts w:ascii="Times New Roman" w:hAnsi="Times New Roman" w:cs="Times New Roman"/>
          <w:bCs/>
          <w:sz w:val="24"/>
          <w:szCs w:val="24"/>
          <w:u w:val="single"/>
          <w:lang w:val="es-MX"/>
        </w:rPr>
        <w:t>Passenger Car Equivalence</w:t>
      </w:r>
      <w:r w:rsidRPr="00E91CA3">
        <w:rPr>
          <w:rFonts w:ascii="Times New Roman" w:hAnsi="Times New Roman" w:cs="Times New Roman"/>
          <w:bCs/>
          <w:sz w:val="24"/>
          <w:szCs w:val="24"/>
          <w:lang w:val="es-MX"/>
        </w:rPr>
        <w:t xml:space="preserve"> (PCE), por sus siglas en inglés) permiten transformar una corriente de tránsito mixto en una equivalente en la que solo circulen automóviles. Es de una importancia excepcional la determinación de los PCE, para de este modo disponer de resultados que estén acordes al tránsito real</w:t>
      </w:r>
      <w:r w:rsidRPr="00E91CA3">
        <w:rPr>
          <w:rFonts w:ascii="Times New Roman" w:hAnsi="Times New Roman" w:cs="Times New Roman"/>
          <w:sz w:val="24"/>
          <w:szCs w:val="24"/>
        </w:rPr>
        <w:t xml:space="preserve">. </w:t>
      </w:r>
    </w:p>
    <w:p w:rsidR="00525D11" w:rsidRPr="00E91CA3" w:rsidRDefault="00525D11" w:rsidP="00525D11">
      <w:pPr>
        <w:spacing w:after="0" w:line="360" w:lineRule="auto"/>
        <w:jc w:val="both"/>
        <w:rPr>
          <w:rFonts w:ascii="Times New Roman" w:hAnsi="Times New Roman" w:cs="Times New Roman"/>
          <w:sz w:val="24"/>
          <w:szCs w:val="24"/>
        </w:rPr>
      </w:pPr>
      <w:r w:rsidRPr="00E91CA3">
        <w:rPr>
          <w:rFonts w:ascii="Times New Roman" w:hAnsi="Times New Roman" w:cs="Times New Roman"/>
          <w:sz w:val="24"/>
          <w:szCs w:val="24"/>
        </w:rPr>
        <w:t>En Cuba según las condiciones de las vías, el tránsito y el control, la Dirección Nacional de Tránsito estipuló el uso de los factores de equivalencia a autos que correspondan a cada tipo de vehículo que intervenga en el tránsito mixto como se ilustra en la tabla 1 (Alba, 2008).</w:t>
      </w:r>
    </w:p>
    <w:p w:rsidR="00525D11" w:rsidRPr="009920B0" w:rsidRDefault="00525D11" w:rsidP="00525D11">
      <w:pPr>
        <w:spacing w:after="0" w:line="360" w:lineRule="auto"/>
        <w:jc w:val="both"/>
        <w:rPr>
          <w:rFonts w:ascii="Times New Roman" w:hAnsi="Times New Roman" w:cs="Times New Roman"/>
          <w:sz w:val="20"/>
          <w:szCs w:val="20"/>
        </w:rPr>
      </w:pPr>
      <w:r w:rsidRPr="009920B0">
        <w:rPr>
          <w:rFonts w:ascii="Times New Roman" w:hAnsi="Times New Roman" w:cs="Times New Roman"/>
          <w:sz w:val="20"/>
          <w:szCs w:val="20"/>
        </w:rPr>
        <w:t xml:space="preserve">Tabla 1. Factores de ajuste de vehículos mixtos a autos equivalentes.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27"/>
      </w:tblGrid>
      <w:tr w:rsidR="00525D11" w:rsidRPr="009920B0" w:rsidTr="00402667">
        <w:trPr>
          <w:jc w:val="center"/>
        </w:trPr>
        <w:tc>
          <w:tcPr>
            <w:tcW w:w="2122"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Tipo de vehículo</w:t>
            </w:r>
          </w:p>
        </w:tc>
        <w:tc>
          <w:tcPr>
            <w:tcW w:w="3827"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Factores de equivalencia (PCE)</w:t>
            </w:r>
          </w:p>
        </w:tc>
      </w:tr>
      <w:tr w:rsidR="00525D11" w:rsidRPr="009920B0" w:rsidTr="00402667">
        <w:trPr>
          <w:jc w:val="center"/>
        </w:trPr>
        <w:tc>
          <w:tcPr>
            <w:tcW w:w="2122"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Motos</w:t>
            </w:r>
          </w:p>
        </w:tc>
        <w:tc>
          <w:tcPr>
            <w:tcW w:w="3827"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0,5</w:t>
            </w:r>
          </w:p>
        </w:tc>
      </w:tr>
      <w:tr w:rsidR="00525D11" w:rsidRPr="009920B0" w:rsidTr="00402667">
        <w:trPr>
          <w:jc w:val="center"/>
        </w:trPr>
        <w:tc>
          <w:tcPr>
            <w:tcW w:w="2122"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Camiones</w:t>
            </w:r>
          </w:p>
        </w:tc>
        <w:tc>
          <w:tcPr>
            <w:tcW w:w="3827"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2</w:t>
            </w:r>
          </w:p>
        </w:tc>
      </w:tr>
      <w:tr w:rsidR="00525D11" w:rsidRPr="009920B0" w:rsidTr="00402667">
        <w:trPr>
          <w:jc w:val="center"/>
        </w:trPr>
        <w:tc>
          <w:tcPr>
            <w:tcW w:w="2122"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Ómnibus rígidos</w:t>
            </w:r>
          </w:p>
        </w:tc>
        <w:tc>
          <w:tcPr>
            <w:tcW w:w="3827"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2,5</w:t>
            </w:r>
          </w:p>
        </w:tc>
      </w:tr>
      <w:tr w:rsidR="00525D11" w:rsidRPr="009920B0" w:rsidTr="00402667">
        <w:trPr>
          <w:jc w:val="center"/>
        </w:trPr>
        <w:tc>
          <w:tcPr>
            <w:tcW w:w="2122"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Coches</w:t>
            </w:r>
          </w:p>
        </w:tc>
        <w:tc>
          <w:tcPr>
            <w:tcW w:w="3827" w:type="dxa"/>
          </w:tcPr>
          <w:p w:rsidR="00525D11" w:rsidRPr="009920B0" w:rsidRDefault="00525D11" w:rsidP="00402667">
            <w:pPr>
              <w:spacing w:after="0" w:line="240" w:lineRule="auto"/>
              <w:jc w:val="both"/>
              <w:rPr>
                <w:rFonts w:ascii="Times New Roman" w:hAnsi="Times New Roman" w:cs="Times New Roman"/>
                <w:sz w:val="20"/>
                <w:szCs w:val="20"/>
              </w:rPr>
            </w:pPr>
            <w:r w:rsidRPr="009920B0">
              <w:rPr>
                <w:rFonts w:ascii="Times New Roman" w:hAnsi="Times New Roman" w:cs="Times New Roman"/>
                <w:sz w:val="20"/>
                <w:szCs w:val="20"/>
              </w:rPr>
              <w:t>4</w:t>
            </w:r>
          </w:p>
        </w:tc>
      </w:tr>
    </w:tbl>
    <w:p w:rsidR="00525D11" w:rsidRDefault="00525D11" w:rsidP="00525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E91CA3">
        <w:rPr>
          <w:rFonts w:ascii="Times New Roman" w:hAnsi="Times New Roman" w:cs="Times New Roman"/>
          <w:sz w:val="24"/>
          <w:szCs w:val="24"/>
        </w:rPr>
        <w:t xml:space="preserve">a Dirección Nacional de Tránsito establece </w:t>
      </w:r>
      <w:r w:rsidRPr="00E91CA3">
        <w:rPr>
          <w:rFonts w:ascii="Times New Roman" w:hAnsi="Times New Roman" w:cs="Times New Roman"/>
          <w:bCs/>
          <w:sz w:val="24"/>
          <w:szCs w:val="24"/>
        </w:rPr>
        <w:t>un único factor de coeficiente de equivalencia de bicicletas a autos equivalentes en las diferentes condiciones existentes en las vías que no está basado en ninguna investigación conocida</w:t>
      </w:r>
      <w:r>
        <w:rPr>
          <w:rFonts w:ascii="Times New Roman" w:hAnsi="Times New Roman" w:cs="Times New Roman"/>
          <w:bCs/>
          <w:sz w:val="24"/>
          <w:szCs w:val="24"/>
        </w:rPr>
        <w:t>.</w:t>
      </w:r>
    </w:p>
    <w:p w:rsidR="00525D11" w:rsidRPr="00E26142" w:rsidRDefault="00525D11" w:rsidP="00525D11">
      <w:pPr>
        <w:spacing w:after="0" w:line="360" w:lineRule="auto"/>
        <w:jc w:val="both"/>
        <w:rPr>
          <w:rFonts w:ascii="Times New Roman" w:hAnsi="Times New Roman" w:cs="Times New Roman"/>
          <w:sz w:val="24"/>
          <w:szCs w:val="24"/>
        </w:rPr>
      </w:pPr>
      <w:r w:rsidRPr="00B3524D">
        <w:rPr>
          <w:rFonts w:ascii="Times New Roman" w:hAnsi="Times New Roman" w:cs="Times New Roman"/>
          <w:sz w:val="24"/>
          <w:szCs w:val="24"/>
        </w:rPr>
        <w:t>Es importante destacar que el valor de equivalencia de las bicicletas no es único pues los ciclos no inciden de igual modo en las condiciones de las vías urbanas. En las secciones de vía las bicicletas comparten el carril con otros vehículos y por ello consumen una parte de la capacidad de dicho</w:t>
      </w:r>
      <w:r>
        <w:rPr>
          <w:rFonts w:ascii="Times New Roman" w:hAnsi="Times New Roman" w:cs="Times New Roman"/>
          <w:sz w:val="24"/>
          <w:szCs w:val="24"/>
        </w:rPr>
        <w:t xml:space="preserve"> carril</w:t>
      </w:r>
      <w:r w:rsidRPr="00E91CA3">
        <w:rPr>
          <w:rFonts w:ascii="Times New Roman" w:hAnsi="Times New Roman" w:cs="Times New Roman"/>
          <w:sz w:val="24"/>
          <w:szCs w:val="24"/>
        </w:rPr>
        <w:t>,</w:t>
      </w:r>
      <w:r w:rsidRPr="00E91CA3">
        <w:rPr>
          <w:rFonts w:ascii="Arial" w:hAnsi="Arial" w:cs="Arial"/>
          <w:sz w:val="24"/>
          <w:szCs w:val="24"/>
        </w:rPr>
        <w:t xml:space="preserve"> </w:t>
      </w:r>
      <w:r w:rsidRPr="00E91CA3">
        <w:rPr>
          <w:rFonts w:ascii="Times New Roman" w:hAnsi="Times New Roman" w:cs="Times New Roman"/>
          <w:sz w:val="24"/>
          <w:szCs w:val="24"/>
        </w:rPr>
        <w:t>afectando el nivel de servicio en las vías. Por lo que resulta necesario desarrollar estudios que permitan determinar el coeficiente de equivalencia de bicicletas a autos ligeros a partir</w:t>
      </w:r>
      <w:r>
        <w:rPr>
          <w:rFonts w:ascii="Times New Roman" w:hAnsi="Times New Roman" w:cs="Times New Roman"/>
          <w:sz w:val="24"/>
          <w:szCs w:val="24"/>
        </w:rPr>
        <w:t xml:space="preserve"> del procedimiento elaborado por el grupo de viales de la universidad de Camagüey.</w:t>
      </w:r>
      <w:r w:rsidRPr="00E26142">
        <w:rPr>
          <w:rFonts w:ascii="Times New Roman" w:hAnsi="Times New Roman" w:cs="Times New Roman"/>
          <w:sz w:val="24"/>
          <w:szCs w:val="24"/>
        </w:rPr>
        <w:t xml:space="preserve"> </w:t>
      </w:r>
    </w:p>
    <w:p w:rsidR="00525D11" w:rsidRPr="00286F34" w:rsidRDefault="00525D11" w:rsidP="00525D1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El </w:t>
      </w:r>
      <w:r w:rsidRPr="00286F34">
        <w:rPr>
          <w:rFonts w:ascii="Times New Roman" w:hAnsi="Times New Roman" w:cs="Times New Roman"/>
          <w:b/>
          <w:sz w:val="24"/>
          <w:szCs w:val="24"/>
          <w:lang w:val="es-MX"/>
        </w:rPr>
        <w:t>objetivo general</w:t>
      </w:r>
      <w:r>
        <w:rPr>
          <w:rFonts w:ascii="Times New Roman" w:hAnsi="Times New Roman" w:cs="Times New Roman"/>
          <w:sz w:val="24"/>
          <w:szCs w:val="24"/>
          <w:lang w:val="es-MX"/>
        </w:rPr>
        <w:t xml:space="preserve"> de la investigación es </w:t>
      </w:r>
      <w:r>
        <w:rPr>
          <w:rFonts w:ascii="Times New Roman" w:hAnsi="Times New Roman" w:cs="Times New Roman"/>
          <w:sz w:val="24"/>
          <w:szCs w:val="24"/>
        </w:rPr>
        <w:t>d</w:t>
      </w:r>
      <w:r w:rsidRPr="00286F34">
        <w:rPr>
          <w:rFonts w:ascii="Times New Roman" w:hAnsi="Times New Roman" w:cs="Times New Roman"/>
          <w:sz w:val="24"/>
          <w:szCs w:val="24"/>
        </w:rPr>
        <w:t>eterminar el coeficiente de equivalencia de bicicletas a autos ligeros en vías de la ciudad de Camagüey de un sentido y dos sentidos de circulación, teniendo en cuenta la multiplicidad de factores.</w:t>
      </w:r>
    </w:p>
    <w:p w:rsidR="00525D11" w:rsidRPr="00980AF8" w:rsidRDefault="00525D11" w:rsidP="00525D11">
      <w:pPr>
        <w:spacing w:after="0" w:line="360" w:lineRule="auto"/>
        <w:jc w:val="both"/>
        <w:rPr>
          <w:rFonts w:ascii="Times New Roman" w:hAnsi="Times New Roman" w:cs="Times New Roman"/>
          <w:bCs/>
          <w:sz w:val="24"/>
          <w:szCs w:val="24"/>
        </w:rPr>
      </w:pPr>
      <w:r w:rsidRPr="00980AF8">
        <w:rPr>
          <w:rFonts w:ascii="Times New Roman" w:hAnsi="Times New Roman" w:cs="Times New Roman"/>
          <w:bCs/>
          <w:sz w:val="24"/>
          <w:szCs w:val="24"/>
        </w:rPr>
        <w:t>Para la obtención de los coeficientes de equivalencia se consultó una gran variedad de artículos relacionados con el tema fundamentalmente para las secciones de vía</w:t>
      </w:r>
      <w:r>
        <w:rPr>
          <w:rFonts w:ascii="Times New Roman" w:hAnsi="Times New Roman" w:cs="Times New Roman"/>
          <w:bCs/>
          <w:sz w:val="24"/>
          <w:szCs w:val="24"/>
        </w:rPr>
        <w:t xml:space="preserve">. </w:t>
      </w:r>
      <w:r w:rsidRPr="00980AF8">
        <w:rPr>
          <w:rFonts w:ascii="Times New Roman" w:hAnsi="Times New Roman" w:cs="Times New Roman"/>
          <w:bCs/>
          <w:sz w:val="24"/>
          <w:szCs w:val="24"/>
        </w:rPr>
        <w:t xml:space="preserve">Arrojó que son múltiples los países y los autores que investigan los coeficientes de equivalencia </w:t>
      </w:r>
      <w:r w:rsidRPr="00980AF8">
        <w:rPr>
          <w:rFonts w:ascii="Times New Roman" w:hAnsi="Times New Roman" w:cs="Times New Roman"/>
          <w:bCs/>
          <w:sz w:val="24"/>
          <w:szCs w:val="24"/>
        </w:rPr>
        <w:lastRenderedPageBreak/>
        <w:t>a autos, por la conocida importancia de estos; y han demostrado que existen diversos factores que inciden en los valores de PCE.</w:t>
      </w:r>
    </w:p>
    <w:p w:rsidR="00525D11" w:rsidRDefault="00525D11" w:rsidP="00525D1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es-MX"/>
        </w:rPr>
        <w:t>Los</w:t>
      </w:r>
      <w:r w:rsidRPr="00286F34">
        <w:rPr>
          <w:rFonts w:ascii="Times New Roman" w:hAnsi="Times New Roman" w:cs="Times New Roman"/>
          <w:bCs/>
          <w:sz w:val="24"/>
          <w:szCs w:val="24"/>
          <w:lang w:val="es-MX"/>
        </w:rPr>
        <w:t xml:space="preserve"> diversos factores que inciden  en los estudios de tránsito, </w:t>
      </w:r>
      <w:r>
        <w:rPr>
          <w:rFonts w:ascii="Times New Roman" w:hAnsi="Times New Roman" w:cs="Times New Roman"/>
          <w:bCs/>
          <w:sz w:val="24"/>
          <w:szCs w:val="24"/>
          <w:lang w:val="es-MX"/>
        </w:rPr>
        <w:t>son</w:t>
      </w:r>
      <w:r w:rsidRPr="00286F34">
        <w:rPr>
          <w:rFonts w:ascii="Times New Roman" w:hAnsi="Times New Roman" w:cs="Times New Roman"/>
          <w:bCs/>
          <w:sz w:val="24"/>
          <w:szCs w:val="24"/>
          <w:lang w:val="es-MX"/>
        </w:rPr>
        <w:t>:</w:t>
      </w:r>
      <w:r>
        <w:rPr>
          <w:rFonts w:ascii="Times New Roman" w:hAnsi="Times New Roman" w:cs="Times New Roman"/>
          <w:bCs/>
          <w:sz w:val="24"/>
          <w:szCs w:val="24"/>
          <w:lang w:val="es-MX"/>
        </w:rPr>
        <w:t xml:space="preserve"> </w:t>
      </w:r>
      <w:r>
        <w:rPr>
          <w:rFonts w:ascii="Times New Roman" w:hAnsi="Times New Roman" w:cs="Times New Roman"/>
          <w:bCs/>
          <w:sz w:val="24"/>
          <w:szCs w:val="24"/>
        </w:rPr>
        <w:t>c</w:t>
      </w:r>
      <w:r w:rsidRPr="00286F34">
        <w:rPr>
          <w:rFonts w:ascii="Times New Roman" w:hAnsi="Times New Roman" w:cs="Times New Roman"/>
          <w:bCs/>
          <w:sz w:val="24"/>
          <w:szCs w:val="24"/>
        </w:rPr>
        <w:t>aracterísticas del vehículo</w:t>
      </w:r>
      <w:r>
        <w:rPr>
          <w:rFonts w:ascii="Times New Roman" w:hAnsi="Times New Roman" w:cs="Times New Roman"/>
          <w:bCs/>
          <w:sz w:val="24"/>
          <w:szCs w:val="24"/>
        </w:rPr>
        <w:t>, c</w:t>
      </w:r>
      <w:r w:rsidRPr="00286F34">
        <w:rPr>
          <w:rFonts w:ascii="Times New Roman" w:hAnsi="Times New Roman" w:cs="Times New Roman"/>
          <w:bCs/>
          <w:sz w:val="24"/>
          <w:szCs w:val="24"/>
        </w:rPr>
        <w:t xml:space="preserve">aracterísticas del flujo, </w:t>
      </w:r>
      <w:r>
        <w:rPr>
          <w:rFonts w:ascii="Times New Roman" w:hAnsi="Times New Roman" w:cs="Times New Roman"/>
          <w:bCs/>
          <w:sz w:val="24"/>
          <w:szCs w:val="24"/>
        </w:rPr>
        <w:t>c</w:t>
      </w:r>
      <w:r w:rsidRPr="00286F34">
        <w:rPr>
          <w:rFonts w:ascii="Times New Roman" w:hAnsi="Times New Roman" w:cs="Times New Roman"/>
          <w:bCs/>
          <w:sz w:val="24"/>
          <w:szCs w:val="24"/>
        </w:rPr>
        <w:t xml:space="preserve">aracterísticas de la vía, </w:t>
      </w:r>
      <w:r>
        <w:rPr>
          <w:rFonts w:ascii="Times New Roman" w:hAnsi="Times New Roman" w:cs="Times New Roman"/>
          <w:bCs/>
          <w:sz w:val="24"/>
          <w:szCs w:val="24"/>
        </w:rPr>
        <w:t>c</w:t>
      </w:r>
      <w:r w:rsidRPr="00286F34">
        <w:rPr>
          <w:rFonts w:ascii="Times New Roman" w:hAnsi="Times New Roman" w:cs="Times New Roman"/>
          <w:bCs/>
          <w:sz w:val="24"/>
          <w:szCs w:val="24"/>
        </w:rPr>
        <w:t xml:space="preserve">aracterísticas del entorno, </w:t>
      </w:r>
      <w:r>
        <w:rPr>
          <w:rFonts w:ascii="Times New Roman" w:hAnsi="Times New Roman" w:cs="Times New Roman"/>
          <w:bCs/>
          <w:sz w:val="24"/>
          <w:szCs w:val="24"/>
        </w:rPr>
        <w:t>c</w:t>
      </w:r>
      <w:r w:rsidRPr="00286F34">
        <w:rPr>
          <w:rFonts w:ascii="Times New Roman" w:hAnsi="Times New Roman" w:cs="Times New Roman"/>
          <w:bCs/>
          <w:sz w:val="24"/>
          <w:szCs w:val="24"/>
        </w:rPr>
        <w:t>ondiciones del tiempo</w:t>
      </w:r>
      <w:r>
        <w:rPr>
          <w:rFonts w:ascii="Times New Roman" w:hAnsi="Times New Roman" w:cs="Times New Roman"/>
          <w:bCs/>
          <w:sz w:val="24"/>
          <w:szCs w:val="24"/>
        </w:rPr>
        <w:t xml:space="preserve"> y</w:t>
      </w:r>
      <w:r w:rsidRPr="00286F34">
        <w:rPr>
          <w:rFonts w:ascii="Times New Roman" w:hAnsi="Times New Roman" w:cs="Times New Roman"/>
          <w:bCs/>
          <w:sz w:val="24"/>
          <w:szCs w:val="24"/>
        </w:rPr>
        <w:t xml:space="preserve"> </w:t>
      </w:r>
      <w:r>
        <w:rPr>
          <w:rFonts w:ascii="Times New Roman" w:hAnsi="Times New Roman" w:cs="Times New Roman"/>
          <w:bCs/>
          <w:sz w:val="24"/>
          <w:szCs w:val="24"/>
        </w:rPr>
        <w:t>c</w:t>
      </w:r>
      <w:r w:rsidRPr="00286F34">
        <w:rPr>
          <w:rFonts w:ascii="Times New Roman" w:hAnsi="Times New Roman" w:cs="Times New Roman"/>
          <w:bCs/>
          <w:sz w:val="24"/>
          <w:szCs w:val="24"/>
        </w:rPr>
        <w:t>ondiciones de control</w:t>
      </w:r>
      <w:r>
        <w:rPr>
          <w:rFonts w:ascii="Times New Roman" w:hAnsi="Times New Roman" w:cs="Times New Roman"/>
          <w:bCs/>
          <w:sz w:val="24"/>
          <w:szCs w:val="24"/>
        </w:rPr>
        <w:t>.</w:t>
      </w:r>
    </w:p>
    <w:p w:rsidR="00525D11" w:rsidRDefault="00525D11" w:rsidP="00525D11">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25D11" w:rsidRDefault="00525D11" w:rsidP="00525D11">
      <w:pPr>
        <w:spacing w:after="0" w:line="360" w:lineRule="auto"/>
        <w:jc w:val="both"/>
        <w:rPr>
          <w:rFonts w:ascii="Times New Roman" w:hAnsi="Times New Roman" w:cs="Times New Roman"/>
          <w:bCs/>
          <w:sz w:val="24"/>
          <w:szCs w:val="24"/>
        </w:rPr>
      </w:pPr>
      <w:r w:rsidRPr="009E24C0">
        <w:rPr>
          <w:rFonts w:ascii="Times New Roman" w:hAnsi="Times New Roman" w:cs="Times New Roman"/>
          <w:bCs/>
          <w:sz w:val="24"/>
          <w:szCs w:val="24"/>
        </w:rPr>
        <w:t>Sobre la base del estudio y el análisis de los diferentes procedimientos que han sido utilizados en la práctica internacional, se prop</w:t>
      </w:r>
      <w:r>
        <w:rPr>
          <w:rFonts w:ascii="Times New Roman" w:hAnsi="Times New Roman" w:cs="Times New Roman"/>
          <w:bCs/>
          <w:sz w:val="24"/>
          <w:szCs w:val="24"/>
        </w:rPr>
        <w:t>uso</w:t>
      </w:r>
      <w:r w:rsidRPr="009E24C0">
        <w:rPr>
          <w:rFonts w:ascii="Times New Roman" w:hAnsi="Times New Roman" w:cs="Times New Roman"/>
          <w:bCs/>
          <w:sz w:val="24"/>
          <w:szCs w:val="24"/>
        </w:rPr>
        <w:t xml:space="preserve"> un procedimiento general para la obtención de los coeficientes de equivalencia a autos, para las condiciones de tránsito y de las vías urbanas cubanas</w:t>
      </w:r>
      <w:r>
        <w:rPr>
          <w:rFonts w:ascii="Times New Roman" w:hAnsi="Times New Roman" w:cs="Times New Roman"/>
          <w:bCs/>
          <w:sz w:val="24"/>
          <w:szCs w:val="24"/>
        </w:rPr>
        <w:t xml:space="preserve">. </w:t>
      </w:r>
      <w:r w:rsidRPr="00165B8E">
        <w:rPr>
          <w:rFonts w:ascii="Times New Roman" w:hAnsi="Times New Roman" w:cs="Times New Roman"/>
          <w:bCs/>
          <w:sz w:val="24"/>
          <w:szCs w:val="24"/>
        </w:rPr>
        <w:t>El procedimiento cuenta con cuatro etapas, que se describen a continuación.</w:t>
      </w:r>
    </w:p>
    <w:p w:rsidR="00525D11" w:rsidRDefault="00525D11" w:rsidP="00525D11">
      <w:pPr>
        <w:pStyle w:val="Prrafodelista"/>
        <w:numPr>
          <w:ilvl w:val="0"/>
          <w:numId w:val="20"/>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rPr>
        <w:t>Etapa I.</w:t>
      </w:r>
      <w:r w:rsidRPr="00C024EA">
        <w:rPr>
          <w:rFonts w:ascii="Times New Roman" w:hAnsi="Times New Roman" w:cs="Times New Roman"/>
          <w:bCs/>
          <w:sz w:val="24"/>
          <w:szCs w:val="24"/>
          <w:lang w:val="fr-FR"/>
        </w:rPr>
        <w:t xml:space="preserve"> </w:t>
      </w:r>
      <w:r w:rsidRPr="00C024EA">
        <w:rPr>
          <w:rFonts w:ascii="Times New Roman" w:hAnsi="Times New Roman" w:cs="Times New Roman"/>
          <w:bCs/>
          <w:sz w:val="24"/>
          <w:szCs w:val="24"/>
          <w:lang w:val="es-ES_tradnl"/>
        </w:rPr>
        <w:t>Selección</w:t>
      </w:r>
      <w:r w:rsidRPr="00C024EA">
        <w:rPr>
          <w:rFonts w:ascii="Times New Roman" w:hAnsi="Times New Roman" w:cs="Times New Roman"/>
          <w:bCs/>
          <w:sz w:val="24"/>
          <w:szCs w:val="24"/>
          <w:lang w:val="fr-FR"/>
        </w:rPr>
        <w:t xml:space="preserve"> y </w:t>
      </w:r>
      <w:r w:rsidRPr="00C024EA">
        <w:rPr>
          <w:rFonts w:ascii="Times New Roman" w:hAnsi="Times New Roman" w:cs="Times New Roman"/>
          <w:bCs/>
          <w:sz w:val="24"/>
          <w:szCs w:val="24"/>
        </w:rPr>
        <w:t>descripción del método de estimación del</w:t>
      </w:r>
      <w:r w:rsidRPr="00C024EA">
        <w:rPr>
          <w:rFonts w:ascii="Times New Roman" w:hAnsi="Times New Roman" w:cs="Times New Roman"/>
          <w:bCs/>
          <w:sz w:val="24"/>
          <w:szCs w:val="24"/>
          <w:lang w:val="fr-FR"/>
        </w:rPr>
        <w:t xml:space="preserve"> </w:t>
      </w:r>
      <w:r w:rsidRPr="00C024EA">
        <w:rPr>
          <w:rFonts w:ascii="Times New Roman" w:hAnsi="Times New Roman" w:cs="Times New Roman"/>
          <w:bCs/>
          <w:sz w:val="24"/>
          <w:szCs w:val="24"/>
        </w:rPr>
        <w:t xml:space="preserve">coeficiente de equivalencia a autos </w:t>
      </w:r>
      <w:r w:rsidRPr="00C024EA">
        <w:rPr>
          <w:rFonts w:ascii="Times New Roman" w:hAnsi="Times New Roman" w:cs="Times New Roman"/>
          <w:bCs/>
          <w:sz w:val="24"/>
          <w:szCs w:val="24"/>
          <w:lang w:val="fr-FR"/>
        </w:rPr>
        <w:t>PCE.</w:t>
      </w:r>
    </w:p>
    <w:p w:rsidR="00525D11" w:rsidRPr="00C024EA" w:rsidRDefault="00525D11" w:rsidP="00525D11">
      <w:pPr>
        <w:pStyle w:val="Prrafodelista"/>
        <w:numPr>
          <w:ilvl w:val="0"/>
          <w:numId w:val="20"/>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Etapa II. Estudios de tránsito.</w:t>
      </w:r>
    </w:p>
    <w:p w:rsidR="00525D11" w:rsidRDefault="00525D11" w:rsidP="00525D11">
      <w:pPr>
        <w:pStyle w:val="Prrafodelista"/>
        <w:numPr>
          <w:ilvl w:val="0"/>
          <w:numId w:val="21"/>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II.1. Selección del sitio, o los sitios de estudio.</w:t>
      </w:r>
    </w:p>
    <w:p w:rsidR="00525D11" w:rsidRDefault="00525D11" w:rsidP="00525D11">
      <w:pPr>
        <w:pStyle w:val="Prrafodelista"/>
        <w:numPr>
          <w:ilvl w:val="0"/>
          <w:numId w:val="21"/>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II.2. Descripción de los sitios de estudio</w:t>
      </w:r>
      <w:r>
        <w:rPr>
          <w:rFonts w:ascii="Times New Roman" w:hAnsi="Times New Roman" w:cs="Times New Roman"/>
          <w:bCs/>
          <w:sz w:val="24"/>
          <w:szCs w:val="24"/>
          <w:lang w:val="fr-FR"/>
        </w:rPr>
        <w:t>.</w:t>
      </w:r>
    </w:p>
    <w:p w:rsidR="00525D11" w:rsidRDefault="00525D11" w:rsidP="00525D11">
      <w:pPr>
        <w:pStyle w:val="Prrafodelista"/>
        <w:numPr>
          <w:ilvl w:val="0"/>
          <w:numId w:val="21"/>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II.3. Recolección de datos</w:t>
      </w:r>
      <w:r>
        <w:rPr>
          <w:rFonts w:ascii="Times New Roman" w:hAnsi="Times New Roman" w:cs="Times New Roman"/>
          <w:bCs/>
          <w:sz w:val="24"/>
          <w:szCs w:val="24"/>
          <w:lang w:val="fr-FR"/>
        </w:rPr>
        <w:t>.</w:t>
      </w:r>
    </w:p>
    <w:p w:rsidR="00525D11" w:rsidRDefault="00525D11" w:rsidP="00525D11">
      <w:pPr>
        <w:pStyle w:val="Prrafodelista"/>
        <w:numPr>
          <w:ilvl w:val="0"/>
          <w:numId w:val="24"/>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Estudios de volúmenes de tránsito</w:t>
      </w:r>
      <w:r>
        <w:rPr>
          <w:rFonts w:ascii="Times New Roman" w:hAnsi="Times New Roman" w:cs="Times New Roman"/>
          <w:bCs/>
          <w:sz w:val="24"/>
          <w:szCs w:val="24"/>
          <w:lang w:val="fr-FR"/>
        </w:rPr>
        <w:t>.</w:t>
      </w:r>
    </w:p>
    <w:p w:rsidR="00525D11" w:rsidRDefault="00525D11" w:rsidP="00525D11">
      <w:pPr>
        <w:pStyle w:val="Prrafodelista"/>
        <w:numPr>
          <w:ilvl w:val="0"/>
          <w:numId w:val="24"/>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Estudios de determinación de los flujos de bicicletas y vehículos ligeros</w:t>
      </w:r>
      <w:r>
        <w:rPr>
          <w:rFonts w:ascii="Times New Roman" w:hAnsi="Times New Roman" w:cs="Times New Roman"/>
          <w:bCs/>
          <w:sz w:val="24"/>
          <w:szCs w:val="24"/>
          <w:lang w:val="fr-FR"/>
        </w:rPr>
        <w:t>.</w:t>
      </w:r>
    </w:p>
    <w:p w:rsidR="00525D11" w:rsidRDefault="00525D11" w:rsidP="00525D11">
      <w:pPr>
        <w:pStyle w:val="Prrafodelista"/>
        <w:numPr>
          <w:ilvl w:val="0"/>
          <w:numId w:val="21"/>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II.4. Resultados de los estudios de tránsito</w:t>
      </w:r>
      <w:r>
        <w:rPr>
          <w:rFonts w:ascii="Times New Roman" w:hAnsi="Times New Roman" w:cs="Times New Roman"/>
          <w:bCs/>
          <w:sz w:val="24"/>
          <w:szCs w:val="24"/>
          <w:lang w:val="fr-FR"/>
        </w:rPr>
        <w:t>.</w:t>
      </w:r>
    </w:p>
    <w:p w:rsidR="00525D11" w:rsidRDefault="00525D11" w:rsidP="00525D11">
      <w:pPr>
        <w:pStyle w:val="Prrafodelista"/>
        <w:numPr>
          <w:ilvl w:val="0"/>
          <w:numId w:val="22"/>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Etapa III. Obtención del PCE</w:t>
      </w:r>
      <w:r>
        <w:rPr>
          <w:rFonts w:ascii="Times New Roman" w:hAnsi="Times New Roman" w:cs="Times New Roman"/>
          <w:bCs/>
          <w:sz w:val="24"/>
          <w:szCs w:val="24"/>
          <w:lang w:val="fr-FR"/>
        </w:rPr>
        <w:t>.</w:t>
      </w:r>
    </w:p>
    <w:p w:rsidR="00525D11" w:rsidRPr="00C024EA" w:rsidRDefault="00525D11" w:rsidP="00525D11">
      <w:pPr>
        <w:pStyle w:val="Prrafodelista"/>
        <w:numPr>
          <w:ilvl w:val="0"/>
          <w:numId w:val="22"/>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Etapa IV. Análisis de correlación de factores</w:t>
      </w:r>
      <w:r>
        <w:rPr>
          <w:rFonts w:ascii="Times New Roman" w:hAnsi="Times New Roman" w:cs="Times New Roman"/>
          <w:bCs/>
          <w:sz w:val="24"/>
          <w:szCs w:val="24"/>
          <w:lang w:val="fr-FR"/>
        </w:rPr>
        <w:t>.</w:t>
      </w:r>
    </w:p>
    <w:p w:rsidR="00525D11" w:rsidRDefault="00525D11" w:rsidP="00525D11">
      <w:pPr>
        <w:pStyle w:val="Prrafodelista"/>
        <w:numPr>
          <w:ilvl w:val="0"/>
          <w:numId w:val="23"/>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IV.1. Análisis estadístico</w:t>
      </w:r>
      <w:r>
        <w:rPr>
          <w:rFonts w:ascii="Times New Roman" w:hAnsi="Times New Roman" w:cs="Times New Roman"/>
          <w:bCs/>
          <w:sz w:val="24"/>
          <w:szCs w:val="24"/>
          <w:lang w:val="fr-FR"/>
        </w:rPr>
        <w:t xml:space="preserve"> (software </w:t>
      </w:r>
      <w:r w:rsidRPr="00B457BD">
        <w:rPr>
          <w:rFonts w:ascii="Times New Roman" w:hAnsi="Times New Roman" w:cs="Times New Roman"/>
          <w:bCs/>
          <w:sz w:val="24"/>
          <w:szCs w:val="24"/>
          <w:lang w:val="fr-FR"/>
        </w:rPr>
        <w:t>STATGRAPHICS</w:t>
      </w:r>
      <w:r>
        <w:rPr>
          <w:rFonts w:ascii="Times New Roman" w:hAnsi="Times New Roman" w:cs="Times New Roman"/>
          <w:bCs/>
          <w:sz w:val="24"/>
          <w:szCs w:val="24"/>
          <w:lang w:val="fr-FR"/>
        </w:rPr>
        <w:t>).</w:t>
      </w:r>
    </w:p>
    <w:p w:rsidR="00525D11" w:rsidRPr="00C024EA" w:rsidRDefault="00525D11" w:rsidP="00525D11">
      <w:pPr>
        <w:pStyle w:val="Prrafodelista"/>
        <w:numPr>
          <w:ilvl w:val="0"/>
          <w:numId w:val="23"/>
        </w:numPr>
        <w:spacing w:after="0" w:line="360" w:lineRule="auto"/>
        <w:jc w:val="both"/>
        <w:rPr>
          <w:rFonts w:ascii="Times New Roman" w:hAnsi="Times New Roman" w:cs="Times New Roman"/>
          <w:bCs/>
          <w:sz w:val="24"/>
          <w:szCs w:val="24"/>
          <w:lang w:val="fr-FR"/>
        </w:rPr>
      </w:pPr>
      <w:r w:rsidRPr="00C024EA">
        <w:rPr>
          <w:rFonts w:ascii="Times New Roman" w:hAnsi="Times New Roman" w:cs="Times New Roman"/>
          <w:bCs/>
          <w:sz w:val="24"/>
          <w:szCs w:val="24"/>
          <w:lang w:val="fr-FR"/>
        </w:rPr>
        <w:t>IV.2. Análisis de los resultados obtenidos</w:t>
      </w:r>
      <w:r>
        <w:rPr>
          <w:rFonts w:ascii="Times New Roman" w:hAnsi="Times New Roman" w:cs="Times New Roman"/>
          <w:bCs/>
          <w:sz w:val="24"/>
          <w:szCs w:val="24"/>
          <w:lang w:val="fr-FR"/>
        </w:rPr>
        <w:t>.</w:t>
      </w:r>
    </w:p>
    <w:p w:rsidR="00525D11" w:rsidRPr="00BF5FE6" w:rsidRDefault="00525D11" w:rsidP="00525D11">
      <w:pPr>
        <w:spacing w:after="0" w:line="360" w:lineRule="auto"/>
        <w:jc w:val="both"/>
        <w:rPr>
          <w:rFonts w:ascii="Times New Roman" w:hAnsi="Times New Roman" w:cs="Times New Roman"/>
          <w:sz w:val="24"/>
          <w:szCs w:val="24"/>
          <w:lang w:val="es-MX"/>
        </w:rPr>
      </w:pPr>
      <w:r w:rsidRPr="00BF5FE6">
        <w:rPr>
          <w:rFonts w:ascii="Times New Roman" w:hAnsi="Times New Roman" w:cs="Times New Roman"/>
          <w:sz w:val="24"/>
          <w:szCs w:val="24"/>
          <w:lang w:val="es-MX"/>
        </w:rPr>
        <w:t xml:space="preserve">Para desarrollar la investigación se utilizan la Observación Científica y la Medición como métodos, para </w:t>
      </w:r>
      <w:r>
        <w:rPr>
          <w:rFonts w:ascii="Times New Roman" w:hAnsi="Times New Roman" w:cs="Times New Roman"/>
          <w:sz w:val="24"/>
          <w:szCs w:val="24"/>
          <w:lang w:val="es-MX"/>
        </w:rPr>
        <w:t xml:space="preserve">obtener el coeficiente de equivalencia de bicicletas a autos ligeros. </w:t>
      </w:r>
      <w:r w:rsidRPr="00B457BD">
        <w:rPr>
          <w:rFonts w:ascii="Times New Roman" w:hAnsi="Times New Roman" w:cs="Times New Roman"/>
          <w:sz w:val="24"/>
          <w:szCs w:val="24"/>
          <w:lang w:val="es-MX"/>
        </w:rPr>
        <w:t xml:space="preserve"> </w:t>
      </w:r>
    </w:p>
    <w:p w:rsidR="00525D11" w:rsidRPr="00B457BD" w:rsidRDefault="00525D11" w:rsidP="00525D11">
      <w:pPr>
        <w:spacing w:after="0"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rPr>
        <w:t xml:space="preserve">2.1. </w:t>
      </w:r>
      <w:r w:rsidRPr="00A633FD">
        <w:rPr>
          <w:rFonts w:ascii="Times New Roman" w:hAnsi="Times New Roman" w:cs="Times New Roman"/>
          <w:b/>
          <w:bCs/>
          <w:sz w:val="24"/>
          <w:szCs w:val="24"/>
          <w:lang w:val="es-ES_tradnl"/>
        </w:rPr>
        <w:t>Selección</w:t>
      </w:r>
      <w:r w:rsidRPr="00A633FD">
        <w:rPr>
          <w:rFonts w:ascii="Times New Roman" w:hAnsi="Times New Roman" w:cs="Times New Roman"/>
          <w:b/>
          <w:bCs/>
          <w:sz w:val="24"/>
          <w:szCs w:val="24"/>
          <w:lang w:val="fr-FR"/>
        </w:rPr>
        <w:t xml:space="preserve"> y </w:t>
      </w:r>
      <w:r w:rsidRPr="00A633FD">
        <w:rPr>
          <w:rFonts w:ascii="Times New Roman" w:hAnsi="Times New Roman" w:cs="Times New Roman"/>
          <w:b/>
          <w:bCs/>
          <w:sz w:val="24"/>
          <w:szCs w:val="24"/>
        </w:rPr>
        <w:t xml:space="preserve">descripción del método de estimación del coeficiente de equivalencia a autos </w:t>
      </w:r>
      <w:r w:rsidRPr="00A633FD">
        <w:rPr>
          <w:rFonts w:ascii="Times New Roman" w:hAnsi="Times New Roman" w:cs="Times New Roman"/>
          <w:b/>
          <w:bCs/>
          <w:sz w:val="24"/>
          <w:szCs w:val="24"/>
          <w:lang w:val="fr-FR"/>
        </w:rPr>
        <w:t>PCE.</w:t>
      </w:r>
    </w:p>
    <w:p w:rsidR="00525D11" w:rsidRDefault="00525D11" w:rsidP="00525D11">
      <w:pPr>
        <w:spacing w:after="0" w:line="360" w:lineRule="auto"/>
        <w:jc w:val="both"/>
        <w:rPr>
          <w:rFonts w:ascii="Times New Roman" w:hAnsi="Times New Roman" w:cs="Times New Roman"/>
          <w:bCs/>
          <w:sz w:val="24"/>
          <w:szCs w:val="24"/>
          <w:lang w:val="es-MX"/>
        </w:rPr>
      </w:pPr>
      <w:r w:rsidRPr="00A633FD">
        <w:rPr>
          <w:rFonts w:ascii="Times New Roman" w:hAnsi="Times New Roman" w:cs="Times New Roman"/>
          <w:bCs/>
          <w:sz w:val="24"/>
          <w:szCs w:val="24"/>
          <w:lang w:val="es-MX"/>
        </w:rPr>
        <w:t xml:space="preserve">Se </w:t>
      </w:r>
      <w:r>
        <w:rPr>
          <w:rFonts w:ascii="Times New Roman" w:hAnsi="Times New Roman" w:cs="Times New Roman"/>
          <w:bCs/>
          <w:sz w:val="24"/>
          <w:szCs w:val="24"/>
          <w:lang w:val="es-MX"/>
        </w:rPr>
        <w:t>selecciona</w:t>
      </w:r>
      <w:r w:rsidRPr="00A633FD">
        <w:rPr>
          <w:rFonts w:ascii="Times New Roman" w:hAnsi="Times New Roman" w:cs="Times New Roman"/>
          <w:bCs/>
          <w:sz w:val="24"/>
          <w:szCs w:val="24"/>
          <w:lang w:val="es-MX"/>
        </w:rPr>
        <w:t xml:space="preserve"> </w:t>
      </w:r>
      <w:r>
        <w:rPr>
          <w:rFonts w:ascii="Times New Roman" w:hAnsi="Times New Roman" w:cs="Times New Roman"/>
          <w:bCs/>
          <w:sz w:val="24"/>
          <w:szCs w:val="24"/>
          <w:lang w:val="es-MX"/>
        </w:rPr>
        <w:t>e</w:t>
      </w:r>
      <w:r w:rsidRPr="00A633FD">
        <w:rPr>
          <w:rFonts w:ascii="Times New Roman" w:hAnsi="Times New Roman" w:cs="Times New Roman"/>
          <w:bCs/>
          <w:sz w:val="24"/>
          <w:szCs w:val="24"/>
          <w:lang w:val="es-MX"/>
        </w:rPr>
        <w:t xml:space="preserve">l </w:t>
      </w:r>
      <w:r>
        <w:rPr>
          <w:rFonts w:ascii="Times New Roman" w:hAnsi="Times New Roman" w:cs="Times New Roman"/>
          <w:bCs/>
          <w:sz w:val="24"/>
          <w:szCs w:val="24"/>
          <w:lang w:val="es-MX"/>
        </w:rPr>
        <w:t xml:space="preserve">método (Wang 2008) que está basado </w:t>
      </w:r>
      <w:r w:rsidRPr="00A633FD">
        <w:rPr>
          <w:rFonts w:ascii="Times New Roman" w:hAnsi="Times New Roman" w:cs="Times New Roman"/>
          <w:bCs/>
          <w:sz w:val="24"/>
          <w:szCs w:val="24"/>
          <w:lang w:val="es-MX"/>
        </w:rPr>
        <w:t>en el análisis de los volúmenes de tránsito. El factor de conversión de las bicicletas en secciones de vía se obtiene con el modelo lineal siguiente:</w:t>
      </w:r>
    </w:p>
    <w:p w:rsidR="00525D11" w:rsidRPr="00A633FD" w:rsidRDefault="00525D11" w:rsidP="00525D11">
      <w:pPr>
        <w:spacing w:after="0" w:line="360" w:lineRule="auto"/>
        <w:jc w:val="both"/>
        <w:rPr>
          <w:rFonts w:ascii="Times New Roman" w:hAnsi="Times New Roman" w:cs="Times New Roman"/>
          <w:bCs/>
          <w:sz w:val="24"/>
          <w:szCs w:val="24"/>
          <w:lang w:val="es-MX"/>
        </w:rPr>
      </w:pPr>
      <m:oMath>
        <m:r>
          <w:rPr>
            <w:rFonts w:ascii="Cambria Math" w:hAnsi="Cambria Math" w:cs="Times New Roman"/>
            <w:sz w:val="24"/>
            <w:szCs w:val="24"/>
            <w:lang w:val="es-MX"/>
          </w:rPr>
          <w:lastRenderedPageBreak/>
          <m:t>y+</m:t>
        </m:r>
        <m:sSub>
          <m:sSubPr>
            <m:ctrlPr>
              <w:rPr>
                <w:rFonts w:ascii="Cambria Math" w:hAnsi="Cambria Math" w:cs="Times New Roman"/>
                <w:bCs/>
                <w:i/>
                <w:iCs/>
                <w:sz w:val="24"/>
                <w:szCs w:val="24"/>
                <w:lang w:val="es-MX"/>
              </w:rPr>
            </m:ctrlPr>
          </m:sSubPr>
          <m:e>
            <m:r>
              <w:rPr>
                <w:rFonts w:ascii="Cambria Math" w:hAnsi="Cambria Math" w:cs="Times New Roman"/>
                <w:sz w:val="24"/>
                <w:szCs w:val="24"/>
                <w:lang w:val="es-MX"/>
              </w:rPr>
              <m:t>m</m:t>
            </m:r>
          </m:e>
          <m:sub>
            <m:r>
              <w:rPr>
                <w:rFonts w:ascii="Cambria Math" w:hAnsi="Cambria Math" w:cs="Times New Roman"/>
                <w:sz w:val="24"/>
                <w:szCs w:val="24"/>
                <w:lang w:val="es-MX"/>
              </w:rPr>
              <m:t>3</m:t>
            </m:r>
          </m:sub>
        </m:sSub>
        <m:r>
          <w:rPr>
            <w:rFonts w:ascii="Cambria Math" w:hAnsi="Cambria Math" w:cs="Times New Roman"/>
            <w:sz w:val="24"/>
            <w:szCs w:val="24"/>
            <w:lang w:val="es-MX"/>
          </w:rPr>
          <m:t>.x=</m:t>
        </m:r>
        <m:sSub>
          <m:sSubPr>
            <m:ctrlPr>
              <w:rPr>
                <w:rFonts w:ascii="Cambria Math" w:hAnsi="Cambria Math" w:cs="Times New Roman"/>
                <w:bCs/>
                <w:i/>
                <w:iCs/>
                <w:sz w:val="24"/>
                <w:szCs w:val="24"/>
                <w:lang w:val="es-MX"/>
              </w:rPr>
            </m:ctrlPr>
          </m:sSubPr>
          <m:e>
            <m:r>
              <w:rPr>
                <w:rFonts w:ascii="Cambria Math" w:hAnsi="Cambria Math" w:cs="Times New Roman"/>
                <w:sz w:val="24"/>
                <w:szCs w:val="24"/>
                <w:lang w:val="es-MX"/>
              </w:rPr>
              <m:t>b</m:t>
            </m:r>
          </m:e>
          <m:sub>
            <m:r>
              <w:rPr>
                <w:rFonts w:ascii="Cambria Math" w:hAnsi="Cambria Math" w:cs="Times New Roman"/>
                <w:sz w:val="24"/>
                <w:szCs w:val="24"/>
                <w:lang w:val="es-MX"/>
              </w:rPr>
              <m:t>2</m:t>
            </m:r>
          </m:sub>
        </m:sSub>
      </m:oMath>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i/>
          <w:iCs/>
          <w:sz w:val="24"/>
          <w:szCs w:val="24"/>
          <w:lang w:val="es-MX"/>
        </w:rPr>
        <w:tab/>
      </w:r>
      <w:r w:rsidRPr="00A633FD">
        <w:rPr>
          <w:rFonts w:ascii="Times New Roman" w:hAnsi="Times New Roman" w:cs="Times New Roman"/>
          <w:bCs/>
          <w:sz w:val="24"/>
          <w:szCs w:val="24"/>
          <w:lang w:val="es-MX"/>
        </w:rPr>
        <w:t>(2.1)</w:t>
      </w:r>
    </w:p>
    <w:p w:rsidR="00525D11" w:rsidRPr="00A633FD" w:rsidRDefault="00525D11" w:rsidP="00525D11">
      <w:pPr>
        <w:spacing w:after="0" w:line="360" w:lineRule="auto"/>
        <w:jc w:val="both"/>
        <w:rPr>
          <w:rFonts w:ascii="Times New Roman" w:hAnsi="Times New Roman" w:cs="Times New Roman"/>
          <w:bCs/>
          <w:sz w:val="24"/>
          <w:szCs w:val="24"/>
          <w:lang w:val="es-MX"/>
        </w:rPr>
      </w:pPr>
      <w:r w:rsidRPr="00A633FD">
        <w:rPr>
          <w:rFonts w:ascii="Times New Roman" w:hAnsi="Times New Roman" w:cs="Times New Roman"/>
          <w:bCs/>
          <w:sz w:val="24"/>
          <w:szCs w:val="24"/>
          <w:lang w:val="es-MX"/>
        </w:rPr>
        <w:t xml:space="preserve">Donde: </w:t>
      </w:r>
    </w:p>
    <w:p w:rsidR="00525D11" w:rsidRPr="00A633FD" w:rsidRDefault="00525D11" w:rsidP="00525D11">
      <w:pPr>
        <w:spacing w:after="0" w:line="360" w:lineRule="auto"/>
        <w:jc w:val="both"/>
        <w:rPr>
          <w:rFonts w:ascii="Times New Roman" w:hAnsi="Times New Roman" w:cs="Times New Roman"/>
          <w:bCs/>
          <w:sz w:val="24"/>
          <w:szCs w:val="24"/>
        </w:rPr>
      </w:pPr>
      <w:r w:rsidRPr="00A633FD">
        <w:rPr>
          <w:rFonts w:ascii="Times New Roman" w:hAnsi="Times New Roman" w:cs="Times New Roman"/>
          <w:bCs/>
          <w:i/>
          <w:sz w:val="24"/>
          <w:szCs w:val="24"/>
          <w:lang w:val="es-MX"/>
        </w:rPr>
        <w:t>b</w:t>
      </w:r>
      <w:r w:rsidRPr="00A633FD">
        <w:rPr>
          <w:rFonts w:ascii="Times New Roman" w:hAnsi="Times New Roman" w:cs="Times New Roman"/>
          <w:bCs/>
          <w:i/>
          <w:sz w:val="24"/>
          <w:szCs w:val="24"/>
          <w:vertAlign w:val="subscript"/>
          <w:lang w:val="es-MX"/>
        </w:rPr>
        <w:t>2</w:t>
      </w:r>
      <w:r w:rsidRPr="00A633FD">
        <w:rPr>
          <w:rFonts w:ascii="Times New Roman" w:hAnsi="Times New Roman" w:cs="Times New Roman"/>
          <w:bCs/>
          <w:sz w:val="24"/>
          <w:szCs w:val="24"/>
          <w:vertAlign w:val="subscript"/>
          <w:lang w:val="es-MX"/>
        </w:rPr>
        <w:t xml:space="preserve"> </w:t>
      </w:r>
      <w:r w:rsidRPr="00A633FD">
        <w:rPr>
          <w:rFonts w:ascii="Times New Roman" w:hAnsi="Times New Roman" w:cs="Times New Roman"/>
          <w:bCs/>
          <w:sz w:val="24"/>
          <w:szCs w:val="24"/>
          <w:lang w:val="es-MX"/>
        </w:rPr>
        <w:t>- constante</w:t>
      </w:r>
      <w:r w:rsidRPr="00A633FD">
        <w:rPr>
          <w:rFonts w:ascii="Times New Roman" w:hAnsi="Times New Roman" w:cs="Times New Roman"/>
          <w:bCs/>
          <w:sz w:val="24"/>
          <w:szCs w:val="24"/>
        </w:rPr>
        <w:t xml:space="preserve"> </w:t>
      </w:r>
      <w:r w:rsidRPr="00A633FD">
        <w:rPr>
          <w:rFonts w:ascii="Times New Roman" w:hAnsi="Times New Roman" w:cs="Times New Roman"/>
          <w:bCs/>
          <w:sz w:val="24"/>
          <w:szCs w:val="24"/>
          <w:lang w:val="es-MX"/>
        </w:rPr>
        <w:t>(</w:t>
      </w:r>
      <w:proofErr w:type="spellStart"/>
      <w:r w:rsidRPr="00A633FD">
        <w:rPr>
          <w:rFonts w:ascii="Times New Roman" w:hAnsi="Times New Roman" w:cs="Times New Roman"/>
          <w:bCs/>
          <w:sz w:val="24"/>
          <w:szCs w:val="24"/>
          <w:lang w:val="es-MX"/>
        </w:rPr>
        <w:t>veh.lig</w:t>
      </w:r>
      <w:proofErr w:type="spellEnd"/>
      <w:r w:rsidRPr="00A633FD">
        <w:rPr>
          <w:rFonts w:ascii="Times New Roman" w:hAnsi="Times New Roman" w:cs="Times New Roman"/>
          <w:bCs/>
          <w:sz w:val="24"/>
          <w:szCs w:val="24"/>
          <w:lang w:val="es-MX"/>
        </w:rPr>
        <w:t xml:space="preserve">/h)  </w:t>
      </w:r>
    </w:p>
    <w:p w:rsidR="00525D11" w:rsidRPr="00A633FD" w:rsidRDefault="00525D11" w:rsidP="00525D11">
      <w:pPr>
        <w:spacing w:after="0" w:line="360" w:lineRule="auto"/>
        <w:jc w:val="both"/>
        <w:rPr>
          <w:rFonts w:ascii="Times New Roman" w:hAnsi="Times New Roman" w:cs="Times New Roman"/>
          <w:bCs/>
          <w:sz w:val="24"/>
          <w:szCs w:val="24"/>
          <w:lang w:val="es-MX"/>
        </w:rPr>
      </w:pPr>
      <w:r w:rsidRPr="00A633FD">
        <w:rPr>
          <w:rFonts w:ascii="Times New Roman" w:hAnsi="Times New Roman" w:cs="Times New Roman"/>
          <w:bCs/>
          <w:sz w:val="24"/>
          <w:szCs w:val="24"/>
          <w:lang w:val="es-MX"/>
        </w:rPr>
        <w:t xml:space="preserve">x - volumen de bicicletas (bicicletas / h). </w:t>
      </w:r>
    </w:p>
    <w:p w:rsidR="00525D11" w:rsidRPr="00A633FD" w:rsidRDefault="00525D11" w:rsidP="00525D11">
      <w:pPr>
        <w:spacing w:after="0" w:line="360" w:lineRule="auto"/>
        <w:jc w:val="both"/>
        <w:rPr>
          <w:rFonts w:ascii="Times New Roman" w:hAnsi="Times New Roman" w:cs="Times New Roman"/>
          <w:bCs/>
          <w:sz w:val="24"/>
          <w:szCs w:val="24"/>
          <w:lang w:val="es-MX"/>
        </w:rPr>
      </w:pPr>
      <w:r w:rsidRPr="00A633FD">
        <w:rPr>
          <w:rFonts w:ascii="Times New Roman" w:hAnsi="Times New Roman" w:cs="Times New Roman"/>
          <w:bCs/>
          <w:sz w:val="24"/>
          <w:szCs w:val="24"/>
          <w:lang w:val="es-MX"/>
        </w:rPr>
        <w:t>y - volumen de vehículos de motor (</w:t>
      </w:r>
      <w:proofErr w:type="spellStart"/>
      <w:r w:rsidRPr="00A633FD">
        <w:rPr>
          <w:rFonts w:ascii="Times New Roman" w:hAnsi="Times New Roman" w:cs="Times New Roman"/>
          <w:bCs/>
          <w:sz w:val="24"/>
          <w:szCs w:val="24"/>
          <w:lang w:val="es-MX"/>
        </w:rPr>
        <w:t>veh.lig</w:t>
      </w:r>
      <w:proofErr w:type="spellEnd"/>
      <w:r w:rsidRPr="00A633FD">
        <w:rPr>
          <w:rFonts w:ascii="Times New Roman" w:hAnsi="Times New Roman" w:cs="Times New Roman"/>
          <w:bCs/>
          <w:sz w:val="24"/>
          <w:szCs w:val="24"/>
          <w:lang w:val="es-MX"/>
        </w:rPr>
        <w:t xml:space="preserve">/h). </w:t>
      </w:r>
    </w:p>
    <w:p w:rsidR="00525D11" w:rsidRPr="00A633FD" w:rsidRDefault="00525D11" w:rsidP="00525D11">
      <w:pPr>
        <w:spacing w:after="0" w:line="360" w:lineRule="auto"/>
        <w:jc w:val="both"/>
        <w:rPr>
          <w:rFonts w:ascii="Times New Roman" w:hAnsi="Times New Roman" w:cs="Times New Roman"/>
          <w:bCs/>
          <w:i/>
          <w:iCs/>
          <w:sz w:val="24"/>
          <w:szCs w:val="24"/>
          <w:lang w:val="es-MX"/>
        </w:rPr>
      </w:pPr>
      <w:r w:rsidRPr="00A633FD">
        <w:rPr>
          <w:rFonts w:ascii="Times New Roman" w:hAnsi="Times New Roman" w:cs="Times New Roman"/>
          <w:bCs/>
          <w:sz w:val="24"/>
          <w:szCs w:val="24"/>
          <w:lang w:val="es-MX"/>
        </w:rPr>
        <w:t>m</w:t>
      </w:r>
      <w:r w:rsidRPr="00A633FD">
        <w:rPr>
          <w:rFonts w:ascii="Times New Roman" w:hAnsi="Times New Roman" w:cs="Times New Roman"/>
          <w:bCs/>
          <w:sz w:val="24"/>
          <w:szCs w:val="24"/>
          <w:vertAlign w:val="subscript"/>
          <w:lang w:val="es-MX"/>
        </w:rPr>
        <w:t>3</w:t>
      </w:r>
      <w:r w:rsidRPr="00A633FD">
        <w:rPr>
          <w:rFonts w:ascii="Times New Roman" w:hAnsi="Times New Roman" w:cs="Times New Roman"/>
          <w:bCs/>
          <w:sz w:val="24"/>
          <w:szCs w:val="24"/>
          <w:lang w:val="es-MX"/>
        </w:rPr>
        <w:t xml:space="preserve"> - factor de conversión de bicicletas. </w:t>
      </w:r>
    </w:p>
    <w:p w:rsidR="00525D11" w:rsidRDefault="00525D11" w:rsidP="00525D1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Pr="00A633FD">
        <w:rPr>
          <w:rFonts w:ascii="Times New Roman" w:hAnsi="Times New Roman" w:cs="Times New Roman"/>
          <w:b/>
          <w:bCs/>
          <w:sz w:val="24"/>
          <w:szCs w:val="24"/>
        </w:rPr>
        <w:t xml:space="preserve">. Selección </w:t>
      </w:r>
      <w:r>
        <w:rPr>
          <w:rFonts w:ascii="Times New Roman" w:hAnsi="Times New Roman" w:cs="Times New Roman"/>
          <w:b/>
          <w:bCs/>
          <w:sz w:val="24"/>
          <w:szCs w:val="24"/>
        </w:rPr>
        <w:t>de</w:t>
      </w:r>
      <w:r w:rsidRPr="00A633FD">
        <w:rPr>
          <w:rFonts w:ascii="Times New Roman" w:hAnsi="Times New Roman" w:cs="Times New Roman"/>
          <w:b/>
          <w:bCs/>
          <w:sz w:val="24"/>
          <w:szCs w:val="24"/>
        </w:rPr>
        <w:t xml:space="preserve"> los sitios de estudio</w:t>
      </w:r>
      <w:r>
        <w:rPr>
          <w:rFonts w:ascii="Times New Roman" w:hAnsi="Times New Roman" w:cs="Times New Roman"/>
          <w:b/>
          <w:bCs/>
          <w:sz w:val="24"/>
          <w:szCs w:val="24"/>
        </w:rPr>
        <w:t xml:space="preserve"> y descripción de los sitios de estudios.</w:t>
      </w:r>
    </w:p>
    <w:p w:rsidR="00525D11" w:rsidRDefault="00525D11" w:rsidP="00525D11">
      <w:pPr>
        <w:spacing w:after="0" w:line="360" w:lineRule="auto"/>
        <w:jc w:val="both"/>
        <w:rPr>
          <w:rFonts w:ascii="Times New Roman" w:hAnsi="Times New Roman" w:cs="Times New Roman"/>
          <w:bCs/>
          <w:sz w:val="24"/>
          <w:szCs w:val="24"/>
        </w:rPr>
      </w:pPr>
      <w:r w:rsidRPr="002B03F7">
        <w:rPr>
          <w:rFonts w:ascii="Times New Roman" w:hAnsi="Times New Roman" w:cs="Times New Roman"/>
          <w:bCs/>
          <w:sz w:val="24"/>
          <w:szCs w:val="24"/>
        </w:rPr>
        <w:t xml:space="preserve">Para </w:t>
      </w:r>
      <w:r>
        <w:rPr>
          <w:rFonts w:ascii="Times New Roman" w:hAnsi="Times New Roman" w:cs="Times New Roman"/>
          <w:bCs/>
          <w:sz w:val="24"/>
          <w:szCs w:val="24"/>
        </w:rPr>
        <w:t xml:space="preserve">la selección de los emplazamientos se dividieron en tres grupos principales con tres muestras cada uno, donde se tuvo en cuenta el número de carriles, sentido de circulación, que existiera </w:t>
      </w:r>
      <w:r w:rsidRPr="002B03F7">
        <w:rPr>
          <w:rFonts w:ascii="Times New Roman" w:hAnsi="Times New Roman" w:cs="Times New Roman"/>
          <w:bCs/>
          <w:sz w:val="24"/>
          <w:szCs w:val="24"/>
        </w:rPr>
        <w:t>un alto volumen de tránsito</w:t>
      </w:r>
      <w:r w:rsidRPr="002B03F7">
        <w:rPr>
          <w:rFonts w:ascii="Times New Roman" w:hAnsi="Times New Roman" w:cs="Times New Roman"/>
          <w:bCs/>
          <w:sz w:val="24"/>
          <w:szCs w:val="24"/>
          <w:lang w:val="es-MX"/>
        </w:rPr>
        <w:t xml:space="preserve"> durante los períodos de observación</w:t>
      </w:r>
      <w:r w:rsidRPr="002B03F7">
        <w:rPr>
          <w:rFonts w:ascii="Times New Roman" w:hAnsi="Times New Roman" w:cs="Times New Roman"/>
          <w:bCs/>
          <w:sz w:val="24"/>
          <w:szCs w:val="24"/>
        </w:rPr>
        <w:t>, alta proporción de vehículos no motorizados, pavimento en buen estado, terreno llano, estacionamiento prohibido, no existencia de paradas de ómnibus en el tramo de estudio, así como ausencia de cualquier otro dispositivo que afecte el flujo continuo de vehículos.</w:t>
      </w:r>
    </w:p>
    <w:p w:rsidR="00525D11" w:rsidRPr="00580471" w:rsidRDefault="00525D11" w:rsidP="00525D11">
      <w:pPr>
        <w:spacing w:after="0" w:line="360" w:lineRule="auto"/>
        <w:jc w:val="both"/>
        <w:rPr>
          <w:rFonts w:ascii="Times New Roman" w:hAnsi="Times New Roman" w:cs="Times New Roman"/>
          <w:bCs/>
          <w:sz w:val="24"/>
          <w:szCs w:val="24"/>
        </w:rPr>
      </w:pPr>
      <w:r w:rsidRPr="00580471">
        <w:rPr>
          <w:rFonts w:ascii="Times New Roman" w:hAnsi="Times New Roman" w:cs="Times New Roman"/>
          <w:bCs/>
          <w:sz w:val="24"/>
          <w:szCs w:val="24"/>
        </w:rPr>
        <w:t xml:space="preserve">Partiendo de las características seleccionada los grupos quedaron conformados de la siguiente forma: </w:t>
      </w:r>
    </w:p>
    <w:p w:rsidR="00525D11" w:rsidRDefault="00525D11" w:rsidP="00525D11">
      <w:pPr>
        <w:numPr>
          <w:ilvl w:val="0"/>
          <w:numId w:val="3"/>
        </w:numPr>
        <w:spacing w:after="0" w:line="360" w:lineRule="auto"/>
        <w:jc w:val="both"/>
        <w:rPr>
          <w:rFonts w:ascii="Times New Roman" w:hAnsi="Times New Roman" w:cs="Times New Roman"/>
          <w:bCs/>
          <w:sz w:val="24"/>
          <w:szCs w:val="24"/>
        </w:rPr>
      </w:pPr>
      <w:r w:rsidRPr="00580471">
        <w:rPr>
          <w:rFonts w:ascii="Times New Roman" w:hAnsi="Times New Roman" w:cs="Times New Roman"/>
          <w:bCs/>
          <w:sz w:val="24"/>
          <w:szCs w:val="24"/>
        </w:rPr>
        <w:t xml:space="preserve">El primer grupo cuenta </w:t>
      </w:r>
      <w:r>
        <w:rPr>
          <w:rFonts w:ascii="Times New Roman" w:hAnsi="Times New Roman" w:cs="Times New Roman"/>
          <w:bCs/>
          <w:sz w:val="24"/>
          <w:szCs w:val="24"/>
        </w:rPr>
        <w:t xml:space="preserve">con </w:t>
      </w:r>
      <w:r w:rsidRPr="00580471">
        <w:rPr>
          <w:rFonts w:ascii="Times New Roman" w:hAnsi="Times New Roman" w:cs="Times New Roman"/>
          <w:bCs/>
          <w:sz w:val="24"/>
          <w:szCs w:val="24"/>
        </w:rPr>
        <w:t>las calles de Cisneros (tramo General Gómez-Parque Ignacio Agramonte)</w:t>
      </w:r>
      <w:r>
        <w:rPr>
          <w:rFonts w:ascii="Times New Roman" w:hAnsi="Times New Roman" w:cs="Times New Roman"/>
          <w:bCs/>
          <w:sz w:val="24"/>
          <w:szCs w:val="24"/>
        </w:rPr>
        <w:t xml:space="preserve">, </w:t>
      </w:r>
      <w:r w:rsidRPr="00580471">
        <w:rPr>
          <w:rFonts w:ascii="Times New Roman" w:hAnsi="Times New Roman" w:cs="Times New Roman"/>
          <w:bCs/>
          <w:sz w:val="24"/>
          <w:szCs w:val="24"/>
        </w:rPr>
        <w:t>San Martín (Bembeta-San Ramón) y López Recio (Plaza San Ramón-Ignacio Agramonte)</w:t>
      </w:r>
      <w:r>
        <w:rPr>
          <w:rFonts w:ascii="Times New Roman" w:hAnsi="Times New Roman" w:cs="Times New Roman"/>
          <w:bCs/>
          <w:sz w:val="24"/>
          <w:szCs w:val="24"/>
        </w:rPr>
        <w:t>, todas son dos carriles y un sentido de circulación.</w:t>
      </w:r>
    </w:p>
    <w:p w:rsidR="00525D11" w:rsidRDefault="00525D11" w:rsidP="00525D11">
      <w:pPr>
        <w:numPr>
          <w:ilvl w:val="0"/>
          <w:numId w:val="3"/>
        </w:numPr>
        <w:spacing w:after="0" w:line="360" w:lineRule="auto"/>
        <w:jc w:val="both"/>
        <w:rPr>
          <w:rFonts w:ascii="Times New Roman" w:hAnsi="Times New Roman" w:cs="Times New Roman"/>
          <w:bCs/>
          <w:sz w:val="24"/>
          <w:szCs w:val="24"/>
        </w:rPr>
      </w:pPr>
      <w:r w:rsidRPr="00580471">
        <w:rPr>
          <w:rFonts w:ascii="Times New Roman" w:hAnsi="Times New Roman" w:cs="Times New Roman"/>
          <w:bCs/>
          <w:sz w:val="24"/>
          <w:szCs w:val="24"/>
        </w:rPr>
        <w:t xml:space="preserve">El segundo grupo </w:t>
      </w:r>
      <w:r>
        <w:rPr>
          <w:rFonts w:ascii="Times New Roman" w:hAnsi="Times New Roman" w:cs="Times New Roman"/>
          <w:bCs/>
          <w:sz w:val="24"/>
          <w:szCs w:val="24"/>
        </w:rPr>
        <w:t xml:space="preserve">recoge las vías con dos carriles y doble sentido de circulación, </w:t>
      </w:r>
      <w:r w:rsidRPr="00580471">
        <w:rPr>
          <w:rFonts w:ascii="Times New Roman" w:hAnsi="Times New Roman" w:cs="Times New Roman"/>
          <w:bCs/>
          <w:sz w:val="24"/>
          <w:szCs w:val="24"/>
        </w:rPr>
        <w:t xml:space="preserve">la </w:t>
      </w:r>
      <w:r>
        <w:rPr>
          <w:rFonts w:ascii="Times New Roman" w:hAnsi="Times New Roman" w:cs="Times New Roman"/>
          <w:bCs/>
          <w:sz w:val="24"/>
          <w:szCs w:val="24"/>
        </w:rPr>
        <w:t xml:space="preserve">vía </w:t>
      </w:r>
      <w:r w:rsidRPr="00580471">
        <w:rPr>
          <w:rFonts w:ascii="Times New Roman" w:hAnsi="Times New Roman" w:cs="Times New Roman"/>
          <w:bCs/>
          <w:sz w:val="24"/>
          <w:szCs w:val="24"/>
        </w:rPr>
        <w:t>Calle 4ta desde el Hospital Militar ha</w:t>
      </w:r>
      <w:r>
        <w:rPr>
          <w:rFonts w:ascii="Times New Roman" w:hAnsi="Times New Roman" w:cs="Times New Roman"/>
          <w:bCs/>
          <w:sz w:val="24"/>
          <w:szCs w:val="24"/>
        </w:rPr>
        <w:t xml:space="preserve">sta la calle Pasaje B, </w:t>
      </w:r>
      <w:r w:rsidRPr="00580471">
        <w:rPr>
          <w:rFonts w:ascii="Times New Roman" w:hAnsi="Times New Roman" w:cs="Times New Roman"/>
          <w:bCs/>
          <w:sz w:val="24"/>
          <w:szCs w:val="24"/>
        </w:rPr>
        <w:t xml:space="preserve">la Avenida Saratoga, después de la curva hasta la intersección con la Avenida Finlay y la vía </w:t>
      </w:r>
      <w:r w:rsidR="007469AE" w:rsidRPr="00FE0E25">
        <w:rPr>
          <w:rFonts w:ascii="Times New Roman" w:hAnsi="Times New Roman" w:cs="Times New Roman"/>
          <w:bCs/>
          <w:sz w:val="24"/>
          <w:szCs w:val="24"/>
        </w:rPr>
        <w:t>Madame</w:t>
      </w:r>
      <w:r w:rsidRPr="00580471">
        <w:rPr>
          <w:rFonts w:ascii="Times New Roman" w:hAnsi="Times New Roman" w:cs="Times New Roman"/>
          <w:bCs/>
          <w:color w:val="FF0000"/>
          <w:sz w:val="24"/>
          <w:szCs w:val="24"/>
        </w:rPr>
        <w:t xml:space="preserve"> </w:t>
      </w:r>
      <w:r w:rsidRPr="00580471">
        <w:rPr>
          <w:rFonts w:ascii="Times New Roman" w:hAnsi="Times New Roman" w:cs="Times New Roman"/>
          <w:bCs/>
          <w:sz w:val="24"/>
          <w:szCs w:val="24"/>
        </w:rPr>
        <w:t>Curie desde el Hospital Oncológico hasta el policlínico de Previsora</w:t>
      </w:r>
      <w:r>
        <w:rPr>
          <w:rFonts w:ascii="Times New Roman" w:hAnsi="Times New Roman" w:cs="Times New Roman"/>
          <w:bCs/>
          <w:sz w:val="24"/>
          <w:szCs w:val="24"/>
        </w:rPr>
        <w:t>.</w:t>
      </w:r>
    </w:p>
    <w:p w:rsidR="00525D11" w:rsidRDefault="00525D11" w:rsidP="00525D11">
      <w:pPr>
        <w:pStyle w:val="Style24"/>
        <w:widowControl/>
        <w:numPr>
          <w:ilvl w:val="0"/>
          <w:numId w:val="3"/>
        </w:numPr>
        <w:spacing w:line="360" w:lineRule="auto"/>
        <w:ind w:right="-425"/>
        <w:jc w:val="both"/>
        <w:rPr>
          <w:rFonts w:ascii="Times New Roman" w:eastAsiaTheme="minorHAnsi" w:hAnsi="Times New Roman"/>
          <w:bCs/>
          <w:lang w:val="es-ES"/>
        </w:rPr>
      </w:pPr>
      <w:r w:rsidRPr="00580471">
        <w:rPr>
          <w:rFonts w:ascii="Times New Roman" w:eastAsiaTheme="minorHAnsi" w:hAnsi="Times New Roman"/>
          <w:bCs/>
          <w:lang w:val="es-ES"/>
        </w:rPr>
        <w:t>El tercer grupo está conformado por la Carretera central desde la Terminal de Ómnibus Nacional hasta Montecarlo, Carretera central de Desengaño a Martí  y la Carretera ce</w:t>
      </w:r>
      <w:r>
        <w:rPr>
          <w:rFonts w:ascii="Times New Roman" w:eastAsiaTheme="minorHAnsi" w:hAnsi="Times New Roman"/>
          <w:bCs/>
          <w:lang w:val="es-ES"/>
        </w:rPr>
        <w:t>ntral del Oncológico al Materno, cuenta con cuatro carriles, dos carriles por sentido de circulación.</w:t>
      </w:r>
    </w:p>
    <w:p w:rsidR="00525D11" w:rsidRDefault="00525D11" w:rsidP="00525D11">
      <w:pPr>
        <w:spacing w:after="0" w:line="360" w:lineRule="auto"/>
        <w:jc w:val="both"/>
        <w:rPr>
          <w:rFonts w:ascii="Times New Roman" w:hAnsi="Times New Roman" w:cs="Times New Roman"/>
          <w:bCs/>
          <w:sz w:val="24"/>
          <w:szCs w:val="24"/>
        </w:rPr>
      </w:pPr>
      <w:r w:rsidRPr="00580471">
        <w:rPr>
          <w:rFonts w:ascii="Times New Roman" w:hAnsi="Times New Roman" w:cs="Times New Roman"/>
          <w:bCs/>
          <w:sz w:val="24"/>
          <w:szCs w:val="24"/>
        </w:rPr>
        <w:t>Para describir cada uno de los grupos que contienen las muestras de los tramos de vías seleccionados para el estudio, se cuenta con la tabla 2.1 Descripción de los sitios de estudio. Esta tabla cuenta con un pequeño croquis de cada uno de los sitios, que demuestra el número de carriles y el sentido de circulación de cada uno de estos. Además de registrar el ancho de los carriles, el tipo de pavimento, el terreno y el sentido de circulación.</w:t>
      </w:r>
    </w:p>
    <w:p w:rsidR="00525D11" w:rsidRPr="00045A41" w:rsidRDefault="00525D11" w:rsidP="00525D11">
      <w:pPr>
        <w:spacing w:after="0" w:line="360" w:lineRule="auto"/>
        <w:jc w:val="both"/>
        <w:rPr>
          <w:rFonts w:ascii="Times New Roman" w:hAnsi="Times New Roman" w:cs="Times New Roman"/>
          <w:bCs/>
          <w:sz w:val="20"/>
          <w:szCs w:val="20"/>
        </w:rPr>
      </w:pPr>
      <w:r w:rsidRPr="00045A41">
        <w:rPr>
          <w:rFonts w:ascii="Times New Roman" w:hAnsi="Times New Roman" w:cs="Times New Roman"/>
          <w:bCs/>
          <w:sz w:val="20"/>
          <w:szCs w:val="20"/>
        </w:rPr>
        <w:lastRenderedPageBreak/>
        <w:t>Tabla 2.1. Descripción de los sitios de estudio</w:t>
      </w:r>
    </w:p>
    <w:tbl>
      <w:tblPr>
        <w:tblStyle w:val="Tablaconcuadrcula"/>
        <w:tblW w:w="10065" w:type="dxa"/>
        <w:jc w:val="center"/>
        <w:tblLayout w:type="fixed"/>
        <w:tblLook w:val="04A0" w:firstRow="1" w:lastRow="0" w:firstColumn="1" w:lastColumn="0" w:noHBand="0" w:noVBand="1"/>
      </w:tblPr>
      <w:tblGrid>
        <w:gridCol w:w="1560"/>
        <w:gridCol w:w="1276"/>
        <w:gridCol w:w="992"/>
        <w:gridCol w:w="1134"/>
        <w:gridCol w:w="1255"/>
        <w:gridCol w:w="1296"/>
        <w:gridCol w:w="851"/>
        <w:gridCol w:w="1701"/>
      </w:tblGrid>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Muestras</w:t>
            </w:r>
          </w:p>
        </w:tc>
        <w:tc>
          <w:tcPr>
            <w:tcW w:w="1276"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Croquis</w:t>
            </w:r>
          </w:p>
        </w:tc>
        <w:tc>
          <w:tcPr>
            <w:tcW w:w="992"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No. de carriles</w:t>
            </w:r>
          </w:p>
        </w:tc>
        <w:tc>
          <w:tcPr>
            <w:tcW w:w="1134"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Ancho de carriles (m)</w:t>
            </w:r>
          </w:p>
        </w:tc>
        <w:tc>
          <w:tcPr>
            <w:tcW w:w="1255"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Tipo de pavimento</w:t>
            </w:r>
          </w:p>
        </w:tc>
        <w:tc>
          <w:tcPr>
            <w:tcW w:w="1296"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Sentidos de circulación</w:t>
            </w:r>
          </w:p>
        </w:tc>
        <w:tc>
          <w:tcPr>
            <w:tcW w:w="851"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Tipo de terreno</w:t>
            </w:r>
          </w:p>
        </w:tc>
        <w:tc>
          <w:tcPr>
            <w:tcW w:w="1701" w:type="dxa"/>
            <w:vAlign w:val="center"/>
          </w:tcPr>
          <w:p w:rsidR="00525D11" w:rsidRPr="00045A41" w:rsidRDefault="00525D11" w:rsidP="00402667">
            <w:pPr>
              <w:jc w:val="center"/>
              <w:rPr>
                <w:rFonts w:ascii="Times New Roman" w:hAnsi="Times New Roman" w:cs="Times New Roman"/>
                <w:b/>
                <w:bCs/>
                <w:sz w:val="20"/>
                <w:szCs w:val="20"/>
              </w:rPr>
            </w:pPr>
            <w:r w:rsidRPr="00045A41">
              <w:rPr>
                <w:rFonts w:ascii="Times New Roman" w:hAnsi="Times New Roman" w:cs="Times New Roman"/>
                <w:b/>
                <w:bCs/>
                <w:sz w:val="20"/>
                <w:szCs w:val="20"/>
              </w:rPr>
              <w:t>Observaciones</w:t>
            </w: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Cisneros (tramo General Gómez - Parque Ignacio Agramonte)</w:t>
            </w:r>
          </w:p>
        </w:tc>
        <w:tc>
          <w:tcPr>
            <w:tcW w:w="1276" w:type="dxa"/>
          </w:tcPr>
          <w:p w:rsidR="00525D11" w:rsidRPr="00045A41" w:rsidRDefault="00525D11" w:rsidP="00402667">
            <w:pPr>
              <w:jc w:val="both"/>
              <w:rPr>
                <w:rFonts w:ascii="Times New Roman" w:hAnsi="Times New Roman" w:cs="Times New Roman"/>
                <w:bCs/>
                <w:sz w:val="20"/>
                <w:szCs w:val="20"/>
              </w:rPr>
            </w:pPr>
            <w:r w:rsidRPr="00045A41">
              <w:rPr>
                <w:rFonts w:ascii="Times New Roman" w:hAnsi="Times New Roman" w:cs="Times New Roman"/>
                <w:bCs/>
                <w:noProof/>
                <w:sz w:val="20"/>
                <w:szCs w:val="20"/>
                <w:lang w:eastAsia="es-ES"/>
              </w:rPr>
              <w:drawing>
                <wp:anchor distT="0" distB="0" distL="114300" distR="114300" simplePos="0" relativeHeight="251659264" behindDoc="1" locked="0" layoutInCell="1" allowOverlap="1" wp14:anchorId="18CCFB15" wp14:editId="0AC920FC">
                  <wp:simplePos x="0" y="0"/>
                  <wp:positionH relativeFrom="column">
                    <wp:posOffset>-65405</wp:posOffset>
                  </wp:positionH>
                  <wp:positionV relativeFrom="paragraph">
                    <wp:posOffset>139269</wp:posOffset>
                  </wp:positionV>
                  <wp:extent cx="1211580" cy="405130"/>
                  <wp:effectExtent l="0" t="0" r="7620" b="0"/>
                  <wp:wrapTight wrapText="bothSides">
                    <wp:wrapPolygon edited="0">
                      <wp:start x="0" y="0"/>
                      <wp:lineTo x="0" y="20313"/>
                      <wp:lineTo x="21396" y="20313"/>
                      <wp:lineTo x="21396"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580" cy="405130"/>
                          </a:xfrm>
                          <a:prstGeom prst="rect">
                            <a:avLst/>
                          </a:prstGeom>
                          <a:noFill/>
                        </pic:spPr>
                      </pic:pic>
                    </a:graphicData>
                  </a:graphic>
                  <wp14:sizeRelH relativeFrom="margin">
                    <wp14:pctWidth>0</wp14:pctWidth>
                  </wp14:sizeRelH>
                  <wp14:sizeRelV relativeFrom="margin">
                    <wp14:pctHeight>0</wp14:pctHeight>
                  </wp14:sizeRelV>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2,65</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1</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Existencia de parqueos laterales</w:t>
            </w: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San Martín (Bembeta - San Ramón)</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0288" behindDoc="1" locked="0" layoutInCell="1" allowOverlap="1" wp14:anchorId="61031A8B" wp14:editId="4F1E2CC6">
                  <wp:simplePos x="0" y="0"/>
                  <wp:positionH relativeFrom="column">
                    <wp:posOffset>-65390</wp:posOffset>
                  </wp:positionH>
                  <wp:positionV relativeFrom="paragraph">
                    <wp:posOffset>170121</wp:posOffset>
                  </wp:positionV>
                  <wp:extent cx="1207135" cy="408305"/>
                  <wp:effectExtent l="0" t="0" r="0" b="0"/>
                  <wp:wrapTight wrapText="bothSides">
                    <wp:wrapPolygon edited="0">
                      <wp:start x="0" y="0"/>
                      <wp:lineTo x="0" y="20156"/>
                      <wp:lineTo x="21134" y="20156"/>
                      <wp:lineTo x="21134"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408305"/>
                          </a:xfrm>
                          <a:prstGeom prst="rect">
                            <a:avLst/>
                          </a:prstGeom>
                          <a:noFill/>
                        </pic:spPr>
                      </pic:pic>
                    </a:graphicData>
                  </a:graphic>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2,30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1</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Existencia de parqueos laterales y considerables volumen de vehículos de tracción animal</w:t>
            </w: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López Recio (Plaza San Ramón - Ignacio Agramonte)</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1312" behindDoc="1" locked="0" layoutInCell="1" allowOverlap="1" wp14:anchorId="53A87F72" wp14:editId="022E1840">
                  <wp:simplePos x="0" y="0"/>
                  <wp:positionH relativeFrom="column">
                    <wp:posOffset>-65142</wp:posOffset>
                  </wp:positionH>
                  <wp:positionV relativeFrom="paragraph">
                    <wp:posOffset>138154</wp:posOffset>
                  </wp:positionV>
                  <wp:extent cx="1207135" cy="408305"/>
                  <wp:effectExtent l="0" t="0" r="0" b="0"/>
                  <wp:wrapTight wrapText="bothSides">
                    <wp:wrapPolygon edited="0">
                      <wp:start x="0" y="0"/>
                      <wp:lineTo x="0" y="20156"/>
                      <wp:lineTo x="21134" y="20156"/>
                      <wp:lineTo x="21134"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408305"/>
                          </a:xfrm>
                          <a:prstGeom prst="rect">
                            <a:avLst/>
                          </a:prstGeom>
                          <a:noFill/>
                        </pic:spPr>
                      </pic:pic>
                    </a:graphicData>
                  </a:graphic>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2,30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1</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Calle 4ta desde el puente del río hasta la Avenida Van Horne</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2336" behindDoc="1" locked="0" layoutInCell="1" allowOverlap="1" wp14:anchorId="3D650EF1" wp14:editId="68FAF62A">
                  <wp:simplePos x="0" y="0"/>
                  <wp:positionH relativeFrom="column">
                    <wp:posOffset>-65405</wp:posOffset>
                  </wp:positionH>
                  <wp:positionV relativeFrom="paragraph">
                    <wp:posOffset>151765</wp:posOffset>
                  </wp:positionV>
                  <wp:extent cx="904875" cy="302895"/>
                  <wp:effectExtent l="0" t="0" r="9525" b="19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302895"/>
                          </a:xfrm>
                          <a:prstGeom prst="rect">
                            <a:avLst/>
                          </a:prstGeom>
                          <a:noFill/>
                        </pic:spPr>
                      </pic:pic>
                    </a:graphicData>
                  </a:graphic>
                  <wp14:sizeRelH relativeFrom="margin">
                    <wp14:pctWidth>0</wp14:pctWidth>
                  </wp14:sizeRelH>
                  <wp14:sizeRelV relativeFrom="margin">
                    <wp14:pctHeight>0</wp14:pctHeight>
                  </wp14:sizeRelV>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3,20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Considerable volumen de vehículos de tracción animal</w:t>
            </w: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Avenida Saratoga, después de la curva hasta la intersección con la Avenida Finlay</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3360" behindDoc="1" locked="0" layoutInCell="1" allowOverlap="1" wp14:anchorId="7EC28617" wp14:editId="079F2296">
                  <wp:simplePos x="0" y="0"/>
                  <wp:positionH relativeFrom="column">
                    <wp:posOffset>-65093</wp:posOffset>
                  </wp:positionH>
                  <wp:positionV relativeFrom="paragraph">
                    <wp:posOffset>344936</wp:posOffset>
                  </wp:positionV>
                  <wp:extent cx="902335" cy="304800"/>
                  <wp:effectExtent l="0" t="0" r="0" b="0"/>
                  <wp:wrapTight wrapText="bothSides">
                    <wp:wrapPolygon edited="0">
                      <wp:start x="0" y="0"/>
                      <wp:lineTo x="0" y="20250"/>
                      <wp:lineTo x="20977" y="20250"/>
                      <wp:lineTo x="20977"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2335" cy="304800"/>
                          </a:xfrm>
                          <a:prstGeom prst="rect">
                            <a:avLst/>
                          </a:prstGeom>
                          <a:noFill/>
                        </pic:spPr>
                      </pic:pic>
                    </a:graphicData>
                  </a:graphic>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3,20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 xml:space="preserve">Carretera </w:t>
            </w:r>
            <w:r w:rsidR="00FE0E25" w:rsidRPr="00FE0E25">
              <w:rPr>
                <w:rFonts w:ascii="Times New Roman" w:hAnsi="Times New Roman" w:cs="Times New Roman"/>
                <w:bCs/>
                <w:sz w:val="20"/>
                <w:szCs w:val="20"/>
              </w:rPr>
              <w:t>Madame</w:t>
            </w:r>
            <w:r w:rsidRPr="00FE0E25">
              <w:rPr>
                <w:rFonts w:ascii="Times New Roman" w:hAnsi="Times New Roman" w:cs="Times New Roman"/>
                <w:bCs/>
                <w:sz w:val="20"/>
                <w:szCs w:val="20"/>
              </w:rPr>
              <w:t xml:space="preserve"> Curie desde el H. </w:t>
            </w:r>
            <w:r w:rsidRPr="00045A41">
              <w:rPr>
                <w:rFonts w:ascii="Times New Roman" w:hAnsi="Times New Roman" w:cs="Times New Roman"/>
                <w:bCs/>
                <w:sz w:val="20"/>
                <w:szCs w:val="20"/>
              </w:rPr>
              <w:t>Oncológico hasta  el policlínico de Previsora</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4384" behindDoc="1" locked="0" layoutInCell="1" allowOverlap="1" wp14:anchorId="7EFE7C47" wp14:editId="03F29AF2">
                  <wp:simplePos x="0" y="0"/>
                  <wp:positionH relativeFrom="column">
                    <wp:posOffset>-65106</wp:posOffset>
                  </wp:positionH>
                  <wp:positionV relativeFrom="paragraph">
                    <wp:posOffset>305268</wp:posOffset>
                  </wp:positionV>
                  <wp:extent cx="902335" cy="304800"/>
                  <wp:effectExtent l="0" t="0" r="0" b="0"/>
                  <wp:wrapTight wrapText="bothSides">
                    <wp:wrapPolygon edited="0">
                      <wp:start x="0" y="0"/>
                      <wp:lineTo x="0" y="20250"/>
                      <wp:lineTo x="20977" y="20250"/>
                      <wp:lineTo x="20977"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335" cy="304800"/>
                          </a:xfrm>
                          <a:prstGeom prst="rect">
                            <a:avLst/>
                          </a:prstGeom>
                          <a:noFill/>
                        </pic:spPr>
                      </pic:pic>
                    </a:graphicData>
                  </a:graphic>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3,30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Considerable volumen de vehículos de tracción animal</w:t>
            </w: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Carretera central de Desengaño al Casino</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5408" behindDoc="1" locked="0" layoutInCell="1" allowOverlap="1" wp14:anchorId="0D2EDFCD" wp14:editId="5A4C838D">
                  <wp:simplePos x="0" y="0"/>
                  <wp:positionH relativeFrom="column">
                    <wp:posOffset>-65405</wp:posOffset>
                  </wp:positionH>
                  <wp:positionV relativeFrom="paragraph">
                    <wp:posOffset>97790</wp:posOffset>
                  </wp:positionV>
                  <wp:extent cx="904875" cy="349885"/>
                  <wp:effectExtent l="0" t="0" r="9525" b="0"/>
                  <wp:wrapTight wrapText="bothSides">
                    <wp:wrapPolygon edited="0">
                      <wp:start x="0" y="0"/>
                      <wp:lineTo x="0" y="19993"/>
                      <wp:lineTo x="21373" y="19993"/>
                      <wp:lineTo x="21373"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349885"/>
                          </a:xfrm>
                          <a:prstGeom prst="rect">
                            <a:avLst/>
                          </a:prstGeom>
                          <a:noFill/>
                        </pic:spPr>
                      </pic:pic>
                    </a:graphicData>
                  </a:graphic>
                  <wp14:sizeRelH relativeFrom="margin">
                    <wp14:pctWidth>0</wp14:pctWidth>
                  </wp14:sizeRelH>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4</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2,50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Carretera central del Oncológico al Materno.</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6432" behindDoc="1" locked="0" layoutInCell="1" allowOverlap="1" wp14:anchorId="445FAE62" wp14:editId="25B1D09A">
                  <wp:simplePos x="0" y="0"/>
                  <wp:positionH relativeFrom="column">
                    <wp:posOffset>-65405</wp:posOffset>
                  </wp:positionH>
                  <wp:positionV relativeFrom="paragraph">
                    <wp:posOffset>175524</wp:posOffset>
                  </wp:positionV>
                  <wp:extent cx="902335" cy="347345"/>
                  <wp:effectExtent l="0" t="0" r="0" b="0"/>
                  <wp:wrapTight wrapText="bothSides">
                    <wp:wrapPolygon edited="0">
                      <wp:start x="0" y="0"/>
                      <wp:lineTo x="0" y="20139"/>
                      <wp:lineTo x="20977" y="20139"/>
                      <wp:lineTo x="20977"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2335" cy="347345"/>
                          </a:xfrm>
                          <a:prstGeom prst="rect">
                            <a:avLst/>
                          </a:prstGeom>
                          <a:noFill/>
                        </pic:spPr>
                      </pic:pic>
                    </a:graphicData>
                  </a:graphic>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4</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2,50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Considerable volumen de vehículos de tracción animal</w:t>
            </w:r>
          </w:p>
        </w:tc>
      </w:tr>
      <w:tr w:rsidR="00525D11" w:rsidRPr="00045A41" w:rsidTr="00525D11">
        <w:trPr>
          <w:jc w:val="center"/>
        </w:trPr>
        <w:tc>
          <w:tcPr>
            <w:tcW w:w="1560"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Carretera central desde la Terminal de Ómnibus Nacional hasta Montecarlo.</w:t>
            </w:r>
          </w:p>
        </w:tc>
        <w:tc>
          <w:tcPr>
            <w:tcW w:w="1276" w:type="dxa"/>
          </w:tcPr>
          <w:p w:rsidR="00525D11" w:rsidRPr="00045A41" w:rsidRDefault="00525D11" w:rsidP="00402667">
            <w:pPr>
              <w:jc w:val="both"/>
              <w:rPr>
                <w:rFonts w:ascii="Times New Roman" w:hAnsi="Times New Roman" w:cs="Times New Roman"/>
                <w:bCs/>
                <w:noProof/>
                <w:sz w:val="20"/>
                <w:szCs w:val="20"/>
                <w:lang w:eastAsia="es-ES"/>
              </w:rPr>
            </w:pPr>
            <w:r w:rsidRPr="00045A41">
              <w:rPr>
                <w:rFonts w:ascii="Times New Roman" w:hAnsi="Times New Roman" w:cs="Times New Roman"/>
                <w:bCs/>
                <w:noProof/>
                <w:sz w:val="20"/>
                <w:szCs w:val="20"/>
                <w:lang w:eastAsia="es-ES"/>
              </w:rPr>
              <w:drawing>
                <wp:anchor distT="0" distB="0" distL="114300" distR="114300" simplePos="0" relativeHeight="251667456" behindDoc="1" locked="0" layoutInCell="1" allowOverlap="1" wp14:anchorId="319C661C" wp14:editId="5806028F">
                  <wp:simplePos x="0" y="0"/>
                  <wp:positionH relativeFrom="column">
                    <wp:posOffset>-65357</wp:posOffset>
                  </wp:positionH>
                  <wp:positionV relativeFrom="paragraph">
                    <wp:posOffset>301708</wp:posOffset>
                  </wp:positionV>
                  <wp:extent cx="902335" cy="347345"/>
                  <wp:effectExtent l="0" t="0" r="0" b="0"/>
                  <wp:wrapTight wrapText="bothSides">
                    <wp:wrapPolygon edited="0">
                      <wp:start x="0" y="0"/>
                      <wp:lineTo x="0" y="20139"/>
                      <wp:lineTo x="20977" y="20139"/>
                      <wp:lineTo x="20977"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2335" cy="347345"/>
                          </a:xfrm>
                          <a:prstGeom prst="rect">
                            <a:avLst/>
                          </a:prstGeom>
                          <a:noFill/>
                        </pic:spPr>
                      </pic:pic>
                    </a:graphicData>
                  </a:graphic>
                </wp:anchor>
              </w:drawing>
            </w:r>
          </w:p>
        </w:tc>
        <w:tc>
          <w:tcPr>
            <w:tcW w:w="992"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4</w:t>
            </w:r>
          </w:p>
        </w:tc>
        <w:tc>
          <w:tcPr>
            <w:tcW w:w="1134"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2,50</w:t>
            </w:r>
          </w:p>
        </w:tc>
        <w:tc>
          <w:tcPr>
            <w:tcW w:w="1255"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flexible</w:t>
            </w:r>
          </w:p>
        </w:tc>
        <w:tc>
          <w:tcPr>
            <w:tcW w:w="1296"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2</w:t>
            </w:r>
          </w:p>
        </w:tc>
        <w:tc>
          <w:tcPr>
            <w:tcW w:w="85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llano</w:t>
            </w:r>
          </w:p>
        </w:tc>
        <w:tc>
          <w:tcPr>
            <w:tcW w:w="1701" w:type="dxa"/>
            <w:vAlign w:val="center"/>
          </w:tcPr>
          <w:p w:rsidR="00525D11" w:rsidRPr="00045A41" w:rsidRDefault="00525D11" w:rsidP="00402667">
            <w:pPr>
              <w:jc w:val="center"/>
              <w:rPr>
                <w:rFonts w:ascii="Times New Roman" w:hAnsi="Times New Roman" w:cs="Times New Roman"/>
                <w:bCs/>
                <w:sz w:val="20"/>
                <w:szCs w:val="20"/>
              </w:rPr>
            </w:pPr>
            <w:r w:rsidRPr="00045A41">
              <w:rPr>
                <w:rFonts w:ascii="Times New Roman" w:hAnsi="Times New Roman" w:cs="Times New Roman"/>
                <w:bCs/>
                <w:sz w:val="20"/>
                <w:szCs w:val="20"/>
              </w:rPr>
              <w:t>Considerable volumen de vehículos de tracción animal</w:t>
            </w:r>
          </w:p>
        </w:tc>
      </w:tr>
    </w:tbl>
    <w:p w:rsidR="00525D11" w:rsidRPr="00902017" w:rsidRDefault="00525D11" w:rsidP="00525D11">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rPr>
        <w:t xml:space="preserve">2.3. </w:t>
      </w:r>
      <w:r>
        <w:rPr>
          <w:rFonts w:ascii="Times New Roman" w:hAnsi="Times New Roman" w:cs="Times New Roman"/>
          <w:b/>
          <w:bCs/>
          <w:sz w:val="24"/>
          <w:szCs w:val="24"/>
          <w:lang w:val="es-MX"/>
        </w:rPr>
        <w:t>Estudios de tránsito</w:t>
      </w:r>
      <w:r w:rsidRPr="00902017">
        <w:rPr>
          <w:rFonts w:ascii="Times New Roman" w:hAnsi="Times New Roman" w:cs="Times New Roman"/>
          <w:b/>
          <w:bCs/>
          <w:sz w:val="24"/>
          <w:szCs w:val="24"/>
          <w:lang w:val="es-MX"/>
        </w:rPr>
        <w:t>.</w:t>
      </w:r>
    </w:p>
    <w:p w:rsidR="00525D11" w:rsidRPr="00902017" w:rsidRDefault="00525D11" w:rsidP="00525D11">
      <w:pPr>
        <w:spacing w:after="0" w:line="360" w:lineRule="auto"/>
        <w:jc w:val="both"/>
        <w:rPr>
          <w:rFonts w:ascii="Times New Roman" w:hAnsi="Times New Roman" w:cs="Times New Roman"/>
          <w:bCs/>
          <w:sz w:val="24"/>
          <w:szCs w:val="24"/>
          <w:lang w:val="es-MX"/>
        </w:rPr>
      </w:pPr>
      <w:r w:rsidRPr="00902017">
        <w:rPr>
          <w:rFonts w:ascii="Times New Roman" w:hAnsi="Times New Roman" w:cs="Times New Roman"/>
          <w:bCs/>
          <w:sz w:val="24"/>
          <w:szCs w:val="24"/>
          <w:lang w:val="es-MX"/>
        </w:rPr>
        <w:lastRenderedPageBreak/>
        <w:t>Los estudios de tránsito que se llevar</w:t>
      </w:r>
      <w:r>
        <w:rPr>
          <w:rFonts w:ascii="Times New Roman" w:hAnsi="Times New Roman" w:cs="Times New Roman"/>
          <w:bCs/>
          <w:sz w:val="24"/>
          <w:szCs w:val="24"/>
          <w:lang w:val="es-MX"/>
        </w:rPr>
        <w:t>on</w:t>
      </w:r>
      <w:r w:rsidRPr="00902017">
        <w:rPr>
          <w:rFonts w:ascii="Times New Roman" w:hAnsi="Times New Roman" w:cs="Times New Roman"/>
          <w:bCs/>
          <w:sz w:val="24"/>
          <w:szCs w:val="24"/>
          <w:lang w:val="es-MX"/>
        </w:rPr>
        <w:t xml:space="preserve"> a cabo son</w:t>
      </w:r>
      <w:r>
        <w:rPr>
          <w:rFonts w:ascii="Times New Roman" w:hAnsi="Times New Roman" w:cs="Times New Roman"/>
          <w:bCs/>
          <w:sz w:val="24"/>
          <w:szCs w:val="24"/>
          <w:lang w:val="es-MX"/>
        </w:rPr>
        <w:t>:</w:t>
      </w:r>
      <w:r w:rsidRPr="00902017">
        <w:rPr>
          <w:rFonts w:ascii="Times New Roman" w:hAnsi="Times New Roman" w:cs="Times New Roman"/>
          <w:bCs/>
          <w:sz w:val="24"/>
          <w:szCs w:val="24"/>
          <w:lang w:val="es-MX"/>
        </w:rPr>
        <w:t xml:space="preserve"> estudios de volúmenes y determinación del flujo de bicicletas y vehículos ligeros.</w:t>
      </w:r>
      <w:r>
        <w:rPr>
          <w:rFonts w:ascii="Times New Roman" w:hAnsi="Times New Roman" w:cs="Times New Roman"/>
          <w:bCs/>
          <w:sz w:val="24"/>
          <w:szCs w:val="24"/>
          <w:lang w:val="es-MX"/>
        </w:rPr>
        <w:t xml:space="preserve"> L</w:t>
      </w:r>
      <w:r w:rsidRPr="00902017">
        <w:rPr>
          <w:rFonts w:ascii="Times New Roman" w:hAnsi="Times New Roman" w:cs="Times New Roman"/>
          <w:bCs/>
          <w:sz w:val="24"/>
          <w:szCs w:val="24"/>
          <w:lang w:val="es-MX"/>
        </w:rPr>
        <w:t>os que permit</w:t>
      </w:r>
      <w:r>
        <w:rPr>
          <w:rFonts w:ascii="Times New Roman" w:hAnsi="Times New Roman" w:cs="Times New Roman"/>
          <w:bCs/>
          <w:sz w:val="24"/>
          <w:szCs w:val="24"/>
          <w:lang w:val="es-MX"/>
        </w:rPr>
        <w:t>ieron</w:t>
      </w:r>
      <w:r w:rsidRPr="00902017">
        <w:rPr>
          <w:rFonts w:ascii="Times New Roman" w:hAnsi="Times New Roman" w:cs="Times New Roman"/>
          <w:bCs/>
          <w:sz w:val="24"/>
          <w:szCs w:val="24"/>
          <w:lang w:val="es-MX"/>
        </w:rPr>
        <w:t xml:space="preserve"> determinar los parámetros que se necesitan para conformar la ecuación de regresión lineal que integra el </w:t>
      </w:r>
      <w:r>
        <w:rPr>
          <w:rFonts w:ascii="Times New Roman" w:hAnsi="Times New Roman" w:cs="Times New Roman"/>
          <w:bCs/>
          <w:sz w:val="24"/>
          <w:szCs w:val="24"/>
          <w:lang w:val="es-MX"/>
        </w:rPr>
        <w:t>método seleccionado (Wang 2008).</w:t>
      </w:r>
    </w:p>
    <w:p w:rsidR="00525D11" w:rsidRDefault="00525D11" w:rsidP="00525D11">
      <w:pPr>
        <w:spacing w:after="0" w:line="360" w:lineRule="auto"/>
        <w:jc w:val="both"/>
        <w:rPr>
          <w:rFonts w:ascii="Times New Roman" w:hAnsi="Times New Roman" w:cs="Times New Roman"/>
          <w:b/>
          <w:bCs/>
          <w:sz w:val="24"/>
          <w:szCs w:val="24"/>
        </w:rPr>
      </w:pPr>
      <w:r w:rsidRPr="002A4E07">
        <w:rPr>
          <w:rFonts w:ascii="Times New Roman" w:hAnsi="Times New Roman" w:cs="Times New Roman"/>
          <w:b/>
          <w:bCs/>
          <w:sz w:val="24"/>
          <w:szCs w:val="24"/>
        </w:rPr>
        <w:t>Estudio de volúmenes de tránsito</w:t>
      </w:r>
    </w:p>
    <w:p w:rsidR="00525D11" w:rsidRPr="002A4E07" w:rsidRDefault="00525D11" w:rsidP="00525D11">
      <w:pPr>
        <w:spacing w:after="0" w:line="360" w:lineRule="auto"/>
        <w:jc w:val="both"/>
        <w:rPr>
          <w:rFonts w:ascii="Times New Roman" w:hAnsi="Times New Roman" w:cs="Times New Roman"/>
          <w:bCs/>
          <w:sz w:val="24"/>
          <w:szCs w:val="24"/>
        </w:rPr>
      </w:pPr>
      <w:r w:rsidRPr="002A4E07">
        <w:rPr>
          <w:rFonts w:ascii="Times New Roman" w:hAnsi="Times New Roman" w:cs="Times New Roman"/>
          <w:bCs/>
          <w:sz w:val="24"/>
          <w:szCs w:val="24"/>
        </w:rPr>
        <w:t xml:space="preserve">Se realizó el estudio de forma manual </w:t>
      </w:r>
      <w:r>
        <w:rPr>
          <w:rFonts w:ascii="Times New Roman" w:hAnsi="Times New Roman" w:cs="Times New Roman"/>
          <w:bCs/>
          <w:sz w:val="24"/>
          <w:szCs w:val="24"/>
        </w:rPr>
        <w:t xml:space="preserve">un miércoles, en el horario de 7:30am-9:30am, ubicando a los observadores en </w:t>
      </w:r>
      <w:r w:rsidRPr="002A4E07">
        <w:rPr>
          <w:rFonts w:ascii="Times New Roman" w:hAnsi="Times New Roman" w:cs="Times New Roman"/>
          <w:bCs/>
          <w:sz w:val="24"/>
          <w:szCs w:val="24"/>
        </w:rPr>
        <w:t>las calles principales para obtener información detallada de los vehículos en la zona de estudio</w:t>
      </w:r>
      <w:r w:rsidRPr="002A4E07">
        <w:rPr>
          <w:rFonts w:ascii="Times New Roman" w:hAnsi="Times New Roman" w:cs="Times New Roman"/>
          <w:bCs/>
          <w:sz w:val="24"/>
          <w:szCs w:val="24"/>
          <w:lang w:val="es-ES_tradnl"/>
        </w:rPr>
        <w:t>.</w:t>
      </w:r>
    </w:p>
    <w:p w:rsidR="00525D11" w:rsidRPr="002A4E07" w:rsidRDefault="00525D11" w:rsidP="00525D11">
      <w:pPr>
        <w:spacing w:after="0" w:line="360" w:lineRule="auto"/>
        <w:jc w:val="both"/>
        <w:rPr>
          <w:rFonts w:ascii="Times New Roman" w:hAnsi="Times New Roman" w:cs="Times New Roman"/>
          <w:b/>
          <w:sz w:val="24"/>
          <w:szCs w:val="24"/>
        </w:rPr>
      </w:pPr>
      <w:r w:rsidRPr="002A4E07">
        <w:rPr>
          <w:rFonts w:ascii="Times New Roman" w:hAnsi="Times New Roman" w:cs="Times New Roman"/>
          <w:b/>
          <w:sz w:val="24"/>
          <w:szCs w:val="24"/>
        </w:rPr>
        <w:t>Estudios para determinar los flujos de bicicletas y vehículos ligeros.</w:t>
      </w:r>
    </w:p>
    <w:p w:rsidR="00525D11" w:rsidRPr="00E7302A" w:rsidRDefault="00525D11" w:rsidP="00525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estudio se realiza con la ayuda de cronómetros en la hora de máxima demanda y por sentido de circulación y se obtiene el tiempo inicial y final de los vehículos motorizados, la cantidad de bicicletas y vehículos ligeros que intervienen en el flujo vehicular. Hay que destacar que para la realización de este estudio los vehículos ligeros y las bicicletas han de venir en pelotón.</w:t>
      </w:r>
    </w:p>
    <w:p w:rsidR="00525D11" w:rsidRDefault="00525D11" w:rsidP="00525D11">
      <w:pPr>
        <w:spacing w:after="0" w:line="360" w:lineRule="auto"/>
        <w:jc w:val="both"/>
        <w:rPr>
          <w:rFonts w:ascii="Times New Roman" w:hAnsi="Times New Roman" w:cs="Times New Roman"/>
          <w:b/>
          <w:sz w:val="24"/>
          <w:szCs w:val="24"/>
          <w:lang w:val="es-MX"/>
        </w:rPr>
      </w:pPr>
      <w:r>
        <w:rPr>
          <w:rFonts w:ascii="Times New Roman" w:hAnsi="Times New Roman" w:cs="Times New Roman"/>
          <w:b/>
          <w:sz w:val="24"/>
          <w:szCs w:val="24"/>
        </w:rPr>
        <w:t>2.4</w:t>
      </w:r>
      <w:r w:rsidRPr="005361C0">
        <w:rPr>
          <w:rFonts w:ascii="Times New Roman" w:hAnsi="Times New Roman" w:cs="Times New Roman"/>
          <w:b/>
          <w:sz w:val="24"/>
          <w:szCs w:val="24"/>
        </w:rPr>
        <w:t>.</w:t>
      </w:r>
      <w:r>
        <w:rPr>
          <w:rFonts w:ascii="Times New Roman" w:hAnsi="Times New Roman" w:cs="Times New Roman"/>
          <w:sz w:val="24"/>
          <w:szCs w:val="24"/>
        </w:rPr>
        <w:t xml:space="preserve"> </w:t>
      </w:r>
      <w:r w:rsidRPr="005361C0">
        <w:rPr>
          <w:rFonts w:ascii="Times New Roman" w:hAnsi="Times New Roman" w:cs="Times New Roman"/>
          <w:b/>
          <w:sz w:val="24"/>
          <w:szCs w:val="24"/>
          <w:lang w:val="es-MX"/>
        </w:rPr>
        <w:t>Procesamiento de datos en el STATGRAPHICS.</w:t>
      </w:r>
    </w:p>
    <w:p w:rsidR="00525D11" w:rsidRDefault="00525D11" w:rsidP="00525D11">
      <w:pPr>
        <w:spacing w:after="0" w:line="360" w:lineRule="auto"/>
        <w:jc w:val="both"/>
        <w:rPr>
          <w:rFonts w:ascii="Times New Roman" w:hAnsi="Times New Roman" w:cs="Times New Roman"/>
          <w:sz w:val="24"/>
          <w:szCs w:val="24"/>
        </w:rPr>
      </w:pPr>
      <w:r w:rsidRPr="005361C0">
        <w:rPr>
          <w:rFonts w:ascii="Times New Roman" w:hAnsi="Times New Roman" w:cs="Times New Roman"/>
          <w:sz w:val="24"/>
          <w:szCs w:val="24"/>
        </w:rPr>
        <w:t xml:space="preserve">Luego de realizados los aforos pertinentes, se procederá al procesamiento de los datos obtenidos y la determinación del PCE mediante la utilización del software profesional estadístico STATGRAPHICS. </w:t>
      </w:r>
    </w:p>
    <w:p w:rsidR="00525D11" w:rsidRDefault="00525D11" w:rsidP="00525D11">
      <w:pPr>
        <w:spacing w:after="0" w:line="360" w:lineRule="auto"/>
        <w:jc w:val="both"/>
        <w:rPr>
          <w:rFonts w:ascii="Times New Roman" w:hAnsi="Times New Roman" w:cs="Times New Roman"/>
          <w:sz w:val="24"/>
          <w:szCs w:val="24"/>
        </w:rPr>
      </w:pPr>
      <w:r w:rsidRPr="005361C0">
        <w:rPr>
          <w:rFonts w:ascii="Times New Roman" w:hAnsi="Times New Roman" w:cs="Times New Roman"/>
          <w:sz w:val="24"/>
          <w:szCs w:val="24"/>
        </w:rPr>
        <w:t>Para trabajar en el STATGRAPHICS es necesario introducir los datos en dos columnas, una sería el flujo de bicicletas y la otra el flujo de vehículos ligeros como se muestra en la figura 2.</w:t>
      </w:r>
      <w:r>
        <w:rPr>
          <w:rFonts w:ascii="Times New Roman" w:hAnsi="Times New Roman" w:cs="Times New Roman"/>
          <w:sz w:val="24"/>
          <w:szCs w:val="24"/>
        </w:rPr>
        <w:t>1.</w:t>
      </w:r>
    </w:p>
    <w:p w:rsidR="00525D11" w:rsidRPr="005361C0" w:rsidRDefault="00525D11" w:rsidP="00525D1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799CFF3D" wp14:editId="16F8B874">
            <wp:extent cx="2777706" cy="1580197"/>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7706" cy="1580197"/>
                    </a:xfrm>
                    <a:prstGeom prst="rect">
                      <a:avLst/>
                    </a:prstGeom>
                    <a:noFill/>
                  </pic:spPr>
                </pic:pic>
              </a:graphicData>
            </a:graphic>
          </wp:inline>
        </w:drawing>
      </w:r>
    </w:p>
    <w:p w:rsidR="00525D11" w:rsidRPr="00A46261" w:rsidRDefault="00525D11" w:rsidP="00525D11">
      <w:pPr>
        <w:spacing w:after="0" w:line="360" w:lineRule="auto"/>
        <w:jc w:val="both"/>
        <w:rPr>
          <w:rFonts w:ascii="Times New Roman" w:hAnsi="Times New Roman" w:cs="Times New Roman"/>
          <w:sz w:val="20"/>
          <w:szCs w:val="20"/>
        </w:rPr>
      </w:pPr>
      <w:r w:rsidRPr="00A46261">
        <w:rPr>
          <w:rFonts w:ascii="Times New Roman" w:hAnsi="Times New Roman" w:cs="Times New Roman"/>
          <w:sz w:val="20"/>
          <w:szCs w:val="20"/>
        </w:rPr>
        <w:t>Figura 2.1. Columna 1 y 2 en STATGRAPHICS</w:t>
      </w:r>
    </w:p>
    <w:p w:rsidR="00525D11" w:rsidRDefault="00525D11" w:rsidP="00525D11">
      <w:pPr>
        <w:spacing w:after="0" w:line="360" w:lineRule="auto"/>
        <w:jc w:val="both"/>
        <w:rPr>
          <w:rFonts w:ascii="Times New Roman" w:hAnsi="Times New Roman" w:cs="Times New Roman"/>
          <w:sz w:val="24"/>
          <w:szCs w:val="24"/>
          <w:lang w:val="es-MX"/>
        </w:rPr>
      </w:pPr>
      <w:r w:rsidRPr="00A46261">
        <w:rPr>
          <w:rFonts w:ascii="Times New Roman" w:hAnsi="Times New Roman" w:cs="Times New Roman"/>
          <w:sz w:val="24"/>
          <w:szCs w:val="24"/>
          <w:lang w:val="es-MX"/>
        </w:rPr>
        <w:t xml:space="preserve">Luego se procede a asignar cada una de estas columnas como variables dependientes e independientes para conformar la ecuación de regresión lineal. La columna 1 serían las variables independientes “x” que corresponde con el flujo de bicicletas y la columna 2 las </w:t>
      </w:r>
      <w:r w:rsidRPr="00A46261">
        <w:rPr>
          <w:rFonts w:ascii="Times New Roman" w:hAnsi="Times New Roman" w:cs="Times New Roman"/>
          <w:sz w:val="24"/>
          <w:szCs w:val="24"/>
          <w:lang w:val="es-MX"/>
        </w:rPr>
        <w:lastRenderedPageBreak/>
        <w:t>variables dependientes “y” que es el flujo de vehículos ligeros. Tal y como está representado en la figura 2.</w:t>
      </w:r>
      <w:r>
        <w:rPr>
          <w:rFonts w:ascii="Times New Roman" w:hAnsi="Times New Roman" w:cs="Times New Roman"/>
          <w:sz w:val="24"/>
          <w:szCs w:val="24"/>
          <w:lang w:val="es-MX"/>
        </w:rPr>
        <w:t>2</w:t>
      </w:r>
      <w:r w:rsidRPr="00A46261">
        <w:rPr>
          <w:rFonts w:ascii="Times New Roman" w:hAnsi="Times New Roman" w:cs="Times New Roman"/>
          <w:sz w:val="24"/>
          <w:szCs w:val="24"/>
          <w:lang w:val="es-MX"/>
        </w:rPr>
        <w:t>.</w:t>
      </w:r>
    </w:p>
    <w:p w:rsidR="00525D11" w:rsidRPr="00A46261" w:rsidRDefault="00525D11" w:rsidP="00525D11">
      <w:pPr>
        <w:spacing w:after="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eastAsia="es-ES"/>
        </w:rPr>
        <w:drawing>
          <wp:inline distT="0" distB="0" distL="0" distR="0" wp14:anchorId="5EC90631" wp14:editId="60FF6DA6">
            <wp:extent cx="2812212" cy="1589806"/>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3372" cy="1601768"/>
                    </a:xfrm>
                    <a:prstGeom prst="rect">
                      <a:avLst/>
                    </a:prstGeom>
                    <a:noFill/>
                  </pic:spPr>
                </pic:pic>
              </a:graphicData>
            </a:graphic>
          </wp:inline>
        </w:drawing>
      </w:r>
    </w:p>
    <w:p w:rsidR="00525D11" w:rsidRPr="00A46261" w:rsidRDefault="00525D11" w:rsidP="00525D11">
      <w:pPr>
        <w:spacing w:after="0" w:line="360" w:lineRule="auto"/>
        <w:jc w:val="both"/>
        <w:rPr>
          <w:rFonts w:ascii="Times New Roman" w:hAnsi="Times New Roman" w:cs="Times New Roman"/>
          <w:sz w:val="20"/>
          <w:szCs w:val="20"/>
        </w:rPr>
      </w:pPr>
      <w:r w:rsidRPr="00A46261">
        <w:rPr>
          <w:rFonts w:ascii="Times New Roman" w:hAnsi="Times New Roman" w:cs="Times New Roman"/>
          <w:sz w:val="20"/>
          <w:szCs w:val="20"/>
        </w:rPr>
        <w:t>Figura 2.</w:t>
      </w:r>
      <w:r>
        <w:rPr>
          <w:rFonts w:ascii="Times New Roman" w:hAnsi="Times New Roman" w:cs="Times New Roman"/>
          <w:sz w:val="20"/>
          <w:szCs w:val="20"/>
        </w:rPr>
        <w:t>2</w:t>
      </w:r>
      <w:r w:rsidRPr="00A46261">
        <w:rPr>
          <w:rFonts w:ascii="Times New Roman" w:hAnsi="Times New Roman" w:cs="Times New Roman"/>
          <w:sz w:val="20"/>
          <w:szCs w:val="20"/>
        </w:rPr>
        <w:t>. Asignación de las variables dependientes independientes en STATGRAPHICS</w:t>
      </w:r>
    </w:p>
    <w:p w:rsidR="00525D11" w:rsidRDefault="00525D11" w:rsidP="00525D11">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25D11" w:rsidRPr="00152CB1" w:rsidRDefault="00525D11" w:rsidP="00525D11">
      <w:pPr>
        <w:spacing w:after="0" w:line="360" w:lineRule="auto"/>
        <w:jc w:val="both"/>
        <w:rPr>
          <w:rFonts w:ascii="Times New Roman" w:hAnsi="Times New Roman" w:cs="Times New Roman"/>
          <w:b/>
          <w:sz w:val="24"/>
          <w:szCs w:val="24"/>
        </w:rPr>
      </w:pPr>
      <w:r w:rsidRPr="00152CB1">
        <w:rPr>
          <w:rFonts w:ascii="Times New Roman" w:hAnsi="Times New Roman" w:cs="Times New Roman"/>
          <w:b/>
          <w:sz w:val="24"/>
          <w:szCs w:val="24"/>
        </w:rPr>
        <w:t>Estudio de volúmenes de tránsito y composición vehicular</w:t>
      </w:r>
    </w:p>
    <w:p w:rsidR="00525D11" w:rsidRPr="00152CB1" w:rsidRDefault="00525D11" w:rsidP="00525D11">
      <w:pPr>
        <w:numPr>
          <w:ilvl w:val="0"/>
          <w:numId w:val="4"/>
        </w:numPr>
        <w:spacing w:after="0" w:line="360" w:lineRule="auto"/>
        <w:jc w:val="both"/>
        <w:rPr>
          <w:rFonts w:ascii="Times New Roman" w:hAnsi="Times New Roman" w:cs="Times New Roman"/>
          <w:bCs/>
          <w:sz w:val="24"/>
          <w:szCs w:val="24"/>
        </w:rPr>
      </w:pPr>
      <w:r w:rsidRPr="00152CB1">
        <w:rPr>
          <w:rFonts w:ascii="Times New Roman" w:hAnsi="Times New Roman" w:cs="Times New Roman"/>
          <w:sz w:val="24"/>
          <w:szCs w:val="24"/>
        </w:rPr>
        <w:t xml:space="preserve">La Hora de Máxima Demanda presenta variaciones para cada vía estudiada y por sentido de circulación. En todos los casos fluctúa entre las 7.00 am y las 9.00 am. De forma general la Hora de Máxima Demanda que predomina es entre las 7:30- 8:30am. </w:t>
      </w:r>
    </w:p>
    <w:p w:rsidR="00525D11" w:rsidRPr="00152CB1" w:rsidRDefault="00525D11" w:rsidP="00525D11">
      <w:pPr>
        <w:numPr>
          <w:ilvl w:val="0"/>
          <w:numId w:val="4"/>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 xml:space="preserve">El volumen horario de máxima demanda varía por sentido de circulación y para la vía en general. Las calles con mayor volumen son la Carretera Central tramo 1, 2 y 3, </w:t>
      </w:r>
      <w:r w:rsidR="00FE0E25">
        <w:rPr>
          <w:rFonts w:ascii="Times New Roman" w:hAnsi="Times New Roman" w:cs="Times New Roman"/>
          <w:bCs/>
          <w:sz w:val="24"/>
          <w:szCs w:val="24"/>
        </w:rPr>
        <w:t>Madame</w:t>
      </w:r>
      <w:r w:rsidRPr="00152CB1">
        <w:rPr>
          <w:rFonts w:ascii="Times New Roman" w:hAnsi="Times New Roman" w:cs="Times New Roman"/>
          <w:bCs/>
          <w:sz w:val="24"/>
          <w:szCs w:val="24"/>
        </w:rPr>
        <w:t xml:space="preserve"> Curie, con más de 1000 vehículos mixtos en una hora, debido a que por esas vías transita un elevado número de bicicletas. La calle con menor volumen, alrededor de 300 vehículos mixtos, es Calle 4ta el sentido de circulación de Hospital Militar- Puente; todas las demás sobrepasan los 400 vehículos mixtos.</w:t>
      </w:r>
    </w:p>
    <w:p w:rsidR="00525D11" w:rsidRDefault="00525D11" w:rsidP="00525D11">
      <w:pPr>
        <w:numPr>
          <w:ilvl w:val="0"/>
          <w:numId w:val="4"/>
        </w:numPr>
        <w:spacing w:after="0" w:line="360" w:lineRule="auto"/>
        <w:jc w:val="both"/>
        <w:rPr>
          <w:rFonts w:ascii="Times New Roman" w:hAnsi="Times New Roman" w:cs="Times New Roman"/>
          <w:bCs/>
          <w:sz w:val="24"/>
          <w:szCs w:val="24"/>
        </w:rPr>
      </w:pPr>
      <w:r w:rsidRPr="00152CB1">
        <w:rPr>
          <w:rFonts w:ascii="Times New Roman" w:hAnsi="Times New Roman" w:cs="Times New Roman"/>
          <w:sz w:val="24"/>
          <w:szCs w:val="24"/>
        </w:rPr>
        <w:t xml:space="preserve">Del análisis del comportamiento del Factor Horario de Máxima Demanda se aprecia que se comporta entre 0,80 y 0,96 lo que evidencia que </w:t>
      </w:r>
      <w:r w:rsidRPr="00152CB1">
        <w:rPr>
          <w:rFonts w:ascii="Times New Roman" w:hAnsi="Times New Roman" w:cs="Times New Roman"/>
          <w:bCs/>
          <w:sz w:val="24"/>
          <w:szCs w:val="24"/>
        </w:rPr>
        <w:t>existe una distribución próxima a ser uniforme con pequeños flujos máximos en períodos cortos dentro de la hora.</w:t>
      </w:r>
    </w:p>
    <w:p w:rsidR="00525D11" w:rsidRPr="00152CB1" w:rsidRDefault="00525D11" w:rsidP="00525D11">
      <w:pPr>
        <w:pStyle w:val="Prrafodelista"/>
        <w:numPr>
          <w:ilvl w:val="0"/>
          <w:numId w:val="4"/>
        </w:numPr>
        <w:spacing w:after="0" w:line="360" w:lineRule="auto"/>
        <w:jc w:val="both"/>
        <w:rPr>
          <w:rFonts w:ascii="Times New Roman" w:hAnsi="Times New Roman" w:cs="Times New Roman"/>
          <w:sz w:val="24"/>
          <w:szCs w:val="24"/>
        </w:rPr>
      </w:pPr>
      <w:r w:rsidRPr="00152CB1">
        <w:rPr>
          <w:rFonts w:ascii="Times New Roman" w:hAnsi="Times New Roman" w:cs="Times New Roman"/>
          <w:bCs/>
          <w:sz w:val="24"/>
          <w:szCs w:val="24"/>
        </w:rPr>
        <w:t>La intensidad horaria es variable con valores que oscilan de 396 a 2220 vehículos mixtos/hora.</w:t>
      </w:r>
    </w:p>
    <w:p w:rsidR="00525D11" w:rsidRPr="00152CB1" w:rsidRDefault="00525D11" w:rsidP="00525D11">
      <w:pPr>
        <w:numPr>
          <w:ilvl w:val="0"/>
          <w:numId w:val="4"/>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El orden en que priman los volúmenes por tipo de vehículos, por sentido de circulación son:</w:t>
      </w:r>
    </w:p>
    <w:p w:rsidR="00525D11" w:rsidRPr="00152CB1" w:rsidRDefault="00525D11" w:rsidP="00525D11">
      <w:pPr>
        <w:pStyle w:val="Prrafodelista"/>
        <w:numPr>
          <w:ilvl w:val="0"/>
          <w:numId w:val="5"/>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Ciclos (26-60%)</w:t>
      </w:r>
    </w:p>
    <w:p w:rsidR="00525D11" w:rsidRPr="00152CB1" w:rsidRDefault="00525D11" w:rsidP="00525D11">
      <w:pPr>
        <w:pStyle w:val="Prrafodelista"/>
        <w:numPr>
          <w:ilvl w:val="0"/>
          <w:numId w:val="5"/>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Autos (12-26%)</w:t>
      </w:r>
    </w:p>
    <w:p w:rsidR="00525D11" w:rsidRPr="00152CB1" w:rsidRDefault="00525D11" w:rsidP="00525D11">
      <w:pPr>
        <w:pStyle w:val="Prrafodelista"/>
        <w:numPr>
          <w:ilvl w:val="0"/>
          <w:numId w:val="5"/>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lastRenderedPageBreak/>
        <w:t>Motos (10-25%)</w:t>
      </w:r>
    </w:p>
    <w:p w:rsidR="00525D11" w:rsidRPr="00152CB1" w:rsidRDefault="00525D11" w:rsidP="00525D11">
      <w:pPr>
        <w:pStyle w:val="Prrafodelista"/>
        <w:numPr>
          <w:ilvl w:val="0"/>
          <w:numId w:val="5"/>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Camiones (3-10%)</w:t>
      </w:r>
    </w:p>
    <w:p w:rsidR="00525D11" w:rsidRPr="00152CB1" w:rsidRDefault="00525D11" w:rsidP="00525D11">
      <w:pPr>
        <w:pStyle w:val="Prrafodelista"/>
        <w:numPr>
          <w:ilvl w:val="0"/>
          <w:numId w:val="5"/>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Coches (2-15%)</w:t>
      </w:r>
    </w:p>
    <w:p w:rsidR="00525D11" w:rsidRPr="00152CB1" w:rsidRDefault="00525D11" w:rsidP="00525D11">
      <w:pPr>
        <w:pStyle w:val="Prrafodelista"/>
        <w:numPr>
          <w:ilvl w:val="0"/>
          <w:numId w:val="5"/>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Ómnibus (1-5%)</w:t>
      </w:r>
    </w:p>
    <w:p w:rsidR="00525D11" w:rsidRPr="00152CB1" w:rsidRDefault="00525D11" w:rsidP="00525D11">
      <w:pPr>
        <w:numPr>
          <w:ilvl w:val="0"/>
          <w:numId w:val="4"/>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Los puntos de control correspondientes a los tramos de la carretera central son los de mayor porciento de camiones y ómnibus por encontrarse en calles pertenecientes a rutas de transporte local de pasajeros.</w:t>
      </w:r>
    </w:p>
    <w:p w:rsidR="00525D11" w:rsidRPr="00152CB1" w:rsidRDefault="00525D11" w:rsidP="00525D11">
      <w:pPr>
        <w:numPr>
          <w:ilvl w:val="0"/>
          <w:numId w:val="4"/>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Los puntos con un porciento de ciclos sobre el 50%, son las vías Cisneros, López Recio y Carretera central desde Desengaño a Martí y</w:t>
      </w:r>
      <w:r w:rsidRPr="00FE0E25">
        <w:rPr>
          <w:rFonts w:ascii="Times New Roman" w:hAnsi="Times New Roman" w:cs="Times New Roman"/>
          <w:bCs/>
          <w:sz w:val="24"/>
          <w:szCs w:val="24"/>
        </w:rPr>
        <w:t xml:space="preserve"> </w:t>
      </w:r>
      <w:r w:rsidR="00FE0E25" w:rsidRPr="00FE0E25">
        <w:rPr>
          <w:rFonts w:ascii="Times New Roman" w:hAnsi="Times New Roman" w:cs="Times New Roman"/>
          <w:bCs/>
          <w:sz w:val="24"/>
          <w:szCs w:val="24"/>
        </w:rPr>
        <w:t>Madame</w:t>
      </w:r>
      <w:r w:rsidRPr="00FE0E25">
        <w:rPr>
          <w:rFonts w:ascii="Times New Roman" w:hAnsi="Times New Roman" w:cs="Times New Roman"/>
          <w:bCs/>
          <w:sz w:val="24"/>
          <w:szCs w:val="24"/>
        </w:rPr>
        <w:t xml:space="preserve"> </w:t>
      </w:r>
      <w:r w:rsidRPr="00152CB1">
        <w:rPr>
          <w:rFonts w:ascii="Times New Roman" w:hAnsi="Times New Roman" w:cs="Times New Roman"/>
          <w:bCs/>
          <w:sz w:val="24"/>
          <w:szCs w:val="24"/>
        </w:rPr>
        <w:t>Curie, las vías de menos porcientos son Calle 4ta, Avenida. Saratoga, San Martín, Carretera Central tramo 1 y 3.</w:t>
      </w:r>
    </w:p>
    <w:p w:rsidR="00525D11" w:rsidRPr="00152CB1" w:rsidRDefault="00525D11" w:rsidP="00525D11">
      <w:pPr>
        <w:numPr>
          <w:ilvl w:val="0"/>
          <w:numId w:val="4"/>
        </w:numPr>
        <w:spacing w:after="0" w:line="360" w:lineRule="auto"/>
        <w:jc w:val="both"/>
        <w:rPr>
          <w:rFonts w:ascii="Times New Roman" w:hAnsi="Times New Roman" w:cs="Times New Roman"/>
          <w:b/>
          <w:bCs/>
          <w:sz w:val="24"/>
          <w:szCs w:val="24"/>
        </w:rPr>
      </w:pPr>
      <w:r w:rsidRPr="00152CB1">
        <w:rPr>
          <w:rFonts w:ascii="Times New Roman" w:hAnsi="Times New Roman" w:cs="Times New Roman"/>
          <w:bCs/>
          <w:sz w:val="24"/>
          <w:szCs w:val="24"/>
        </w:rPr>
        <w:t xml:space="preserve">Los vehículos de tracción animal tienen mayor </w:t>
      </w:r>
      <w:proofErr w:type="spellStart"/>
      <w:r w:rsidRPr="00152CB1">
        <w:rPr>
          <w:rFonts w:ascii="Times New Roman" w:hAnsi="Times New Roman" w:cs="Times New Roman"/>
          <w:bCs/>
          <w:sz w:val="24"/>
          <w:szCs w:val="24"/>
        </w:rPr>
        <w:t>porciento</w:t>
      </w:r>
      <w:proofErr w:type="spellEnd"/>
      <w:r w:rsidRPr="00152CB1">
        <w:rPr>
          <w:rFonts w:ascii="Times New Roman" w:hAnsi="Times New Roman" w:cs="Times New Roman"/>
          <w:bCs/>
          <w:sz w:val="24"/>
          <w:szCs w:val="24"/>
        </w:rPr>
        <w:t xml:space="preserve"> en las vías de Calle 4ta, </w:t>
      </w:r>
      <w:r w:rsidR="00FE0E25">
        <w:rPr>
          <w:rFonts w:ascii="Times New Roman" w:hAnsi="Times New Roman" w:cs="Times New Roman"/>
          <w:bCs/>
          <w:sz w:val="24"/>
          <w:szCs w:val="24"/>
        </w:rPr>
        <w:t>Madame</w:t>
      </w:r>
      <w:r w:rsidRPr="00152CB1">
        <w:rPr>
          <w:rFonts w:ascii="Times New Roman" w:hAnsi="Times New Roman" w:cs="Times New Roman"/>
          <w:bCs/>
          <w:sz w:val="24"/>
          <w:szCs w:val="24"/>
        </w:rPr>
        <w:t xml:space="preserve"> Curie y todos los tramos de la carretera central analizados. </w:t>
      </w:r>
    </w:p>
    <w:p w:rsidR="00525D11" w:rsidRPr="00152CB1" w:rsidRDefault="00525D11" w:rsidP="00525D11">
      <w:pPr>
        <w:numPr>
          <w:ilvl w:val="0"/>
          <w:numId w:val="4"/>
        </w:numPr>
        <w:spacing w:after="0" w:line="360" w:lineRule="auto"/>
        <w:jc w:val="both"/>
        <w:rPr>
          <w:rFonts w:ascii="Times New Roman" w:hAnsi="Times New Roman" w:cs="Times New Roman"/>
          <w:bCs/>
          <w:sz w:val="24"/>
          <w:szCs w:val="24"/>
        </w:rPr>
      </w:pPr>
      <w:r w:rsidRPr="00152CB1">
        <w:rPr>
          <w:rFonts w:ascii="Times New Roman" w:hAnsi="Times New Roman" w:cs="Times New Roman"/>
          <w:bCs/>
          <w:sz w:val="24"/>
          <w:szCs w:val="24"/>
        </w:rPr>
        <w:t xml:space="preserve">Los porcientos de autos varían del 15% al 23%, estando presente en todas las calles analizadas </w:t>
      </w:r>
    </w:p>
    <w:p w:rsidR="00525D11" w:rsidRDefault="00525D11" w:rsidP="00525D11">
      <w:pPr>
        <w:spacing w:after="0" w:line="360" w:lineRule="auto"/>
        <w:jc w:val="both"/>
        <w:rPr>
          <w:rFonts w:ascii="Times New Roman" w:hAnsi="Times New Roman" w:cs="Times New Roman"/>
          <w:b/>
          <w:bCs/>
          <w:sz w:val="24"/>
          <w:szCs w:val="24"/>
        </w:rPr>
      </w:pPr>
      <w:r w:rsidRPr="00152CB1">
        <w:rPr>
          <w:rFonts w:ascii="Times New Roman" w:hAnsi="Times New Roman" w:cs="Times New Roman"/>
          <w:b/>
          <w:bCs/>
          <w:sz w:val="24"/>
          <w:szCs w:val="24"/>
        </w:rPr>
        <w:t>Estudios para determinar el flujo de vehículos ligeros y el flujo de bicicletas en las vías urbanas de la ciudad de Camagüey.</w:t>
      </w:r>
    </w:p>
    <w:p w:rsidR="00525D11" w:rsidRDefault="00525D11" w:rsidP="00525D1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aforos del estudio se tabularon en hojas de cálculo Excel para cada vía obteniéndose los intervalos de cada vehículo </w:t>
      </w:r>
      <w:r w:rsidRPr="00D24D50">
        <w:rPr>
          <w:rFonts w:ascii="Times New Roman" w:hAnsi="Times New Roman" w:cs="Times New Roman"/>
          <w:bCs/>
          <w:sz w:val="24"/>
          <w:szCs w:val="24"/>
        </w:rPr>
        <w:t xml:space="preserve">en hora y con estos y la cantidad de bicicletas y vehículos ligeros se determina el flujo de cada uno respectivamente, </w:t>
      </w:r>
      <w:r>
        <w:rPr>
          <w:rFonts w:ascii="Times New Roman" w:hAnsi="Times New Roman" w:cs="Times New Roman"/>
          <w:bCs/>
          <w:sz w:val="24"/>
          <w:szCs w:val="24"/>
        </w:rPr>
        <w:t xml:space="preserve">en la tabla 3.1 se muestra los datos de la calle López Recio. </w:t>
      </w:r>
    </w:p>
    <w:p w:rsidR="00525D11" w:rsidRPr="00172BC4" w:rsidRDefault="00525D11" w:rsidP="00525D11">
      <w:pPr>
        <w:spacing w:after="0" w:line="360" w:lineRule="auto"/>
        <w:jc w:val="both"/>
        <w:rPr>
          <w:rFonts w:ascii="Times New Roman" w:hAnsi="Times New Roman" w:cs="Times New Roman"/>
          <w:bCs/>
          <w:sz w:val="20"/>
          <w:szCs w:val="20"/>
        </w:rPr>
      </w:pPr>
      <w:r w:rsidRPr="00172BC4">
        <w:rPr>
          <w:rFonts w:ascii="Times New Roman" w:hAnsi="Times New Roman" w:cs="Times New Roman"/>
          <w:bCs/>
          <w:sz w:val="20"/>
          <w:szCs w:val="20"/>
        </w:rPr>
        <w:t>Tabla 3.1. Datos del estudio de velocidad de la calle López Recio.</w:t>
      </w:r>
    </w:p>
    <w:p w:rsidR="00525D11" w:rsidRPr="00152CB1" w:rsidRDefault="00525D11" w:rsidP="00525D11">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lang w:eastAsia="es-ES"/>
        </w:rPr>
        <w:drawing>
          <wp:inline distT="0" distB="0" distL="0" distR="0" wp14:anchorId="421E7011" wp14:editId="24BE1232">
            <wp:extent cx="2445026" cy="2494457"/>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1406" cy="2541775"/>
                    </a:xfrm>
                    <a:prstGeom prst="rect">
                      <a:avLst/>
                    </a:prstGeom>
                    <a:noFill/>
                  </pic:spPr>
                </pic:pic>
              </a:graphicData>
            </a:graphic>
          </wp:inline>
        </w:drawing>
      </w:r>
      <w:bookmarkStart w:id="0" w:name="_GoBack"/>
      <w:bookmarkEnd w:id="0"/>
    </w:p>
    <w:p w:rsidR="00525D11" w:rsidRPr="00D24D50" w:rsidRDefault="00525D11" w:rsidP="00525D11">
      <w:pPr>
        <w:spacing w:after="0" w:line="360" w:lineRule="auto"/>
        <w:jc w:val="both"/>
        <w:rPr>
          <w:rFonts w:ascii="Times New Roman" w:hAnsi="Times New Roman" w:cs="Times New Roman"/>
          <w:sz w:val="24"/>
          <w:szCs w:val="24"/>
        </w:rPr>
      </w:pPr>
      <w:r w:rsidRPr="00D24D50">
        <w:rPr>
          <w:rFonts w:ascii="Times New Roman" w:hAnsi="Times New Roman" w:cs="Times New Roman"/>
          <w:sz w:val="24"/>
          <w:szCs w:val="24"/>
        </w:rPr>
        <w:lastRenderedPageBreak/>
        <w:t>Con los resultados de los flujos de bicicletas y de vehículos ligeros,  se procesan mediante el software STATGRAPHICS para la obtención del coeficiente de equivalencia  de bicicletas a autos no convencionales y la validación del mismo.</w:t>
      </w:r>
    </w:p>
    <w:p w:rsidR="00525D11" w:rsidRDefault="00525D11" w:rsidP="00525D11">
      <w:pPr>
        <w:spacing w:after="0" w:line="360" w:lineRule="auto"/>
        <w:jc w:val="both"/>
        <w:rPr>
          <w:rFonts w:ascii="Times New Roman" w:hAnsi="Times New Roman" w:cs="Times New Roman"/>
          <w:b/>
          <w:sz w:val="24"/>
          <w:szCs w:val="24"/>
        </w:rPr>
      </w:pPr>
      <w:r w:rsidRPr="00D24D50">
        <w:rPr>
          <w:rFonts w:ascii="Times New Roman" w:hAnsi="Times New Roman" w:cs="Times New Roman"/>
          <w:b/>
          <w:sz w:val="24"/>
          <w:szCs w:val="24"/>
        </w:rPr>
        <w:t>Validación del coeficiente de equivalencia de vehículos no convencionales a autos (PCE)</w:t>
      </w:r>
      <w:r>
        <w:rPr>
          <w:rFonts w:ascii="Times New Roman" w:hAnsi="Times New Roman" w:cs="Times New Roman"/>
          <w:b/>
          <w:sz w:val="24"/>
          <w:szCs w:val="24"/>
        </w:rPr>
        <w:t xml:space="preserve"> obtenido en las condiciones de la ciudad de Camagüey.</w:t>
      </w:r>
    </w:p>
    <w:p w:rsidR="00525D11" w:rsidRDefault="00525D11" w:rsidP="00525D11">
      <w:p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Para la determinación del factor de equivalencia a vehículos no convencionales se utiliza el software STATGRAPHICS. De esta forma se obtienen las ecuaciones y coeficientes por sentido de circulación y en la vía general de cada una de las muestras estudiadas. (Ver figura 3.</w:t>
      </w:r>
      <w:r>
        <w:rPr>
          <w:rFonts w:ascii="Times New Roman" w:hAnsi="Times New Roman" w:cs="Times New Roman"/>
          <w:sz w:val="24"/>
          <w:szCs w:val="24"/>
        </w:rPr>
        <w:t>1</w:t>
      </w:r>
      <w:r w:rsidRPr="00BB3842">
        <w:rPr>
          <w:rFonts w:ascii="Times New Roman" w:hAnsi="Times New Roman" w:cs="Times New Roman"/>
          <w:sz w:val="24"/>
          <w:szCs w:val="24"/>
        </w:rPr>
        <w:t>)</w:t>
      </w:r>
    </w:p>
    <w:p w:rsidR="00525D11" w:rsidRPr="00BB3842" w:rsidRDefault="00525D11" w:rsidP="00525D1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ACCCFB9" wp14:editId="0E49B198">
            <wp:extent cx="3742660" cy="1976904"/>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51553" cy="1981602"/>
                    </a:xfrm>
                    <a:prstGeom prst="rect">
                      <a:avLst/>
                    </a:prstGeom>
                    <a:noFill/>
                  </pic:spPr>
                </pic:pic>
              </a:graphicData>
            </a:graphic>
          </wp:inline>
        </w:drawing>
      </w:r>
    </w:p>
    <w:p w:rsidR="00525D11" w:rsidRPr="00BB3842" w:rsidRDefault="00525D11" w:rsidP="00525D11">
      <w:pPr>
        <w:spacing w:after="0" w:line="360" w:lineRule="auto"/>
        <w:jc w:val="both"/>
        <w:rPr>
          <w:rFonts w:ascii="Times New Roman" w:hAnsi="Times New Roman" w:cs="Times New Roman"/>
          <w:sz w:val="20"/>
          <w:szCs w:val="20"/>
        </w:rPr>
      </w:pPr>
      <w:r w:rsidRPr="00BB3842">
        <w:rPr>
          <w:rFonts w:ascii="Times New Roman" w:hAnsi="Times New Roman" w:cs="Times New Roman"/>
          <w:sz w:val="20"/>
          <w:szCs w:val="20"/>
        </w:rPr>
        <w:t>Figura 3.1. Resultados del STATGRAPHICS para la calle López Recio.</w:t>
      </w:r>
    </w:p>
    <w:p w:rsidR="00525D11" w:rsidRDefault="00525D11" w:rsidP="00525D11">
      <w:pPr>
        <w:spacing w:after="0" w:line="360" w:lineRule="auto"/>
        <w:jc w:val="both"/>
        <w:rPr>
          <w:rFonts w:ascii="Times New Roman" w:hAnsi="Times New Roman" w:cs="Times New Roman"/>
          <w:b/>
          <w:bCs/>
          <w:sz w:val="24"/>
          <w:szCs w:val="24"/>
        </w:rPr>
      </w:pPr>
      <w:r w:rsidRPr="00BB3842">
        <w:rPr>
          <w:rFonts w:ascii="Times New Roman" w:hAnsi="Times New Roman" w:cs="Times New Roman"/>
          <w:b/>
          <w:bCs/>
          <w:sz w:val="24"/>
          <w:szCs w:val="24"/>
        </w:rPr>
        <w:t>Resultados del estudio estadístico de la vía López Recio</w:t>
      </w:r>
      <w:r w:rsidRPr="00BB3842">
        <w:rPr>
          <w:rFonts w:ascii="Times New Roman" w:hAnsi="Times New Roman" w:cs="Times New Roman"/>
          <w:b/>
          <w:bCs/>
          <w:sz w:val="24"/>
          <w:szCs w:val="24"/>
        </w:rPr>
        <w:tab/>
      </w:r>
    </w:p>
    <w:p w:rsidR="00525D11" w:rsidRDefault="00525D11" w:rsidP="00525D11">
      <w:pPr>
        <w:spacing w:after="0" w:line="360" w:lineRule="auto"/>
        <w:jc w:val="both"/>
        <w:rPr>
          <w:rFonts w:ascii="Times New Roman" w:hAnsi="Times New Roman" w:cs="Times New Roman"/>
          <w:bCs/>
          <w:sz w:val="24"/>
          <w:szCs w:val="24"/>
        </w:rPr>
      </w:pPr>
      <w:r w:rsidRPr="00BB3842">
        <w:rPr>
          <w:rFonts w:ascii="Times New Roman" w:hAnsi="Times New Roman" w:cs="Times New Roman"/>
          <w:bCs/>
          <w:sz w:val="24"/>
          <w:szCs w:val="24"/>
        </w:rPr>
        <w:t>Para analizar los resultados de los estudios se muestra a manera de ejemplo la ecuación de regresión y los parámetros estadísticos en la calle López Recio, Ver figura 3.</w:t>
      </w:r>
      <w:r>
        <w:rPr>
          <w:rFonts w:ascii="Times New Roman" w:hAnsi="Times New Roman" w:cs="Times New Roman"/>
          <w:bCs/>
          <w:sz w:val="24"/>
          <w:szCs w:val="24"/>
        </w:rPr>
        <w:t>2</w:t>
      </w:r>
    </w:p>
    <w:p w:rsidR="00525D11" w:rsidRDefault="00525D11" w:rsidP="00525D11">
      <w:pPr>
        <w:spacing w:after="0" w:line="360" w:lineRule="auto"/>
        <w:jc w:val="center"/>
        <w:rPr>
          <w:rFonts w:ascii="Times New Roman" w:hAnsi="Times New Roman" w:cs="Times New Roman"/>
          <w:bCs/>
          <w:sz w:val="24"/>
          <w:szCs w:val="24"/>
        </w:rPr>
      </w:pPr>
      <w:r>
        <w:rPr>
          <w:rFonts w:ascii="Times New Roman" w:hAnsi="Times New Roman" w:cs="Times New Roman"/>
          <w:noProof/>
          <w:sz w:val="24"/>
          <w:szCs w:val="24"/>
          <w:lang w:eastAsia="es-ES"/>
        </w:rPr>
        <w:drawing>
          <wp:inline distT="0" distB="0" distL="0" distR="0" wp14:anchorId="3C2ECF56" wp14:editId="6AD4FC24">
            <wp:extent cx="3873260" cy="1972552"/>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8002" cy="1995338"/>
                    </a:xfrm>
                    <a:prstGeom prst="rect">
                      <a:avLst/>
                    </a:prstGeom>
                    <a:noFill/>
                  </pic:spPr>
                </pic:pic>
              </a:graphicData>
            </a:graphic>
          </wp:inline>
        </w:drawing>
      </w:r>
    </w:p>
    <w:p w:rsidR="00525D11" w:rsidRPr="00822A33" w:rsidRDefault="00525D11" w:rsidP="00525D11">
      <w:pPr>
        <w:spacing w:after="0" w:line="360" w:lineRule="auto"/>
        <w:jc w:val="both"/>
        <w:rPr>
          <w:rFonts w:ascii="Times New Roman" w:hAnsi="Times New Roman" w:cs="Times New Roman"/>
          <w:sz w:val="20"/>
          <w:szCs w:val="20"/>
        </w:rPr>
      </w:pPr>
      <w:r w:rsidRPr="00BB3842">
        <w:rPr>
          <w:rFonts w:ascii="Times New Roman" w:hAnsi="Times New Roman" w:cs="Times New Roman"/>
          <w:sz w:val="20"/>
          <w:szCs w:val="20"/>
        </w:rPr>
        <w:t>Figura 3.</w:t>
      </w:r>
      <w:r>
        <w:rPr>
          <w:rFonts w:ascii="Times New Roman" w:hAnsi="Times New Roman" w:cs="Times New Roman"/>
          <w:sz w:val="20"/>
          <w:szCs w:val="20"/>
        </w:rPr>
        <w:t>2</w:t>
      </w:r>
      <w:r w:rsidRPr="00BB3842">
        <w:rPr>
          <w:rFonts w:ascii="Times New Roman" w:hAnsi="Times New Roman" w:cs="Times New Roman"/>
          <w:sz w:val="20"/>
          <w:szCs w:val="20"/>
        </w:rPr>
        <w:t>. Gráfico del modelo ajustado.</w:t>
      </w:r>
    </w:p>
    <w:p w:rsidR="00525D11" w:rsidRPr="00BB3842" w:rsidRDefault="00525D11" w:rsidP="00525D11">
      <w:pPr>
        <w:numPr>
          <w:ilvl w:val="0"/>
          <w:numId w:val="6"/>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El modelo lineal ajustado para describir la relación entre flujo de vehículos ligeros y flujo de bicicletas. el que se muestra en la ecuación 3.</w:t>
      </w:r>
      <w:r>
        <w:rPr>
          <w:rFonts w:ascii="Times New Roman" w:hAnsi="Times New Roman" w:cs="Times New Roman"/>
          <w:sz w:val="24"/>
          <w:szCs w:val="24"/>
        </w:rPr>
        <w:t>1</w:t>
      </w:r>
      <w:r w:rsidRPr="00BB3842">
        <w:rPr>
          <w:rFonts w:ascii="Times New Roman" w:hAnsi="Times New Roman" w:cs="Times New Roman"/>
          <w:sz w:val="24"/>
          <w:szCs w:val="24"/>
        </w:rPr>
        <w:t>:</w:t>
      </w:r>
    </w:p>
    <w:p w:rsidR="00525D11" w:rsidRPr="00BB3842" w:rsidRDefault="00525D11" w:rsidP="00525D11">
      <w:p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lastRenderedPageBreak/>
        <w:t xml:space="preserve">Y = 140.077 + 0.321047*X      </w:t>
      </w:r>
      <w:r w:rsidRPr="00BB384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B3842">
        <w:rPr>
          <w:rFonts w:ascii="Times New Roman" w:hAnsi="Times New Roman" w:cs="Times New Roman"/>
          <w:sz w:val="24"/>
          <w:szCs w:val="24"/>
        </w:rPr>
        <w:t>(3.</w:t>
      </w:r>
      <w:r>
        <w:rPr>
          <w:rFonts w:ascii="Times New Roman" w:hAnsi="Times New Roman" w:cs="Times New Roman"/>
          <w:sz w:val="24"/>
          <w:szCs w:val="24"/>
        </w:rPr>
        <w:t>1</w:t>
      </w:r>
      <w:r w:rsidRPr="00BB3842">
        <w:rPr>
          <w:rFonts w:ascii="Times New Roman" w:hAnsi="Times New Roman" w:cs="Times New Roman"/>
          <w:sz w:val="24"/>
          <w:szCs w:val="24"/>
        </w:rPr>
        <w:t>)</w:t>
      </w:r>
    </w:p>
    <w:p w:rsidR="00525D11" w:rsidRPr="00BB3842" w:rsidRDefault="00525D11" w:rsidP="00525D11">
      <w:p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Dónde:</w:t>
      </w:r>
    </w:p>
    <w:p w:rsidR="00525D11" w:rsidRPr="00BB3842" w:rsidRDefault="00525D11" w:rsidP="00525D11">
      <w:pPr>
        <w:numPr>
          <w:ilvl w:val="0"/>
          <w:numId w:val="7"/>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 xml:space="preserve">Variable dependiente: </w:t>
      </w:r>
      <w:r w:rsidRPr="00BB3842">
        <w:rPr>
          <w:rFonts w:ascii="Times New Roman" w:hAnsi="Times New Roman" w:cs="Times New Roman"/>
          <w:bCs/>
          <w:sz w:val="24"/>
          <w:szCs w:val="24"/>
        </w:rPr>
        <w:t>flujo de vehículos. ligeros (Y)</w:t>
      </w:r>
    </w:p>
    <w:p w:rsidR="00525D11" w:rsidRPr="00BB3842" w:rsidRDefault="00525D11" w:rsidP="00525D11">
      <w:pPr>
        <w:numPr>
          <w:ilvl w:val="0"/>
          <w:numId w:val="7"/>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 xml:space="preserve">Variable independiente: </w:t>
      </w:r>
      <w:r w:rsidRPr="00BB3842">
        <w:rPr>
          <w:rFonts w:ascii="Times New Roman" w:hAnsi="Times New Roman" w:cs="Times New Roman"/>
          <w:bCs/>
          <w:sz w:val="24"/>
          <w:szCs w:val="24"/>
        </w:rPr>
        <w:t>flujo de bicicletas (X)</w:t>
      </w:r>
    </w:p>
    <w:p w:rsidR="00525D11" w:rsidRPr="00BB3842" w:rsidRDefault="00525D11" w:rsidP="00525D11">
      <w:pPr>
        <w:numPr>
          <w:ilvl w:val="0"/>
          <w:numId w:val="6"/>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El estadístico R-Cuadrada indica que el modelo ajustado explica 41,7133% de la variabilidad en flujo de vehículos ligeros.</w:t>
      </w:r>
    </w:p>
    <w:p w:rsidR="00525D11" w:rsidRPr="00BB3842" w:rsidRDefault="00525D11" w:rsidP="00525D11">
      <w:pPr>
        <w:numPr>
          <w:ilvl w:val="0"/>
          <w:numId w:val="6"/>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 xml:space="preserve">El coeficiente de correlación es igual a 0,645858, indicando una relación moderadamente fuerte entre las variables. </w:t>
      </w:r>
    </w:p>
    <w:p w:rsidR="00525D11" w:rsidRPr="00BB3842" w:rsidRDefault="00525D11" w:rsidP="00525D11">
      <w:pPr>
        <w:numPr>
          <w:ilvl w:val="0"/>
          <w:numId w:val="6"/>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 xml:space="preserve"> El error estándar del estimado indica que la desviación estándar de los residuos es 99,338.  Este valor puede usarse para construir límites de predicción para nuevas observaciones.</w:t>
      </w:r>
    </w:p>
    <w:p w:rsidR="00525D11" w:rsidRPr="00BB3842" w:rsidRDefault="00525D11" w:rsidP="00525D11">
      <w:pPr>
        <w:pStyle w:val="Prrafodelista"/>
        <w:numPr>
          <w:ilvl w:val="0"/>
          <w:numId w:val="6"/>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El error absoluto medio (MAE) de 70,5397 es el valor promedio de los residuos.</w:t>
      </w:r>
    </w:p>
    <w:p w:rsidR="00525D11" w:rsidRPr="00BB3842" w:rsidRDefault="00525D11" w:rsidP="00525D11">
      <w:pPr>
        <w:numPr>
          <w:ilvl w:val="0"/>
          <w:numId w:val="6"/>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 xml:space="preserve">El estadístico de </w:t>
      </w:r>
      <w:proofErr w:type="spellStart"/>
      <w:r w:rsidRPr="00BB3842">
        <w:rPr>
          <w:rFonts w:ascii="Times New Roman" w:hAnsi="Times New Roman" w:cs="Times New Roman"/>
          <w:sz w:val="24"/>
          <w:szCs w:val="24"/>
        </w:rPr>
        <w:t>Durbin</w:t>
      </w:r>
      <w:proofErr w:type="spellEnd"/>
      <w:r w:rsidRPr="00BB3842">
        <w:rPr>
          <w:rFonts w:ascii="Times New Roman" w:hAnsi="Times New Roman" w:cs="Times New Roman"/>
          <w:sz w:val="24"/>
          <w:szCs w:val="24"/>
        </w:rPr>
        <w:t xml:space="preserve">-Watson (DW) examina los residuos para determinar si hay alguna correlación significativa basada en el orden en el que se presentan en el archivo de datos.  </w:t>
      </w:r>
    </w:p>
    <w:p w:rsidR="00525D11" w:rsidRPr="00BB3842" w:rsidRDefault="00525D11" w:rsidP="00525D11">
      <w:pPr>
        <w:pStyle w:val="Prrafodelista"/>
        <w:numPr>
          <w:ilvl w:val="0"/>
          <w:numId w:val="6"/>
        </w:numPr>
        <w:spacing w:after="0" w:line="360" w:lineRule="auto"/>
        <w:jc w:val="both"/>
        <w:rPr>
          <w:rFonts w:ascii="Times New Roman" w:hAnsi="Times New Roman" w:cs="Times New Roman"/>
          <w:sz w:val="24"/>
          <w:szCs w:val="24"/>
        </w:rPr>
      </w:pPr>
      <w:r w:rsidRPr="00BB3842">
        <w:rPr>
          <w:rFonts w:ascii="Times New Roman" w:hAnsi="Times New Roman" w:cs="Times New Roman"/>
          <w:sz w:val="24"/>
          <w:szCs w:val="24"/>
        </w:rPr>
        <w:t>Puesto que el valor-P es mayor que 0,05, no hay indicación de una autocorrelación serial en los residuos con un nivel de confianza del 95%.</w:t>
      </w:r>
    </w:p>
    <w:p w:rsidR="00525D11" w:rsidRDefault="00525D11" w:rsidP="00525D11">
      <w:pPr>
        <w:spacing w:after="0" w:line="360" w:lineRule="auto"/>
        <w:jc w:val="both"/>
        <w:rPr>
          <w:rFonts w:ascii="Times New Roman" w:hAnsi="Times New Roman" w:cs="Times New Roman"/>
          <w:sz w:val="24"/>
          <w:szCs w:val="24"/>
        </w:rPr>
      </w:pPr>
      <w:r w:rsidRPr="001B7E39">
        <w:rPr>
          <w:rFonts w:ascii="Times New Roman" w:hAnsi="Times New Roman" w:cs="Times New Roman"/>
          <w:sz w:val="24"/>
          <w:szCs w:val="24"/>
        </w:rPr>
        <w:t>En la tabla 3.</w:t>
      </w:r>
      <w:r>
        <w:rPr>
          <w:rFonts w:ascii="Times New Roman" w:hAnsi="Times New Roman" w:cs="Times New Roman"/>
          <w:sz w:val="24"/>
          <w:szCs w:val="24"/>
        </w:rPr>
        <w:t>2</w:t>
      </w:r>
      <w:r w:rsidRPr="001B7E39">
        <w:rPr>
          <w:rFonts w:ascii="Times New Roman" w:hAnsi="Times New Roman" w:cs="Times New Roman"/>
          <w:sz w:val="24"/>
          <w:szCs w:val="24"/>
        </w:rPr>
        <w:t xml:space="preserve"> se muestra un resumen de las ecuaciones de regresión ajustadas para las diferentes vías estudiadas por sentido de circulación y en la vía general, además se encuentran los valores del coeficiente de equivalencia de las bicicletas (PCE)</w:t>
      </w:r>
      <w:r>
        <w:rPr>
          <w:rFonts w:ascii="Times New Roman" w:hAnsi="Times New Roman" w:cs="Times New Roman"/>
          <w:sz w:val="24"/>
          <w:szCs w:val="24"/>
        </w:rPr>
        <w:t>.</w:t>
      </w:r>
    </w:p>
    <w:p w:rsidR="00525D11" w:rsidRPr="00E7302A" w:rsidRDefault="00525D11" w:rsidP="00525D11">
      <w:pPr>
        <w:spacing w:after="0" w:line="360" w:lineRule="auto"/>
        <w:jc w:val="both"/>
        <w:rPr>
          <w:rFonts w:ascii="Times New Roman" w:hAnsi="Times New Roman" w:cs="Times New Roman"/>
          <w:sz w:val="20"/>
          <w:szCs w:val="20"/>
        </w:rPr>
      </w:pPr>
      <w:r w:rsidRPr="00E7302A">
        <w:rPr>
          <w:rFonts w:ascii="Times New Roman" w:hAnsi="Times New Roman" w:cs="Times New Roman"/>
          <w:sz w:val="20"/>
          <w:szCs w:val="20"/>
        </w:rPr>
        <w:t>Tabla 3.2. Valores del PCE para las distintas vías estudiadas.</w:t>
      </w:r>
    </w:p>
    <w:tbl>
      <w:tblPr>
        <w:tblStyle w:val="Tablaconcuadrcula"/>
        <w:tblW w:w="5808" w:type="pct"/>
        <w:tblInd w:w="-856" w:type="dxa"/>
        <w:tblLook w:val="04A0" w:firstRow="1" w:lastRow="0" w:firstColumn="1" w:lastColumn="0" w:noHBand="0" w:noVBand="1"/>
      </w:tblPr>
      <w:tblGrid>
        <w:gridCol w:w="1411"/>
        <w:gridCol w:w="2800"/>
        <w:gridCol w:w="2992"/>
        <w:gridCol w:w="1143"/>
        <w:gridCol w:w="1521"/>
      </w:tblGrid>
      <w:tr w:rsidR="00525D11" w:rsidRPr="00AD0512" w:rsidTr="00402667">
        <w:tc>
          <w:tcPr>
            <w:tcW w:w="715"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Sentido de circulación</w:t>
            </w:r>
          </w:p>
        </w:tc>
        <w:tc>
          <w:tcPr>
            <w:tcW w:w="141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Tramo de Vía</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Ecuación</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PCE</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Factor de correlación</w:t>
            </w:r>
          </w:p>
        </w:tc>
      </w:tr>
      <w:tr w:rsidR="00525D11" w:rsidRPr="00AD0512" w:rsidTr="00402667">
        <w:tc>
          <w:tcPr>
            <w:tcW w:w="715" w:type="pct"/>
            <w:vMerge w:val="restart"/>
            <w:vAlign w:val="center"/>
          </w:tcPr>
          <w:p w:rsidR="00525D11" w:rsidRPr="00AD0512" w:rsidRDefault="00525D11" w:rsidP="00402667">
            <w:pPr>
              <w:jc w:val="center"/>
              <w:rPr>
                <w:rFonts w:ascii="Times New Roman" w:hAnsi="Times New Roman" w:cs="Times New Roman"/>
                <w:sz w:val="20"/>
                <w:szCs w:val="20"/>
              </w:rPr>
            </w:pPr>
            <w:r w:rsidRPr="00AD0512">
              <w:rPr>
                <w:rFonts w:ascii="Times New Roman" w:hAnsi="Times New Roman" w:cs="Times New Roman"/>
                <w:sz w:val="20"/>
                <w:szCs w:val="20"/>
              </w:rPr>
              <w:t>Un sentido</w:t>
            </w:r>
          </w:p>
          <w:p w:rsidR="00525D11" w:rsidRPr="00AD0512" w:rsidRDefault="00525D11" w:rsidP="00402667">
            <w:pPr>
              <w:jc w:val="center"/>
              <w:rPr>
                <w:rFonts w:ascii="Times New Roman" w:hAnsi="Times New Roman" w:cs="Times New Roman"/>
                <w:sz w:val="20"/>
                <w:szCs w:val="20"/>
              </w:rPr>
            </w:pPr>
            <w:r w:rsidRPr="00AD0512">
              <w:rPr>
                <w:rFonts w:ascii="Times New Roman" w:hAnsi="Times New Roman" w:cs="Times New Roman"/>
                <w:sz w:val="20"/>
                <w:szCs w:val="20"/>
              </w:rPr>
              <w:t>(dos carriles)</w:t>
            </w:r>
          </w:p>
        </w:tc>
        <w:tc>
          <w:tcPr>
            <w:tcW w:w="1419" w:type="pct"/>
            <w:vAlign w:val="center"/>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San Martín</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238.296 + 0.365472*X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0.36</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0.561003</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López Recio</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140.077 + 0.321047*X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0.32</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0.645858</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Cisneros</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99.6306 + 0.316831*X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0.32</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0.620891</w:t>
            </w:r>
          </w:p>
        </w:tc>
      </w:tr>
      <w:tr w:rsidR="00525D11" w:rsidRPr="00AD0512" w:rsidTr="00402667">
        <w:tc>
          <w:tcPr>
            <w:tcW w:w="715" w:type="pct"/>
            <w:vMerge w:val="restart"/>
            <w:vAlign w:val="center"/>
          </w:tcPr>
          <w:p w:rsidR="00525D11" w:rsidRPr="00AD0512" w:rsidRDefault="00525D11" w:rsidP="00402667">
            <w:pPr>
              <w:jc w:val="center"/>
              <w:rPr>
                <w:rFonts w:ascii="Times New Roman" w:hAnsi="Times New Roman" w:cs="Times New Roman"/>
                <w:sz w:val="20"/>
                <w:szCs w:val="20"/>
              </w:rPr>
            </w:pPr>
            <w:r w:rsidRPr="00AD0512">
              <w:rPr>
                <w:rFonts w:ascii="Times New Roman" w:hAnsi="Times New Roman" w:cs="Times New Roman"/>
                <w:sz w:val="20"/>
                <w:szCs w:val="20"/>
              </w:rPr>
              <w:t>Dos sentidos (dos carriles)</w:t>
            </w:r>
          </w:p>
        </w:tc>
        <w:tc>
          <w:tcPr>
            <w:tcW w:w="1419" w:type="pct"/>
            <w:vAlign w:val="center"/>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Calle 4ta</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411.352 + 0.41442*X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0.41</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0.590865</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525D11">
            <w:pPr>
              <w:numPr>
                <w:ilvl w:val="0"/>
                <w:numId w:val="8"/>
              </w:numPr>
              <w:rPr>
                <w:rFonts w:ascii="Times New Roman" w:hAnsi="Times New Roman" w:cs="Times New Roman"/>
                <w:sz w:val="20"/>
                <w:szCs w:val="20"/>
              </w:rPr>
            </w:pPr>
            <w:r w:rsidRPr="00AD0512">
              <w:rPr>
                <w:rFonts w:ascii="Times New Roman" w:hAnsi="Times New Roman" w:cs="Times New Roman"/>
                <w:sz w:val="20"/>
                <w:szCs w:val="20"/>
              </w:rPr>
              <w:t>H. Militar-Puente.</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659.402 + 0.331242*X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0.33</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0.610906</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525D11">
            <w:pPr>
              <w:numPr>
                <w:ilvl w:val="0"/>
                <w:numId w:val="8"/>
              </w:numPr>
              <w:rPr>
                <w:rFonts w:ascii="Times New Roman" w:hAnsi="Times New Roman" w:cs="Times New Roman"/>
                <w:sz w:val="20"/>
                <w:szCs w:val="20"/>
              </w:rPr>
            </w:pPr>
            <w:r w:rsidRPr="00AD0512">
              <w:rPr>
                <w:rFonts w:ascii="Times New Roman" w:hAnsi="Times New Roman" w:cs="Times New Roman"/>
                <w:sz w:val="20"/>
                <w:szCs w:val="20"/>
              </w:rPr>
              <w:t>Puente-H. Militar.</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279.109 + 0.412764*X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0.41</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0.599236</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FE0E25" w:rsidP="00402667">
            <w:pPr>
              <w:rPr>
                <w:rFonts w:ascii="Times New Roman" w:hAnsi="Times New Roman" w:cs="Times New Roman"/>
                <w:sz w:val="20"/>
                <w:szCs w:val="20"/>
              </w:rPr>
            </w:pPr>
            <w:r>
              <w:rPr>
                <w:rFonts w:ascii="Times New Roman" w:hAnsi="Times New Roman" w:cs="Times New Roman"/>
                <w:sz w:val="20"/>
                <w:szCs w:val="20"/>
              </w:rPr>
              <w:t>Madame</w:t>
            </w:r>
            <w:r w:rsidR="00525D11" w:rsidRPr="00AD0512">
              <w:rPr>
                <w:rFonts w:ascii="Times New Roman" w:hAnsi="Times New Roman" w:cs="Times New Roman"/>
                <w:sz w:val="20"/>
                <w:szCs w:val="20"/>
              </w:rPr>
              <w:t xml:space="preserve"> Curie</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113.218 + 0.367122*X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0.37</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0.664125</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Oncológico-Previsora.</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56.4809 + 0.440393*X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0.44</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0.637693</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Previsora-Oncológico.</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140.077 + 0.321047*X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0.32</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0.645858</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Ave. Saratoga</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384.967 + 0.41702*X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0.42</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0.537061</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Ave. Saratoga-Ave. Finlay.</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379.532 + 0.469741*X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0.47</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0.58122</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vAlign w:val="center"/>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Ave. Finlay-Ave. Saratoga.</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388.838 + 0.371253*X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0.37</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0.500775</w:t>
            </w:r>
          </w:p>
        </w:tc>
      </w:tr>
      <w:tr w:rsidR="00525D11" w:rsidRPr="00AD0512" w:rsidTr="00402667">
        <w:tc>
          <w:tcPr>
            <w:tcW w:w="715" w:type="pct"/>
            <w:vMerge w:val="restart"/>
            <w:vAlign w:val="center"/>
          </w:tcPr>
          <w:p w:rsidR="00525D11" w:rsidRPr="00AD0512" w:rsidRDefault="00525D11" w:rsidP="00402667">
            <w:pPr>
              <w:jc w:val="center"/>
              <w:rPr>
                <w:rFonts w:ascii="Times New Roman" w:hAnsi="Times New Roman" w:cs="Times New Roman"/>
                <w:sz w:val="20"/>
                <w:szCs w:val="20"/>
              </w:rPr>
            </w:pPr>
            <w:r w:rsidRPr="00AD0512">
              <w:rPr>
                <w:rFonts w:ascii="Times New Roman" w:hAnsi="Times New Roman" w:cs="Times New Roman"/>
                <w:sz w:val="20"/>
                <w:szCs w:val="20"/>
              </w:rPr>
              <w:t>Dos sentidos (cuatro carriles)</w:t>
            </w:r>
          </w:p>
        </w:tc>
        <w:tc>
          <w:tcPr>
            <w:tcW w:w="141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Carretera Central (tramo 1)</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422.861 + 0.358639*X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0.36</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0.59939</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T. Ómnibus-Montecarlo</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351.34 + 0.377133*X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0.38</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0.642823</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Montecarlo-T. Ómnibus</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489.993 + 0.343013*X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0.34</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0.569432</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Carretera Central (tramo 2)</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336.041 + 0.43092*X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0.43</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0.666242</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Martí-Desengaño</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460.224 + 0.386807*X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0.39</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0.650343</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Desengaño-Martí</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202.384 + 0.480618*X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0.48</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0.724994</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Carretera Central (tramo 3)</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181.023 + 0.383022*X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0.38</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0.727445</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Oncológico-Materno</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95.3625 + 0.414079*X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0.41</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0.815481</w:t>
            </w:r>
          </w:p>
        </w:tc>
      </w:tr>
      <w:tr w:rsidR="00525D11" w:rsidRPr="00AD0512" w:rsidTr="00402667">
        <w:tc>
          <w:tcPr>
            <w:tcW w:w="715" w:type="pct"/>
            <w:vMerge/>
          </w:tcPr>
          <w:p w:rsidR="00525D11" w:rsidRPr="00AD0512" w:rsidRDefault="00525D11" w:rsidP="00402667">
            <w:pPr>
              <w:jc w:val="both"/>
              <w:rPr>
                <w:rFonts w:ascii="Times New Roman" w:hAnsi="Times New Roman" w:cs="Times New Roman"/>
                <w:sz w:val="20"/>
                <w:szCs w:val="20"/>
              </w:rPr>
            </w:pPr>
          </w:p>
        </w:tc>
        <w:tc>
          <w:tcPr>
            <w:tcW w:w="1419" w:type="pct"/>
          </w:tcPr>
          <w:p w:rsidR="00525D11" w:rsidRPr="00AD0512" w:rsidRDefault="00525D11" w:rsidP="00525D11">
            <w:pPr>
              <w:numPr>
                <w:ilvl w:val="0"/>
                <w:numId w:val="9"/>
              </w:numPr>
              <w:rPr>
                <w:rFonts w:ascii="Times New Roman" w:hAnsi="Times New Roman" w:cs="Times New Roman"/>
                <w:sz w:val="20"/>
                <w:szCs w:val="20"/>
              </w:rPr>
            </w:pPr>
            <w:r w:rsidRPr="00AD0512">
              <w:rPr>
                <w:rFonts w:ascii="Times New Roman" w:hAnsi="Times New Roman" w:cs="Times New Roman"/>
                <w:sz w:val="20"/>
                <w:szCs w:val="20"/>
              </w:rPr>
              <w:t>Materno-Oncológico</w:t>
            </w:r>
          </w:p>
        </w:tc>
        <w:tc>
          <w:tcPr>
            <w:tcW w:w="1516"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Y = 258.982 + 0.355732*X</w:t>
            </w:r>
          </w:p>
        </w:tc>
        <w:tc>
          <w:tcPr>
            <w:tcW w:w="579"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0.36</w:t>
            </w:r>
          </w:p>
        </w:tc>
        <w:tc>
          <w:tcPr>
            <w:tcW w:w="771" w:type="pct"/>
          </w:tcPr>
          <w:p w:rsidR="00525D11" w:rsidRPr="00AD0512" w:rsidRDefault="00525D11" w:rsidP="00402667">
            <w:pPr>
              <w:rPr>
                <w:rFonts w:ascii="Times New Roman" w:hAnsi="Times New Roman" w:cs="Times New Roman"/>
                <w:sz w:val="20"/>
                <w:szCs w:val="20"/>
              </w:rPr>
            </w:pPr>
            <w:r w:rsidRPr="00AD0512">
              <w:rPr>
                <w:rFonts w:ascii="Times New Roman" w:hAnsi="Times New Roman" w:cs="Times New Roman"/>
                <w:sz w:val="20"/>
                <w:szCs w:val="20"/>
              </w:rPr>
              <w:t>0.646877</w:t>
            </w:r>
          </w:p>
        </w:tc>
      </w:tr>
    </w:tbl>
    <w:p w:rsidR="00525D11" w:rsidRDefault="00525D11" w:rsidP="00525D11">
      <w:pPr>
        <w:spacing w:after="0" w:line="360" w:lineRule="auto"/>
        <w:jc w:val="both"/>
        <w:rPr>
          <w:rFonts w:ascii="Times New Roman" w:hAnsi="Times New Roman" w:cs="Times New Roman"/>
          <w:sz w:val="24"/>
          <w:szCs w:val="24"/>
        </w:rPr>
      </w:pPr>
      <w:r w:rsidRPr="00E7302A">
        <w:rPr>
          <w:rFonts w:ascii="Times New Roman" w:hAnsi="Times New Roman" w:cs="Times New Roman"/>
          <w:sz w:val="24"/>
          <w:szCs w:val="24"/>
        </w:rPr>
        <w:t>Se puede apreciar en el análisis del factor de equivalencia de bicicletas por sentido de circulación y en las vías general, oscilan entre 0,32-0,48, con un factor de correlación por encima del 50% indicando una relación moderadamente fuerte. Los valores más pequeños corresponden a las calles de mayor volumen de bicicletas</w:t>
      </w:r>
      <w:r>
        <w:rPr>
          <w:rFonts w:ascii="Times New Roman" w:hAnsi="Times New Roman" w:cs="Times New Roman"/>
          <w:sz w:val="24"/>
          <w:szCs w:val="24"/>
        </w:rPr>
        <w:t>.</w:t>
      </w:r>
    </w:p>
    <w:p w:rsidR="00525D11" w:rsidRDefault="00525D11" w:rsidP="00525D11">
      <w:pPr>
        <w:spacing w:after="0" w:line="360" w:lineRule="auto"/>
        <w:jc w:val="both"/>
        <w:rPr>
          <w:rFonts w:ascii="Times New Roman" w:hAnsi="Times New Roman" w:cs="Times New Roman"/>
          <w:b/>
          <w:sz w:val="24"/>
          <w:szCs w:val="24"/>
        </w:rPr>
      </w:pPr>
      <w:r w:rsidRPr="009920B0">
        <w:rPr>
          <w:rFonts w:ascii="Times New Roman" w:hAnsi="Times New Roman" w:cs="Times New Roman"/>
          <w:b/>
          <w:sz w:val="24"/>
          <w:szCs w:val="24"/>
        </w:rPr>
        <w:t>Análisis de los factores de equivalencia de bicicletas a vehículos no convencionales por sentido de circulación en las vías de la ciudad de Camagüey.</w:t>
      </w:r>
    </w:p>
    <w:p w:rsidR="00525D11" w:rsidRDefault="00525D11" w:rsidP="00525D11">
      <w:p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 xml:space="preserve">Para la validación del coeficiente de equivalencia de los ciclos se tendrá en cuenta el flujo de bicicletas y vehículos ligeros, por sentido de circulación, número de carriles y en la vía general. Utilizando el software STATGRAPHICS  y las diferentes combinaciones de las expresiones obtenidas, para definir un solo valor por sentido y por carril en las vías </w:t>
      </w:r>
      <w:r>
        <w:rPr>
          <w:rFonts w:ascii="Times New Roman" w:hAnsi="Times New Roman" w:cs="Times New Roman"/>
          <w:sz w:val="24"/>
          <w:szCs w:val="24"/>
        </w:rPr>
        <w:t xml:space="preserve">estudiadas. </w:t>
      </w:r>
    </w:p>
    <w:p w:rsidR="00525D11" w:rsidRPr="009920B0" w:rsidRDefault="00525D11" w:rsidP="00525D11">
      <w:p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Con los resultados de todas las ecuaciones de regresión, dándole valores a las variables independientes(X) que corresponde al flujo de bicicletas se obtuvieron puntos(X; Y) que pasan por la recta de la ecuación. Agrupando los puntos por sentido de circulación y números de carriles.se obtienen las ecuaciones de regresión lineal y valores estadísticos para cada grupo formado, a continuación se muestran los grupos conformados:</w:t>
      </w:r>
    </w:p>
    <w:p w:rsidR="00525D11" w:rsidRPr="009920B0" w:rsidRDefault="00525D11" w:rsidP="00525D11">
      <w:pPr>
        <w:numPr>
          <w:ilvl w:val="0"/>
          <w:numId w:val="10"/>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Un sentido y dos carrieles de circulación</w:t>
      </w:r>
    </w:p>
    <w:p w:rsidR="00525D11" w:rsidRPr="009920B0" w:rsidRDefault="00525D11" w:rsidP="00525D11">
      <w:pPr>
        <w:numPr>
          <w:ilvl w:val="0"/>
          <w:numId w:val="11"/>
        </w:numPr>
        <w:spacing w:after="0" w:line="360" w:lineRule="auto"/>
        <w:jc w:val="both"/>
        <w:rPr>
          <w:rFonts w:ascii="Times New Roman" w:hAnsi="Times New Roman" w:cs="Times New Roman"/>
          <w:sz w:val="24"/>
          <w:szCs w:val="24"/>
        </w:rPr>
      </w:pPr>
      <w:proofErr w:type="spellStart"/>
      <w:r w:rsidRPr="009920B0">
        <w:rPr>
          <w:rFonts w:ascii="Times New Roman" w:hAnsi="Times New Roman" w:cs="Times New Roman"/>
          <w:sz w:val="24"/>
          <w:szCs w:val="24"/>
        </w:rPr>
        <w:t>Lopez</w:t>
      </w:r>
      <w:proofErr w:type="spellEnd"/>
      <w:r w:rsidRPr="009920B0">
        <w:rPr>
          <w:rFonts w:ascii="Times New Roman" w:hAnsi="Times New Roman" w:cs="Times New Roman"/>
          <w:sz w:val="24"/>
          <w:szCs w:val="24"/>
        </w:rPr>
        <w:t xml:space="preserve"> recio</w:t>
      </w:r>
    </w:p>
    <w:p w:rsidR="00525D11" w:rsidRPr="009920B0" w:rsidRDefault="00525D11" w:rsidP="00525D11">
      <w:pPr>
        <w:numPr>
          <w:ilvl w:val="0"/>
          <w:numId w:val="11"/>
        </w:numPr>
        <w:spacing w:after="0" w:line="360" w:lineRule="auto"/>
        <w:jc w:val="both"/>
        <w:rPr>
          <w:rFonts w:ascii="Times New Roman" w:hAnsi="Times New Roman" w:cs="Times New Roman"/>
          <w:sz w:val="24"/>
          <w:szCs w:val="24"/>
        </w:rPr>
      </w:pPr>
      <w:proofErr w:type="spellStart"/>
      <w:r w:rsidRPr="009920B0">
        <w:rPr>
          <w:rFonts w:ascii="Times New Roman" w:hAnsi="Times New Roman" w:cs="Times New Roman"/>
          <w:sz w:val="24"/>
          <w:szCs w:val="24"/>
        </w:rPr>
        <w:t>Cisnero</w:t>
      </w:r>
      <w:proofErr w:type="spellEnd"/>
    </w:p>
    <w:p w:rsidR="00525D11" w:rsidRPr="009920B0" w:rsidRDefault="00525D11" w:rsidP="00525D11">
      <w:pPr>
        <w:numPr>
          <w:ilvl w:val="0"/>
          <w:numId w:val="11"/>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San Martín</w:t>
      </w:r>
    </w:p>
    <w:p w:rsidR="00525D11" w:rsidRPr="009920B0" w:rsidRDefault="00525D11" w:rsidP="00525D11">
      <w:pPr>
        <w:numPr>
          <w:ilvl w:val="0"/>
          <w:numId w:val="10"/>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Dos sentidos y dos carriles de circulación</w:t>
      </w:r>
    </w:p>
    <w:p w:rsidR="00525D11" w:rsidRPr="009920B0" w:rsidRDefault="00FE0E25" w:rsidP="00525D11">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Madame</w:t>
      </w:r>
      <w:r w:rsidR="00525D11" w:rsidRPr="009920B0">
        <w:rPr>
          <w:rFonts w:ascii="Times New Roman" w:hAnsi="Times New Roman" w:cs="Times New Roman"/>
          <w:sz w:val="24"/>
          <w:szCs w:val="24"/>
        </w:rPr>
        <w:t xml:space="preserve"> Curie</w:t>
      </w:r>
    </w:p>
    <w:p w:rsidR="00525D11" w:rsidRPr="009920B0" w:rsidRDefault="00525D11" w:rsidP="00525D11">
      <w:pPr>
        <w:numPr>
          <w:ilvl w:val="0"/>
          <w:numId w:val="12"/>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 xml:space="preserve">Calle 4ta </w:t>
      </w:r>
    </w:p>
    <w:p w:rsidR="00525D11" w:rsidRPr="009920B0" w:rsidRDefault="00525D11" w:rsidP="00525D11">
      <w:pPr>
        <w:numPr>
          <w:ilvl w:val="0"/>
          <w:numId w:val="12"/>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Avenida Saratoga</w:t>
      </w:r>
    </w:p>
    <w:p w:rsidR="00525D11" w:rsidRPr="009920B0" w:rsidRDefault="00525D11" w:rsidP="00525D11">
      <w:pPr>
        <w:numPr>
          <w:ilvl w:val="0"/>
          <w:numId w:val="13"/>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Dos sentidos y cuatro carriles de circulación</w:t>
      </w:r>
    </w:p>
    <w:p w:rsidR="00525D11" w:rsidRPr="009920B0" w:rsidRDefault="00525D11" w:rsidP="00525D11">
      <w:pPr>
        <w:numPr>
          <w:ilvl w:val="0"/>
          <w:numId w:val="14"/>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Carretera Central tramo 1</w:t>
      </w:r>
    </w:p>
    <w:p w:rsidR="00525D11" w:rsidRPr="009920B0" w:rsidRDefault="00525D11" w:rsidP="00525D11">
      <w:pPr>
        <w:numPr>
          <w:ilvl w:val="0"/>
          <w:numId w:val="14"/>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lastRenderedPageBreak/>
        <w:t>Carretera Central tramo 2</w:t>
      </w:r>
    </w:p>
    <w:p w:rsidR="00525D11" w:rsidRPr="009920B0" w:rsidRDefault="00525D11" w:rsidP="00525D11">
      <w:pPr>
        <w:numPr>
          <w:ilvl w:val="0"/>
          <w:numId w:val="14"/>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Carretera Central tramo 3</w:t>
      </w:r>
    </w:p>
    <w:p w:rsidR="00525D11" w:rsidRDefault="00525D11" w:rsidP="00525D11">
      <w:p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Para cada combinación se determinó un único coeficiente de equivalencia utilizando la curva de mejor ajuste. A continuación se presenta la tabla resumen 3.</w:t>
      </w:r>
      <w:r>
        <w:rPr>
          <w:rFonts w:ascii="Times New Roman" w:hAnsi="Times New Roman" w:cs="Times New Roman"/>
          <w:sz w:val="24"/>
          <w:szCs w:val="24"/>
        </w:rPr>
        <w:t>3</w:t>
      </w:r>
      <w:r w:rsidRPr="009920B0">
        <w:rPr>
          <w:rFonts w:ascii="Times New Roman" w:hAnsi="Times New Roman" w:cs="Times New Roman"/>
          <w:sz w:val="24"/>
          <w:szCs w:val="24"/>
        </w:rPr>
        <w:t xml:space="preserve"> con los valores del factor de equivalencia por cada grupo</w:t>
      </w:r>
      <w:r>
        <w:rPr>
          <w:rFonts w:ascii="Times New Roman" w:hAnsi="Times New Roman" w:cs="Times New Roman"/>
          <w:sz w:val="24"/>
          <w:szCs w:val="24"/>
        </w:rPr>
        <w:t>.</w:t>
      </w:r>
    </w:p>
    <w:p w:rsidR="00525D11" w:rsidRPr="009920B0" w:rsidRDefault="00525D11" w:rsidP="00525D11">
      <w:pPr>
        <w:spacing w:after="0" w:line="360" w:lineRule="auto"/>
        <w:jc w:val="both"/>
        <w:rPr>
          <w:rFonts w:ascii="Times New Roman" w:hAnsi="Times New Roman" w:cs="Times New Roman"/>
          <w:sz w:val="20"/>
          <w:szCs w:val="20"/>
        </w:rPr>
      </w:pPr>
      <w:r w:rsidRPr="009920B0">
        <w:rPr>
          <w:rFonts w:ascii="Times New Roman" w:hAnsi="Times New Roman" w:cs="Times New Roman"/>
          <w:sz w:val="20"/>
          <w:szCs w:val="20"/>
        </w:rPr>
        <w:t>Tabla 3.3 Factor de equivalencia por sentido de circulación para cada grupo.</w:t>
      </w:r>
    </w:p>
    <w:tbl>
      <w:tblPr>
        <w:tblStyle w:val="Tablaconcuadrcula"/>
        <w:tblW w:w="0" w:type="auto"/>
        <w:jc w:val="center"/>
        <w:tblLook w:val="04A0" w:firstRow="1" w:lastRow="0" w:firstColumn="1" w:lastColumn="0" w:noHBand="0" w:noVBand="1"/>
      </w:tblPr>
      <w:tblGrid>
        <w:gridCol w:w="3168"/>
        <w:gridCol w:w="3070"/>
        <w:gridCol w:w="2126"/>
      </w:tblGrid>
      <w:tr w:rsidR="00525D11" w:rsidRPr="009920B0" w:rsidTr="00402667">
        <w:trPr>
          <w:jc w:val="center"/>
        </w:trPr>
        <w:tc>
          <w:tcPr>
            <w:tcW w:w="3168"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b/>
                <w:sz w:val="20"/>
                <w:szCs w:val="20"/>
              </w:rPr>
              <w:t>Sentido de circulación</w:t>
            </w:r>
          </w:p>
        </w:tc>
        <w:tc>
          <w:tcPr>
            <w:tcW w:w="3070"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b/>
                <w:sz w:val="20"/>
                <w:szCs w:val="20"/>
              </w:rPr>
              <w:t>Ecuación</w:t>
            </w:r>
          </w:p>
        </w:tc>
        <w:tc>
          <w:tcPr>
            <w:tcW w:w="2126"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b/>
                <w:sz w:val="20"/>
                <w:szCs w:val="20"/>
              </w:rPr>
              <w:t>Valor Recomendado (PCE)</w:t>
            </w:r>
          </w:p>
        </w:tc>
      </w:tr>
      <w:tr w:rsidR="00525D11" w:rsidRPr="009920B0" w:rsidTr="00402667">
        <w:trPr>
          <w:jc w:val="center"/>
        </w:trPr>
        <w:tc>
          <w:tcPr>
            <w:tcW w:w="3168"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sz w:val="20"/>
                <w:szCs w:val="20"/>
              </w:rPr>
              <w:t>Un sentido (dos carriles)</w:t>
            </w:r>
          </w:p>
        </w:tc>
        <w:tc>
          <w:tcPr>
            <w:tcW w:w="3070"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sz w:val="20"/>
                <w:szCs w:val="20"/>
              </w:rPr>
              <w:t>Y = 159.335 + 0.33445*X</w:t>
            </w:r>
          </w:p>
        </w:tc>
        <w:tc>
          <w:tcPr>
            <w:tcW w:w="2126"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sz w:val="20"/>
                <w:szCs w:val="20"/>
              </w:rPr>
              <w:t>0,33</w:t>
            </w:r>
          </w:p>
        </w:tc>
      </w:tr>
      <w:tr w:rsidR="00525D11" w:rsidRPr="009920B0" w:rsidTr="00402667">
        <w:trPr>
          <w:jc w:val="center"/>
        </w:trPr>
        <w:tc>
          <w:tcPr>
            <w:tcW w:w="3168"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sz w:val="20"/>
                <w:szCs w:val="20"/>
              </w:rPr>
              <w:t>Dos sentidos (dos carriles)</w:t>
            </w:r>
          </w:p>
        </w:tc>
        <w:tc>
          <w:tcPr>
            <w:tcW w:w="3070"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sz w:val="20"/>
                <w:szCs w:val="20"/>
              </w:rPr>
              <w:t>Y = 303.179 + 0.399521*X</w:t>
            </w:r>
          </w:p>
        </w:tc>
        <w:tc>
          <w:tcPr>
            <w:tcW w:w="2126" w:type="dxa"/>
            <w:vAlign w:val="center"/>
          </w:tcPr>
          <w:p w:rsidR="00525D11" w:rsidRPr="009920B0" w:rsidRDefault="00525D11" w:rsidP="00402667">
            <w:pPr>
              <w:jc w:val="both"/>
              <w:rPr>
                <w:rFonts w:ascii="Times New Roman" w:hAnsi="Times New Roman" w:cs="Times New Roman"/>
                <w:sz w:val="20"/>
                <w:szCs w:val="20"/>
              </w:rPr>
            </w:pPr>
            <w:r w:rsidRPr="009920B0">
              <w:rPr>
                <w:rFonts w:ascii="Times New Roman" w:hAnsi="Times New Roman" w:cs="Times New Roman"/>
                <w:sz w:val="20"/>
                <w:szCs w:val="20"/>
              </w:rPr>
              <w:t>0,40</w:t>
            </w:r>
          </w:p>
        </w:tc>
      </w:tr>
      <w:tr w:rsidR="00525D11" w:rsidRPr="009920B0" w:rsidTr="00402667">
        <w:trPr>
          <w:jc w:val="center"/>
        </w:trPr>
        <w:tc>
          <w:tcPr>
            <w:tcW w:w="3168"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sz w:val="20"/>
                <w:szCs w:val="20"/>
              </w:rPr>
              <w:t>Dos sentidos (cuatro carriles)</w:t>
            </w:r>
          </w:p>
        </w:tc>
        <w:tc>
          <w:tcPr>
            <w:tcW w:w="3070" w:type="dxa"/>
            <w:vAlign w:val="center"/>
          </w:tcPr>
          <w:p w:rsidR="00525D11" w:rsidRPr="009920B0" w:rsidRDefault="00525D11" w:rsidP="00402667">
            <w:pPr>
              <w:jc w:val="both"/>
              <w:rPr>
                <w:rFonts w:ascii="Times New Roman" w:hAnsi="Times New Roman" w:cs="Times New Roman"/>
                <w:b/>
                <w:sz w:val="20"/>
                <w:szCs w:val="20"/>
              </w:rPr>
            </w:pPr>
            <w:r w:rsidRPr="009920B0">
              <w:rPr>
                <w:rFonts w:ascii="Times New Roman" w:hAnsi="Times New Roman" w:cs="Times New Roman"/>
                <w:sz w:val="20"/>
                <w:szCs w:val="20"/>
              </w:rPr>
              <w:t>Y = 313.308 + 0.39086*X</w:t>
            </w:r>
          </w:p>
        </w:tc>
        <w:tc>
          <w:tcPr>
            <w:tcW w:w="2126" w:type="dxa"/>
            <w:vAlign w:val="center"/>
          </w:tcPr>
          <w:p w:rsidR="00525D11" w:rsidRPr="009920B0" w:rsidRDefault="00525D11" w:rsidP="00402667">
            <w:pPr>
              <w:jc w:val="both"/>
              <w:rPr>
                <w:rFonts w:ascii="Times New Roman" w:hAnsi="Times New Roman" w:cs="Times New Roman"/>
                <w:sz w:val="20"/>
                <w:szCs w:val="20"/>
              </w:rPr>
            </w:pPr>
            <w:r w:rsidRPr="009920B0">
              <w:rPr>
                <w:rFonts w:ascii="Times New Roman" w:hAnsi="Times New Roman" w:cs="Times New Roman"/>
                <w:sz w:val="20"/>
                <w:szCs w:val="20"/>
              </w:rPr>
              <w:t>0,39</w:t>
            </w:r>
          </w:p>
        </w:tc>
      </w:tr>
    </w:tbl>
    <w:p w:rsidR="00525D11" w:rsidRPr="009920B0" w:rsidRDefault="00525D11" w:rsidP="00525D11">
      <w:pPr>
        <w:pStyle w:val="Prrafodelista"/>
        <w:numPr>
          <w:ilvl w:val="0"/>
          <w:numId w:val="15"/>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Se puede afirmar que los valores de coeficiente equivalencia en las vías de un solo sentido de circulación y dos carriles coinciden con los resultados obtenidos en la tesis de Maestría de la ingeniera Lorena Rey Céspedes y el Centro Provincial de Ingeniería de Tránsito igual a 0,33.</w:t>
      </w:r>
    </w:p>
    <w:p w:rsidR="00525D11" w:rsidRDefault="00525D11" w:rsidP="00525D11">
      <w:pPr>
        <w:pStyle w:val="Prrafodelista"/>
        <w:numPr>
          <w:ilvl w:val="0"/>
          <w:numId w:val="15"/>
        </w:numPr>
        <w:spacing w:after="0" w:line="360" w:lineRule="auto"/>
        <w:jc w:val="both"/>
        <w:rPr>
          <w:rFonts w:ascii="Times New Roman" w:hAnsi="Times New Roman" w:cs="Times New Roman"/>
          <w:sz w:val="24"/>
          <w:szCs w:val="24"/>
        </w:rPr>
      </w:pPr>
      <w:r w:rsidRPr="009920B0">
        <w:rPr>
          <w:rFonts w:ascii="Times New Roman" w:hAnsi="Times New Roman" w:cs="Times New Roman"/>
          <w:sz w:val="24"/>
          <w:szCs w:val="24"/>
        </w:rPr>
        <w:t>Las vías de dos sentidos de circulación con dos y cuatro carriles, oscilan entre 0,39 y 0,40, la diferencia es mínima por lo que se puede asumir 0,40 para todas las vías de dos sentido de circulación.</w:t>
      </w:r>
    </w:p>
    <w:p w:rsidR="00525D11" w:rsidRDefault="00525D11" w:rsidP="00525D11">
      <w:pPr>
        <w:spacing w:after="0" w:line="360" w:lineRule="auto"/>
        <w:jc w:val="both"/>
        <w:rPr>
          <w:rFonts w:ascii="Times New Roman" w:hAnsi="Times New Roman" w:cs="Times New Roman"/>
          <w:b/>
          <w:sz w:val="24"/>
          <w:szCs w:val="24"/>
        </w:rPr>
      </w:pPr>
      <w:r w:rsidRPr="009920B0">
        <w:rPr>
          <w:rFonts w:ascii="Times New Roman" w:hAnsi="Times New Roman" w:cs="Times New Roman"/>
          <w:b/>
          <w:sz w:val="24"/>
          <w:szCs w:val="24"/>
        </w:rPr>
        <w:t>4. Conclusiones</w:t>
      </w:r>
    </w:p>
    <w:p w:rsidR="00525D11" w:rsidRPr="008B6F67" w:rsidRDefault="00525D11" w:rsidP="00525D11">
      <w:pPr>
        <w:numPr>
          <w:ilvl w:val="0"/>
          <w:numId w:val="17"/>
        </w:numPr>
        <w:spacing w:after="0" w:line="360" w:lineRule="auto"/>
        <w:jc w:val="both"/>
        <w:rPr>
          <w:rFonts w:ascii="Times New Roman" w:hAnsi="Times New Roman" w:cs="Times New Roman"/>
          <w:sz w:val="24"/>
          <w:szCs w:val="24"/>
        </w:rPr>
      </w:pPr>
      <w:r w:rsidRPr="008B6F67">
        <w:rPr>
          <w:rFonts w:ascii="Times New Roman" w:hAnsi="Times New Roman" w:cs="Times New Roman"/>
          <w:sz w:val="24"/>
          <w:szCs w:val="24"/>
        </w:rPr>
        <w:t xml:space="preserve">Para la obtención del factor de ajuste de las bicicletas a vehículos </w:t>
      </w:r>
      <w:r>
        <w:rPr>
          <w:rFonts w:ascii="Times New Roman" w:hAnsi="Times New Roman" w:cs="Times New Roman"/>
          <w:sz w:val="24"/>
          <w:szCs w:val="24"/>
        </w:rPr>
        <w:t>ligeros</w:t>
      </w:r>
      <w:r w:rsidRPr="008B6F67">
        <w:rPr>
          <w:rFonts w:ascii="Times New Roman" w:hAnsi="Times New Roman" w:cs="Times New Roman"/>
          <w:sz w:val="24"/>
          <w:szCs w:val="24"/>
        </w:rPr>
        <w:t xml:space="preserve"> se realizó un diseño teórico teniendo en cuenta las vías por sentido de circulación, cantidad de carriles, el flujo de bicicletas y vehículos ligeros.</w:t>
      </w:r>
    </w:p>
    <w:p w:rsidR="00525D11" w:rsidRPr="008B6F67" w:rsidRDefault="00525D11" w:rsidP="00525D11">
      <w:pPr>
        <w:numPr>
          <w:ilvl w:val="0"/>
          <w:numId w:val="17"/>
        </w:numPr>
        <w:spacing w:after="0" w:line="360" w:lineRule="auto"/>
        <w:jc w:val="both"/>
        <w:rPr>
          <w:rFonts w:ascii="Times New Roman" w:hAnsi="Times New Roman" w:cs="Times New Roman"/>
          <w:sz w:val="24"/>
          <w:szCs w:val="24"/>
        </w:rPr>
      </w:pPr>
      <w:r w:rsidRPr="008B6F67">
        <w:rPr>
          <w:rFonts w:ascii="Times New Roman" w:hAnsi="Times New Roman" w:cs="Times New Roman"/>
          <w:sz w:val="24"/>
          <w:szCs w:val="24"/>
        </w:rPr>
        <w:t xml:space="preserve">Los estudios de tránsito realizados </w:t>
      </w:r>
      <w:r w:rsidRPr="008B6F67">
        <w:rPr>
          <w:rFonts w:ascii="Times New Roman" w:hAnsi="Times New Roman" w:cs="Times New Roman"/>
          <w:sz w:val="24"/>
          <w:szCs w:val="24"/>
          <w:lang w:val="es-MX"/>
        </w:rPr>
        <w:t xml:space="preserve">son: estudios de volúmenes para definir la hora de máxima demanda y los estudios para determinar los flujos de </w:t>
      </w:r>
      <w:r>
        <w:rPr>
          <w:rFonts w:ascii="Times New Roman" w:hAnsi="Times New Roman" w:cs="Times New Roman"/>
          <w:sz w:val="24"/>
          <w:szCs w:val="24"/>
          <w:lang w:val="es-MX"/>
        </w:rPr>
        <w:t>ciclos</w:t>
      </w:r>
      <w:r w:rsidRPr="008B6F67">
        <w:rPr>
          <w:rFonts w:ascii="Times New Roman" w:hAnsi="Times New Roman" w:cs="Times New Roman"/>
          <w:sz w:val="24"/>
          <w:szCs w:val="24"/>
          <w:lang w:val="es-MX"/>
        </w:rPr>
        <w:t xml:space="preserve"> y vehículos de motor que incide en los resultados del factor de equivalencia </w:t>
      </w:r>
      <w:r>
        <w:rPr>
          <w:rFonts w:ascii="Times New Roman" w:hAnsi="Times New Roman" w:cs="Times New Roman"/>
          <w:sz w:val="24"/>
          <w:szCs w:val="24"/>
          <w:lang w:val="es-MX"/>
        </w:rPr>
        <w:t xml:space="preserve">de bicicletas a </w:t>
      </w:r>
      <w:r w:rsidRPr="008B6F67">
        <w:rPr>
          <w:rFonts w:ascii="Times New Roman" w:hAnsi="Times New Roman" w:cs="Times New Roman"/>
          <w:sz w:val="24"/>
          <w:szCs w:val="24"/>
          <w:lang w:val="es-MX"/>
        </w:rPr>
        <w:t xml:space="preserve">autos </w:t>
      </w:r>
      <w:r>
        <w:rPr>
          <w:rFonts w:ascii="Times New Roman" w:hAnsi="Times New Roman" w:cs="Times New Roman"/>
          <w:sz w:val="24"/>
          <w:szCs w:val="24"/>
          <w:lang w:val="es-MX"/>
        </w:rPr>
        <w:t>ligeros</w:t>
      </w:r>
      <w:r w:rsidRPr="008B6F67">
        <w:rPr>
          <w:rFonts w:ascii="Times New Roman" w:hAnsi="Times New Roman" w:cs="Times New Roman"/>
          <w:sz w:val="24"/>
          <w:szCs w:val="24"/>
          <w:lang w:val="es-MX"/>
        </w:rPr>
        <w:t xml:space="preserve">. Utilizando el software </w:t>
      </w:r>
      <w:r w:rsidRPr="008B6F67">
        <w:rPr>
          <w:rFonts w:ascii="Times New Roman" w:hAnsi="Times New Roman" w:cs="Times New Roman"/>
          <w:sz w:val="24"/>
          <w:szCs w:val="24"/>
        </w:rPr>
        <w:t xml:space="preserve">STATGRAPHICS </w:t>
      </w:r>
    </w:p>
    <w:p w:rsidR="00525D11" w:rsidRPr="008B6F67" w:rsidRDefault="00525D11" w:rsidP="00525D11">
      <w:pPr>
        <w:numPr>
          <w:ilvl w:val="0"/>
          <w:numId w:val="16"/>
        </w:numPr>
        <w:spacing w:after="0" w:line="360" w:lineRule="auto"/>
        <w:jc w:val="both"/>
        <w:rPr>
          <w:rFonts w:ascii="Times New Roman" w:hAnsi="Times New Roman" w:cs="Times New Roman"/>
          <w:sz w:val="24"/>
          <w:szCs w:val="24"/>
        </w:rPr>
      </w:pPr>
      <w:r w:rsidRPr="008B6F67">
        <w:rPr>
          <w:rFonts w:ascii="Times New Roman" w:hAnsi="Times New Roman" w:cs="Times New Roman"/>
          <w:sz w:val="24"/>
          <w:szCs w:val="24"/>
        </w:rPr>
        <w:t>Los estudios de volúmenes de tránsito permitieron determinar la Hora de Máxima Demanda, Factor Horario de Máxima Demanda y la Composición vehicular en las vías estudiadas.</w:t>
      </w:r>
    </w:p>
    <w:p w:rsidR="00525D11" w:rsidRPr="008B6F67" w:rsidRDefault="00525D11" w:rsidP="00525D11">
      <w:pPr>
        <w:numPr>
          <w:ilvl w:val="0"/>
          <w:numId w:val="16"/>
        </w:numPr>
        <w:spacing w:after="0" w:line="360" w:lineRule="auto"/>
        <w:jc w:val="both"/>
        <w:rPr>
          <w:rFonts w:ascii="Times New Roman" w:hAnsi="Times New Roman" w:cs="Times New Roman"/>
          <w:sz w:val="24"/>
          <w:szCs w:val="24"/>
        </w:rPr>
      </w:pPr>
      <w:r w:rsidRPr="008B6F67">
        <w:rPr>
          <w:rFonts w:ascii="Times New Roman" w:hAnsi="Times New Roman" w:cs="Times New Roman"/>
          <w:sz w:val="24"/>
          <w:szCs w:val="24"/>
          <w:lang w:val="es-ES_tradnl"/>
        </w:rPr>
        <w:t>Los</w:t>
      </w:r>
      <w:r w:rsidRPr="008B6F67">
        <w:rPr>
          <w:rFonts w:ascii="Times New Roman" w:hAnsi="Times New Roman" w:cs="Times New Roman"/>
          <w:sz w:val="24"/>
          <w:szCs w:val="24"/>
        </w:rPr>
        <w:t xml:space="preserve"> coeficientes de equivalencia de bicicletas por sentido de circulación y en las vías gen</w:t>
      </w:r>
      <w:r>
        <w:rPr>
          <w:rFonts w:ascii="Times New Roman" w:hAnsi="Times New Roman" w:cs="Times New Roman"/>
          <w:sz w:val="24"/>
          <w:szCs w:val="24"/>
        </w:rPr>
        <w:t>eral, oscilan entre 0,32 - 0,48</w:t>
      </w:r>
      <w:r w:rsidRPr="008B6F67">
        <w:rPr>
          <w:rFonts w:ascii="Times New Roman" w:hAnsi="Times New Roman" w:cs="Times New Roman"/>
          <w:sz w:val="24"/>
          <w:szCs w:val="24"/>
        </w:rPr>
        <w:t>, con una correlación moderadamente fuerte del 50%.</w:t>
      </w:r>
    </w:p>
    <w:p w:rsidR="00525D11" w:rsidRPr="008B6F67" w:rsidRDefault="00525D11" w:rsidP="00525D11">
      <w:pPr>
        <w:numPr>
          <w:ilvl w:val="0"/>
          <w:numId w:val="18"/>
        </w:numPr>
        <w:spacing w:after="0" w:line="360" w:lineRule="auto"/>
        <w:jc w:val="both"/>
        <w:rPr>
          <w:rFonts w:ascii="Times New Roman" w:hAnsi="Times New Roman" w:cs="Times New Roman"/>
          <w:sz w:val="24"/>
          <w:szCs w:val="24"/>
        </w:rPr>
      </w:pPr>
      <w:r w:rsidRPr="008B6F67">
        <w:rPr>
          <w:rFonts w:ascii="Times New Roman" w:hAnsi="Times New Roman" w:cs="Times New Roman"/>
          <w:sz w:val="24"/>
          <w:szCs w:val="24"/>
        </w:rPr>
        <w:lastRenderedPageBreak/>
        <w:t xml:space="preserve">Para las vías de un solo sentido de circulación el factor de equivalencia de los ciclos es igual a 0,33, coincidiendo este valor con lo establecido en el Centro Provincial de Ingeniería de Tránsito. </w:t>
      </w:r>
    </w:p>
    <w:p w:rsidR="00525D11" w:rsidRDefault="00525D11" w:rsidP="00525D11">
      <w:pPr>
        <w:numPr>
          <w:ilvl w:val="0"/>
          <w:numId w:val="18"/>
        </w:numPr>
        <w:spacing w:after="0" w:line="360" w:lineRule="auto"/>
        <w:jc w:val="both"/>
        <w:rPr>
          <w:rFonts w:ascii="Times New Roman" w:hAnsi="Times New Roman" w:cs="Times New Roman"/>
          <w:sz w:val="24"/>
          <w:szCs w:val="24"/>
        </w:rPr>
      </w:pPr>
      <w:r w:rsidRPr="008B6F67">
        <w:rPr>
          <w:rFonts w:ascii="Times New Roman" w:hAnsi="Times New Roman" w:cs="Times New Roman"/>
          <w:sz w:val="24"/>
          <w:szCs w:val="24"/>
        </w:rPr>
        <w:t>Las vías de dos sentidos de circulación con dos y cuatro carriles, oscilan entre 0,39 y 0,40, la diferencia es mínima por lo que se puede asumir 0,40 para todas las vías de dos sentido de circulación.</w:t>
      </w:r>
    </w:p>
    <w:p w:rsidR="00525D11" w:rsidRDefault="00525D11" w:rsidP="00525D11">
      <w:pPr>
        <w:spacing w:after="0" w:line="360" w:lineRule="auto"/>
        <w:ind w:left="360"/>
        <w:jc w:val="both"/>
        <w:rPr>
          <w:rFonts w:ascii="Times New Roman" w:hAnsi="Times New Roman" w:cs="Times New Roman"/>
          <w:b/>
          <w:sz w:val="24"/>
          <w:szCs w:val="24"/>
        </w:rPr>
      </w:pPr>
      <w:r w:rsidRPr="003A0182">
        <w:rPr>
          <w:rFonts w:ascii="Times New Roman" w:hAnsi="Times New Roman" w:cs="Times New Roman"/>
          <w:b/>
          <w:sz w:val="24"/>
          <w:szCs w:val="24"/>
        </w:rPr>
        <w:t>5. Referencias bibliográficas</w:t>
      </w:r>
    </w:p>
    <w:p w:rsidR="00525D11" w:rsidRPr="00087C6C" w:rsidRDefault="00525D11" w:rsidP="00525D11">
      <w:pPr>
        <w:pStyle w:val="Prrafodelista"/>
        <w:numPr>
          <w:ilvl w:val="0"/>
          <w:numId w:val="19"/>
        </w:numPr>
        <w:spacing w:after="0" w:line="360" w:lineRule="auto"/>
        <w:jc w:val="both"/>
        <w:rPr>
          <w:rFonts w:ascii="Times New Roman" w:hAnsi="Times New Roman" w:cs="Times New Roman"/>
          <w:sz w:val="24"/>
          <w:szCs w:val="24"/>
        </w:rPr>
      </w:pPr>
      <w:r w:rsidRPr="00087C6C">
        <w:rPr>
          <w:rFonts w:ascii="Times New Roman" w:hAnsi="Times New Roman" w:cs="Times New Roman"/>
          <w:sz w:val="24"/>
          <w:szCs w:val="24"/>
        </w:rPr>
        <w:t>Alba M, Liliana. (2008). Procedimiento para emplazamientos urbanos con alta concentración de accidentes, Ciudad Habana, Cuba. Tesis de Doctorado.</w:t>
      </w:r>
    </w:p>
    <w:p w:rsidR="00525D11" w:rsidRPr="003A0182" w:rsidRDefault="00525D11" w:rsidP="00525D11">
      <w:pPr>
        <w:pStyle w:val="Prrafodelista"/>
        <w:numPr>
          <w:ilvl w:val="0"/>
          <w:numId w:val="19"/>
        </w:numPr>
        <w:spacing w:after="0" w:line="360" w:lineRule="auto"/>
        <w:jc w:val="both"/>
        <w:rPr>
          <w:rFonts w:ascii="Times New Roman" w:hAnsi="Times New Roman" w:cs="Times New Roman"/>
          <w:sz w:val="24"/>
          <w:szCs w:val="24"/>
        </w:rPr>
      </w:pPr>
      <w:r w:rsidRPr="003A0182">
        <w:rPr>
          <w:rFonts w:ascii="Times New Roman" w:hAnsi="Times New Roman" w:cs="Times New Roman"/>
          <w:sz w:val="24"/>
          <w:szCs w:val="24"/>
        </w:rPr>
        <w:t>Autores, C. d. (2009). Camagüey Ciego de Ávila. Guía de Arquitectura y Paisaje. Sevilla-Camagüey: [</w:t>
      </w:r>
      <w:proofErr w:type="spellStart"/>
      <w:r w:rsidRPr="003A0182">
        <w:rPr>
          <w:rFonts w:ascii="Times New Roman" w:hAnsi="Times New Roman" w:cs="Times New Roman"/>
          <w:sz w:val="24"/>
          <w:szCs w:val="24"/>
        </w:rPr>
        <w:t>s.n</w:t>
      </w:r>
      <w:proofErr w:type="spellEnd"/>
      <w:r w:rsidRPr="003A0182">
        <w:rPr>
          <w:rFonts w:ascii="Times New Roman" w:hAnsi="Times New Roman" w:cs="Times New Roman"/>
          <w:sz w:val="24"/>
          <w:szCs w:val="24"/>
        </w:rPr>
        <w:t xml:space="preserve">]. </w:t>
      </w:r>
    </w:p>
    <w:p w:rsidR="00525D11" w:rsidRPr="005405C5" w:rsidRDefault="00525D11" w:rsidP="00525D11">
      <w:pPr>
        <w:pStyle w:val="Prrafodelista"/>
        <w:numPr>
          <w:ilvl w:val="0"/>
          <w:numId w:val="19"/>
        </w:numPr>
        <w:spacing w:after="0" w:line="360" w:lineRule="auto"/>
        <w:jc w:val="both"/>
        <w:rPr>
          <w:rFonts w:ascii="Times New Roman" w:hAnsi="Times New Roman" w:cs="Times New Roman"/>
          <w:sz w:val="24"/>
          <w:szCs w:val="24"/>
        </w:rPr>
      </w:pPr>
      <w:r w:rsidRPr="005405C5">
        <w:rPr>
          <w:rFonts w:ascii="Times New Roman" w:hAnsi="Times New Roman" w:cs="Times New Roman"/>
          <w:sz w:val="24"/>
          <w:szCs w:val="24"/>
        </w:rPr>
        <w:t>Autores, C. d. (2009). Libro Patrimonio Mundial. Oficina del Historiador de la Ciudad de Camagüey. Camagüey, Camagüey, Cuba: El Lugareño, 2009.</w:t>
      </w:r>
    </w:p>
    <w:p w:rsidR="00525D11" w:rsidRDefault="00525D11" w:rsidP="00525D11">
      <w:pPr>
        <w:pStyle w:val="Prrafodelista"/>
        <w:numPr>
          <w:ilvl w:val="0"/>
          <w:numId w:val="19"/>
        </w:numPr>
        <w:spacing w:after="0" w:line="360" w:lineRule="auto"/>
        <w:jc w:val="both"/>
        <w:rPr>
          <w:rFonts w:ascii="Times New Roman" w:hAnsi="Times New Roman" w:cs="Times New Roman"/>
          <w:sz w:val="24"/>
          <w:szCs w:val="24"/>
        </w:rPr>
      </w:pPr>
      <w:r w:rsidRPr="003A0182">
        <w:rPr>
          <w:rFonts w:ascii="Times New Roman" w:hAnsi="Times New Roman" w:cs="Times New Roman"/>
          <w:sz w:val="24"/>
          <w:szCs w:val="24"/>
        </w:rPr>
        <w:t>León, A (2017). Evaluación critica de los estudios para la determinación del coeficiente de equivalencia a autos, Universidad de Camagüey ''Ignacio Agramonte Loynaz'', Camagüey, Cuba.</w:t>
      </w:r>
    </w:p>
    <w:p w:rsidR="00525D11" w:rsidRPr="005405C5" w:rsidRDefault="00525D11" w:rsidP="00525D11">
      <w:pPr>
        <w:pStyle w:val="Prrafodelista"/>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Power, A., </w:t>
      </w:r>
      <w:proofErr w:type="spellStart"/>
      <w:r>
        <w:rPr>
          <w:rFonts w:ascii="Times New Roman" w:hAnsi="Times New Roman" w:cs="Times New Roman"/>
          <w:sz w:val="24"/>
          <w:szCs w:val="24"/>
        </w:rPr>
        <w:t>Chavez</w:t>
      </w:r>
      <w:proofErr w:type="spellEnd"/>
      <w:r>
        <w:rPr>
          <w:rFonts w:ascii="Times New Roman" w:hAnsi="Times New Roman" w:cs="Times New Roman"/>
          <w:sz w:val="24"/>
          <w:szCs w:val="24"/>
        </w:rPr>
        <w:t xml:space="preserve">, Y. (2018). Determinación del coeficiente de equivalencia de bicicletas a autos ligeros en vías urbanas de la ciudad de Camagüey, </w:t>
      </w:r>
      <w:r w:rsidRPr="003A0182">
        <w:rPr>
          <w:rFonts w:ascii="Times New Roman" w:hAnsi="Times New Roman" w:cs="Times New Roman"/>
          <w:sz w:val="24"/>
          <w:szCs w:val="24"/>
        </w:rPr>
        <w:t>Universidad de Camagüey ''Ignacio Agramonte Loynaz'', Camagüey, Cuba.</w:t>
      </w:r>
    </w:p>
    <w:p w:rsidR="00525D11" w:rsidRDefault="00525D11" w:rsidP="00525D11">
      <w:pPr>
        <w:pStyle w:val="Prrafodelista"/>
        <w:numPr>
          <w:ilvl w:val="0"/>
          <w:numId w:val="19"/>
        </w:numPr>
        <w:spacing w:after="0" w:line="360" w:lineRule="auto"/>
        <w:jc w:val="both"/>
        <w:rPr>
          <w:rFonts w:ascii="Times New Roman" w:hAnsi="Times New Roman" w:cs="Times New Roman"/>
          <w:sz w:val="24"/>
          <w:szCs w:val="24"/>
        </w:rPr>
      </w:pPr>
      <w:r w:rsidRPr="005405C5">
        <w:rPr>
          <w:rFonts w:ascii="Times New Roman" w:hAnsi="Times New Roman" w:cs="Times New Roman"/>
          <w:sz w:val="24"/>
          <w:szCs w:val="24"/>
        </w:rPr>
        <w:t>Rey, L. (2013). Evaluación de la incidencia  del reordenamiento vial en el tránsito en el Centro Histórico  de la Ciudad de Camagüey. Tesis de maestría no publicada, Universidad de Camagüey ''Ignacio Agramonte Loynaz'', Camagüey.</w:t>
      </w:r>
    </w:p>
    <w:p w:rsidR="00525D11" w:rsidRDefault="00525D11" w:rsidP="00525D11">
      <w:pPr>
        <w:pStyle w:val="Prrafodelista"/>
        <w:numPr>
          <w:ilvl w:val="0"/>
          <w:numId w:val="19"/>
        </w:numPr>
        <w:spacing w:after="0" w:line="360" w:lineRule="auto"/>
        <w:jc w:val="both"/>
        <w:rPr>
          <w:rFonts w:ascii="Times New Roman" w:hAnsi="Times New Roman" w:cs="Times New Roman"/>
          <w:sz w:val="24"/>
          <w:szCs w:val="24"/>
        </w:rPr>
      </w:pPr>
      <w:bookmarkStart w:id="1" w:name="_ENREF_47"/>
      <w:r w:rsidRPr="00CC42D6">
        <w:rPr>
          <w:rFonts w:ascii="Times New Roman" w:hAnsi="Times New Roman" w:cs="Times New Roman"/>
          <w:sz w:val="24"/>
          <w:szCs w:val="24"/>
          <w:lang w:val="en-US"/>
        </w:rPr>
        <w:t>Wang, D., Feng, T. y Liang, C. (2008). Research on bicycle conversion factors [</w:t>
      </w:r>
      <w:proofErr w:type="spellStart"/>
      <w:r w:rsidRPr="00CC42D6">
        <w:rPr>
          <w:rFonts w:ascii="Times New Roman" w:hAnsi="Times New Roman" w:cs="Times New Roman"/>
          <w:sz w:val="24"/>
          <w:szCs w:val="24"/>
          <w:lang w:val="en-US"/>
        </w:rPr>
        <w:t>versión</w:t>
      </w:r>
      <w:proofErr w:type="spellEnd"/>
      <w:r w:rsidRPr="00CC42D6">
        <w:rPr>
          <w:rFonts w:ascii="Times New Roman" w:hAnsi="Times New Roman" w:cs="Times New Roman"/>
          <w:sz w:val="24"/>
          <w:szCs w:val="24"/>
          <w:lang w:val="en-US"/>
        </w:rPr>
        <w:t xml:space="preserve"> </w:t>
      </w:r>
      <w:proofErr w:type="spellStart"/>
      <w:r w:rsidRPr="00CC42D6">
        <w:rPr>
          <w:rFonts w:ascii="Times New Roman" w:hAnsi="Times New Roman" w:cs="Times New Roman"/>
          <w:sz w:val="24"/>
          <w:szCs w:val="24"/>
          <w:lang w:val="en-US"/>
        </w:rPr>
        <w:t>electrónica</w:t>
      </w:r>
      <w:proofErr w:type="spellEnd"/>
      <w:r w:rsidRPr="00CC42D6">
        <w:rPr>
          <w:rFonts w:ascii="Times New Roman" w:hAnsi="Times New Roman" w:cs="Times New Roman"/>
          <w:sz w:val="24"/>
          <w:szCs w:val="24"/>
          <w:lang w:val="en-US"/>
        </w:rPr>
        <w:t xml:space="preserve">]. </w:t>
      </w:r>
      <w:proofErr w:type="spellStart"/>
      <w:r w:rsidRPr="003A0182">
        <w:rPr>
          <w:rFonts w:ascii="Times New Roman" w:hAnsi="Times New Roman" w:cs="Times New Roman"/>
          <w:sz w:val="24"/>
          <w:szCs w:val="24"/>
        </w:rPr>
        <w:t>Transportation</w:t>
      </w:r>
      <w:proofErr w:type="spellEnd"/>
      <w:r w:rsidRPr="003A0182">
        <w:rPr>
          <w:rFonts w:ascii="Times New Roman" w:hAnsi="Times New Roman" w:cs="Times New Roman"/>
          <w:sz w:val="24"/>
          <w:szCs w:val="24"/>
        </w:rPr>
        <w:t xml:space="preserve"> </w:t>
      </w:r>
      <w:proofErr w:type="spellStart"/>
      <w:r w:rsidRPr="003A0182">
        <w:rPr>
          <w:rFonts w:ascii="Times New Roman" w:hAnsi="Times New Roman" w:cs="Times New Roman"/>
          <w:sz w:val="24"/>
          <w:szCs w:val="24"/>
        </w:rPr>
        <w:t>Research</w:t>
      </w:r>
      <w:proofErr w:type="spellEnd"/>
      <w:r w:rsidRPr="003A0182">
        <w:rPr>
          <w:rFonts w:ascii="Times New Roman" w:hAnsi="Times New Roman" w:cs="Times New Roman"/>
          <w:sz w:val="24"/>
          <w:szCs w:val="24"/>
        </w:rPr>
        <w:t xml:space="preserve"> </w:t>
      </w:r>
      <w:proofErr w:type="spellStart"/>
      <w:r w:rsidRPr="003A0182">
        <w:rPr>
          <w:rFonts w:ascii="Times New Roman" w:hAnsi="Times New Roman" w:cs="Times New Roman"/>
          <w:sz w:val="24"/>
          <w:szCs w:val="24"/>
        </w:rPr>
        <w:t>Part</w:t>
      </w:r>
      <w:proofErr w:type="spellEnd"/>
      <w:r w:rsidRPr="003A0182">
        <w:rPr>
          <w:rFonts w:ascii="Times New Roman" w:hAnsi="Times New Roman" w:cs="Times New Roman"/>
          <w:sz w:val="24"/>
          <w:szCs w:val="24"/>
        </w:rPr>
        <w:t xml:space="preserve"> A, 42, 1129-1139.</w:t>
      </w:r>
      <w:bookmarkEnd w:id="1"/>
    </w:p>
    <w:p w:rsidR="00D36D1C" w:rsidRPr="00525D11" w:rsidRDefault="00525D11" w:rsidP="00525D11">
      <w:pPr>
        <w:pStyle w:val="Prrafodelista"/>
        <w:numPr>
          <w:ilvl w:val="0"/>
          <w:numId w:val="19"/>
        </w:numPr>
        <w:spacing w:after="0" w:line="360" w:lineRule="auto"/>
        <w:jc w:val="both"/>
        <w:rPr>
          <w:rFonts w:ascii="Times New Roman" w:hAnsi="Times New Roman" w:cs="Times New Roman"/>
          <w:sz w:val="24"/>
          <w:szCs w:val="24"/>
        </w:rPr>
      </w:pPr>
      <w:proofErr w:type="spellStart"/>
      <w:r w:rsidRPr="005405C5">
        <w:rPr>
          <w:rFonts w:ascii="Times New Roman" w:hAnsi="Times New Roman" w:cs="Times New Roman"/>
          <w:sz w:val="24"/>
          <w:szCs w:val="24"/>
        </w:rPr>
        <w:t>Rahman</w:t>
      </w:r>
      <w:proofErr w:type="spellEnd"/>
      <w:r w:rsidRPr="005405C5">
        <w:rPr>
          <w:rFonts w:ascii="Times New Roman" w:hAnsi="Times New Roman" w:cs="Times New Roman"/>
          <w:sz w:val="24"/>
          <w:szCs w:val="24"/>
        </w:rPr>
        <w:t xml:space="preserve">, M. y </w:t>
      </w:r>
      <w:proofErr w:type="spellStart"/>
      <w:r w:rsidRPr="005405C5">
        <w:rPr>
          <w:rFonts w:ascii="Times New Roman" w:hAnsi="Times New Roman" w:cs="Times New Roman"/>
          <w:sz w:val="24"/>
          <w:szCs w:val="24"/>
        </w:rPr>
        <w:t>Nakamura</w:t>
      </w:r>
      <w:proofErr w:type="spellEnd"/>
      <w:r w:rsidRPr="005405C5">
        <w:rPr>
          <w:rFonts w:ascii="Times New Roman" w:hAnsi="Times New Roman" w:cs="Times New Roman"/>
          <w:sz w:val="24"/>
          <w:szCs w:val="24"/>
        </w:rPr>
        <w:t xml:space="preserve">, F. (2005). </w:t>
      </w:r>
      <w:r w:rsidRPr="005405C5">
        <w:rPr>
          <w:rFonts w:ascii="Times New Roman" w:hAnsi="Times New Roman" w:cs="Times New Roman"/>
          <w:sz w:val="24"/>
          <w:szCs w:val="24"/>
          <w:lang w:val="en-US"/>
        </w:rPr>
        <w:t>Measuring passenger car equivalents for non-motorized vehicle (Rickshaws) at mid-block sections [</w:t>
      </w:r>
      <w:proofErr w:type="spellStart"/>
      <w:r w:rsidRPr="005405C5">
        <w:rPr>
          <w:rFonts w:ascii="Times New Roman" w:hAnsi="Times New Roman" w:cs="Times New Roman"/>
          <w:sz w:val="24"/>
          <w:szCs w:val="24"/>
          <w:lang w:val="en-US"/>
        </w:rPr>
        <w:t>versión</w:t>
      </w:r>
      <w:proofErr w:type="spellEnd"/>
      <w:r w:rsidRPr="005405C5">
        <w:rPr>
          <w:rFonts w:ascii="Times New Roman" w:hAnsi="Times New Roman" w:cs="Times New Roman"/>
          <w:sz w:val="24"/>
          <w:szCs w:val="24"/>
          <w:lang w:val="en-US"/>
        </w:rPr>
        <w:t xml:space="preserve"> </w:t>
      </w:r>
      <w:proofErr w:type="spellStart"/>
      <w:r w:rsidRPr="005405C5">
        <w:rPr>
          <w:rFonts w:ascii="Times New Roman" w:hAnsi="Times New Roman" w:cs="Times New Roman"/>
          <w:sz w:val="24"/>
          <w:szCs w:val="24"/>
          <w:lang w:val="en-US"/>
        </w:rPr>
        <w:t>electrónica</w:t>
      </w:r>
      <w:proofErr w:type="spellEnd"/>
      <w:r w:rsidRPr="005405C5">
        <w:rPr>
          <w:rFonts w:ascii="Times New Roman" w:hAnsi="Times New Roman" w:cs="Times New Roman"/>
          <w:sz w:val="24"/>
          <w:szCs w:val="24"/>
          <w:lang w:val="en-US"/>
        </w:rPr>
        <w:t xml:space="preserve">]. </w:t>
      </w:r>
      <w:proofErr w:type="spellStart"/>
      <w:r w:rsidRPr="005405C5">
        <w:rPr>
          <w:rFonts w:ascii="Times New Roman" w:hAnsi="Times New Roman" w:cs="Times New Roman"/>
          <w:sz w:val="24"/>
          <w:szCs w:val="24"/>
        </w:rPr>
        <w:t>Journal</w:t>
      </w:r>
      <w:proofErr w:type="spellEnd"/>
      <w:r w:rsidRPr="005405C5">
        <w:rPr>
          <w:rFonts w:ascii="Times New Roman" w:hAnsi="Times New Roman" w:cs="Times New Roman"/>
          <w:sz w:val="24"/>
          <w:szCs w:val="24"/>
        </w:rPr>
        <w:t xml:space="preserve"> of </w:t>
      </w:r>
      <w:proofErr w:type="spellStart"/>
      <w:r w:rsidRPr="005405C5">
        <w:rPr>
          <w:rFonts w:ascii="Times New Roman" w:hAnsi="Times New Roman" w:cs="Times New Roman"/>
          <w:sz w:val="24"/>
          <w:szCs w:val="24"/>
        </w:rPr>
        <w:t>the</w:t>
      </w:r>
      <w:proofErr w:type="spellEnd"/>
      <w:r w:rsidRPr="005405C5">
        <w:rPr>
          <w:rFonts w:ascii="Times New Roman" w:hAnsi="Times New Roman" w:cs="Times New Roman"/>
          <w:sz w:val="24"/>
          <w:szCs w:val="24"/>
        </w:rPr>
        <w:t xml:space="preserve"> Eastern Asia </w:t>
      </w:r>
      <w:proofErr w:type="spellStart"/>
      <w:r w:rsidRPr="005405C5">
        <w:rPr>
          <w:rFonts w:ascii="Times New Roman" w:hAnsi="Times New Roman" w:cs="Times New Roman"/>
          <w:sz w:val="24"/>
          <w:szCs w:val="24"/>
        </w:rPr>
        <w:t>Society</w:t>
      </w:r>
      <w:proofErr w:type="spellEnd"/>
      <w:r w:rsidRPr="005405C5">
        <w:rPr>
          <w:rFonts w:ascii="Times New Roman" w:hAnsi="Times New Roman" w:cs="Times New Roman"/>
          <w:sz w:val="24"/>
          <w:szCs w:val="24"/>
        </w:rPr>
        <w:t xml:space="preserve"> </w:t>
      </w:r>
      <w:proofErr w:type="spellStart"/>
      <w:r w:rsidRPr="005405C5">
        <w:rPr>
          <w:rFonts w:ascii="Times New Roman" w:hAnsi="Times New Roman" w:cs="Times New Roman"/>
          <w:sz w:val="24"/>
          <w:szCs w:val="24"/>
        </w:rPr>
        <w:t>for</w:t>
      </w:r>
      <w:proofErr w:type="spellEnd"/>
      <w:r w:rsidRPr="005405C5">
        <w:rPr>
          <w:rFonts w:ascii="Times New Roman" w:hAnsi="Times New Roman" w:cs="Times New Roman"/>
          <w:sz w:val="24"/>
          <w:szCs w:val="24"/>
        </w:rPr>
        <w:t xml:space="preserve"> </w:t>
      </w:r>
      <w:proofErr w:type="spellStart"/>
      <w:r w:rsidRPr="005405C5">
        <w:rPr>
          <w:rFonts w:ascii="Times New Roman" w:hAnsi="Times New Roman" w:cs="Times New Roman"/>
          <w:sz w:val="24"/>
          <w:szCs w:val="24"/>
        </w:rPr>
        <w:t>Transportation</w:t>
      </w:r>
      <w:proofErr w:type="spellEnd"/>
      <w:r w:rsidRPr="005405C5">
        <w:rPr>
          <w:rFonts w:ascii="Times New Roman" w:hAnsi="Times New Roman" w:cs="Times New Roman"/>
          <w:sz w:val="24"/>
          <w:szCs w:val="24"/>
        </w:rPr>
        <w:t xml:space="preserve"> </w:t>
      </w:r>
      <w:proofErr w:type="spellStart"/>
      <w:r w:rsidRPr="005405C5">
        <w:rPr>
          <w:rFonts w:ascii="Times New Roman" w:hAnsi="Times New Roman" w:cs="Times New Roman"/>
          <w:sz w:val="24"/>
          <w:szCs w:val="24"/>
        </w:rPr>
        <w:t>Studies</w:t>
      </w:r>
      <w:proofErr w:type="spellEnd"/>
      <w:r w:rsidRPr="005405C5">
        <w:rPr>
          <w:rFonts w:ascii="Times New Roman" w:hAnsi="Times New Roman" w:cs="Times New Roman"/>
          <w:sz w:val="24"/>
          <w:szCs w:val="24"/>
        </w:rPr>
        <w:t>, 6, 119-126.</w:t>
      </w:r>
    </w:p>
    <w:sectPr w:rsidR="00D36D1C" w:rsidRPr="00525D11" w:rsidSect="00FE0E25">
      <w:headerReference w:type="default" r:id="rId22"/>
      <w:pgSz w:w="11906" w:h="16838"/>
      <w:pgMar w:top="1417" w:right="1701" w:bottom="1417"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D22" w:rsidRDefault="00917D22" w:rsidP="00C8585B">
      <w:pPr>
        <w:spacing w:after="0" w:line="240" w:lineRule="auto"/>
      </w:pPr>
      <w:r>
        <w:separator/>
      </w:r>
    </w:p>
  </w:endnote>
  <w:endnote w:type="continuationSeparator" w:id="0">
    <w:p w:rsidR="00917D22" w:rsidRDefault="00917D2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D22" w:rsidRDefault="00917D22" w:rsidP="00C8585B">
      <w:pPr>
        <w:spacing w:after="0" w:line="240" w:lineRule="auto"/>
      </w:pPr>
      <w:r>
        <w:separator/>
      </w:r>
    </w:p>
  </w:footnote>
  <w:footnote w:type="continuationSeparator" w:id="0">
    <w:p w:rsidR="00917D22" w:rsidRDefault="00917D2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02" w:rsidRPr="00525D11" w:rsidRDefault="00640758" w:rsidP="00525D11">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5389676</wp:posOffset>
          </wp:positionH>
          <wp:positionV relativeFrom="paragraph">
            <wp:posOffset>-170264</wp:posOffset>
          </wp:positionV>
          <wp:extent cx="577970" cy="676610"/>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154" cy="697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D11" w:rsidRPr="00525D11">
      <w:rPr>
        <w:rFonts w:ascii="Times New Roman" w:hAnsi="Times New Roman" w:cs="Times New Roman"/>
        <w:b/>
        <w:sz w:val="24"/>
      </w:rPr>
      <w:t>12</w:t>
    </w:r>
    <w:r w:rsidR="00525D11" w:rsidRPr="00525D11">
      <w:rPr>
        <w:rFonts w:ascii="Times New Roman" w:hAnsi="Times New Roman" w:cs="Times New Roman"/>
        <w:b/>
        <w:sz w:val="24"/>
        <w:vertAlign w:val="superscript"/>
      </w:rPr>
      <w:t>no</w:t>
    </w:r>
    <w:r w:rsidR="00525D11" w:rsidRPr="00525D11">
      <w:rPr>
        <w:rFonts w:ascii="Times New Roman" w:hAnsi="Times New Roman" w:cs="Times New Roman"/>
        <w:b/>
        <w:sz w:val="24"/>
      </w:rPr>
      <w:t xml:space="preserve"> SIMPOSIO INTERNACIONAL DE ESTRUCTURAS, GEOTECNIA Y MATERIALES DE CONSTRUCCIÓN</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rightMargin">
            <wp:posOffset>34074</wp:posOffset>
          </wp:positionH>
          <wp:positionV relativeFrom="paragraph">
            <wp:posOffset>130810</wp:posOffset>
          </wp:positionV>
          <wp:extent cx="569223" cy="636599"/>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9223" cy="6365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1598" w:rsidRPr="00525D11" w:rsidRDefault="00525D11" w:rsidP="00525D11">
    <w:pPr>
      <w:spacing w:after="160" w:line="360" w:lineRule="auto"/>
      <w:jc w:val="center"/>
      <w:rPr>
        <w:rFonts w:ascii="Arial Narrow" w:eastAsia="Calibri" w:hAnsi="Arial Narrow"/>
        <w:b/>
        <w:bCs/>
        <w:sz w:val="24"/>
        <w:szCs w:val="24"/>
      </w:rPr>
    </w:pPr>
    <w:r w:rsidRPr="00530462">
      <w:rPr>
        <w:rFonts w:ascii="Arial Narrow" w:eastAsia="Calibri" w:hAnsi="Arial Narrow"/>
        <w:b/>
        <w:sz w:val="24"/>
        <w:szCs w:val="24"/>
      </w:rPr>
      <w:t xml:space="preserve">TERCER COLOQUIO DE </w:t>
    </w:r>
    <w:r w:rsidRPr="00530462">
      <w:rPr>
        <w:rFonts w:ascii="Arial Narrow" w:eastAsia="Calibri" w:hAnsi="Arial Narrow"/>
        <w:b/>
        <w:bCs/>
        <w:sz w:val="24"/>
        <w:szCs w:val="24"/>
      </w:rPr>
      <w:t>INGENIE</w:t>
    </w:r>
    <w:r>
      <w:rPr>
        <w:rFonts w:ascii="Arial Narrow" w:eastAsia="Calibri" w:hAnsi="Arial Narrow"/>
        <w:b/>
        <w:bCs/>
        <w:sz w:val="24"/>
        <w:szCs w:val="24"/>
      </w:rPr>
      <w:t>RIA VIAL Y OBRAS DEL TRANSPORTE</w:t>
    </w: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5pt;height:10.95pt" o:bullet="t">
        <v:imagedata r:id="rId1" o:title="msoB04D"/>
      </v:shape>
    </w:pict>
  </w:numPicBullet>
  <w:abstractNum w:abstractNumId="0" w15:restartNumberingAfterBreak="0">
    <w:nsid w:val="01ED0808"/>
    <w:multiLevelType w:val="hybridMultilevel"/>
    <w:tmpl w:val="B0B83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46048"/>
    <w:multiLevelType w:val="hybridMultilevel"/>
    <w:tmpl w:val="0A1E99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21504D"/>
    <w:multiLevelType w:val="hybridMultilevel"/>
    <w:tmpl w:val="B71AD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DA5A52"/>
    <w:multiLevelType w:val="hybridMultilevel"/>
    <w:tmpl w:val="A592638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D561895"/>
    <w:multiLevelType w:val="hybridMultilevel"/>
    <w:tmpl w:val="8CC01774"/>
    <w:lvl w:ilvl="0" w:tplc="8DA46462">
      <w:numFmt w:val="bullet"/>
      <w:lvlText w:val="-"/>
      <w:lvlJc w:val="left"/>
      <w:pPr>
        <w:ind w:left="2160" w:hanging="360"/>
      </w:pPr>
      <w:rPr>
        <w:rFonts w:ascii="Times New Roman" w:eastAsia="Times New Roman"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15:restartNumberingAfterBreak="0">
    <w:nsid w:val="1E5E3E1E"/>
    <w:multiLevelType w:val="hybridMultilevel"/>
    <w:tmpl w:val="C9D82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F33FDE"/>
    <w:multiLevelType w:val="hybridMultilevel"/>
    <w:tmpl w:val="AFB2D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2B5163"/>
    <w:multiLevelType w:val="hybridMultilevel"/>
    <w:tmpl w:val="2DB4C6E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284E0E"/>
    <w:multiLevelType w:val="hybridMultilevel"/>
    <w:tmpl w:val="52B8E15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45074E"/>
    <w:multiLevelType w:val="hybridMultilevel"/>
    <w:tmpl w:val="F0D83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8B3A6B"/>
    <w:multiLevelType w:val="hybridMultilevel"/>
    <w:tmpl w:val="EC169236"/>
    <w:lvl w:ilvl="0" w:tplc="AB9ACD7C">
      <w:start w:val="1"/>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D15118"/>
    <w:multiLevelType w:val="hybridMultilevel"/>
    <w:tmpl w:val="A7D063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F94CD2"/>
    <w:multiLevelType w:val="hybridMultilevel"/>
    <w:tmpl w:val="A6129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88D02C0"/>
    <w:multiLevelType w:val="hybridMultilevel"/>
    <w:tmpl w:val="77F8FD56"/>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4A124DBF"/>
    <w:multiLevelType w:val="hybridMultilevel"/>
    <w:tmpl w:val="DF4857C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7A2FAB"/>
    <w:multiLevelType w:val="hybridMultilevel"/>
    <w:tmpl w:val="FBFA45D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E240C24"/>
    <w:multiLevelType w:val="hybridMultilevel"/>
    <w:tmpl w:val="CDD87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7B2C98"/>
    <w:multiLevelType w:val="hybridMultilevel"/>
    <w:tmpl w:val="06D42C7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7051B33"/>
    <w:multiLevelType w:val="hybridMultilevel"/>
    <w:tmpl w:val="6D6AF2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B50F3F"/>
    <w:multiLevelType w:val="hybridMultilevel"/>
    <w:tmpl w:val="1F1E4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9A5732"/>
    <w:multiLevelType w:val="hybridMultilevel"/>
    <w:tmpl w:val="AC3AAA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393AD8"/>
    <w:multiLevelType w:val="hybridMultilevel"/>
    <w:tmpl w:val="7BFCE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A60927"/>
    <w:multiLevelType w:val="hybridMultilevel"/>
    <w:tmpl w:val="F0A0CFF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8"/>
  </w:num>
  <w:num w:numId="4">
    <w:abstractNumId w:val="22"/>
  </w:num>
  <w:num w:numId="5">
    <w:abstractNumId w:val="15"/>
  </w:num>
  <w:num w:numId="6">
    <w:abstractNumId w:val="14"/>
  </w:num>
  <w:num w:numId="7">
    <w:abstractNumId w:val="19"/>
  </w:num>
  <w:num w:numId="8">
    <w:abstractNumId w:val="18"/>
  </w:num>
  <w:num w:numId="9">
    <w:abstractNumId w:val="1"/>
  </w:num>
  <w:num w:numId="10">
    <w:abstractNumId w:val="23"/>
  </w:num>
  <w:num w:numId="11">
    <w:abstractNumId w:val="11"/>
  </w:num>
  <w:num w:numId="12">
    <w:abstractNumId w:val="2"/>
  </w:num>
  <w:num w:numId="13">
    <w:abstractNumId w:val="7"/>
  </w:num>
  <w:num w:numId="14">
    <w:abstractNumId w:val="20"/>
  </w:num>
  <w:num w:numId="15">
    <w:abstractNumId w:val="9"/>
  </w:num>
  <w:num w:numId="16">
    <w:abstractNumId w:val="5"/>
  </w:num>
  <w:num w:numId="17">
    <w:abstractNumId w:val="12"/>
  </w:num>
  <w:num w:numId="18">
    <w:abstractNumId w:val="16"/>
  </w:num>
  <w:num w:numId="19">
    <w:abstractNumId w:val="17"/>
  </w:num>
  <w:num w:numId="20">
    <w:abstractNumId w:val="0"/>
  </w:num>
  <w:num w:numId="21">
    <w:abstractNumId w:val="13"/>
  </w:num>
  <w:num w:numId="22">
    <w:abstractNumId w:val="6"/>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18D0"/>
    <w:rsid w:val="00046F14"/>
    <w:rsid w:val="000C14DC"/>
    <w:rsid w:val="00114C82"/>
    <w:rsid w:val="0012608A"/>
    <w:rsid w:val="002C4923"/>
    <w:rsid w:val="002E0882"/>
    <w:rsid w:val="002E272A"/>
    <w:rsid w:val="003068F5"/>
    <w:rsid w:val="00362E5F"/>
    <w:rsid w:val="00403285"/>
    <w:rsid w:val="005072CC"/>
    <w:rsid w:val="00525D11"/>
    <w:rsid w:val="005754D8"/>
    <w:rsid w:val="005E2497"/>
    <w:rsid w:val="006271E4"/>
    <w:rsid w:val="00640758"/>
    <w:rsid w:val="00667F10"/>
    <w:rsid w:val="00712A31"/>
    <w:rsid w:val="007469AE"/>
    <w:rsid w:val="007559FA"/>
    <w:rsid w:val="0088159E"/>
    <w:rsid w:val="008A1C16"/>
    <w:rsid w:val="008A2E7E"/>
    <w:rsid w:val="008B06F8"/>
    <w:rsid w:val="009061A5"/>
    <w:rsid w:val="0091621C"/>
    <w:rsid w:val="00917D22"/>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E0E2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DD683"/>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Style24">
    <w:name w:val="Style24"/>
    <w:basedOn w:val="Normal"/>
    <w:uiPriority w:val="99"/>
    <w:rsid w:val="00525D11"/>
    <w:pPr>
      <w:widowControl w:val="0"/>
      <w:autoSpaceDE w:val="0"/>
      <w:autoSpaceDN w:val="0"/>
      <w:adjustRightInd w:val="0"/>
      <w:spacing w:after="0" w:line="240" w:lineRule="auto"/>
    </w:pPr>
    <w:rPr>
      <w:rFonts w:ascii="Angsana New" w:eastAsiaTheme="minorEastAsia" w:hAnsi="Angsana New" w:cs="Times New Roman"/>
      <w:sz w:val="24"/>
      <w:szCs w:val="24"/>
      <w:lang w:val="en-US"/>
    </w:rPr>
  </w:style>
  <w:style w:type="table" w:styleId="Tablaconcuadrcula">
    <w:name w:val="Table Grid"/>
    <w:basedOn w:val="Tablanormal"/>
    <w:uiPriority w:val="39"/>
    <w:rsid w:val="0052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a.rey@reduc.edu.c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ileana.cadenas@reduc.edu.cu" TargetMode="External"/><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FE0D-85F4-4C35-8CAC-768A9389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4473</Words>
  <Characters>24602</Characters>
  <Application>Microsoft Office Word</Application>
  <DocSecurity>0</DocSecurity>
  <Lines>205</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OCM</cp:lastModifiedBy>
  <cp:revision>6</cp:revision>
  <cp:lastPrinted>2017-03-02T19:45:00Z</cp:lastPrinted>
  <dcterms:created xsi:type="dcterms:W3CDTF">2018-11-08T20:40:00Z</dcterms:created>
  <dcterms:modified xsi:type="dcterms:W3CDTF">2019-04-22T13:20:00Z</dcterms:modified>
</cp:coreProperties>
</file>