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2.xlsx" ContentType="application/vnd.openxmlformats-officedocument.spreadsheetml.sheet"/>
  <Override PartName="/word/embeddings/oleObject1.xlsx" ContentType="application/vnd.openxmlformats-officedocument.spreadsheetml.sheet"/>
  <Override PartName="/word/media/image6.png" ContentType="image/png"/>
  <Override PartName="/word/media/image7.png" ContentType="image/png"/>
  <Override PartName="/word/media/image5.emf" ContentType="image/x-emf"/>
  <Override PartName="/word/media/image1.wmf" ContentType="image/x-wmf"/>
  <Override PartName="/word/media/image2.emf" ContentType="image/x-emf"/>
  <Override PartName="/word/media/image3.wmf" ContentType="image/x-wmf"/>
  <Override PartName="/word/media/image4.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lang w:val="en-US"/>
        </w:rPr>
      </w:pPr>
      <w:r>
        <w:rPr>
          <w:rFonts w:cs="Times New Roman" w:ascii="Times New Roman" w:hAnsi="Times New Roman"/>
          <w:b/>
          <w:sz w:val="28"/>
          <w:szCs w:val="28"/>
          <w:lang w:val="en-US"/>
        </w:rPr>
        <w:t>NAME OF SUB EVENT</w:t>
      </w:r>
    </w:p>
    <w:p>
      <w:pPr>
        <w:pStyle w:val="Normal"/>
        <w:spacing w:before="0" w:after="0"/>
        <w:jc w:val="center"/>
        <w:rPr>
          <w:sz w:val="20"/>
        </w:rPr>
      </w:pPr>
      <w:r>
        <w:rPr>
          <w:rFonts w:cs="Times New Roman" w:ascii="Times New Roman" w:hAnsi="Times New Roman"/>
          <w:sz w:val="24"/>
          <w:szCs w:val="24"/>
          <w:lang w:val="en-US"/>
        </w:rPr>
        <w:t>International Workshop on Internet of Things and Artificial Intelligence (IoTAI2019)</w:t>
      </w:r>
    </w:p>
    <w:p>
      <w:pPr>
        <w:pStyle w:val="Normal"/>
        <w:spacing w:before="0" w:after="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Title</w:t>
      </w:r>
    </w:p>
    <w:p>
      <w:pPr>
        <w:pStyle w:val="Normal"/>
        <w:spacing w:before="0" w:after="0"/>
        <w:jc w:val="center"/>
        <w:rPr/>
      </w:pPr>
      <w:r>
        <w:rPr>
          <w:rFonts w:cs="Times New Roman" w:ascii="Times New Roman" w:hAnsi="Times New Roman"/>
          <w:sz w:val="24"/>
          <w:szCs w:val="24"/>
          <w:lang w:val="en-US"/>
        </w:rPr>
        <w:t>Feature Selection for Automatic Speech Recognition in Noisy Scenarios</w:t>
      </w:r>
    </w:p>
    <w:p>
      <w:pPr>
        <w:pStyle w:val="Normal"/>
        <w:spacing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pPr>
      <w:r>
        <w:rPr>
          <w:rFonts w:cs="Times New Roman" w:ascii="Times New Roman" w:hAnsi="Times New Roman"/>
          <w:b/>
          <w:sz w:val="24"/>
          <w:szCs w:val="24"/>
          <w:lang w:val="en-US"/>
        </w:rPr>
        <w:t>Jose M. Ramirez</w:t>
      </w:r>
      <w:r>
        <w:rPr>
          <w:rFonts w:cs="Times New Roman" w:ascii="Times New Roman" w:hAnsi="Times New Roman"/>
          <w:b/>
          <w:sz w:val="24"/>
          <w:szCs w:val="24"/>
          <w:vertAlign w:val="superscript"/>
          <w:lang w:val="en-US"/>
        </w:rPr>
        <w:t>1</w:t>
      </w:r>
      <w:r>
        <w:rPr>
          <w:rFonts w:cs="Times New Roman" w:ascii="Times New Roman" w:hAnsi="Times New Roman"/>
          <w:b/>
          <w:sz w:val="24"/>
          <w:szCs w:val="24"/>
          <w:lang w:val="en-US"/>
        </w:rPr>
        <w:t>, Ana Montalvo</w:t>
      </w:r>
      <w:r>
        <w:rPr>
          <w:rFonts w:cs="Times New Roman" w:ascii="Times New Roman" w:hAnsi="Times New Roman"/>
          <w:b/>
          <w:sz w:val="24"/>
          <w:szCs w:val="24"/>
          <w:vertAlign w:val="superscript"/>
          <w:lang w:val="en-US"/>
        </w:rPr>
        <w:t>2</w:t>
      </w:r>
      <w:r>
        <w:rPr>
          <w:rFonts w:cs="Times New Roman" w:ascii="Times New Roman" w:hAnsi="Times New Roman"/>
          <w:b/>
          <w:sz w:val="24"/>
          <w:szCs w:val="24"/>
          <w:lang w:val="en-US"/>
        </w:rPr>
        <w:t>, José R. Calvo</w:t>
      </w:r>
      <w:r>
        <w:rPr>
          <w:rFonts w:cs="Times New Roman" w:ascii="Times New Roman" w:hAnsi="Times New Roman"/>
          <w:b/>
          <w:sz w:val="24"/>
          <w:szCs w:val="24"/>
          <w:vertAlign w:val="superscript"/>
          <w:lang w:val="en-US"/>
        </w:rPr>
        <w:t>3</w:t>
      </w:r>
    </w:p>
    <w:p>
      <w:pPr>
        <w:pStyle w:val="Normal"/>
        <w:spacing w:lineRule="auto" w:line="36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rPr/>
      </w:pPr>
      <w:r>
        <w:rPr>
          <w:rFonts w:cs="Times New Roman" w:ascii="Times New Roman" w:hAnsi="Times New Roman"/>
          <w:sz w:val="24"/>
          <w:szCs w:val="24"/>
          <w:lang w:val="en-US"/>
        </w:rPr>
        <w:t xml:space="preserve">1-José Manuel Ramírez Sánchez. CENATAV, Cuba, </w:t>
      </w:r>
      <w:hyperlink r:id="rId2">
        <w:r>
          <w:rPr>
            <w:rStyle w:val="EnlacedeInternet"/>
            <w:rFonts w:cs="Times New Roman" w:ascii="Times New Roman" w:hAnsi="Times New Roman"/>
            <w:sz w:val="24"/>
            <w:szCs w:val="24"/>
            <w:lang w:val="en-US"/>
          </w:rPr>
          <w:t>jsanchez@cenatav.co.cu</w:t>
        </w:r>
      </w:hyperlink>
      <w:r>
        <w:rPr>
          <w:rFonts w:cs="Times New Roman" w:ascii="Times New Roman" w:hAnsi="Times New Roman"/>
          <w:sz w:val="24"/>
          <w:szCs w:val="24"/>
          <w:lang w:val="en-US"/>
        </w:rPr>
        <w:t>:</w:t>
      </w:r>
    </w:p>
    <w:p>
      <w:pPr>
        <w:pStyle w:val="Normal"/>
        <w:spacing w:lineRule="auto" w:line="360" w:before="0" w:after="0"/>
        <w:rPr/>
      </w:pPr>
      <w:r>
        <w:rPr>
          <w:rFonts w:cs="Times New Roman" w:ascii="Times New Roman" w:hAnsi="Times New Roman"/>
          <w:sz w:val="24"/>
          <w:szCs w:val="24"/>
          <w:lang w:val="en-US"/>
        </w:rPr>
        <w:t xml:space="preserve">2-Ana Rosa Montalvo Bereau. CENATAV, Cuba, </w:t>
      </w:r>
      <w:hyperlink r:id="rId3">
        <w:r>
          <w:rPr>
            <w:rStyle w:val="EnlacedeInternet"/>
            <w:rFonts w:cs="Times New Roman" w:ascii="Times New Roman" w:hAnsi="Times New Roman"/>
            <w:sz w:val="24"/>
            <w:szCs w:val="24"/>
            <w:lang w:val="en-US"/>
          </w:rPr>
          <w:t>amontalvo@cenatav.co.cu</w:t>
        </w:r>
      </w:hyperlink>
      <w:r>
        <w:rPr>
          <w:rFonts w:cs="Times New Roman" w:ascii="Times New Roman" w:hAnsi="Times New Roman"/>
          <w:sz w:val="24"/>
          <w:szCs w:val="24"/>
          <w:lang w:val="en-US"/>
        </w:rPr>
        <w:t>:</w:t>
      </w:r>
    </w:p>
    <w:p>
      <w:pPr>
        <w:pStyle w:val="Normal"/>
        <w:spacing w:lineRule="auto" w:line="360" w:before="0" w:after="0"/>
        <w:rPr/>
      </w:pPr>
      <w:r>
        <w:rPr>
          <w:rFonts w:cs="Times New Roman" w:ascii="Times New Roman" w:hAnsi="Times New Roman"/>
          <w:sz w:val="24"/>
          <w:szCs w:val="24"/>
          <w:lang w:val="en-US"/>
        </w:rPr>
        <w:t xml:space="preserve">3-José Ramón Calvo de Lara. CENATAV, Cuba, </w:t>
      </w:r>
      <w:hyperlink r:id="rId4">
        <w:r>
          <w:rPr>
            <w:rStyle w:val="EnlacedeInternet"/>
            <w:rFonts w:cs="Times New Roman" w:ascii="Times New Roman" w:hAnsi="Times New Roman"/>
            <w:sz w:val="24"/>
            <w:szCs w:val="24"/>
            <w:lang w:val="en-US"/>
          </w:rPr>
          <w:t>jcalvo@cenatav.co.cu</w:t>
        </w:r>
      </w:hyperlink>
      <w:r>
        <w:rPr>
          <w:rFonts w:cs="Times New Roman" w:ascii="Times New Roman" w:hAnsi="Times New Roman"/>
          <w:sz w:val="24"/>
          <w:szCs w:val="24"/>
          <w:lang w:val="en-US"/>
        </w:rPr>
        <w:t>.</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pPr>
      <w:r>
        <w:rPr>
          <w:rFonts w:cs="Times New Roman" w:ascii="Times New Roman" w:hAnsi="Times New Roman"/>
          <w:b/>
          <w:i/>
          <w:sz w:val="24"/>
          <w:szCs w:val="24"/>
          <w:lang w:val="en-US"/>
        </w:rPr>
        <w:t>Abstract:</w:t>
      </w:r>
      <w:r>
        <w:rPr>
          <w:rFonts w:cs="Times New Roman" w:ascii="Times New Roman" w:hAnsi="Times New Roman"/>
          <w:sz w:val="24"/>
          <w:szCs w:val="24"/>
          <w:lang w:val="en-US"/>
        </w:rPr>
        <w:t xml:space="preserve"> </w:t>
      </w:r>
      <w:r>
        <w:rPr>
          <w:rFonts w:cs="Times New Roman" w:ascii="Times New Roman" w:hAnsi="Times New Roman"/>
          <w:i/>
          <w:iCs/>
          <w:sz w:val="24"/>
          <w:szCs w:val="24"/>
          <w:lang w:val="en-US"/>
        </w:rPr>
        <w:t>The present investigation will evaluate the impact of Mel Frequency Cepstral Coefficients (MFCC) and the Perceptual Linear Predictors (PLP) coefficients, in the word error rate (WER) of systems dedicated to Automatic Speech Recognition (ASR) for Spanish in scenarios with unknown noise levels using the state-of-the-art tool-kit Kaldi. Conclusions will be given on how the selection of the acoustic feature MFCC improves the WER for identical acoustic models, providing evidence on the robustness of the MFCC in the task of ASR in noisy scenarios.</w:t>
      </w:r>
    </w:p>
    <w:p>
      <w:pPr>
        <w:pStyle w:val="Normal"/>
        <w:spacing w:lineRule="auto" w:line="360" w:before="0" w:after="0"/>
        <w:jc w:val="both"/>
        <w:rPr/>
      </w:pPr>
      <w:r>
        <w:rPr>
          <w:rFonts w:cs="Times New Roman" w:ascii="Times New Roman" w:hAnsi="Times New Roman"/>
          <w:b/>
          <w:i/>
          <w:sz w:val="24"/>
          <w:szCs w:val="24"/>
          <w:lang w:val="en-US"/>
        </w:rPr>
        <w:t>Keywords:</w:t>
      </w:r>
      <w:r>
        <w:rPr>
          <w:rFonts w:cs="Times New Roman" w:ascii="Times New Roman" w:hAnsi="Times New Roman"/>
          <w:sz w:val="24"/>
          <w:szCs w:val="24"/>
          <w:lang w:val="en-US"/>
        </w:rPr>
        <w:t xml:space="preserve"> </w:t>
      </w:r>
      <w:r>
        <w:rPr>
          <w:rFonts w:cs="Times New Roman" w:ascii="Times New Roman" w:hAnsi="Times New Roman"/>
          <w:i/>
          <w:iCs/>
          <w:sz w:val="24"/>
          <w:szCs w:val="24"/>
          <w:lang w:val="en-US"/>
        </w:rPr>
        <w:t>Automatic Speech Recognition; Acoustic Features; Kaldi.</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1. Introduction</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Speech Recognition (ASR) is a research area that aims to solve the task of recognizing the speech contained in an acoustic signal given any speaker, environment or language. A fundamental problem in the area of the ASR is to obtain a compact coding of the waveform of the audio signal that contains speech, which minimizes information loss. The result of this coding is known as acoustic features and the scientific community, recognizes Mel-Frequency Cepstral Coefficients (MFCC) [1] and the Perceptual Linear Prediction coefficients (PLP) [2] as state of the art. The effectiveness of any ASR system can be measured in terms of errors committed in relation to the total number of elements to be recognized. In the case of the ASR, this measure is known as the wordrecognition error rate (WER), defined as:</w:t>
      </w:r>
    </w:p>
    <w:p>
      <w:pPr>
        <w:pStyle w:val="Normal"/>
        <w:spacing w:lineRule="auto" w:line="360" w:before="0" w:after="0"/>
        <w:jc w:val="center"/>
        <w:rPr/>
      </w:pPr>
      <w:r>
        <w:rPr/>
      </w:r>
      <m:oMath xmlns:m="http://schemas.openxmlformats.org/officeDocument/2006/math">
        <m:r>
          <w:rPr>
            <w:rFonts w:ascii="Cambria Math" w:hAnsi="Cambria Math"/>
          </w:rPr>
          <m:t xml:space="preserve">WER</m:t>
        </m:r>
        <m:r>
          <w:rPr>
            <w:rFonts w:ascii="Cambria Math" w:hAnsi="Cambria Math"/>
          </w:rPr>
          <m:t xml:space="preserve">=</m:t>
        </m:r>
        <m:r>
          <w:rPr>
            <w:rFonts w:ascii="Cambria Math" w:hAnsi="Cambria Math"/>
          </w:rPr>
          <m:t xml:space="preserve">100</m:t>
        </m:r>
        <m:r>
          <w:rPr>
            <w:rFonts w:ascii="Cambria Math" w:hAnsi="Cambria Math"/>
          </w:rPr>
          <m:t xml:space="preserve">∗</m:t>
        </m:r>
        <m:d>
          <m:dPr>
            <m:begChr m:val="("/>
            <m:endChr m:val=")"/>
          </m:dPr>
          <m:e>
            <m:f>
              <m:num>
                <m:r>
                  <w:rPr>
                    <w:rFonts w:ascii="Cambria Math" w:hAnsi="Cambria Math"/>
                  </w:rPr>
                  <m:t xml:space="preserve">INS</m:t>
                </m:r>
                <m:r>
                  <w:rPr>
                    <w:rFonts w:ascii="Cambria Math" w:hAnsi="Cambria Math"/>
                  </w:rPr>
                  <m:t xml:space="preserve">+</m:t>
                </m:r>
                <m:r>
                  <m:rPr>
                    <m:lit/>
                    <m:nor/>
                  </m:rPr>
                  <w:rPr>
                    <w:rFonts w:ascii="Cambria Math" w:hAnsi="Cambria Math"/>
                  </w:rPr>
                  <m:t xml:space="preserve">SUB</m:t>
                </m:r>
                <m:r>
                  <w:rPr>
                    <w:rFonts w:ascii="Cambria Math" w:hAnsi="Cambria Math"/>
                  </w:rPr>
                  <m:t xml:space="preserve">+</m:t>
                </m:r>
                <m:r>
                  <w:rPr>
                    <w:rFonts w:ascii="Cambria Math" w:hAnsi="Cambria Math"/>
                  </w:rPr>
                  <m:t xml:space="preserve">DEL</m:t>
                </m:r>
              </m:num>
              <m:den>
                <m:r>
                  <w:rPr>
                    <w:rFonts w:ascii="Cambria Math" w:hAnsi="Cambria Math"/>
                  </w:rPr>
                  <m:t xml:space="preserve">N</m:t>
                </m:r>
              </m:den>
            </m:f>
          </m:e>
        </m:d>
      </m:oMath>
    </w:p>
    <w:p>
      <w:pPr>
        <w:pStyle w:val="Normal"/>
        <w:spacing w:lineRule="auto" w:line="360" w:before="0" w:after="0"/>
        <w:jc w:val="both"/>
        <w:rPr/>
      </w:pPr>
      <w:r>
        <w:rPr>
          <w:rFonts w:cs="Times New Roman" w:ascii="Times New Roman" w:hAnsi="Times New Roman"/>
          <w:sz w:val="24"/>
          <w:szCs w:val="24"/>
          <w:lang w:val="en-US"/>
        </w:rPr>
        <w:t>where N is the number of words present in the phrase to be transcribed; INS, SUB and DEL are the number of errors made by insertion, substitution and omission of words in the transcript made by the ASR system. The current systems of ASR offer WER around 50% for the most complex tasks and about 1% for tasks of transcription of digits and letters, under controlled conditions. One of the unsolved problems of the ASR field is determined by the lack of consensus in the scientific community about which acoustic feature, MFCC or PLP coefficients, offer greater effectiveness. The theoretical value of the research presented here is that it provides evidence about the robustness of the MFCC as an acoustic feature used in the ASR in noisy scenarios compared to the PLP</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pPr>
      <w:r>
        <w:rPr>
          <w:rFonts w:cs="Times New Roman" w:ascii="Times New Roman" w:hAnsi="Times New Roman"/>
          <w:b/>
          <w:sz w:val="24"/>
          <w:szCs w:val="24"/>
        </w:rPr>
        <w:t>2. Methodology</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pPr>
      <w:r>
        <w:rPr>
          <w:rFonts w:cs="Times New Roman" w:ascii="Times New Roman" w:hAnsi="Times New Roman"/>
          <w:b/>
          <w:sz w:val="24"/>
          <w:szCs w:val="24"/>
        </w:rPr>
        <w:t>2.1  Speech Acoustic Features</w:t>
      </w:r>
    </w:p>
    <w:p>
      <w:pPr>
        <w:pStyle w:val="Normal"/>
        <w:spacing w:lineRule="auto" w:line="360" w:before="0" w:after="0"/>
        <w:jc w:val="both"/>
        <w:rPr/>
      </w:pPr>
      <w:r>
        <w:rPr>
          <w:rFonts w:cs="Times New Roman" w:ascii="Times New Roman" w:hAnsi="Times New Roman"/>
          <w:b/>
          <w:bCs/>
          <w:sz w:val="24"/>
          <w:szCs w:val="24"/>
          <w:lang w:val="en-US" w:eastAsia="en-US" w:bidi="ar-SA"/>
        </w:rPr>
        <w:t xml:space="preserve">Mel-Frequency Cepstral Coefficients </w:t>
      </w:r>
      <w:r>
        <w:rPr>
          <w:rFonts w:cs="Times New Roman" w:ascii="Times New Roman" w:hAnsi="Times New Roman"/>
          <w:b w:val="false"/>
          <w:bCs w:val="false"/>
          <w:sz w:val="24"/>
          <w:szCs w:val="24"/>
          <w:lang w:val="en-US" w:eastAsia="en-US" w:bidi="ar-SA"/>
        </w:rPr>
        <w:t>Feature extraction begins with a sequence of transformations that begins with the windowing of the given speech segment through a Hamming Window of length 20 ms, and then a short duration Fourier analysis is performed. As a result we obtain a Discrete Fourier Transform (DFT) for the k-th frame. Then, the DFT values are grouped into critical bands and weighted by triangular weighting functions. The bandwidths of these functions are constant for central frequencies below 1 kHz and then increase exponentially to half the sampling frequency. A practical relationship commonly used is to use 8 filters per octave, resulting in the application of 24 filters for telephone signals and 40 filters for microphone signals. From each frame it is possible to extract the MFCCs by applying a</w:t>
      </w:r>
      <w:r>
        <w:rPr>
          <w:rFonts w:cs="Times New Roman" w:ascii="Times New Roman" w:hAnsi="Times New Roman"/>
          <w:b w:val="false"/>
          <w:bCs w:val="false"/>
          <w:sz w:val="24"/>
          <w:szCs w:val="24"/>
        </w:rPr>
        <w:t xml:space="preserve"> de</w:t>
      </w:r>
      <w:r>
        <w:rPr>
          <w:rFonts w:cs="Times New Roman" w:ascii="Times New Roman" w:hAnsi="Times New Roman"/>
          <w:b w:val="false"/>
          <w:bCs w:val="false"/>
          <w:sz w:val="24"/>
          <w:szCs w:val="24"/>
          <w:lang w:val="en-US" w:eastAsia="en-US" w:bidi="ar-SA"/>
        </w:rPr>
        <w:t>correlation transform, the cosine transform (DCT), to the logarithm of the output magnitude of the Mel Filter Bank.</w:t>
      </w:r>
      <w:r>
        <w:rPr>
          <w:rFonts w:cs="Times New Roman" w:ascii="Times New Roman" w:hAnsi="Times New Roman"/>
          <w:b/>
          <w:bCs w:val="false"/>
          <w:sz w:val="24"/>
          <w:szCs w:val="24"/>
          <w:lang w:val="en-US" w:eastAsia="en-US" w:bidi="ar-SA"/>
        </w:rPr>
        <w:t xml:space="preserve">  </w:t>
      </w:r>
    </w:p>
    <w:p>
      <w:pPr>
        <w:pStyle w:val="Normal"/>
        <w:spacing w:lineRule="auto" w:line="360" w:before="0" w:after="0"/>
        <w:jc w:val="both"/>
        <w:rPr/>
      </w:pPr>
      <w:r>
        <w:rPr>
          <w:rFonts w:cs="Times New Roman" w:ascii="Times New Roman" w:hAnsi="Times New Roman"/>
          <w:b/>
          <w:bCs/>
          <w:sz w:val="24"/>
          <w:szCs w:val="24"/>
          <w:lang w:val="en-US" w:eastAsia="en-US" w:bidi="ar-SA"/>
        </w:rPr>
        <w:t>Perceptual Linear Prediction Coefficients</w:t>
      </w:r>
      <w:r>
        <w:rPr>
          <w:rFonts w:cs="Times New Roman" w:ascii="Times New Roman" w:hAnsi="Times New Roman"/>
          <w:b w:val="false"/>
          <w:bCs w:val="false"/>
          <w:sz w:val="24"/>
          <w:szCs w:val="24"/>
          <w:lang w:val="en-US" w:eastAsia="en-US" w:bidi="ar-SA"/>
        </w:rPr>
        <w:t xml:space="preserve"> Feature extraction begins with the windowing of the speech segment given by a Hamming Window of length 20 ms. The DFT transforms each window of the speech segment to the spectral domain; the Fast Fourier Transform (FFT) is generally used. The real and imaginary component of the short-term spectrum of the signal are squared and summed to obtain the short-term power spectrum. The power spectrum is mapped from the spectral domain to the Bark frequency domain by means of the Bark Filter Bank. The mapped power spectrum is convolved with the power spectrum of a curve that simulates the critical bands of human hearing described in [3]; that discrete convolution tries to sample the critical bands of the power spectrum in intervals of approximately 1 bark. A cubic root compression of amplitude is performed to simulate the non-linear relationship between the intensity of the sound and the perception of its tone. The last operation of the PLP analysis consists in the approximation by LPC of the cubic root compression. The autoregressive coefficients obtained, can be transformed to another set of parameters such as the cepstral coefficients.</w:t>
      </w:r>
      <w:r>
        <w:rPr>
          <w:rFonts w:cs="Times New Roman" w:ascii="Times New Roman" w:hAnsi="Times New Roman"/>
          <w:b/>
          <w:bCs w:val="false"/>
          <w:sz w:val="24"/>
          <w:szCs w:val="24"/>
          <w:lang w:val="en-US" w:eastAsia="en-US" w:bidi="ar-SA"/>
        </w:rPr>
        <w:t xml:space="preserve"> </w:t>
      </w:r>
    </w:p>
    <w:p>
      <w:pPr>
        <w:pStyle w:val="Normal"/>
        <w:spacing w:lineRule="auto" w:line="360" w:before="0" w:after="0"/>
        <w:jc w:val="both"/>
        <w:rPr/>
      </w:pPr>
      <w:r>
        <w:rPr>
          <w:rFonts w:eastAsia="Calibri" w:cs="Times New Roman" w:ascii="Times New Roman" w:hAnsi="Times New Roman" w:eastAsiaTheme="minorHAnsi"/>
          <w:b/>
          <w:bCs/>
          <w:color w:val="00000A"/>
          <w:sz w:val="24"/>
          <w:szCs w:val="24"/>
          <w:lang w:val="en-US" w:eastAsia="en-US" w:bidi="ar-SA"/>
        </w:rPr>
        <w:t xml:space="preserve">Relative Spectral Technique (RASTA) </w:t>
      </w:r>
      <w:r>
        <w:rPr>
          <w:rFonts w:eastAsia="Calibri" w:cs="Times New Roman" w:ascii="Times New Roman" w:hAnsi="Times New Roman" w:eastAsiaTheme="minorHAnsi"/>
          <w:b w:val="false"/>
          <w:bCs w:val="false"/>
          <w:color w:val="00000A"/>
          <w:sz w:val="24"/>
          <w:szCs w:val="24"/>
          <w:lang w:val="en-US" w:eastAsia="en-US" w:bidi="ar-SA"/>
        </w:rPr>
        <w:t>The Relative Spectrum methodology (RASTA) is a transformation applied to the acoustic features of the observed speech signal developed by H. Hermansky et al. [9] that aims to strengthen the PLP (and possibly other spectral representations of short duration) to linear spectral distortions caused by the communication channel. It is then, RASTA, a channel normalization technique implemented in the form of a cepstral filter. This methodology manages to improve the accuracy of the spectral representations of speech signals when the training data and the data to be recognized are obtained from different microphones or channels [4].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lang w:val="en-US" w:eastAsia="en-US" w:bidi="ar-SA"/>
        </w:rPr>
      </w:pPr>
      <w:r>
        <w:rPr>
          <w:rFonts w:cs="Times New Roman" w:ascii="Times New Roman" w:hAnsi="Times New Roman"/>
          <w:b/>
          <w:bCs w:val="false"/>
          <w:sz w:val="24"/>
          <w:szCs w:val="24"/>
          <w:lang w:val="en-US" w:eastAsia="en-US" w:bidi="ar-SA"/>
        </w:rPr>
        <w:t>2.3 Kaldi</w:t>
      </w:r>
    </w:p>
    <w:p>
      <w:pPr>
        <w:pStyle w:val="Normal"/>
        <w:spacing w:lineRule="auto" w:line="360" w:before="0" w:after="0"/>
        <w:jc w:val="both"/>
        <w:rPr/>
      </w:pPr>
      <w:r>
        <w:rPr>
          <w:rFonts w:cs="Times New Roman" w:ascii="Times New Roman" w:hAnsi="Times New Roman"/>
          <w:b w:val="false"/>
          <w:bCs w:val="false"/>
          <w:sz w:val="24"/>
          <w:szCs w:val="24"/>
          <w:lang w:val="en-US" w:eastAsia="en-US" w:bidi="ar-SA"/>
        </w:rPr>
        <w:t>Kaldi is a set of free and open source tools, developed by Daniel Povey et al. [5] for research in ASR area. Kaldi allows to build ASR systems through a series of well  documented shell command routines. ASR systems in Kaldi are based on weighted finite state transducers (WFST) that optimize training and decoding processes.</w:t>
      </w:r>
      <w:r>
        <w:rPr>
          <w:rFonts w:cs="Times New Roman" w:ascii="Times New Roman" w:hAnsi="Times New Roman"/>
          <w:b/>
          <w:bCs w:val="false"/>
          <w:sz w:val="24"/>
          <w:szCs w:val="24"/>
          <w:lang w:val="en-US" w:eastAsia="en-US" w:bidi="ar-SA"/>
        </w:rPr>
        <w:t xml:space="preserve"> </w:t>
      </w:r>
    </w:p>
    <w:p>
      <w:pPr>
        <w:pStyle w:val="Normal"/>
        <w:spacing w:lineRule="auto" w:line="360" w:before="0" w:after="0"/>
        <w:jc w:val="both"/>
        <w:rPr>
          <w:rFonts w:ascii="Times New Roman" w:hAnsi="Times New Roman" w:cs="Times New Roman"/>
          <w:b/>
          <w:b/>
          <w:bCs w:val="false"/>
          <w:sz w:val="24"/>
          <w:szCs w:val="24"/>
        </w:rPr>
      </w:pPr>
      <w:r>
        <w:rPr>
          <w:rFonts w:cs="Times New Roman" w:ascii="Times New Roman" w:hAnsi="Times New Roman"/>
          <w:b/>
          <w:bCs w:val="false"/>
          <w:sz w:val="24"/>
          <w:szCs w:val="24"/>
        </w:rPr>
      </w:r>
    </w:p>
    <w:p>
      <w:pPr>
        <w:pStyle w:val="Normal"/>
        <w:spacing w:lineRule="auto" w:line="360" w:before="0" w:after="0"/>
        <w:jc w:val="both"/>
        <w:rPr>
          <w:b/>
          <w:b/>
          <w:bCs/>
          <w:lang w:val="en-US" w:eastAsia="en-US" w:bidi="ar-SA"/>
        </w:rPr>
      </w:pPr>
      <w:r>
        <w:rPr>
          <w:rFonts w:cs="Times New Roman" w:ascii="Times New Roman" w:hAnsi="Times New Roman"/>
          <w:b/>
          <w:bCs/>
          <w:sz w:val="24"/>
          <w:szCs w:val="24"/>
          <w:lang w:val="en-US" w:eastAsia="en-US" w:bidi="ar-SA"/>
        </w:rPr>
        <w:t>2.4 Experiments</w:t>
      </w:r>
    </w:p>
    <w:p>
      <w:pPr>
        <w:pStyle w:val="Normal"/>
        <w:spacing w:lineRule="auto" w:line="360" w:before="0" w:after="0"/>
        <w:jc w:val="both"/>
        <w:rPr/>
      </w:pPr>
      <w:r>
        <w:rPr>
          <w:rFonts w:cs="Times New Roman" w:ascii="Times New Roman" w:hAnsi="Times New Roman"/>
          <w:sz w:val="24"/>
          <w:szCs w:val="24"/>
          <w:lang w:val="en-US" w:eastAsia="en-US" w:bidi="ar-SA"/>
        </w:rPr>
        <w:t>In order to evaluate the impact, of the chosen acoustic feature, on the effectiveness of an ASR task we decided to measure the WER obtained by several ASR systems facing different decoding scenar</w:t>
      </w:r>
      <w:r>
        <w:rPr>
          <w:rFonts w:cs="Times New Roman" w:ascii="Times New Roman" w:hAnsi="Times New Roman"/>
          <w:sz w:val="24"/>
          <w:szCs w:val="24"/>
          <w:lang w:val="en-US"/>
        </w:rPr>
        <w:t xml:space="preserve">ios for the acoustic features MFCC and PLP. The systems used in the experimentation were trained over the same training set, with the same Language Model (LM) and on the same set of test data; but in each system a new Acoustic Model (AM) and a transformation in the feature space was tested. This procedure was carried out for both acoustic features of interest to this investigation: MFCC and PLP. </w:t>
      </w:r>
    </w:p>
    <w:p>
      <w:pPr>
        <w:pStyle w:val="Normal"/>
        <w:spacing w:lineRule="auto" w:line="360" w:before="0" w:after="0"/>
        <w:jc w:val="both"/>
        <w:rPr/>
      </w:pPr>
      <w:r>
        <w:rPr>
          <w:rFonts w:cs="Times New Roman" w:ascii="Times New Roman" w:hAnsi="Times New Roman"/>
          <w:sz w:val="24"/>
          <w:szCs w:val="24"/>
          <w:lang w:val="en-US"/>
        </w:rPr>
        <w:t>This will allow knowing if one or both acoustic features of interest enhance the performance of the ASR systems used in the experimentation. We have used a sequential approach in the conception of systems, taking advantage of the possibility offered by the ASR systems based on WFST to start the training of a new AM with the word lattices of an already trained AM.</w:t>
      </w:r>
    </w:p>
    <w:p>
      <w:pPr>
        <w:pStyle w:val="Normal"/>
        <w:spacing w:lineRule="auto" w:line="360" w:before="0" w:after="0"/>
        <w:jc w:val="both"/>
        <w:rPr/>
      </w:pPr>
      <w:r>
        <w:rPr>
          <w:rFonts w:cs="Times New Roman" w:ascii="Times New Roman" w:hAnsi="Times New Roman"/>
          <w:sz w:val="24"/>
          <w:szCs w:val="24"/>
          <w:lang w:val="en-US"/>
        </w:rPr>
        <w:t xml:space="preserve">Figure 1 shows the AM, the feature space transformation applied and the AM building sequence. The systems referred in figure 1 share the same 3-gram LM, and it shows also the acoustic features extraction process. </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drawing>
          <wp:anchor behindDoc="0" distT="0" distB="0" distL="0" distR="0" simplePos="0" locked="0" layoutInCell="1" allowOverlap="1" relativeHeight="22">
            <wp:simplePos x="0" y="0"/>
            <wp:positionH relativeFrom="column">
              <wp:align>center</wp:align>
            </wp:positionH>
            <wp:positionV relativeFrom="paragraph">
              <wp:posOffset>67945</wp:posOffset>
            </wp:positionV>
            <wp:extent cx="4702175" cy="1776095"/>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5"/>
                    <a:stretch>
                      <a:fillRect/>
                    </a:stretch>
                  </pic:blipFill>
                  <pic:spPr bwMode="auto">
                    <a:xfrm>
                      <a:off x="0" y="0"/>
                      <a:ext cx="4702175" cy="1776095"/>
                    </a:xfrm>
                    <a:prstGeom prst="rect">
                      <a:avLst/>
                    </a:prstGeom>
                  </pic:spPr>
                </pic:pic>
              </a:graphicData>
            </a:graphic>
          </wp:anchor>
        </w:drawing>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t>Fig 1. ASR systems.</w:t>
      </w:r>
    </w:p>
    <w:p>
      <w:pPr>
        <w:pStyle w:val="Normal"/>
        <w:spacing w:lineRule="auto" w:line="360" w:before="0" w:after="0"/>
        <w:jc w:val="both"/>
        <w:rPr/>
      </w:pPr>
      <w:r>
        <w:rPr>
          <w:rFonts w:cs="Times New Roman" w:ascii="Times New Roman" w:hAnsi="Times New Roman"/>
          <w:sz w:val="24"/>
          <w:szCs w:val="24"/>
          <w:lang w:val="en-US"/>
        </w:rPr>
        <w:t xml:space="preserve">For MFCC computation, a Mel Filter Bank with 40 filters (8 filter per octave) was used, discarding the value of the energy of the frame for a total of 13 coefficients. In the extraction of PLP, the Bark Filter Bank proposed was Feature Selection for Automatic Speech Recognition in Noisy Scenarios 5 replaced by a Mel Filter Bank with 40 filters (8 filters per octave), with a linear predictor order equal to 12 and a total of 13 PLP coefficients. The name of each system says the type of AM it uses: </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mono: monophonic HMM-GMM.</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tri1: triphonic HMM-GMM.</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tri2: triphonic HMM-GMM.</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tri3: triphonic HMM-GMM, trained using speaker adaptive training.</w:t>
      </w:r>
    </w:p>
    <w:p>
      <w:pPr>
        <w:pStyle w:val="Normal"/>
        <w:spacing w:lineRule="auto" w:line="360" w:before="0" w:after="0"/>
        <w:jc w:val="both"/>
        <w:rPr/>
      </w:pPr>
      <w:r>
        <w:rPr>
          <w:rFonts w:cs="Times New Roman" w:ascii="Times New Roman" w:hAnsi="Times New Roman"/>
          <w:sz w:val="24"/>
          <w:szCs w:val="24"/>
          <w:lang w:val="en-US"/>
        </w:rPr>
        <w:t xml:space="preserve"> – </w:t>
      </w:r>
      <w:r>
        <w:rPr>
          <w:rFonts w:cs="Times New Roman" w:ascii="Times New Roman" w:hAnsi="Times New Roman"/>
          <w:sz w:val="24"/>
          <w:szCs w:val="24"/>
          <w:lang w:val="en-US"/>
        </w:rPr>
        <w:t>sgmm: HMM-SGMM.</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sgmm + mmi: HMM-SGMM, trained by Maximizing Mutual Information.</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dnn: hybrid HMM-DNN.</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comb: combined architecture of dnn and sgmm + mmi systems.</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pPr>
      <w:r>
        <w:rPr>
          <w:rFonts w:cs="Times New Roman" w:ascii="Times New Roman" w:hAnsi="Times New Roman"/>
          <w:b/>
          <w:sz w:val="24"/>
          <w:szCs w:val="24"/>
          <w:lang w:val="en-US"/>
        </w:rPr>
        <w:t xml:space="preserve"> </w:t>
      </w:r>
      <w:r>
        <w:rPr>
          <w:rFonts w:cs="Times New Roman" w:ascii="Times New Roman" w:hAnsi="Times New Roman"/>
          <w:b/>
          <w:sz w:val="24"/>
          <w:szCs w:val="24"/>
          <w:lang w:val="en-US"/>
        </w:rPr>
        <w:t>TC-STAR corpus</w:t>
      </w:r>
    </w:p>
    <w:p>
      <w:pPr>
        <w:pStyle w:val="Normal"/>
        <w:spacing w:lineRule="auto" w:line="360" w:before="0" w:after="0"/>
        <w:jc w:val="both"/>
        <w:rPr/>
      </w:pPr>
      <w:r>
        <w:rPr>
          <w:rFonts w:cs="Times New Roman" w:ascii="Times New Roman" w:hAnsi="Times New Roman"/>
          <w:sz w:val="24"/>
          <w:szCs w:val="24"/>
          <w:lang w:val="en-US"/>
        </w:rPr>
        <w:t xml:space="preserve">The TC-STAR project, funded by the European Commission, represents a longterm effort focused on advanced research in language technologies such as ASR, automatic speaker recognition, automatic speech translation and speech synthesis [6]. </w:t>
      </w:r>
    </w:p>
    <w:p>
      <w:pPr>
        <w:pStyle w:val="Normal"/>
        <w:spacing w:lineRule="auto" w:line="360" w:before="0" w:after="0"/>
        <w:jc w:val="both"/>
        <w:rPr>
          <w:rFonts w:ascii="Times New Roman" w:hAnsi="Times New Roman" w:cs="Times New Roman"/>
          <w:sz w:val="24"/>
          <w:szCs w:val="24"/>
          <w:lang w:val="en-US"/>
        </w:rPr>
      </w:pPr>
      <w:r>
        <w:rPr/>
        <w:object>
          <v:shape id="ole_rId6" style="width:334.65pt;height:89.35pt" o:ole="">
            <v:imagedata r:id="rId7" o:title=""/>
          </v:shape>
          <o:OLEObject Type="Embed" ProgID="Excel.Sheet.12" ShapeID="ole_rId6" DrawAspect="Content" ObjectID="_354630758" r:id="rId6"/>
        </w:objec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pPr>
      <w:r>
        <w:rPr>
          <w:rFonts w:cs="Times New Roman" w:ascii="Times New Roman" w:hAnsi="Times New Roman"/>
          <w:sz w:val="20"/>
          <w:szCs w:val="24"/>
          <w:lang w:val="en-US"/>
        </w:rPr>
        <w:t>Table1. TC_STAR_USED corpus description.</w:t>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both"/>
        <w:rPr/>
      </w:pPr>
      <w:r>
        <w:rPr>
          <w:rFonts w:cs="Times New Roman" w:ascii="Times New Roman" w:hAnsi="Times New Roman"/>
          <w:sz w:val="24"/>
          <w:szCs w:val="24"/>
          <w:lang w:val="en-US"/>
        </w:rPr>
        <w:t xml:space="preserve">The TC-STAR recordings used in the experimentation, which we will call from now TC_STAR_USED, correspond to sessions of the European Parliament or sessions of the Spanish Court where the announcers just speak in Spanish. Criterion 90-10 was followed for the creation of training and test sets; where the training data consists of a set of recorded sessions corresponding to 90% of the total time (including silences) of the TC_STAR_USED data and the remaining 10% test data. Table 1 provides a summary of the characteristics of TC_STAR_USED. The format of the audio files is the standard RIFF (.wav) encoded PCM, 16 bits signed, at 16 kHz without compression </w:t>
      </w:r>
    </w:p>
    <w:p>
      <w:pPr>
        <w:pStyle w:val="Normal"/>
        <w:spacing w:lineRule="auto" w:line="360" w:before="0" w:after="0"/>
        <w:jc w:val="both"/>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spacing w:lineRule="auto" w:line="360" w:before="0" w:after="0"/>
        <w:jc w:val="both"/>
        <w:rPr/>
      </w:pPr>
      <w:r>
        <w:rPr>
          <w:rFonts w:cs="Times New Roman" w:ascii="Times New Roman" w:hAnsi="Times New Roman"/>
          <w:b/>
          <w:bCs/>
          <w:sz w:val="24"/>
          <w:szCs w:val="24"/>
          <w:lang w:val="en-US"/>
        </w:rPr>
        <w:t>Noise Database and Fant tool-kit</w:t>
      </w:r>
    </w:p>
    <w:p>
      <w:pPr>
        <w:pStyle w:val="Normal"/>
        <w:spacing w:lineRule="auto" w:line="360" w:before="0" w:after="0"/>
        <w:jc w:val="both"/>
        <w:rPr/>
      </w:pPr>
      <w:r>
        <w:rPr>
          <w:rFonts w:cs="Times New Roman" w:ascii="Times New Roman" w:hAnsi="Times New Roman"/>
          <w:sz w:val="24"/>
          <w:szCs w:val="24"/>
          <w:lang w:val="en-US"/>
        </w:rPr>
        <w:t>We used a noise database and a tool to simulate noisy conditions with different signal-to-noise ratio (SNR) levels in the TC_STAR_USED test set, to evaluate the impact of the selection of MFCC or PLP in a system of ASR over the WER in noisy scenarios and in this way compare the robustness of the acoustic features to different levels of noise. The noise database selected in this research has been DEMAND for more detail see description in [7]. The selected tool to simulate the audio files of the test data of the TC_STAR_USED database with the noises of the DEMAND database was FaNT - Filtering and Noised Adding Tool [8].This tool allow us to add noise to speech sessions recorded with a desired SNR. The recordings to be used are re-sampled at 16 kHz.</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3. Results and discussion</w:t>
      </w:r>
    </w:p>
    <w:p>
      <w:pPr>
        <w:pStyle w:val="Normal"/>
        <w:spacing w:lineRule="auto" w:line="360" w:before="0" w:after="0"/>
        <w:jc w:val="both"/>
        <w:rPr/>
      </w:pPr>
      <w:r>
        <w:rPr>
          <w:rFonts w:cs="Times New Roman" w:ascii="Times New Roman" w:hAnsi="Times New Roman"/>
          <w:sz w:val="24"/>
          <w:szCs w:val="24"/>
          <w:lang w:val="en-US"/>
        </w:rPr>
        <w:t>In this section the proposed experimentation scenarios will be described. To simulate noisy scenarios we used the two sets of the DEMAND noise database and Fant creating two data sets with both sets of noisy signals: TC_STAR_IN_DOOR and TC_STAR_OUT_DOOR. Both scenarios are composed of all the samples of the TC_STAR_USED test data simulated with a random selection of all interior or exterior stage noise. The level of the SNR with which the speech signals were simulated varied randomly in a range of 5-15 dB.</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b/>
          <w:bCs/>
          <w:sz w:val="24"/>
          <w:szCs w:val="24"/>
          <w:lang w:val="en-US"/>
        </w:rPr>
        <w:t>3.1 MFCC vs. PLP</w:t>
      </w:r>
    </w:p>
    <w:p>
      <w:pPr>
        <w:pStyle w:val="Normal"/>
        <w:spacing w:lineRule="auto" w:line="360" w:before="0" w:after="0"/>
        <w:jc w:val="both"/>
        <w:rPr/>
      </w:pPr>
      <w:r>
        <w:rPr>
          <w:rFonts w:cs="Times New Roman" w:ascii="Times New Roman" w:hAnsi="Times New Roman"/>
          <w:sz w:val="24"/>
          <w:szCs w:val="24"/>
          <w:lang w:val="en-US"/>
        </w:rPr>
        <w:t>The experimentation consisted of measuring the WER of the systems created when we obtain the transcription of the test data in the three proposed scenarios. As a base line of experimentation we will take the WER obtained in the decoding of TC_STAR_USED scenario shown in Table 2. The error types deletion (DEL), substitution (SUB) or insertion (INS) of words are referred in percentages to observe the distribution of the types of errors. A behaviour of possible generalization to both groups of systems is the decrease of the WER as the AMs become more complex. This behaviour is not of much interest because it is due more to the improvements introduced by the new AM than to an impact on the WER due to the selection of a type of acoustic feature. Another possible generalization, due to the small difference in the WER (less than 1%) of systems with equal AM but based on different acoustic features, it would be the fact that in low noise scenarios the selection of MFCC or PLP as an acoustic feature to be used by the system does not offer a considerable impact on the WER obtained in the decoding.</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drawing>
          <wp:anchor behindDoc="0" distT="0" distB="0" distL="0" distR="0" simplePos="0" locked="0" layoutInCell="1" allowOverlap="1" relativeHeight="23">
            <wp:simplePos x="0" y="0"/>
            <wp:positionH relativeFrom="column">
              <wp:align>center</wp:align>
            </wp:positionH>
            <wp:positionV relativeFrom="paragraph">
              <wp:posOffset>635</wp:posOffset>
            </wp:positionV>
            <wp:extent cx="3573145" cy="2792095"/>
            <wp:effectExtent l="0" t="0" r="0" b="0"/>
            <wp:wrapSquare wrapText="largest"/>
            <wp:docPr id="2" name="Objeto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to3" descr=""/>
                    <pic:cNvPicPr>
                      <a:picLocks noChangeAspect="1" noChangeArrowheads="1"/>
                    </pic:cNvPicPr>
                  </pic:nvPicPr>
                  <pic:blipFill>
                    <a:blip r:embed="rId8"/>
                    <a:stretch>
                      <a:fillRect/>
                    </a:stretch>
                  </pic:blipFill>
                  <pic:spPr bwMode="auto">
                    <a:xfrm>
                      <a:off x="0" y="0"/>
                      <a:ext cx="3573145" cy="2792095"/>
                    </a:xfrm>
                    <a:prstGeom prst="rect">
                      <a:avLst/>
                    </a:prstGeom>
                  </pic:spPr>
                </pic:pic>
              </a:graphicData>
            </a:graphic>
          </wp:anchor>
        </w:drawing>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pPr>
      <w:r>
        <w:rPr>
          <w:rFonts w:cs="Times New Roman" w:ascii="Times New Roman" w:hAnsi="Times New Roman"/>
          <w:sz w:val="20"/>
          <w:szCs w:val="24"/>
          <w:lang w:val="en-US"/>
        </w:rPr>
        <w:t>Table2. WER for TC_STAR_USED.</w:t>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both"/>
        <w:rPr/>
      </w:pPr>
      <w:r>
        <w:rPr>
          <w:rFonts w:cs="Times New Roman" w:ascii="Times New Roman" w:hAnsi="Times New Roman"/>
          <w:sz w:val="24"/>
          <w:szCs w:val="24"/>
          <w:lang w:val="en-US"/>
        </w:rPr>
        <w:t>Table 3 shows the difference between the WER obtained by the systems based on MFCC and those based on PLP. The general behaviour of the differences is to increase proportionally with the intensity of the existing noise in the scenario. This behaviour can be used as evidence in favour of the selection of MFCC as an acoustic feature to be used in noisy scenarios.</w:t>
      </w:r>
    </w:p>
    <w:p>
      <w:pPr>
        <w:pStyle w:val="Normal"/>
        <w:spacing w:lineRule="auto" w:line="360" w:before="0" w:after="0"/>
        <w:jc w:val="center"/>
        <w:rPr/>
      </w:pPr>
      <w:r>
        <w:drawing>
          <wp:anchor behindDoc="0" distT="0" distB="0" distL="0" distR="0" simplePos="0" locked="0" layoutInCell="1" allowOverlap="1" relativeHeight="24">
            <wp:simplePos x="0" y="0"/>
            <wp:positionH relativeFrom="column">
              <wp:align>center</wp:align>
            </wp:positionH>
            <wp:positionV relativeFrom="paragraph">
              <wp:posOffset>635</wp:posOffset>
            </wp:positionV>
            <wp:extent cx="5320665" cy="1905635"/>
            <wp:effectExtent l="0" t="0" r="0" b="0"/>
            <wp:wrapSquare wrapText="largest"/>
            <wp:docPr id="3" name="Objeto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to4" descr=""/>
                    <pic:cNvPicPr>
                      <a:picLocks noChangeAspect="1" noChangeArrowheads="1"/>
                    </pic:cNvPicPr>
                  </pic:nvPicPr>
                  <pic:blipFill>
                    <a:blip r:embed="rId9"/>
                    <a:stretch>
                      <a:fillRect/>
                    </a:stretch>
                  </pic:blipFill>
                  <pic:spPr bwMode="auto">
                    <a:xfrm>
                      <a:off x="0" y="0"/>
                      <a:ext cx="5320665" cy="1905635"/>
                    </a:xfrm>
                    <a:prstGeom prst="rect">
                      <a:avLst/>
                    </a:prstGeom>
                  </pic:spPr>
                </pic:pic>
              </a:graphicData>
            </a:graphic>
          </wp:anchor>
        </w:drawing>
      </w:r>
      <w:r>
        <w:rPr>
          <w:rFonts w:cs="Times New Roman" w:ascii="Times New Roman" w:hAnsi="Times New Roman"/>
          <w:sz w:val="20"/>
          <w:szCs w:val="24"/>
          <w:lang w:val="en-US"/>
        </w:rPr>
        <w:t>T</w:t>
      </w:r>
      <w:r>
        <w:rPr>
          <w:rFonts w:cs="Times New Roman" w:ascii="Times New Roman" w:hAnsi="Times New Roman"/>
          <w:sz w:val="20"/>
          <w:szCs w:val="24"/>
          <w:lang w:val="en-US"/>
        </w:rPr>
        <w:t>able3. WER difference between MFCC &amp; PLP for all scenarios.</w:t>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both"/>
        <w:rPr/>
      </w:pPr>
      <w:r>
        <w:rPr>
          <w:rFonts w:cs="Times New Roman" w:ascii="Times New Roman" w:hAnsi="Times New Roman"/>
          <w:b/>
          <w:bCs/>
          <w:sz w:val="24"/>
          <w:szCs w:val="24"/>
          <w:lang w:val="en-US"/>
        </w:rPr>
        <w:t>Temporary and storage efficiency</w:t>
      </w:r>
    </w:p>
    <w:p>
      <w:pPr>
        <w:pStyle w:val="Normal"/>
        <w:spacing w:lineRule="auto" w:line="360" w:before="0" w:after="0"/>
        <w:jc w:val="both"/>
        <w:rPr/>
      </w:pPr>
      <w:r>
        <w:rPr>
          <w:rFonts w:cs="Times New Roman" w:ascii="Times New Roman" w:hAnsi="Times New Roman"/>
          <w:sz w:val="24"/>
          <w:szCs w:val="24"/>
          <w:lang w:val="en-US"/>
        </w:rPr>
        <w:t>Table 2 and Table 3, offer information about the WER obtained by the systems in the different decoding scenarios. This information is very valuable for the objectives proposed in this investigation; but we would like to complement it with the times consumed by each ASR process, shown in Table 4. These times were realized in a laptop with operating system Linux Mint 18 ”Sarah”, with microprocessor Intel Core i3-380M @ 2.53 GHz x 4 y 2 GB of RAM. The most important conclusion derived of Table 4 is the higher efficiency of the PLP-based systems on the MFCC in Kaldi.</w:t>
      </w:r>
    </w:p>
    <w:p>
      <w:pPr>
        <w:pStyle w:val="Normal"/>
        <w:spacing w:lineRule="auto" w:line="360" w:before="0" w:after="0"/>
        <w:jc w:val="both"/>
        <w:rPr>
          <w:rFonts w:ascii="Times New Roman" w:hAnsi="Times New Roman" w:cs="Times New Roman"/>
          <w:sz w:val="24"/>
          <w:szCs w:val="24"/>
          <w:lang w:val="en-US"/>
        </w:rPr>
      </w:pPr>
      <w:r>
        <w:rPr/>
        <w:object>
          <v:shape id="ole_rId10" style="width:342.75pt;height:165pt" o:ole="">
            <v:imagedata r:id="rId11" o:title=""/>
          </v:shape>
          <o:OLEObject Type="Embed" ProgID="Excel.Sheet.12" ShapeID="ole_rId10" DrawAspect="Content" ObjectID="_2146723339" r:id="rId10"/>
        </w:object>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rFonts w:ascii="Times New Roman" w:hAnsi="Times New Roman" w:cs="Times New Roman"/>
          <w:sz w:val="20"/>
          <w:szCs w:val="24"/>
          <w:lang w:val="en-US"/>
        </w:rPr>
      </w:pPr>
      <w:r>
        <w:rPr>
          <w:rFonts w:cs="Times New Roman" w:ascii="Times New Roman" w:hAnsi="Times New Roman"/>
          <w:sz w:val="20"/>
          <w:szCs w:val="24"/>
          <w:lang w:val="en-US"/>
        </w:rPr>
      </w:r>
    </w:p>
    <w:p>
      <w:pPr>
        <w:pStyle w:val="Normal"/>
        <w:spacing w:lineRule="auto" w:line="360" w:before="0" w:after="0"/>
        <w:jc w:val="center"/>
        <w:rPr/>
      </w:pPr>
      <w:r>
        <w:rPr>
          <w:rFonts w:cs="Times New Roman" w:ascii="Times New Roman" w:hAnsi="Times New Roman"/>
          <w:sz w:val="20"/>
          <w:szCs w:val="24"/>
          <w:lang w:val="en-US"/>
        </w:rPr>
        <w:t xml:space="preserve">Table 4. Temporal Cost </w:t>
      </w:r>
    </w:p>
    <w:p>
      <w:pPr>
        <w:pStyle w:val="Normal"/>
        <w:spacing w:lineRule="auto" w:line="360" w:before="0" w:after="0"/>
        <w:jc w:val="both"/>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One consideration to keep in mind when reading the data in Table 4 is that the decoding times are the most important, since the training of the models is totally independent of the decoding process. Both acoustic features, due to the need to evaluate their performance depending on the approach they use, and the applied linear transformations were used with identical configurations and thus the memory requirements they impose are also identical.</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4. Conclusions</w:t>
      </w:r>
    </w:p>
    <w:p>
      <w:pPr>
        <w:pStyle w:val="Normal"/>
        <w:spacing w:lineRule="auto" w:line="360" w:before="0" w:after="0"/>
        <w:jc w:val="both"/>
        <w:rPr/>
      </w:pPr>
      <w:r>
        <w:rPr>
          <w:rFonts w:cs="Times New Roman" w:ascii="Times New Roman" w:hAnsi="Times New Roman"/>
          <w:sz w:val="24"/>
          <w:szCs w:val="24"/>
          <w:lang w:val="en-US"/>
        </w:rPr>
        <w:t>The research presented arrived at the following empirical generalization: the MFCC are more robust acoustic features than the PLP coefficients before the task of the ASR in the presence of noise. The main conclusions of the investigation are:</w:t>
      </w:r>
    </w:p>
    <w:p>
      <w:pPr>
        <w:pStyle w:val="Normal"/>
        <w:numPr>
          <w:ilvl w:val="0"/>
          <w:numId w:val="1"/>
        </w:numPr>
        <w:spacing w:lineRule="auto" w:line="360" w:before="0" w:after="0"/>
        <w:jc w:val="both"/>
        <w:rPr/>
      </w:pPr>
      <w:r>
        <w:rPr>
          <w:rFonts w:cs="Times New Roman" w:ascii="Times New Roman" w:hAnsi="Times New Roman"/>
          <w:sz w:val="24"/>
          <w:szCs w:val="24"/>
          <w:lang w:val="en-US"/>
        </w:rPr>
        <w:t xml:space="preserve">The MFCCs are more robust to the task of the ASR in the presence of noise than the PLP coefficients, but offer similar WER facing the task of the ASR in scenarios without noise or low level noise. </w:t>
      </w:r>
    </w:p>
    <w:p>
      <w:pPr>
        <w:pStyle w:val="Normal"/>
        <w:numPr>
          <w:ilvl w:val="0"/>
          <w:numId w:val="1"/>
        </w:numPr>
        <w:spacing w:lineRule="auto" w:line="360" w:before="0" w:after="0"/>
        <w:jc w:val="both"/>
        <w:rPr/>
      </w:pPr>
      <w:r>
        <w:rPr>
          <w:rFonts w:cs="Times New Roman" w:ascii="Times New Roman" w:hAnsi="Times New Roman"/>
          <w:sz w:val="24"/>
          <w:szCs w:val="24"/>
          <w:lang w:val="en-US"/>
        </w:rPr>
        <w:t>PLP coefficients allow faster training and decoding in ASR systems than MFCC.</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pPr>
      <w:r>
        <w:rPr>
          <w:rFonts w:cs="Times New Roman" w:ascii="Times New Roman" w:hAnsi="Times New Roman"/>
          <w:b/>
          <w:sz w:val="24"/>
          <w:szCs w:val="24"/>
          <w:lang w:val="en-US"/>
        </w:rPr>
        <w:t>5. Bibliographical references</w:t>
      </w:r>
    </w:p>
    <w:p>
      <w:pPr>
        <w:pStyle w:val="Normal"/>
        <w:spacing w:lineRule="auto" w:line="360" w:before="0" w:after="0"/>
        <w:jc w:val="both"/>
        <w:rPr/>
      </w:pPr>
      <w:r>
        <w:rPr>
          <w:rFonts w:eastAsia="Calibri" w:cs="Times New Roman" w:ascii="Times New Roman" w:hAnsi="Times New Roman" w:eastAsiaTheme="minorHAnsi"/>
          <w:color w:val="00000A"/>
          <w:sz w:val="24"/>
          <w:szCs w:val="24"/>
          <w:lang w:val="en-US" w:eastAsia="en-US" w:bidi="ar-SA"/>
        </w:rPr>
        <w:t>1. Davis S. B. and Mermelstein P.: Comparison of parametric representations for monosyllabic word recognition in continuously spoken sentences, IEEE Trans. ASSP, vol. 28, no. 4, 357-366, 1980.</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2. Hermansky H.: Perceptual linear predictive analysis of speech. J Acoust Soc Am. 1990, 4(5):4-7.</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3. Fletcher H.: Audittory patterns. Rev Mod Phys. 1940;12:47-65.</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4. Hermansky H.: RASTA-PLP speech analysis technique. Proc IEEE Int Conf Acoust; 1992.</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5. Povey D, et al.: The Kaldi Speech Recognition Toolkit. IEEE Workshop on Automatic Speech Recognition and Understanding; 2011</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6. ELRA-ELDA. TC-STAR, Spain; Available from: http://www.elra.info/en/projects/archived-projects/tc-star, 2000.</w:t>
      </w:r>
    </w:p>
    <w:p>
      <w:pPr>
        <w:pStyle w:val="Normal"/>
        <w:spacing w:lineRule="auto" w:line="360" w:before="0" w:after="0"/>
        <w:jc w:val="both"/>
        <w:rPr>
          <w:rFonts w:ascii="Times New Roman" w:hAnsi="Times New Roman" w:eastAsia="Calibri" w:cs="Times New Roman" w:eastAsiaTheme="minorHAnsi"/>
          <w:color w:val="00000A"/>
          <w:sz w:val="24"/>
          <w:szCs w:val="24"/>
          <w:lang w:val="en-US" w:eastAsia="en-US" w:bidi="ar-SA"/>
        </w:rPr>
      </w:pPr>
      <w:r>
        <w:rPr>
          <w:rFonts w:eastAsia="Calibri" w:cs="Times New Roman" w:ascii="Times New Roman" w:hAnsi="Times New Roman" w:eastAsiaTheme="minorHAnsi"/>
          <w:color w:val="00000A"/>
          <w:sz w:val="24"/>
          <w:szCs w:val="24"/>
          <w:lang w:val="en-US" w:eastAsia="en-US" w:bidi="ar-SA"/>
        </w:rPr>
        <w:t>7. Thiemann J., Ito N., Vincent E.: The Diverse Environments Multi-Channel Acoustic Noise Database (DEMAND): A database of multichannel environmental noise recordings. Proc of Meetings on Acoustics ISCA 2013.</w:t>
      </w:r>
    </w:p>
    <w:p>
      <w:pPr>
        <w:pStyle w:val="Normal"/>
        <w:spacing w:lineRule="auto" w:line="360" w:before="0" w:after="0"/>
        <w:jc w:val="both"/>
        <w:rPr/>
      </w:pPr>
      <w:r>
        <w:rPr>
          <w:rFonts w:eastAsia="Calibri" w:cs="Times New Roman" w:ascii="Times New Roman" w:hAnsi="Times New Roman" w:eastAsiaTheme="minorHAnsi"/>
          <w:color w:val="00000A"/>
          <w:sz w:val="24"/>
          <w:szCs w:val="24"/>
          <w:lang w:val="en-US" w:eastAsia="en-US" w:bidi="ar-SA"/>
        </w:rPr>
        <w:t>8. Hirsch H.: FaNT: filtering and noise adding tool. Niederrhein University of Applied Sciences, Germani; 2005.</w:t>
      </w:r>
    </w:p>
    <w:sectPr>
      <w:headerReference w:type="default" r:id="rId12"/>
      <w:footerReference w:type="default" r:id="rId13"/>
      <w:type w:val="nextPage"/>
      <w:pgSz w:w="11906" w:h="16838"/>
      <w:pgMar w:left="1701" w:right="1701" w:header="567"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rFonts w:ascii="Times New Roman" w:hAnsi="Times New Roman" w:cs="Times New Roman"/>
        <w:sz w:val="24"/>
      </w:rPr>
    </w:pPr>
    <w:r>
      <w:rPr>
        <w:rFonts w:cs="Times New Roman" w:ascii="Times New Roman" w:hAnsi="Times New Roman"/>
        <w:sz w:val="24"/>
      </w:rPr>
    </w:r>
  </w:p>
  <w:p>
    <w:pPr>
      <w:pStyle w:val="Piedepgina"/>
      <w:jc w:val="center"/>
      <w:rPr>
        <w:rFonts w:ascii="Times New Roman" w:hAnsi="Times New Roman" w:cs="Times New Roman"/>
        <w:sz w:val="28"/>
        <w:lang w:val="en-US"/>
      </w:rPr>
    </w:pPr>
    <w:r>
      <w:rPr>
        <w:rFonts w:cs="Times New Roman" w:ascii="Times New Roman" w:hAnsi="Times New Roman"/>
        <w:sz w:val="28"/>
        <w:lang w:val="en-US"/>
      </w:rPr>
      <w:t>Contact Information</w:t>
    </w:r>
  </w:p>
  <w:p>
    <w:pPr>
      <w:pStyle w:val="Piedepgina"/>
      <w:jc w:val="center"/>
      <w:rPr/>
    </w:pPr>
    <w:r>
      <w:rPr>
        <w:rFonts w:cs="Times New Roman" w:ascii="Times New Roman" w:hAnsi="Times New Roman"/>
        <w:sz w:val="28"/>
      </w:rPr>
      <w:t xml:space="preserve"> </w:t>
    </w:r>
    <w:hyperlink r:id="rId1">
      <w:r>
        <w:rPr>
          <w:rStyle w:val="EnlacedeInternet"/>
          <w:rFonts w:cs="Times New Roman" w:ascii="Times New Roman" w:hAnsi="Times New Roman"/>
          <w:sz w:val="28"/>
        </w:rPr>
        <w:t>convencionuclv@uclv.cu</w:t>
      </w:r>
    </w:hyperlink>
  </w:p>
  <w:p>
    <w:pPr>
      <w:pStyle w:val="Piedepgina"/>
      <w:jc w:val="center"/>
      <w:rPr/>
    </w:pPr>
    <w:hyperlink r:id="rId2">
      <w:r>
        <w:rPr>
          <w:rStyle w:val="EnlacedeInternet"/>
          <w:rFonts w:cs="Times New Roman" w:ascii="Times New Roman" w:hAnsi="Times New Roman"/>
          <w:sz w:val="28"/>
        </w:rPr>
        <w:t>www.uclv.edu.cu</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jc w:val="center"/>
      <w:rPr>
        <w:rFonts w:ascii="Times New Roman" w:hAnsi="Times New Roman" w:cs="Times New Roman"/>
        <w:b/>
        <w:b/>
        <w:sz w:val="24"/>
        <w:lang w:val="en-US"/>
      </w:rPr>
    </w:pPr>
    <w:r>
      <w:drawing>
        <wp:anchor behindDoc="1" distT="0" distB="1905" distL="114300" distR="123190" simplePos="0" locked="0" layoutInCell="1" allowOverlap="1" relativeHeight="11">
          <wp:simplePos x="0" y="0"/>
          <wp:positionH relativeFrom="column">
            <wp:posOffset>5387340</wp:posOffset>
          </wp:positionH>
          <wp:positionV relativeFrom="paragraph">
            <wp:posOffset>-169545</wp:posOffset>
          </wp:positionV>
          <wp:extent cx="714375" cy="836295"/>
          <wp:effectExtent l="0" t="0" r="0" b="0"/>
          <wp:wrapNone/>
          <wp:docPr id="4"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0" descr=""/>
                  <pic:cNvPicPr>
                    <a:picLocks noChangeAspect="1" noChangeArrowheads="1"/>
                  </pic:cNvPicPr>
                </pic:nvPicPr>
                <pic:blipFill>
                  <a:blip r:embed="rId1"/>
                  <a:stretch>
                    <a:fillRect/>
                  </a:stretch>
                </pic:blipFill>
                <pic:spPr bwMode="auto">
                  <a:xfrm>
                    <a:off x="0" y="0"/>
                    <a:ext cx="714375" cy="836295"/>
                  </a:xfrm>
                  <a:prstGeom prst="rect">
                    <a:avLst/>
                  </a:prstGeom>
                </pic:spPr>
              </pic:pic>
            </a:graphicData>
          </a:graphic>
        </wp:anchor>
      </w:drawing>
    </w:r>
    <w:r>
      <w:rPr>
        <w:rFonts w:cs="Times New Roman" w:ascii="Times New Roman" w:hAnsi="Times New Roman"/>
        <w:b/>
        <w:sz w:val="24"/>
        <w:lang w:val="en-US"/>
      </w:rPr>
      <w:t>O</w:t>
    </w:r>
    <w:r>
      <w:rPr>
        <w:rFonts w:cs="Times New Roman" w:ascii="Times New Roman" w:hAnsi="Times New Roman"/>
        <w:b/>
        <w:sz w:val="24"/>
        <w:lang w:val="en-US"/>
      </w:rPr>
      <w:t>FFICIAL TEMPLATE FOR THE SUBMISSION OF PAPERS</w:t>
    </w:r>
  </w:p>
  <w:p>
    <w:pPr>
      <w:pStyle w:val="Encabezamiento"/>
      <w:jc w:val="center"/>
      <w:rPr>
        <w:rFonts w:ascii="Times New Roman" w:hAnsi="Times New Roman" w:cs="Times New Roman"/>
        <w:b/>
        <w:b/>
        <w:sz w:val="24"/>
      </w:rPr>
    </w:pPr>
    <w:r>
      <w:rPr>
        <w:rFonts w:cs="Times New Roman" w:ascii="Times New Roman" w:hAnsi="Times New Roman"/>
        <w:b/>
        <w:sz w:val="24"/>
      </w:rPr>
      <w:t xml:space="preserve">II INTERNATIONAL SCIENTIFIC CONVENTION </w:t>
    </w:r>
  </w:p>
  <w:p>
    <w:pPr>
      <w:pStyle w:val="Encabezamiento"/>
      <w:jc w:val="center"/>
      <w:rPr>
        <w:rFonts w:ascii="Times New Roman" w:hAnsi="Times New Roman" w:cs="Times New Roman"/>
        <w:sz w:val="24"/>
        <w:szCs w:val="24"/>
      </w:rPr>
    </w:pPr>
    <w:r>
      <w:rPr>
        <w:rFonts w:cs="Times New Roman" w:ascii="Times New Roman" w:hAnsi="Times New Roman"/>
        <w:b/>
        <w:sz w:val="24"/>
      </w:rPr>
      <w:t>“</w:t>
    </w:r>
    <w:r>
      <w:rPr>
        <w:rFonts w:cs="Times New Roman" w:ascii="Times New Roman" w:hAnsi="Times New Roman"/>
        <w:b/>
        <w:sz w:val="24"/>
      </w:rPr>
      <w:t>II ICC UCLV 2019”</w:t>
    </w:r>
    <w:r>
      <w:rPr>
        <w:rFonts w:cs="Times New Roman" w:ascii="Times New Roman" w:hAnsi="Times New Roman"/>
        <w:sz w:val="24"/>
        <w:szCs w:val="24"/>
      </w:rPr>
      <w:t xml:space="preserve"> </w:t>
    </w:r>
  </w:p>
  <w:p>
    <w:pPr>
      <w:pStyle w:val="Encabezamiento"/>
      <w:jc w:val="center"/>
      <w:rPr>
        <w:rFonts w:ascii="Times New Roman" w:hAnsi="Times New Roman" w:cs="Times New Roman"/>
        <w:b/>
        <w:b/>
        <w:sz w:val="24"/>
      </w:rPr>
    </w:pPr>
    <w:r>
      <w:rPr>
        <w:rFonts w:cs="Times New Roman" w:ascii="Times New Roman" w:hAnsi="Times New Roman"/>
        <w:b/>
        <w:sz w:val="24"/>
      </w:rPr>
      <w:drawing>
        <wp:anchor behindDoc="1" distT="0" distB="3175" distL="114300" distR="114300" simplePos="0" locked="0" layoutInCell="1" allowOverlap="1" relativeHeight="21">
          <wp:simplePos x="0" y="0"/>
          <wp:positionH relativeFrom="column">
            <wp:posOffset>5390515</wp:posOffset>
          </wp:positionH>
          <wp:positionV relativeFrom="paragraph">
            <wp:posOffset>140970</wp:posOffset>
          </wp:positionV>
          <wp:extent cx="729615" cy="815975"/>
          <wp:effectExtent l="0" t="0" r="0" b="0"/>
          <wp:wrapNone/>
          <wp:docPr id="5"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
                  <pic:cNvPicPr>
                    <a:picLocks noChangeAspect="1" noChangeArrowheads="1"/>
                  </pic:cNvPicPr>
                </pic:nvPicPr>
                <pic:blipFill>
                  <a:blip r:embed="rId2"/>
                  <a:stretch>
                    <a:fillRect/>
                  </a:stretch>
                </pic:blipFill>
                <pic:spPr bwMode="auto">
                  <a:xfrm>
                    <a:off x="0" y="0"/>
                    <a:ext cx="729615" cy="815975"/>
                  </a:xfrm>
                  <a:prstGeom prst="rect">
                    <a:avLst/>
                  </a:prstGeom>
                </pic:spPr>
              </pic:pic>
            </a:graphicData>
          </a:graphic>
        </wp:anchor>
      </w:drawing>
    </w:r>
  </w:p>
  <w:p>
    <w:pPr>
      <w:pStyle w:val="Encabezamiento"/>
      <w:jc w:val="center"/>
      <w:rPr>
        <w:rFonts w:ascii="Times New Roman" w:hAnsi="Times New Roman" w:cs="Times New Roman"/>
        <w:b/>
        <w:b/>
        <w:sz w:val="24"/>
      </w:rPr>
    </w:pPr>
    <w:r>
      <w:rPr>
        <w:rFonts w:cs="Times New Roman" w:ascii="Times New Roman" w:hAnsi="Times New Roman"/>
        <w:b/>
        <w:sz w:val="24"/>
      </w:rPr>
      <w:t>JUNE 23</w:t>
    </w:r>
    <w:r>
      <w:rPr>
        <w:rFonts w:cs="Times New Roman" w:ascii="Times New Roman" w:hAnsi="Times New Roman"/>
        <w:b/>
        <w:sz w:val="24"/>
        <w:vertAlign w:val="superscript"/>
      </w:rPr>
      <w:t>th</w:t>
    </w:r>
    <w:r>
      <w:rPr>
        <w:rFonts w:cs="Times New Roman" w:ascii="Times New Roman" w:hAnsi="Times New Roman"/>
        <w:b/>
        <w:sz w:val="24"/>
      </w:rPr>
      <w:t xml:space="preserve"> – 30</w:t>
    </w:r>
    <w:r>
      <w:rPr>
        <w:rFonts w:cs="Times New Roman" w:ascii="Times New Roman" w:hAnsi="Times New Roman"/>
        <w:b/>
        <w:sz w:val="24"/>
        <w:vertAlign w:val="superscript"/>
      </w:rPr>
      <w:t>th</w:t>
    </w:r>
    <w:r>
      <w:rPr>
        <w:rFonts w:cs="Times New Roman" w:ascii="Times New Roman" w:hAnsi="Times New Roman"/>
        <w:b/>
        <w:sz w:val="24"/>
      </w:rPr>
      <w:t xml:space="preserve">, 2019 </w:t>
    </w:r>
  </w:p>
  <w:p>
    <w:pPr>
      <w:pStyle w:val="Encabezamiento"/>
      <w:jc w:val="center"/>
      <w:rPr>
        <w:rFonts w:ascii="Times New Roman" w:hAnsi="Times New Roman" w:cs="Times New Roman"/>
        <w:b/>
        <w:b/>
        <w:sz w:val="24"/>
      </w:rPr>
    </w:pPr>
    <w:r>
      <w:rPr>
        <w:rFonts w:cs="Times New Roman" w:ascii="Times New Roman" w:hAnsi="Times New Roman"/>
        <w:b/>
        <w:sz w:val="24"/>
      </w:rPr>
      <w:t>CAYOS DE VILLA CLARA. CUBA.</w:t>
    </w:r>
  </w:p>
  <w:p>
    <w:pPr>
      <w:pStyle w:val="Encabezamiento"/>
      <w:jc w:val="center"/>
      <w:rPr>
        <w:rFonts w:ascii="Times New Roman" w:hAnsi="Times New Roman" w:cs="Times New Roman"/>
        <w:b/>
        <w:b/>
        <w:sz w:val="24"/>
      </w:rPr>
    </w:pPr>
    <w:r>
      <w:rPr>
        <w:rFonts w:cs="Times New Roman" w:ascii="Times New Roman" w:hAnsi="Times New Roman"/>
        <w:b/>
        <w:sz w:val="24"/>
      </w:rPr>
    </w:r>
  </w:p>
  <w:p>
    <w:pPr>
      <w:pStyle w:val="Encabezamiento"/>
      <w:jc w:val="center"/>
      <w:rPr>
        <w:rFonts w:ascii="Times New Roman" w:hAnsi="Times New Roman" w:cs="Times New Roman"/>
        <w:b/>
        <w:b/>
        <w:sz w:val="24"/>
      </w:rPr>
    </w:pPr>
    <w:r>
      <w:rPr>
        <w:rFonts w:cs="Times New Roman" w:ascii="Times New Roman" w:hAnsi="Times New Roman"/>
        <w:b/>
        <w:sz w:val="24"/>
      </w:rPr>
    </w:r>
  </w:p>
  <w:p>
    <w:pPr>
      <w:pStyle w:val="Encabezamiento"/>
      <w:jc w:val="center"/>
      <w:rPr>
        <w:rFonts w:ascii="Times New Roman" w:hAnsi="Times New Roman" w:cs="Times New Roman"/>
        <w:b/>
        <w:b/>
      </w:rPr>
    </w:pPr>
    <w:r>
      <w:rPr>
        <w:rFonts w:cs="Times New Roman" w:ascii="Times New Roman" w:hAnsi="Times New Roman"/>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7cd"/>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E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c8585b"/>
    <w:rPr/>
  </w:style>
  <w:style w:type="character" w:styleId="FooterChar" w:customStyle="1">
    <w:name w:val="Footer Char"/>
    <w:basedOn w:val="DefaultParagraphFont"/>
    <w:link w:val="Footer"/>
    <w:uiPriority w:val="99"/>
    <w:qFormat/>
    <w:rsid w:val="00c8585b"/>
    <w:rPr/>
  </w:style>
  <w:style w:type="character" w:styleId="BalloonTextChar" w:customStyle="1">
    <w:name w:val="Balloon Text Char"/>
    <w:basedOn w:val="DefaultParagraphFont"/>
    <w:link w:val="BalloonText"/>
    <w:uiPriority w:val="99"/>
    <w:semiHidden/>
    <w:qFormat/>
    <w:rsid w:val="00c8585b"/>
    <w:rPr>
      <w:rFonts w:ascii="Tahoma" w:hAnsi="Tahoma" w:cs="Tahoma"/>
      <w:sz w:val="16"/>
      <w:szCs w:val="16"/>
    </w:rPr>
  </w:style>
  <w:style w:type="character" w:styleId="EnlacedeInternet">
    <w:name w:val="Enlace de Internet"/>
    <w:basedOn w:val="DefaultParagraphFont"/>
    <w:uiPriority w:val="99"/>
    <w:unhideWhenUsed/>
    <w:rsid w:val="00d36d1c"/>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Vietas">
    <w:name w:val="Viñetas"/>
    <w:qFormat/>
    <w:rPr>
      <w:rFonts w:ascii="OpenSymbol" w:hAnsi="OpenSymbol" w:eastAsia="OpenSymbol"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EnlacedeInternetvisitado">
    <w:name w:val="Enlace de Internet visitado"/>
    <w:rPr>
      <w:color w:val="800000"/>
      <w:u w:val="single"/>
      <w:lang w:val="zxx" w:eastAsia="zxx" w:bidi="zxx"/>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Encabezamiento">
    <w:name w:val="Header"/>
    <w:basedOn w:val="Normal"/>
    <w:link w:val="HeaderChar"/>
    <w:unhideWhenUsed/>
    <w:rsid w:val="00c8585b"/>
    <w:pPr>
      <w:tabs>
        <w:tab w:val="center" w:pos="4252" w:leader="none"/>
        <w:tab w:val="right" w:pos="8504" w:leader="none"/>
      </w:tabs>
      <w:spacing w:lineRule="auto" w:line="240" w:before="0" w:after="0"/>
    </w:pPr>
    <w:rPr/>
  </w:style>
  <w:style w:type="paragraph" w:styleId="Piedepgina">
    <w:name w:val="Footer"/>
    <w:basedOn w:val="Normal"/>
    <w:link w:val="FooterChar"/>
    <w:uiPriority w:val="99"/>
    <w:unhideWhenUsed/>
    <w:rsid w:val="00c8585b"/>
    <w:pPr>
      <w:tabs>
        <w:tab w:val="center" w:pos="4252" w:leader="none"/>
        <w:tab w:val="right" w:pos="8504" w:leader="none"/>
      </w:tabs>
      <w:spacing w:lineRule="auto" w:line="240" w:before="0" w:after="0"/>
    </w:pPr>
    <w:rPr/>
  </w:style>
  <w:style w:type="paragraph" w:styleId="BalloonText">
    <w:name w:val="Balloon Text"/>
    <w:basedOn w:val="Normal"/>
    <w:link w:val="BalloonTextCh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hanging="0"/>
      <w:contextualSpacing/>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sanchez@cenatav.co.cu" TargetMode="External"/><Relationship Id="rId3" Type="http://schemas.openxmlformats.org/officeDocument/2006/relationships/hyperlink" Target="mailto:amontalvo@cenatav.co.cu" TargetMode="External"/><Relationship Id="rId4" Type="http://schemas.openxmlformats.org/officeDocument/2006/relationships/hyperlink" Target="mailto:jcalvo@cenatav.co.cu" TargetMode="External"/><Relationship Id="rId5" Type="http://schemas.openxmlformats.org/officeDocument/2006/relationships/image" Target="media/image1.wmf"/><Relationship Id="rId6" Type="http://schemas.openxmlformats.org/officeDocument/2006/relationships/package" Target="embeddings/oleObject1.xlsx"/><Relationship Id="rId7" Type="http://schemas.openxmlformats.org/officeDocument/2006/relationships/image" Target="media/image2.e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package" Target="embeddings/oleObject2.xlsx"/><Relationship Id="rId11" Type="http://schemas.openxmlformats.org/officeDocument/2006/relationships/image" Target="media/image5.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convencionuclv@uclv.cu" TargetMode="External"/><Relationship Id="rId2" Type="http://schemas.openxmlformats.org/officeDocument/2006/relationships/hyperlink" Target="http://www.uclv.edu.cu/" TargetMode="External"/>
</Relationships>
</file>

<file path=word/_rels/header1.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5F9C-2A3B-4E3D-8CD8-42A151F5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Application>LibreOffice/5.1.6.2$Linux_X86_64 LibreOffice_project/10m0$Build-2</Application>
  <Pages>10</Pages>
  <Words>2342</Words>
  <Characters>12221</Characters>
  <CharactersWithSpaces>14518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2018-11-08T19:40:00Z</dcterms:created>
  <dc:creator>Nadya</dc:creator>
  <dc:description/>
  <dc:language>es-ES</dc:language>
  <cp:lastModifiedBy/>
  <cp:lastPrinted>2017-03-02T19:45:00Z</cp:lastPrinted>
  <dcterms:modified xsi:type="dcterms:W3CDTF">2019-04-23T14:08:31Z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