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6B50A" w14:textId="01048FEA" w:rsidR="008A450F" w:rsidRPr="000C5F8D" w:rsidRDefault="008A450F" w:rsidP="000C5F8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s-ES"/>
        </w:rPr>
      </w:pPr>
      <w:r w:rsidRPr="000C5F8D">
        <w:rPr>
          <w:rFonts w:ascii="Times New Roman" w:hAnsi="Times New Roman" w:cs="Times New Roman"/>
          <w:sz w:val="24"/>
          <w:szCs w:val="24"/>
          <w:lang w:val="es-ES"/>
        </w:rPr>
        <w:t xml:space="preserve">Tema: Análisis Social de Ciclo de Vida para el manejo de Residuos Sólidos Urbanos </w:t>
      </w:r>
      <w:r w:rsidR="00B1586E" w:rsidRPr="000C5F8D">
        <w:rPr>
          <w:rFonts w:ascii="Times New Roman" w:hAnsi="Times New Roman" w:cs="Times New Roman"/>
          <w:sz w:val="24"/>
          <w:szCs w:val="24"/>
          <w:lang w:val="es-ES"/>
        </w:rPr>
        <w:t xml:space="preserve">desde el </w:t>
      </w:r>
      <w:r w:rsidR="009F79AC"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  <w:r w:rsidR="00B1586E" w:rsidRPr="000C5F8D">
        <w:rPr>
          <w:rFonts w:ascii="Times New Roman" w:hAnsi="Times New Roman" w:cs="Times New Roman"/>
          <w:sz w:val="24"/>
          <w:szCs w:val="24"/>
          <w:lang w:val="es-ES"/>
        </w:rPr>
        <w:t>enfoque comunitario</w:t>
      </w:r>
      <w:r w:rsidRPr="000C5F8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A6249FA" w14:textId="46C5C10F" w:rsidR="00B44F8F" w:rsidRDefault="00B44F8F" w:rsidP="00523A5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s-ES"/>
        </w:rPr>
      </w:pPr>
      <w:r w:rsidRPr="000C5F8D">
        <w:rPr>
          <w:rFonts w:ascii="Times New Roman" w:hAnsi="Times New Roman" w:cs="Times New Roman"/>
          <w:sz w:val="24"/>
          <w:szCs w:val="24"/>
          <w:lang w:val="es-ES"/>
        </w:rPr>
        <w:t xml:space="preserve">Autores: Yaneisy Anaday Galloso García, Georgina Castro Acevedo, </w:t>
      </w:r>
      <w:r w:rsidR="0037742B">
        <w:rPr>
          <w:rFonts w:ascii="Times New Roman" w:hAnsi="Times New Roman" w:cs="Times New Roman"/>
          <w:sz w:val="24"/>
          <w:szCs w:val="24"/>
          <w:lang w:val="es-ES"/>
        </w:rPr>
        <w:t>Joaquín Alonso Frey</w:t>
      </w:r>
      <w:r w:rsidR="00523A52">
        <w:rPr>
          <w:rFonts w:ascii="Times New Roman" w:hAnsi="Times New Roman" w:cs="Times New Roman"/>
          <w:sz w:val="24"/>
          <w:szCs w:val="24"/>
          <w:lang w:val="es-ES"/>
        </w:rPr>
        <w:t xml:space="preserve">re, </w:t>
      </w:r>
      <w:r w:rsidRPr="000C5F8D">
        <w:rPr>
          <w:rFonts w:ascii="Times New Roman" w:hAnsi="Times New Roman" w:cs="Times New Roman"/>
          <w:sz w:val="24"/>
          <w:szCs w:val="24"/>
          <w:lang w:val="es-ES"/>
        </w:rPr>
        <w:t>Elena Rosa Domínguez</w:t>
      </w:r>
      <w:r w:rsidR="00523A5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3EA5EA5" w14:textId="74033A3E" w:rsidR="00523A52" w:rsidRDefault="00523A52" w:rsidP="00523A5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Universidad Central Marta Abreu de Las Villas.</w:t>
      </w:r>
    </w:p>
    <w:p w14:paraId="3ADE5F89" w14:textId="0B2760B2" w:rsidR="00523A52" w:rsidRPr="000C5F8D" w:rsidRDefault="00523A52" w:rsidP="00523A5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yaneisyg</w:t>
      </w:r>
      <w:r w:rsidR="009F79AC">
        <w:rPr>
          <w:rFonts w:ascii="Times New Roman" w:hAnsi="Times New Roman" w:cs="Times New Roman"/>
          <w:sz w:val="24"/>
          <w:szCs w:val="24"/>
          <w:lang w:val="es-ES"/>
        </w:rPr>
        <w:t>@uclv.edu.cu</w:t>
      </w:r>
    </w:p>
    <w:p w14:paraId="5CDB52A4" w14:textId="34549414" w:rsidR="009D253D" w:rsidRPr="009D7573" w:rsidRDefault="004438EF" w:rsidP="009D7573">
      <w:pPr>
        <w:pStyle w:val="Prrafodelista"/>
        <w:spacing w:line="360" w:lineRule="auto"/>
        <w:ind w:left="360"/>
        <w:jc w:val="both"/>
        <w:rPr>
          <w:lang w:val="es-ES"/>
        </w:rPr>
      </w:pPr>
      <w:r w:rsidRPr="000C5F8D">
        <w:rPr>
          <w:rFonts w:eastAsiaTheme="minorEastAsia"/>
          <w:kern w:val="24"/>
          <w:lang w:val="es-ES"/>
        </w:rPr>
        <w:t xml:space="preserve">El medio ambiente constituye un bien fundamental de la sociedad cubana. Sin embargo a pesar del crecimiento económico del país en el año 1980 donde se determinó un mejoramiento en la calidad de los servicio comunales y en el sector de los residuos sólidos, los cambios económicos financieros a los que se vio expuesto el país  </w:t>
      </w:r>
      <w:r w:rsidR="009D253D" w:rsidRPr="000C5F8D">
        <w:rPr>
          <w:rFonts w:eastAsiaTheme="minorEastAsia"/>
          <w:kern w:val="24"/>
          <w:lang w:val="es-ES"/>
        </w:rPr>
        <w:t>con el derrumbe</w:t>
      </w:r>
      <w:r w:rsidR="00E56A62">
        <w:rPr>
          <w:rFonts w:eastAsiaTheme="minorEastAsia"/>
          <w:kern w:val="24"/>
          <w:lang w:val="es-ES"/>
        </w:rPr>
        <w:t xml:space="preserve"> del campo socialista </w:t>
      </w:r>
      <w:r w:rsidRPr="000C5F8D">
        <w:rPr>
          <w:rFonts w:eastAsiaTheme="minorEastAsia"/>
          <w:kern w:val="24"/>
          <w:lang w:val="es-ES"/>
        </w:rPr>
        <w:t xml:space="preserve">a partir de 1990 </w:t>
      </w:r>
      <w:r w:rsidR="000C5F8D">
        <w:rPr>
          <w:rFonts w:eastAsiaTheme="minorEastAsia"/>
          <w:kern w:val="24"/>
          <w:lang w:val="es-ES"/>
        </w:rPr>
        <w:t xml:space="preserve">produjo </w:t>
      </w:r>
      <w:r w:rsidRPr="000C5F8D">
        <w:rPr>
          <w:rFonts w:eastAsiaTheme="minorEastAsia"/>
          <w:kern w:val="24"/>
          <w:lang w:val="es-ES"/>
        </w:rPr>
        <w:t xml:space="preserve">un deterioro marcado de los servicios de aseo urbano, que perdura hasta hoy, lo que incide en las condiciones ambientales y en la salud humana afectando la calidad de vida de la población. </w:t>
      </w:r>
      <w:r w:rsidRPr="000C5F8D">
        <w:rPr>
          <w:lang w:val="es-US"/>
        </w:rPr>
        <w:t xml:space="preserve">La provincia de Villa Clara presenta la misma realidad mundial y nacional, por lo que el objetivo de esta investigación está encaminado a </w:t>
      </w:r>
      <w:r w:rsidRPr="000C5F8D">
        <w:rPr>
          <w:lang w:val="es-ES_tradnl" w:eastAsia="fr-FR"/>
        </w:rPr>
        <w:t xml:space="preserve">implementar </w:t>
      </w:r>
      <w:r w:rsidRPr="000C5F8D">
        <w:rPr>
          <w:rStyle w:val="tlid-translation"/>
          <w:lang w:val="es-ES"/>
        </w:rPr>
        <w:t>un</w:t>
      </w:r>
      <w:r w:rsidRPr="000C5F8D">
        <w:rPr>
          <w:rFonts w:eastAsia="Calibri"/>
          <w:lang w:val="es-ES"/>
        </w:rPr>
        <w:t xml:space="preserve"> sistema de dimensiones e indicadores sociales desde la concepción comunitaria asociados a las diferentes categorías de impacto del ciclo de vida </w:t>
      </w:r>
      <w:r w:rsidRPr="009D7573">
        <w:rPr>
          <w:rFonts w:eastAsia="Calibri"/>
          <w:lang w:val="es-ES"/>
        </w:rPr>
        <w:t>del manejo de residuos sólidos urbanos en este consejo popular.</w:t>
      </w:r>
      <w:r w:rsidR="009D253D" w:rsidRPr="009D7573">
        <w:rPr>
          <w:rFonts w:eastAsiaTheme="minorEastAsia"/>
          <w:kern w:val="24"/>
          <w:lang w:val="es-ES_tradnl"/>
        </w:rPr>
        <w:t xml:space="preserve"> Los </w:t>
      </w:r>
      <w:r w:rsidR="009D7573">
        <w:rPr>
          <w:rFonts w:eastAsiaTheme="minorEastAsia"/>
          <w:kern w:val="24"/>
          <w:lang w:val="es-ES_tradnl"/>
        </w:rPr>
        <w:t>residuos sólidos urbanos</w:t>
      </w:r>
      <w:r w:rsidR="00C13484" w:rsidRPr="009D7573">
        <w:rPr>
          <w:rFonts w:eastAsiaTheme="minorEastAsia"/>
          <w:kern w:val="24"/>
          <w:lang w:val="es-ES_tradnl"/>
        </w:rPr>
        <w:t xml:space="preserve"> por su generación pued</w:t>
      </w:r>
      <w:r w:rsidR="003069A6" w:rsidRPr="009D7573">
        <w:rPr>
          <w:rFonts w:eastAsiaTheme="minorEastAsia"/>
          <w:kern w:val="24"/>
          <w:lang w:val="es-ES_tradnl"/>
        </w:rPr>
        <w:t xml:space="preserve">en ser domésticos, comerciales, </w:t>
      </w:r>
      <w:r w:rsidR="00C13484" w:rsidRPr="009D7573">
        <w:rPr>
          <w:rFonts w:eastAsiaTheme="minorEastAsia"/>
          <w:kern w:val="24"/>
          <w:lang w:val="es-ES_tradnl"/>
        </w:rPr>
        <w:t>industriales</w:t>
      </w:r>
      <w:r w:rsidR="003069A6" w:rsidRPr="009D7573">
        <w:rPr>
          <w:rFonts w:eastAsiaTheme="minorEastAsia"/>
          <w:kern w:val="24"/>
          <w:lang w:val="es-ES_tradnl"/>
        </w:rPr>
        <w:t xml:space="preserve">, </w:t>
      </w:r>
      <w:r w:rsidR="009D253D" w:rsidRPr="009D7573">
        <w:rPr>
          <w:rFonts w:eastAsiaTheme="minorEastAsia"/>
          <w:kern w:val="24"/>
          <w:lang w:val="es-ES_tradnl"/>
        </w:rPr>
        <w:t>hospitalario</w:t>
      </w:r>
      <w:r w:rsidR="003069A6" w:rsidRPr="009D7573">
        <w:rPr>
          <w:rFonts w:eastAsiaTheme="minorEastAsia"/>
          <w:kern w:val="24"/>
          <w:lang w:val="es-ES_tradnl"/>
        </w:rPr>
        <w:t>s peligrosos y no peligrosos, agrícolas</w:t>
      </w:r>
      <w:r w:rsidR="009D253D" w:rsidRPr="009D7573">
        <w:rPr>
          <w:rFonts w:eastAsiaTheme="minorEastAsia"/>
          <w:kern w:val="24"/>
          <w:lang w:val="es-ES_tradnl"/>
        </w:rPr>
        <w:t xml:space="preserve"> y </w:t>
      </w:r>
      <w:r w:rsidR="003069A6" w:rsidRPr="009D7573">
        <w:rPr>
          <w:rFonts w:eastAsiaTheme="minorEastAsia"/>
          <w:kern w:val="24"/>
          <w:lang w:val="es-ES_tradnl"/>
        </w:rPr>
        <w:t xml:space="preserve">de </w:t>
      </w:r>
      <w:r w:rsidR="009D253D" w:rsidRPr="009D7573">
        <w:rPr>
          <w:rFonts w:eastAsiaTheme="minorEastAsia"/>
          <w:kern w:val="24"/>
          <w:lang w:val="es-ES_tradnl"/>
        </w:rPr>
        <w:t xml:space="preserve">la </w:t>
      </w:r>
      <w:r w:rsidR="003069A6" w:rsidRPr="009D7573">
        <w:rPr>
          <w:rFonts w:eastAsiaTheme="minorEastAsia"/>
          <w:kern w:val="24"/>
          <w:lang w:val="es-ES_tradnl"/>
        </w:rPr>
        <w:t>construcción.</w:t>
      </w:r>
      <w:r w:rsidR="009D253D" w:rsidRPr="009D7573">
        <w:rPr>
          <w:rFonts w:eastAsiaTheme="minorEastAsia"/>
          <w:kern w:val="24"/>
          <w:lang w:val="es-ES_tradnl"/>
        </w:rPr>
        <w:t xml:space="preserve"> Están constituido mayoritariamente por materiales </w:t>
      </w:r>
      <w:r w:rsidR="003069A6" w:rsidRPr="009D7573">
        <w:rPr>
          <w:rFonts w:eastAsiaTheme="minorEastAsia"/>
          <w:kern w:val="24"/>
          <w:lang w:val="es-ES_tradnl"/>
        </w:rPr>
        <w:t xml:space="preserve"> </w:t>
      </w:r>
      <w:r w:rsidR="009D253D" w:rsidRPr="009D7573">
        <w:rPr>
          <w:rFonts w:eastAsiaTheme="minorEastAsia"/>
          <w:kern w:val="24"/>
          <w:lang w:val="es-ES_tradnl"/>
        </w:rPr>
        <w:t xml:space="preserve"> orgánicos como: el papel, la madera, la tela, la poda y restos de comida e inorgánicos como el vidrio, escombros, metales, entre otros. </w:t>
      </w:r>
    </w:p>
    <w:p w14:paraId="4A8E7276" w14:textId="0B5E01BE" w:rsidR="009D253D" w:rsidRPr="009D7573" w:rsidRDefault="009D253D" w:rsidP="009D7573">
      <w:pPr>
        <w:pStyle w:val="Prrafodelista"/>
        <w:spacing w:line="360" w:lineRule="auto"/>
        <w:ind w:left="360"/>
        <w:jc w:val="both"/>
        <w:rPr>
          <w:lang w:val="es-ES"/>
        </w:rPr>
      </w:pPr>
      <w:r w:rsidRPr="009D7573">
        <w:rPr>
          <w:rFonts w:eastAsiaTheme="minorEastAsia"/>
          <w:kern w:val="24"/>
          <w:lang w:val="es-MX"/>
        </w:rPr>
        <w:t xml:space="preserve">Como problemática tenemos que no existe </w:t>
      </w:r>
      <w:r w:rsidR="000C5F8D" w:rsidRPr="009D7573">
        <w:rPr>
          <w:rFonts w:eastAsiaTheme="minorEastAsia"/>
          <w:kern w:val="24"/>
          <w:lang w:val="es-MX"/>
        </w:rPr>
        <w:t xml:space="preserve">un adecuado sistema para el manejo de los residuos sólidos urbanos por lo que ocurre </w:t>
      </w:r>
      <w:r w:rsidRPr="009D7573">
        <w:rPr>
          <w:rFonts w:eastAsiaTheme="minorEastAsia"/>
          <w:kern w:val="24"/>
          <w:lang w:val="es-MX"/>
        </w:rPr>
        <w:t>segregación en el origen y son recolectados de forma mezclada.</w:t>
      </w:r>
    </w:p>
    <w:p w14:paraId="25F647C7" w14:textId="20A3E209" w:rsidR="007010EC" w:rsidRPr="000C5F8D" w:rsidRDefault="00132F5A" w:rsidP="009D7573">
      <w:pPr>
        <w:spacing w:line="360" w:lineRule="auto"/>
        <w:ind w:left="360"/>
        <w:contextualSpacing/>
        <w:jc w:val="both"/>
        <w:rPr>
          <w:rStyle w:val="tlid-translation"/>
          <w:rFonts w:ascii="Times New Roman" w:hAnsi="Times New Roman" w:cs="Times New Roman"/>
          <w:sz w:val="24"/>
          <w:szCs w:val="24"/>
          <w:lang w:val="es-ES"/>
        </w:rPr>
      </w:pPr>
      <w:r w:rsidRPr="009D757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el presente trabajo s</w:t>
      </w:r>
      <w:r w:rsidR="000562AB" w:rsidRPr="009D757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 </w:t>
      </w:r>
      <w:r w:rsidRPr="009D757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realiza un análisis </w:t>
      </w:r>
      <w:r w:rsidR="008A450F" w:rsidRPr="009D757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social del Ciclo de Vida </w:t>
      </w:r>
      <w:r w:rsidR="000562AB" w:rsidRPr="009D757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para evaluar los impactos</w:t>
      </w:r>
      <w:r w:rsidR="008A450F" w:rsidRPr="009D757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sociales según las prá</w:t>
      </w:r>
      <w:r w:rsidR="008A450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cticas actuales de</w:t>
      </w:r>
      <w:r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 manejo de residuos sólidos urbanos</w:t>
      </w:r>
      <w:r w:rsidR="000562AB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en el Consejo Popular José Martí de la ciudad de Santa Clara.</w:t>
      </w:r>
      <w:r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711FEB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Consultamos </w:t>
      </w:r>
      <w:r w:rsidR="008A450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las pa</w:t>
      </w:r>
      <w:r w:rsidR="00711FEB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rtes interesadas, </w:t>
      </w:r>
      <w:r w:rsidR="00F74F82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</w:t>
      </w:r>
      <w:r w:rsidR="008A450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los trabajadores que interactúan en la recogida de estos residuos, los habitantes de dicho c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onsejo</w:t>
      </w:r>
      <w:r w:rsidR="00B1586E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popular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8A450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las autoridades municipales para evaluar aspectos relacionados con los derechos humanos, las condiciones de trabajo, salud y seguridad, el patrimonio cultural, la toma de </w:t>
      </w:r>
      <w:r w:rsidR="008A450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 xml:space="preserve">decisiones y las repercusiones socioeconómicas asociadas </w:t>
      </w:r>
      <w:r w:rsidR="000562AB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al manejo </w:t>
      </w:r>
      <w:r w:rsidR="008A450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residuos sólidos. Tradicionalmente, el trabajo de la recolección de residuos se ha asignado a los grupos de person</w:t>
      </w:r>
      <w:r w:rsidR="000562AB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as de bajo nivel de escolaridad.</w:t>
      </w:r>
      <w:r w:rsidR="008A450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Debido a la</w:t>
      </w:r>
      <w:r w:rsidR="000562AB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poca educación ambiental</w:t>
      </w:r>
      <w:r w:rsidR="004438E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9D757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las </w:t>
      </w:r>
      <w:r w:rsidR="000562AB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personas </w:t>
      </w:r>
      <w:r w:rsidR="004438E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0562AB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exponen a riesgos </w:t>
      </w:r>
      <w:r w:rsidR="009D253D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 solo</w:t>
      </w:r>
      <w:r w:rsidR="004438E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</w:t>
      </w:r>
      <w:r w:rsidR="000562AB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ecosistema</w:t>
      </w:r>
      <w:r w:rsidR="00E56A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sino también</w:t>
      </w:r>
      <w:r w:rsidR="004438E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salud humana</w:t>
      </w:r>
      <w:r w:rsidR="008A450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los recicladores a menudo son denominados buzos por la sociedad</w:t>
      </w:r>
      <w:r w:rsidR="00711FEB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cubana</w:t>
      </w:r>
      <w:r w:rsidR="008A450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6B2E3A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sin embargo,</w:t>
      </w:r>
      <w:r w:rsidR="008A450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estas personas se dedican a reutilizar y reciclar los desechos urbanos con lo cual están satisfaciendo </w:t>
      </w:r>
      <w:r w:rsidR="006B2E3A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algunas de sus necesidades</w:t>
      </w:r>
      <w:r w:rsidR="008A450F" w:rsidRPr="000C5F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La mayoría de los trabajadores </w:t>
      </w:r>
      <w:r w:rsidR="000562AB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a pesar de estar capacitados no aplican los conocimientos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y medios</w:t>
      </w:r>
      <w:r w:rsidR="000562AB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necesarios para su protección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exponiéndose a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enfermedades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tanto respiratorias como de otra índole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. Personas</w:t>
      </w:r>
      <w:r w:rsidR="00B1586E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pertenecientes a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la tercera edad, con bajos ingresos 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salariales 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realizan estas actividades en los vertederos. Después de tener el debate social en la toma de decisiones de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l manejo 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de residuos sólidos urbanos, se concluyó</w:t>
      </w:r>
      <w:r w:rsidR="00E56A6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que aunque si se han desarrollado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análisis de ciclo de vida desde el punto de vista ambiental no se ha logrado solucionar esta problemática por lo que el éxito de cualquier nueva iniciativa para</w:t>
      </w:r>
      <w:r w:rsidR="006B2E3A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el manejo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de los residuos sólidos urbanos en el Consejo Popular José Martí de la ciudad de Santa Clara dependerá en gran medida de procesos de toma de decisiones más racionales y humanos, los cuales deberán considerar todas las etapas del ciclo de vida involucradas en este proceso, </w:t>
      </w:r>
      <w:r w:rsidR="006B2E3A" w:rsidRPr="000C5F8D">
        <w:rPr>
          <w:rFonts w:ascii="Times New Roman" w:hAnsi="Times New Roman" w:cs="Times New Roman"/>
          <w:sz w:val="24"/>
          <w:szCs w:val="24"/>
          <w:lang w:val="es-ES"/>
        </w:rPr>
        <w:t>generación, recolección, transporte, separación y clasificación, reciclaje, tratamiento y disposición final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Para realizar esta investigación fue necesario adaptar a las condiciones</w:t>
      </w:r>
      <w:r w:rsidR="00897BEA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de nuestro país según el Programa de las Naciones Unidas para el Medio Ambiente y de la Sociedad de Toxicología</w:t>
      </w:r>
      <w:r w:rsidR="009D7573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y Química Ambiental (</w:t>
      </w:r>
      <w:r w:rsidR="009D7573">
        <w:rPr>
          <w:rFonts w:ascii="Times New Roman" w:hAnsi="Times New Roman" w:cs="Times New Roman"/>
          <w:sz w:val="24"/>
          <w:szCs w:val="24"/>
          <w:lang w:val="es-ES"/>
        </w:rPr>
        <w:t>por sus siglas en inglés</w:t>
      </w:r>
      <w:r w:rsidR="009D7573" w:rsidRPr="000C5F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4F82" w:rsidRPr="000C5F8D">
        <w:rPr>
          <w:rFonts w:ascii="Times New Roman" w:hAnsi="Times New Roman" w:cs="Times New Roman"/>
          <w:sz w:val="24"/>
          <w:szCs w:val="24"/>
          <w:lang w:val="es-ES"/>
        </w:rPr>
        <w:t>UNEP/SETAC</w:t>
      </w:r>
      <w:r w:rsidR="009D7573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="00F74F82" w:rsidRPr="000C5F8D">
        <w:rPr>
          <w:rFonts w:ascii="Times New Roman" w:hAnsi="Times New Roman" w:cs="Times New Roman"/>
          <w:sz w:val="24"/>
          <w:szCs w:val="24"/>
          <w:lang w:val="es-ES"/>
        </w:rPr>
        <w:t>(2009)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.</w:t>
      </w:r>
      <w:r w:rsidR="00711FEB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Al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definir las categorías relevantes en este estudio de Análisis</w:t>
      </w:r>
      <w:r w:rsidR="006B2E3A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Social de Ciclo de Vida 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del manejo de residuos sólidos urbanos</w:t>
      </w:r>
      <w:r w:rsidR="00B1586E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obtuvimos 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las principales categorías de impacto, que 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están centradas 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fundamentalmente en riesgos a la salud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humana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,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a las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condiciones de trabajo,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a la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seguridad y salud ocupacional, 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a la 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cul</w:t>
      </w:r>
      <w:r w:rsidR="00F74F82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tura y educación de la comunidad</w:t>
      </w:r>
      <w:r w:rsidR="008A450F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.</w:t>
      </w:r>
      <w:r w:rsidR="00C13484" w:rsidRPr="000C5F8D">
        <w:rPr>
          <w:rFonts w:ascii="Times New Roman" w:hAnsi="Times New Roman" w:cs="Times New Roman"/>
          <w:sz w:val="24"/>
          <w:szCs w:val="24"/>
          <w:lang w:val="es-ES"/>
        </w:rPr>
        <w:t xml:space="preserve"> Se identifican como categorías de partes interesadas: los trabajadores, la comunidad local, la sociedad y los actores de la cadena de valor</w:t>
      </w:r>
      <w:r w:rsidR="00C13484" w:rsidRPr="000C5F8D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.</w:t>
      </w:r>
    </w:p>
    <w:p w14:paraId="023F9F74" w14:textId="39F0D5CD" w:rsidR="000527B1" w:rsidRPr="000C5F8D" w:rsidRDefault="00C70400" w:rsidP="009D7573">
      <w:pPr>
        <w:pStyle w:val="NormalWeb"/>
        <w:spacing w:before="200" w:beforeAutospacing="0" w:after="0" w:afterAutospacing="0" w:line="360" w:lineRule="auto"/>
        <w:ind w:left="360"/>
        <w:jc w:val="both"/>
        <w:rPr>
          <w:rFonts w:eastAsiaTheme="minorEastAsia"/>
          <w:color w:val="404040" w:themeColor="text1" w:themeTint="BF"/>
          <w:kern w:val="24"/>
          <w:lang w:val="es-ES"/>
        </w:rPr>
      </w:pPr>
      <w:r w:rsidRPr="000C5F8D">
        <w:rPr>
          <w:rFonts w:eastAsiaTheme="minorEastAsia"/>
          <w:color w:val="000000" w:themeColor="text1"/>
          <w:kern w:val="24"/>
          <w:lang w:val="es-EC"/>
        </w:rPr>
        <w:t xml:space="preserve">La población carece de </w:t>
      </w:r>
      <w:r w:rsidR="00132F5A" w:rsidRPr="000C5F8D">
        <w:rPr>
          <w:rFonts w:eastAsiaTheme="minorEastAsia"/>
          <w:color w:val="000000" w:themeColor="text1"/>
          <w:kern w:val="24"/>
          <w:lang w:val="es-EC"/>
        </w:rPr>
        <w:t xml:space="preserve">gestores comunitarios que permitan  poner en práctica </w:t>
      </w:r>
      <w:r w:rsidRPr="000C5F8D">
        <w:rPr>
          <w:rFonts w:eastAsiaTheme="minorEastAsia"/>
          <w:color w:val="000000" w:themeColor="text1"/>
          <w:kern w:val="24"/>
          <w:lang w:val="es-EC"/>
        </w:rPr>
        <w:t xml:space="preserve">un plan de educación ambiental óptimo </w:t>
      </w:r>
      <w:r w:rsidR="00A45AC6" w:rsidRPr="000C5F8D">
        <w:rPr>
          <w:rFonts w:eastAsiaTheme="minorEastAsia"/>
          <w:color w:val="000000" w:themeColor="text1"/>
          <w:kern w:val="24"/>
          <w:lang w:val="es-EC"/>
        </w:rPr>
        <w:t xml:space="preserve">para documentar y educar a las comunidades </w:t>
      </w:r>
      <w:r w:rsidRPr="000C5F8D">
        <w:rPr>
          <w:rFonts w:eastAsiaTheme="minorEastAsia"/>
          <w:color w:val="000000" w:themeColor="text1"/>
          <w:kern w:val="24"/>
          <w:lang w:val="es-EC"/>
        </w:rPr>
        <w:t>sobre el manejo de los residuos sólidos</w:t>
      </w:r>
      <w:r w:rsidR="004438EF" w:rsidRPr="000C5F8D">
        <w:rPr>
          <w:rFonts w:eastAsiaTheme="minorEastAsia"/>
          <w:color w:val="000000" w:themeColor="text1"/>
          <w:kern w:val="24"/>
          <w:lang w:val="es-EC"/>
        </w:rPr>
        <w:t xml:space="preserve">, por </w:t>
      </w:r>
      <w:r w:rsidRPr="000C5F8D">
        <w:rPr>
          <w:rFonts w:eastAsiaTheme="minorEastAsia"/>
          <w:color w:val="000000" w:themeColor="text1"/>
          <w:kern w:val="24"/>
          <w:lang w:val="es-EC"/>
        </w:rPr>
        <w:t>tanto, e</w:t>
      </w:r>
      <w:r w:rsidRPr="000C5F8D">
        <w:rPr>
          <w:rFonts w:eastAsiaTheme="minorEastAsia"/>
          <w:color w:val="000000" w:themeColor="text1"/>
          <w:kern w:val="24"/>
          <w:lang w:val="es-ES"/>
        </w:rPr>
        <w:t>l inadecuado manejo de los residuos sólidos urbanos, trae por consecuencia un alto nivel de contaminación</w:t>
      </w:r>
      <w:r w:rsidR="00711FEB" w:rsidRPr="000C5F8D">
        <w:rPr>
          <w:rFonts w:eastAsiaTheme="minorEastAsia"/>
          <w:color w:val="000000" w:themeColor="text1"/>
          <w:kern w:val="24"/>
          <w:lang w:val="es-ES"/>
        </w:rPr>
        <w:t xml:space="preserve"> lo que provoca serias afecciones a la salud humana</w:t>
      </w:r>
      <w:r w:rsidRPr="000C5F8D">
        <w:rPr>
          <w:rFonts w:eastAsiaTheme="minorEastAsia"/>
          <w:color w:val="000000" w:themeColor="text1"/>
          <w:kern w:val="24"/>
          <w:lang w:val="es-ES"/>
        </w:rPr>
        <w:t xml:space="preserve">, </w:t>
      </w:r>
      <w:r w:rsidR="00711FEB" w:rsidRPr="000C5F8D">
        <w:rPr>
          <w:rFonts w:eastAsiaTheme="minorEastAsia"/>
          <w:color w:val="000000" w:themeColor="text1"/>
          <w:kern w:val="24"/>
          <w:lang w:val="es-ES"/>
        </w:rPr>
        <w:t>se hace</w:t>
      </w:r>
      <w:r w:rsidRPr="000C5F8D">
        <w:rPr>
          <w:rFonts w:eastAsiaTheme="minorEastAsia"/>
          <w:color w:val="000000" w:themeColor="text1"/>
          <w:kern w:val="24"/>
          <w:lang w:val="es-ES"/>
        </w:rPr>
        <w:t xml:space="preserve"> necesario elaborar un adecuado sistema para el manejo de los residuos sólidos </w:t>
      </w:r>
      <w:r w:rsidRPr="000C5F8D">
        <w:rPr>
          <w:rFonts w:eastAsiaTheme="minorEastAsia"/>
          <w:color w:val="000000" w:themeColor="text1"/>
          <w:kern w:val="24"/>
          <w:lang w:val="es-ES"/>
        </w:rPr>
        <w:lastRenderedPageBreak/>
        <w:t>urbanos buscando alternativas sostenibles encaminadas a disminuir sus efectos, que garanticen una mejor c</w:t>
      </w:r>
      <w:r w:rsidR="008B3957" w:rsidRPr="000C5F8D">
        <w:rPr>
          <w:rFonts w:eastAsiaTheme="minorEastAsia"/>
          <w:color w:val="000000" w:themeColor="text1"/>
          <w:kern w:val="24"/>
          <w:lang w:val="es-ES"/>
        </w:rPr>
        <w:t>alidad de vida para la comunidad</w:t>
      </w:r>
      <w:r w:rsidRPr="000C5F8D">
        <w:rPr>
          <w:lang w:val="es-ES"/>
        </w:rPr>
        <w:t xml:space="preserve"> </w:t>
      </w:r>
      <w:r w:rsidR="00711FEB" w:rsidRPr="000C5F8D">
        <w:rPr>
          <w:lang w:val="es-ES"/>
        </w:rPr>
        <w:t xml:space="preserve">donde </w:t>
      </w:r>
      <w:r w:rsidRPr="000C5F8D">
        <w:rPr>
          <w:lang w:val="es-ES"/>
        </w:rPr>
        <w:t xml:space="preserve">los principales resultados se reflejarán en la educación ambiental </w:t>
      </w:r>
      <w:r w:rsidR="00A45AC6" w:rsidRPr="000C5F8D">
        <w:rPr>
          <w:lang w:val="es-ES"/>
        </w:rPr>
        <w:t xml:space="preserve">comunitaria </w:t>
      </w:r>
      <w:r w:rsidR="008B3957" w:rsidRPr="000C5F8D">
        <w:rPr>
          <w:lang w:val="es-ES"/>
        </w:rPr>
        <w:t xml:space="preserve">de </w:t>
      </w:r>
      <w:r w:rsidR="00A45AC6" w:rsidRPr="000C5F8D">
        <w:rPr>
          <w:lang w:val="es-ES"/>
        </w:rPr>
        <w:t>los habitantes de esta zona de estudio</w:t>
      </w:r>
      <w:r w:rsidRPr="000C5F8D">
        <w:rPr>
          <w:lang w:val="es-ES"/>
        </w:rPr>
        <w:t>.</w:t>
      </w:r>
      <w:r w:rsidR="000527B1" w:rsidRPr="000C5F8D">
        <w:rPr>
          <w:rFonts w:eastAsiaTheme="minorEastAsia"/>
          <w:color w:val="404040" w:themeColor="text1" w:themeTint="BF"/>
          <w:kern w:val="24"/>
          <w:lang w:val="es-ES"/>
        </w:rPr>
        <w:t xml:space="preserve"> </w:t>
      </w:r>
    </w:p>
    <w:p w14:paraId="1FB60191" w14:textId="6353A91E" w:rsidR="00C70400" w:rsidRPr="000C5F8D" w:rsidRDefault="00C70400" w:rsidP="009D7573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sectPr w:rsidR="00C70400" w:rsidRPr="000C5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321D"/>
    <w:multiLevelType w:val="hybridMultilevel"/>
    <w:tmpl w:val="A56460C0"/>
    <w:lvl w:ilvl="0" w:tplc="519C1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C7191"/>
    <w:multiLevelType w:val="hybridMultilevel"/>
    <w:tmpl w:val="49C47620"/>
    <w:lvl w:ilvl="0" w:tplc="46988BF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F0D26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3C8E4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128AF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96FEB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16E29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B67C3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3E02B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CFC740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72"/>
    <w:rsid w:val="000527B1"/>
    <w:rsid w:val="000562AB"/>
    <w:rsid w:val="000A4DEE"/>
    <w:rsid w:val="000C5F8D"/>
    <w:rsid w:val="00132F5A"/>
    <w:rsid w:val="003069A6"/>
    <w:rsid w:val="0037742B"/>
    <w:rsid w:val="004438EF"/>
    <w:rsid w:val="00523A52"/>
    <w:rsid w:val="006A0846"/>
    <w:rsid w:val="006B2E3A"/>
    <w:rsid w:val="007010EC"/>
    <w:rsid w:val="00711FEB"/>
    <w:rsid w:val="007A2772"/>
    <w:rsid w:val="00897BEA"/>
    <w:rsid w:val="008A450F"/>
    <w:rsid w:val="008B3957"/>
    <w:rsid w:val="009D253D"/>
    <w:rsid w:val="009D7573"/>
    <w:rsid w:val="009F79AC"/>
    <w:rsid w:val="00A45AC6"/>
    <w:rsid w:val="00A67C4F"/>
    <w:rsid w:val="00B1586E"/>
    <w:rsid w:val="00B44F8F"/>
    <w:rsid w:val="00C13484"/>
    <w:rsid w:val="00C70400"/>
    <w:rsid w:val="00E14EFA"/>
    <w:rsid w:val="00E56A62"/>
    <w:rsid w:val="00F7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6F4"/>
  <w15:chartTrackingRefBased/>
  <w15:docId w15:val="{761134A4-A8D6-4D27-8EF7-9EC5F1FB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5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8A450F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7C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7C4F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A67C4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C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D2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3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Yaneisy Anaday</dc:creator>
  <cp:keywords/>
  <dc:description/>
  <cp:lastModifiedBy>Joaquin R Alonso Freyre</cp:lastModifiedBy>
  <cp:revision>19</cp:revision>
  <dcterms:created xsi:type="dcterms:W3CDTF">2019-03-20T19:20:00Z</dcterms:created>
  <dcterms:modified xsi:type="dcterms:W3CDTF">2019-04-24T13:43:00Z</dcterms:modified>
</cp:coreProperties>
</file>