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A08" w:rsidRDefault="00DE1A08" w:rsidP="004E7782">
      <w:pPr>
        <w:spacing w:before="240" w:after="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XII SIMPOSIO INTERNACIONAL DE ESTRUCTURAS Y GEOTECNIA</w:t>
      </w:r>
    </w:p>
    <w:p w:rsidR="0054462C" w:rsidRDefault="0054462C" w:rsidP="004E7782">
      <w:pPr>
        <w:spacing w:before="240" w:after="0"/>
        <w:jc w:val="center"/>
        <w:rPr>
          <w:rFonts w:ascii="Times New Roman" w:hAnsi="Times New Roman" w:cs="Times New Roman"/>
          <w:b/>
          <w:sz w:val="28"/>
          <w:szCs w:val="28"/>
        </w:rPr>
      </w:pPr>
    </w:p>
    <w:p w:rsidR="0054462C" w:rsidRDefault="0054462C" w:rsidP="004E7782">
      <w:pPr>
        <w:spacing w:before="240" w:after="0"/>
        <w:jc w:val="center"/>
        <w:rPr>
          <w:rFonts w:ascii="Times New Roman" w:hAnsi="Times New Roman" w:cs="Times New Roman"/>
          <w:b/>
          <w:sz w:val="28"/>
          <w:szCs w:val="28"/>
        </w:rPr>
      </w:pPr>
    </w:p>
    <w:p w:rsidR="0054462C" w:rsidRDefault="0054462C" w:rsidP="004E7782">
      <w:pPr>
        <w:spacing w:before="240" w:after="0"/>
        <w:jc w:val="center"/>
        <w:rPr>
          <w:rFonts w:ascii="Times New Roman" w:hAnsi="Times New Roman" w:cs="Times New Roman"/>
          <w:b/>
          <w:sz w:val="28"/>
          <w:szCs w:val="28"/>
        </w:rPr>
      </w:pPr>
      <w:r>
        <w:rPr>
          <w:rFonts w:ascii="Times New Roman" w:hAnsi="Times New Roman" w:cs="Times New Roman"/>
          <w:b/>
          <w:sz w:val="28"/>
          <w:szCs w:val="28"/>
        </w:rPr>
        <w:t>III Coloquio de Ingeniería Vial y Obras del Transporte</w:t>
      </w:r>
    </w:p>
    <w:p w:rsidR="00933191" w:rsidRDefault="00933191" w:rsidP="00DE1A08">
      <w:pPr>
        <w:spacing w:after="0"/>
        <w:jc w:val="center"/>
        <w:rPr>
          <w:rFonts w:ascii="Times New Roman" w:hAnsi="Times New Roman" w:cs="Times New Roman"/>
          <w:b/>
          <w:sz w:val="28"/>
          <w:szCs w:val="28"/>
        </w:rPr>
      </w:pPr>
    </w:p>
    <w:p w:rsidR="00933191" w:rsidRDefault="00933191" w:rsidP="00DE1A08">
      <w:pPr>
        <w:spacing w:after="0"/>
        <w:jc w:val="center"/>
        <w:rPr>
          <w:rFonts w:ascii="Times New Roman" w:hAnsi="Times New Roman" w:cs="Times New Roman"/>
          <w:b/>
          <w:sz w:val="28"/>
          <w:szCs w:val="28"/>
        </w:rPr>
      </w:pPr>
    </w:p>
    <w:p w:rsidR="0054462C" w:rsidRDefault="0054462C" w:rsidP="00DE1A08">
      <w:pPr>
        <w:spacing w:after="0"/>
        <w:jc w:val="center"/>
        <w:rPr>
          <w:rFonts w:ascii="Times New Roman" w:hAnsi="Times New Roman" w:cs="Times New Roman"/>
          <w:b/>
          <w:sz w:val="28"/>
          <w:szCs w:val="28"/>
        </w:rPr>
      </w:pPr>
    </w:p>
    <w:p w:rsidR="00933191" w:rsidRDefault="00933191" w:rsidP="00DE1A08">
      <w:pPr>
        <w:spacing w:after="0"/>
        <w:jc w:val="center"/>
        <w:rPr>
          <w:rFonts w:ascii="Times New Roman" w:hAnsi="Times New Roman" w:cs="Times New Roman"/>
          <w:b/>
          <w:sz w:val="28"/>
          <w:szCs w:val="28"/>
        </w:rPr>
      </w:pPr>
      <w:r w:rsidRPr="00933191">
        <w:rPr>
          <w:rFonts w:ascii="Times New Roman" w:hAnsi="Times New Roman" w:cs="Times New Roman"/>
          <w:b/>
          <w:sz w:val="28"/>
          <w:szCs w:val="28"/>
        </w:rPr>
        <w:t xml:space="preserve">Utilización de escorias de horno de arco eléctrico en bases granulares de carreteras </w:t>
      </w:r>
    </w:p>
    <w:p w:rsidR="007918F5" w:rsidRDefault="007918F5" w:rsidP="00DE1A08">
      <w:pPr>
        <w:spacing w:after="0"/>
        <w:jc w:val="center"/>
        <w:rPr>
          <w:rFonts w:ascii="Times New Roman" w:hAnsi="Times New Roman" w:cs="Times New Roman"/>
          <w:b/>
          <w:sz w:val="28"/>
          <w:szCs w:val="28"/>
        </w:rPr>
      </w:pPr>
    </w:p>
    <w:p w:rsidR="00DE1A08" w:rsidRDefault="00EF17F9" w:rsidP="00DE1A08">
      <w:pPr>
        <w:spacing w:after="0"/>
        <w:jc w:val="center"/>
        <w:rPr>
          <w:rFonts w:ascii="Times New Roman" w:hAnsi="Times New Roman" w:cs="Times New Roman"/>
          <w:b/>
          <w:i/>
          <w:sz w:val="24"/>
          <w:szCs w:val="24"/>
        </w:rPr>
      </w:pPr>
      <w:r w:rsidRPr="00EF17F9">
        <w:rPr>
          <w:rFonts w:ascii="Times New Roman" w:hAnsi="Times New Roman" w:cs="Times New Roman"/>
          <w:b/>
          <w:i/>
          <w:sz w:val="28"/>
          <w:szCs w:val="28"/>
        </w:rPr>
        <w:t>Utilization of electric arc furnace slags in granular road bases</w:t>
      </w:r>
    </w:p>
    <w:p w:rsidR="00DE1A08" w:rsidRDefault="00DE1A08" w:rsidP="00DE1A08">
      <w:pPr>
        <w:spacing w:after="0" w:line="360" w:lineRule="auto"/>
        <w:rPr>
          <w:rFonts w:ascii="Times New Roman" w:hAnsi="Times New Roman" w:cs="Times New Roman"/>
          <w:b/>
          <w:sz w:val="24"/>
          <w:szCs w:val="24"/>
        </w:rPr>
      </w:pPr>
    </w:p>
    <w:p w:rsidR="00933191" w:rsidRPr="00933191" w:rsidRDefault="00933191" w:rsidP="00933191">
      <w:pPr>
        <w:spacing w:after="0" w:line="360" w:lineRule="auto"/>
        <w:jc w:val="center"/>
        <w:rPr>
          <w:rFonts w:ascii="Times New Roman" w:hAnsi="Times New Roman" w:cs="Times New Roman"/>
          <w:b/>
          <w:sz w:val="24"/>
          <w:szCs w:val="24"/>
          <w:vertAlign w:val="superscript"/>
        </w:rPr>
      </w:pPr>
      <w:proofErr w:type="spellStart"/>
      <w:r w:rsidRPr="0054462C">
        <w:rPr>
          <w:rFonts w:ascii="Times New Roman" w:hAnsi="Times New Roman" w:cs="Times New Roman"/>
          <w:b/>
          <w:sz w:val="24"/>
          <w:szCs w:val="24"/>
        </w:rPr>
        <w:t>MsC.</w:t>
      </w:r>
      <w:proofErr w:type="spellEnd"/>
      <w:r w:rsidRPr="0054462C">
        <w:rPr>
          <w:rFonts w:ascii="Times New Roman" w:hAnsi="Times New Roman" w:cs="Times New Roman"/>
          <w:b/>
          <w:sz w:val="24"/>
          <w:szCs w:val="24"/>
        </w:rPr>
        <w:t xml:space="preserve"> Ing. </w:t>
      </w:r>
      <w:proofErr w:type="spellStart"/>
      <w:r w:rsidRPr="0054462C">
        <w:rPr>
          <w:rFonts w:ascii="Times New Roman" w:hAnsi="Times New Roman" w:cs="Times New Roman"/>
          <w:b/>
          <w:sz w:val="24"/>
          <w:szCs w:val="24"/>
        </w:rPr>
        <w:t>Maile</w:t>
      </w:r>
      <w:proofErr w:type="spellEnd"/>
      <w:r w:rsidRPr="0054462C">
        <w:rPr>
          <w:rFonts w:ascii="Times New Roman" w:hAnsi="Times New Roman" w:cs="Times New Roman"/>
          <w:b/>
          <w:sz w:val="24"/>
          <w:szCs w:val="24"/>
        </w:rPr>
        <w:t xml:space="preserve"> H. Boza Regueira</w:t>
      </w:r>
      <w:r w:rsidRPr="0054462C">
        <w:rPr>
          <w:rFonts w:ascii="Times New Roman" w:hAnsi="Times New Roman" w:cs="Times New Roman"/>
          <w:b/>
          <w:sz w:val="24"/>
          <w:szCs w:val="24"/>
          <w:vertAlign w:val="superscript"/>
        </w:rPr>
        <w:t>1</w:t>
      </w:r>
      <w:r w:rsidRPr="0054462C">
        <w:rPr>
          <w:rFonts w:ascii="Times New Roman" w:hAnsi="Times New Roman" w:cs="Times New Roman"/>
          <w:b/>
          <w:sz w:val="24"/>
          <w:szCs w:val="24"/>
        </w:rPr>
        <w:t xml:space="preserve">, </w:t>
      </w:r>
      <w:proofErr w:type="spellStart"/>
      <w:r w:rsidRPr="0054462C">
        <w:rPr>
          <w:rFonts w:ascii="Times New Roman" w:hAnsi="Times New Roman" w:cs="Times New Roman"/>
          <w:b/>
          <w:sz w:val="24"/>
          <w:szCs w:val="24"/>
        </w:rPr>
        <w:t>MsC.</w:t>
      </w:r>
      <w:proofErr w:type="spellEnd"/>
      <w:r w:rsidRPr="0054462C">
        <w:rPr>
          <w:rFonts w:ascii="Times New Roman" w:hAnsi="Times New Roman" w:cs="Times New Roman"/>
          <w:b/>
          <w:sz w:val="24"/>
          <w:szCs w:val="24"/>
        </w:rPr>
        <w:t xml:space="preserve"> Ing. </w:t>
      </w:r>
      <w:proofErr w:type="spellStart"/>
      <w:r w:rsidRPr="00933191">
        <w:rPr>
          <w:rFonts w:ascii="Times New Roman" w:hAnsi="Times New Roman" w:cs="Times New Roman"/>
          <w:b/>
          <w:sz w:val="24"/>
          <w:szCs w:val="24"/>
          <w:lang w:val="es-MX"/>
        </w:rPr>
        <w:t>Eunices</w:t>
      </w:r>
      <w:proofErr w:type="spellEnd"/>
      <w:r w:rsidRPr="00933191">
        <w:rPr>
          <w:rFonts w:ascii="Times New Roman" w:hAnsi="Times New Roman" w:cs="Times New Roman"/>
          <w:b/>
          <w:sz w:val="24"/>
          <w:szCs w:val="24"/>
          <w:lang w:val="es-MX"/>
        </w:rPr>
        <w:t xml:space="preserve"> Soler Sánchez</w:t>
      </w:r>
      <w:r w:rsidRPr="00933191">
        <w:rPr>
          <w:rFonts w:ascii="Times New Roman" w:hAnsi="Times New Roman" w:cs="Times New Roman"/>
          <w:b/>
          <w:sz w:val="24"/>
          <w:szCs w:val="24"/>
          <w:vertAlign w:val="superscript"/>
        </w:rPr>
        <w:t>2</w:t>
      </w:r>
      <w:r w:rsidRPr="00933191">
        <w:rPr>
          <w:rFonts w:ascii="Times New Roman" w:hAnsi="Times New Roman" w:cs="Times New Roman"/>
          <w:b/>
          <w:sz w:val="24"/>
          <w:szCs w:val="24"/>
        </w:rPr>
        <w:t>,</w:t>
      </w:r>
    </w:p>
    <w:p w:rsidR="00933191" w:rsidRPr="00933191" w:rsidRDefault="00933191" w:rsidP="00933191">
      <w:pPr>
        <w:spacing w:after="0" w:line="360" w:lineRule="auto"/>
        <w:rPr>
          <w:rFonts w:ascii="Times New Roman" w:hAnsi="Times New Roman" w:cs="Times New Roman"/>
          <w:b/>
          <w:sz w:val="24"/>
          <w:szCs w:val="24"/>
        </w:rPr>
      </w:pPr>
    </w:p>
    <w:p w:rsidR="00933191" w:rsidRPr="00933191" w:rsidRDefault="00933191" w:rsidP="00933191">
      <w:pPr>
        <w:spacing w:after="0" w:line="360" w:lineRule="auto"/>
        <w:rPr>
          <w:rFonts w:ascii="Times New Roman" w:hAnsi="Times New Roman" w:cs="Times New Roman"/>
          <w:sz w:val="24"/>
          <w:szCs w:val="24"/>
        </w:rPr>
      </w:pPr>
      <w:r w:rsidRPr="00933191">
        <w:rPr>
          <w:rFonts w:ascii="Times New Roman" w:hAnsi="Times New Roman" w:cs="Times New Roman"/>
          <w:sz w:val="24"/>
          <w:szCs w:val="24"/>
          <w:vertAlign w:val="superscript"/>
        </w:rPr>
        <w:t>1</w:t>
      </w:r>
      <w:r w:rsidRPr="00933191">
        <w:rPr>
          <w:rFonts w:ascii="Times New Roman" w:hAnsi="Times New Roman" w:cs="Times New Roman"/>
          <w:sz w:val="24"/>
          <w:szCs w:val="24"/>
        </w:rPr>
        <w:t xml:space="preserve">Prof. Asistente de la Universidad de Holguín, Cuba, </w:t>
      </w:r>
      <w:hyperlink r:id="rId8" w:history="1">
        <w:r w:rsidRPr="00933191">
          <w:rPr>
            <w:rStyle w:val="Hipervnculo"/>
            <w:rFonts w:ascii="Times New Roman" w:hAnsi="Times New Roman" w:cs="Times New Roman"/>
            <w:sz w:val="24"/>
            <w:szCs w:val="24"/>
          </w:rPr>
          <w:t>mboza@uho.edu.cu</w:t>
        </w:r>
      </w:hyperlink>
      <w:r w:rsidRPr="00933191">
        <w:rPr>
          <w:rFonts w:ascii="Times New Roman" w:hAnsi="Times New Roman" w:cs="Times New Roman"/>
          <w:sz w:val="24"/>
          <w:szCs w:val="24"/>
        </w:rPr>
        <w:t xml:space="preserve">, </w:t>
      </w:r>
    </w:p>
    <w:p w:rsidR="00933191" w:rsidRPr="00933191" w:rsidRDefault="00933191" w:rsidP="00933191">
      <w:pPr>
        <w:spacing w:after="0" w:line="360" w:lineRule="auto"/>
        <w:rPr>
          <w:rFonts w:ascii="Times New Roman" w:hAnsi="Times New Roman" w:cs="Times New Roman"/>
          <w:sz w:val="24"/>
          <w:szCs w:val="24"/>
        </w:rPr>
      </w:pPr>
      <w:r w:rsidRPr="00933191">
        <w:rPr>
          <w:rFonts w:ascii="Times New Roman" w:hAnsi="Times New Roman" w:cs="Times New Roman"/>
          <w:sz w:val="24"/>
          <w:szCs w:val="24"/>
          <w:vertAlign w:val="superscript"/>
        </w:rPr>
        <w:t>1</w:t>
      </w:r>
      <w:r w:rsidRPr="00933191">
        <w:rPr>
          <w:rFonts w:ascii="Times New Roman" w:hAnsi="Times New Roman" w:cs="Times New Roman"/>
          <w:sz w:val="24"/>
          <w:szCs w:val="24"/>
        </w:rPr>
        <w:t xml:space="preserve">Prof. Auxiliar de la Universidad de Holguín, Cuba, </w:t>
      </w:r>
      <w:hyperlink r:id="rId9" w:history="1">
        <w:r w:rsidRPr="00933191">
          <w:rPr>
            <w:rStyle w:val="Hipervnculo"/>
            <w:rFonts w:ascii="Times New Roman" w:hAnsi="Times New Roman" w:cs="Times New Roman"/>
            <w:sz w:val="24"/>
            <w:szCs w:val="24"/>
          </w:rPr>
          <w:t>eunices@uho.edu.cu</w:t>
        </w:r>
      </w:hyperlink>
      <w:r w:rsidRPr="00933191">
        <w:rPr>
          <w:rFonts w:ascii="Times New Roman" w:hAnsi="Times New Roman" w:cs="Times New Roman"/>
          <w:sz w:val="24"/>
          <w:szCs w:val="24"/>
        </w:rPr>
        <w:t xml:space="preserve">, </w:t>
      </w:r>
    </w:p>
    <w:p w:rsidR="00933191" w:rsidRPr="00933191" w:rsidRDefault="00933191" w:rsidP="00933191">
      <w:pPr>
        <w:spacing w:after="0" w:line="360" w:lineRule="auto"/>
        <w:rPr>
          <w:rFonts w:ascii="Times New Roman" w:hAnsi="Times New Roman" w:cs="Times New Roman"/>
          <w:b/>
          <w:sz w:val="24"/>
          <w:szCs w:val="24"/>
        </w:rPr>
      </w:pPr>
    </w:p>
    <w:p w:rsidR="00933191" w:rsidRPr="00A23D3F" w:rsidRDefault="00933191" w:rsidP="00A23D3F">
      <w:pPr>
        <w:pStyle w:val="Ttulo1"/>
        <w:spacing w:before="0" w:line="360" w:lineRule="auto"/>
        <w:rPr>
          <w:rFonts w:ascii="Times New Roman" w:hAnsi="Times New Roman" w:cs="Times New Roman"/>
          <w:b/>
          <w:color w:val="auto"/>
          <w:sz w:val="24"/>
          <w:szCs w:val="24"/>
        </w:rPr>
      </w:pPr>
      <w:r w:rsidRPr="00A23D3F">
        <w:rPr>
          <w:rFonts w:ascii="Times New Roman" w:hAnsi="Times New Roman" w:cs="Times New Roman"/>
          <w:b/>
          <w:color w:val="auto"/>
          <w:sz w:val="24"/>
          <w:szCs w:val="24"/>
        </w:rPr>
        <w:t xml:space="preserve">Resumen: </w:t>
      </w:r>
    </w:p>
    <w:p w:rsidR="00933191" w:rsidRPr="00933191" w:rsidRDefault="00933191" w:rsidP="00933191">
      <w:pPr>
        <w:spacing w:after="0" w:line="360" w:lineRule="auto"/>
        <w:jc w:val="both"/>
        <w:rPr>
          <w:rFonts w:ascii="Times New Roman" w:hAnsi="Times New Roman" w:cs="Times New Roman"/>
          <w:sz w:val="24"/>
          <w:szCs w:val="24"/>
        </w:rPr>
      </w:pPr>
      <w:r w:rsidRPr="00933191">
        <w:rPr>
          <w:rFonts w:ascii="Times New Roman" w:hAnsi="Times New Roman" w:cs="Times New Roman"/>
          <w:sz w:val="24"/>
          <w:szCs w:val="24"/>
        </w:rPr>
        <w:t>Los áridos de origen natural son materiales de suma importancia para cualquier obra de construcción civil, especialmente las carreteras. Estos materiales son un recurso no renovable que se agota cada día más. Además, su explotación trae aparejada cuantiosos daños al medio ambiente.  El presente trabajo investigativo persig</w:t>
      </w:r>
      <w:r w:rsidR="0098620C">
        <w:rPr>
          <w:rFonts w:ascii="Times New Roman" w:hAnsi="Times New Roman" w:cs="Times New Roman"/>
          <w:sz w:val="24"/>
          <w:szCs w:val="24"/>
        </w:rPr>
        <w:t>uió</w:t>
      </w:r>
      <w:r w:rsidR="004E7782">
        <w:rPr>
          <w:rFonts w:ascii="Times New Roman" w:hAnsi="Times New Roman" w:cs="Times New Roman"/>
          <w:sz w:val="24"/>
          <w:szCs w:val="24"/>
        </w:rPr>
        <w:t xml:space="preserve"> la finalidad de evaluar </w:t>
      </w:r>
      <w:r w:rsidRPr="00933191">
        <w:rPr>
          <w:rFonts w:ascii="Times New Roman" w:hAnsi="Times New Roman" w:cs="Times New Roman"/>
          <w:sz w:val="24"/>
          <w:szCs w:val="24"/>
        </w:rPr>
        <w:t>la posibilidad de inclui</w:t>
      </w:r>
      <w:r w:rsidR="0098620C">
        <w:rPr>
          <w:rFonts w:ascii="Times New Roman" w:hAnsi="Times New Roman" w:cs="Times New Roman"/>
          <w:sz w:val="24"/>
          <w:szCs w:val="24"/>
        </w:rPr>
        <w:t>r</w:t>
      </w:r>
      <w:r w:rsidRPr="00933191">
        <w:rPr>
          <w:rFonts w:ascii="Times New Roman" w:hAnsi="Times New Roman" w:cs="Times New Roman"/>
          <w:sz w:val="24"/>
          <w:szCs w:val="24"/>
        </w:rPr>
        <w:t xml:space="preserve"> las escorias negras de la planta de aceros inoxidables ACINOX Las Tunas para la conformación de bases de carreteras. </w:t>
      </w:r>
      <w:r w:rsidR="0098620C">
        <w:rPr>
          <w:rFonts w:ascii="Times New Roman" w:hAnsi="Times New Roman" w:cs="Times New Roman"/>
          <w:sz w:val="24"/>
          <w:szCs w:val="24"/>
        </w:rPr>
        <w:t>Se analizaron</w:t>
      </w:r>
      <w:r w:rsidRPr="00933191">
        <w:rPr>
          <w:rFonts w:ascii="Times New Roman" w:hAnsi="Times New Roman" w:cs="Times New Roman"/>
          <w:sz w:val="24"/>
          <w:szCs w:val="24"/>
        </w:rPr>
        <w:t xml:space="preserve"> las característi</w:t>
      </w:r>
      <w:r w:rsidR="0098620C">
        <w:rPr>
          <w:rFonts w:ascii="Times New Roman" w:hAnsi="Times New Roman" w:cs="Times New Roman"/>
          <w:sz w:val="24"/>
          <w:szCs w:val="24"/>
        </w:rPr>
        <w:t xml:space="preserve">cas de este residuo siderúrgico. También se realizaronlos </w:t>
      </w:r>
      <w:r w:rsidRPr="00933191">
        <w:rPr>
          <w:rFonts w:ascii="Times New Roman" w:hAnsi="Times New Roman" w:cs="Times New Roman"/>
          <w:sz w:val="24"/>
          <w:szCs w:val="24"/>
        </w:rPr>
        <w:t xml:space="preserve">ensayos </w:t>
      </w:r>
      <w:r w:rsidR="0098620C">
        <w:rPr>
          <w:rFonts w:ascii="Times New Roman" w:hAnsi="Times New Roman" w:cs="Times New Roman"/>
          <w:sz w:val="24"/>
          <w:szCs w:val="24"/>
        </w:rPr>
        <w:t>establecidos en las normas cubanas para bases tipo macadam. Además se hizo</w:t>
      </w:r>
      <w:r w:rsidRPr="00933191">
        <w:rPr>
          <w:rFonts w:ascii="Times New Roman" w:hAnsi="Times New Roman" w:cs="Times New Roman"/>
          <w:sz w:val="24"/>
          <w:szCs w:val="24"/>
        </w:rPr>
        <w:t xml:space="preserve"> el estudio y comparación con </w:t>
      </w:r>
      <w:r w:rsidR="0098620C">
        <w:rPr>
          <w:rFonts w:ascii="Times New Roman" w:hAnsi="Times New Roman" w:cs="Times New Roman"/>
          <w:sz w:val="24"/>
          <w:szCs w:val="24"/>
        </w:rPr>
        <w:t xml:space="preserve">el </w:t>
      </w:r>
      <w:r w:rsidRPr="00933191">
        <w:rPr>
          <w:rFonts w:ascii="Times New Roman" w:hAnsi="Times New Roman" w:cs="Times New Roman"/>
          <w:sz w:val="24"/>
          <w:szCs w:val="24"/>
        </w:rPr>
        <w:t>material</w:t>
      </w:r>
      <w:r w:rsidR="0098620C">
        <w:rPr>
          <w:rFonts w:ascii="Times New Roman" w:hAnsi="Times New Roman" w:cs="Times New Roman"/>
          <w:sz w:val="24"/>
          <w:szCs w:val="24"/>
        </w:rPr>
        <w:t xml:space="preserve"> de base </w:t>
      </w:r>
      <w:r w:rsidR="0098620C">
        <w:rPr>
          <w:rFonts w:ascii="Times New Roman" w:hAnsi="Times New Roman" w:cs="Times New Roman"/>
          <w:sz w:val="24"/>
          <w:szCs w:val="24"/>
        </w:rPr>
        <w:lastRenderedPageBreak/>
        <w:t xml:space="preserve">usado tradicionalmente. Esto permitió </w:t>
      </w:r>
      <w:r w:rsidRPr="00933191">
        <w:rPr>
          <w:rFonts w:ascii="Times New Roman" w:hAnsi="Times New Roman" w:cs="Times New Roman"/>
          <w:sz w:val="24"/>
          <w:szCs w:val="24"/>
        </w:rPr>
        <w:t>verific</w:t>
      </w:r>
      <w:r w:rsidR="0098620C">
        <w:rPr>
          <w:rFonts w:ascii="Times New Roman" w:hAnsi="Times New Roman" w:cs="Times New Roman"/>
          <w:sz w:val="24"/>
          <w:szCs w:val="24"/>
        </w:rPr>
        <w:t>ar</w:t>
      </w:r>
      <w:r w:rsidRPr="00933191">
        <w:rPr>
          <w:rFonts w:ascii="Times New Roman" w:hAnsi="Times New Roman" w:cs="Times New Roman"/>
          <w:sz w:val="24"/>
          <w:szCs w:val="24"/>
        </w:rPr>
        <w:t xml:space="preserve"> que las escorias de </w:t>
      </w:r>
      <w:r w:rsidR="004E7782">
        <w:rPr>
          <w:rFonts w:ascii="Times New Roman" w:hAnsi="Times New Roman" w:cs="Times New Roman"/>
          <w:sz w:val="24"/>
          <w:szCs w:val="24"/>
        </w:rPr>
        <w:t xml:space="preserve">horno de arco eléctrico </w:t>
      </w:r>
      <w:r w:rsidRPr="00933191">
        <w:rPr>
          <w:rFonts w:ascii="Times New Roman" w:hAnsi="Times New Roman" w:cs="Times New Roman"/>
          <w:sz w:val="24"/>
          <w:szCs w:val="24"/>
        </w:rPr>
        <w:t xml:space="preserve">de ACINOX Las Tunas cumplen los requisitos necesarios para emplearlas como árido grueso en las bases de carretera. </w:t>
      </w:r>
      <w:r w:rsidR="0098620C">
        <w:rPr>
          <w:rFonts w:ascii="Times New Roman" w:hAnsi="Times New Roman" w:cs="Times New Roman"/>
          <w:sz w:val="24"/>
          <w:szCs w:val="24"/>
        </w:rPr>
        <w:t>Todo ello</w:t>
      </w:r>
      <w:r w:rsidRPr="00933191">
        <w:rPr>
          <w:rFonts w:ascii="Times New Roman" w:hAnsi="Times New Roman" w:cs="Times New Roman"/>
          <w:sz w:val="24"/>
          <w:szCs w:val="24"/>
        </w:rPr>
        <w:t xml:space="preserve"> contribuye a la minimización de los impactos ambientales provocados por </w:t>
      </w:r>
      <w:r w:rsidR="0098620C">
        <w:rPr>
          <w:rFonts w:ascii="Times New Roman" w:hAnsi="Times New Roman" w:cs="Times New Roman"/>
          <w:sz w:val="24"/>
          <w:szCs w:val="24"/>
        </w:rPr>
        <w:t>dichos</w:t>
      </w:r>
      <w:r w:rsidRPr="00933191">
        <w:rPr>
          <w:rFonts w:ascii="Times New Roman" w:hAnsi="Times New Roman" w:cs="Times New Roman"/>
          <w:sz w:val="24"/>
          <w:szCs w:val="24"/>
        </w:rPr>
        <w:t xml:space="preserve"> residuos y la explotación de canteras que demanda la construcción. Se comprobó que la resistencia al desgaste de las escorias de ACINOX Las Tunas supera en un 39 % a la del árido convencional.</w:t>
      </w:r>
    </w:p>
    <w:p w:rsidR="00933191" w:rsidRPr="00933191" w:rsidRDefault="00933191" w:rsidP="00933191">
      <w:pPr>
        <w:spacing w:after="0" w:line="360" w:lineRule="auto"/>
        <w:rPr>
          <w:rFonts w:ascii="Times New Roman" w:hAnsi="Times New Roman" w:cs="Times New Roman"/>
          <w:sz w:val="24"/>
          <w:szCs w:val="24"/>
        </w:rPr>
      </w:pPr>
    </w:p>
    <w:p w:rsidR="00933191" w:rsidRPr="00933191" w:rsidRDefault="00933191" w:rsidP="0098620C">
      <w:pPr>
        <w:spacing w:after="0" w:line="360" w:lineRule="auto"/>
        <w:jc w:val="both"/>
        <w:rPr>
          <w:rFonts w:ascii="Times New Roman" w:hAnsi="Times New Roman" w:cs="Times New Roman"/>
          <w:sz w:val="24"/>
          <w:szCs w:val="24"/>
          <w:lang w:val="en-US"/>
        </w:rPr>
      </w:pPr>
      <w:r w:rsidRPr="00933191">
        <w:rPr>
          <w:rFonts w:ascii="Times New Roman" w:hAnsi="Times New Roman" w:cs="Times New Roman"/>
          <w:b/>
          <w:i/>
          <w:sz w:val="24"/>
          <w:szCs w:val="24"/>
          <w:lang w:val="en-US"/>
        </w:rPr>
        <w:t>Abstract:</w:t>
      </w:r>
    </w:p>
    <w:p w:rsidR="00933191" w:rsidRDefault="00FB403B" w:rsidP="004E7782">
      <w:pPr>
        <w:spacing w:after="0" w:line="360" w:lineRule="auto"/>
        <w:jc w:val="both"/>
        <w:rPr>
          <w:rFonts w:ascii="Times New Roman" w:hAnsi="Times New Roman" w:cs="Times New Roman"/>
          <w:sz w:val="24"/>
          <w:szCs w:val="24"/>
          <w:lang w:val="en-US"/>
        </w:rPr>
      </w:pPr>
      <w:r w:rsidRPr="00FB403B">
        <w:rPr>
          <w:rFonts w:ascii="Times New Roman" w:hAnsi="Times New Roman" w:cs="Times New Roman"/>
          <w:sz w:val="24"/>
          <w:szCs w:val="24"/>
          <w:lang w:val="en-US"/>
        </w:rPr>
        <w:t xml:space="preserve">Natural </w:t>
      </w:r>
      <w:r w:rsidR="004E7782">
        <w:rPr>
          <w:rFonts w:ascii="Times New Roman" w:hAnsi="Times New Roman" w:cs="Times New Roman"/>
          <w:sz w:val="24"/>
          <w:szCs w:val="24"/>
          <w:lang w:val="en-US"/>
        </w:rPr>
        <w:t>arid</w:t>
      </w:r>
      <w:r w:rsidRPr="00FB403B">
        <w:rPr>
          <w:rFonts w:ascii="Times New Roman" w:hAnsi="Times New Roman" w:cs="Times New Roman"/>
          <w:sz w:val="24"/>
          <w:szCs w:val="24"/>
          <w:lang w:val="en-US"/>
        </w:rPr>
        <w:t xml:space="preserve"> are very important materials for any civil construction work, especially roads. These materials are a non-renewable resource that runs out every day. </w:t>
      </w:r>
      <w:r w:rsidR="004E7782">
        <w:rPr>
          <w:rFonts w:ascii="Times New Roman" w:hAnsi="Times New Roman" w:cs="Times New Roman"/>
          <w:sz w:val="24"/>
          <w:szCs w:val="24"/>
          <w:lang w:val="en-US"/>
        </w:rPr>
        <w:t>Besides</w:t>
      </w:r>
      <w:r w:rsidRPr="00FB403B">
        <w:rPr>
          <w:rFonts w:ascii="Times New Roman" w:hAnsi="Times New Roman" w:cs="Times New Roman"/>
          <w:sz w:val="24"/>
          <w:szCs w:val="24"/>
          <w:lang w:val="en-US"/>
        </w:rPr>
        <w:t>, its exploitation brings considerable damage to the environment. The present investigati</w:t>
      </w:r>
      <w:r w:rsidR="00A86819">
        <w:rPr>
          <w:rFonts w:ascii="Times New Roman" w:hAnsi="Times New Roman" w:cs="Times New Roman"/>
          <w:sz w:val="24"/>
          <w:szCs w:val="24"/>
          <w:lang w:val="en-US"/>
        </w:rPr>
        <w:t>onhad</w:t>
      </w:r>
      <w:r w:rsidRPr="00FB403B">
        <w:rPr>
          <w:rFonts w:ascii="Times New Roman" w:hAnsi="Times New Roman" w:cs="Times New Roman"/>
          <w:sz w:val="24"/>
          <w:szCs w:val="24"/>
          <w:lang w:val="en-US"/>
        </w:rPr>
        <w:t xml:space="preserve"> the purpose</w:t>
      </w:r>
      <w:r w:rsidR="00A86819">
        <w:rPr>
          <w:rFonts w:ascii="Times New Roman" w:hAnsi="Times New Roman" w:cs="Times New Roman"/>
          <w:sz w:val="24"/>
          <w:szCs w:val="24"/>
          <w:lang w:val="en-US"/>
        </w:rPr>
        <w:t>d</w:t>
      </w:r>
      <w:r w:rsidRPr="00FB403B">
        <w:rPr>
          <w:rFonts w:ascii="Times New Roman" w:hAnsi="Times New Roman" w:cs="Times New Roman"/>
          <w:sz w:val="24"/>
          <w:szCs w:val="24"/>
          <w:lang w:val="en-US"/>
        </w:rPr>
        <w:t xml:space="preserve"> of evaluating the possibility of including the black slag from the stainless steel plant ACINOX Las Tunas for the conformation of road bases. The characteristics of this steel waste were analyzed. The tests established in the Cuban norms for macadam bases were also carried out. In addition, the study and comparison with the traditionally used base material was made. This allowed us to verify that ACINOX Las Tunas electric arc furnace slag meets the necessary requirements to be used as coarse aggregate in the road bases. All this contributes to the minimization of the environmental impacts caused by said waste and the exploitation of quarries t</w:t>
      </w:r>
      <w:r w:rsidR="009647EC">
        <w:rPr>
          <w:rFonts w:ascii="Times New Roman" w:hAnsi="Times New Roman" w:cs="Times New Roman"/>
          <w:sz w:val="24"/>
          <w:szCs w:val="24"/>
          <w:lang w:val="en-US"/>
        </w:rPr>
        <w:t xml:space="preserve">hat demand construction. It was </w:t>
      </w:r>
      <w:r w:rsidRPr="00FB403B">
        <w:rPr>
          <w:rFonts w:ascii="Times New Roman" w:hAnsi="Times New Roman" w:cs="Times New Roman"/>
          <w:sz w:val="24"/>
          <w:szCs w:val="24"/>
          <w:lang w:val="en-US"/>
        </w:rPr>
        <w:t>verified that the wear resistance of ACINOX Las Tunas slag exceeds that of conventional aggregate by 39%.</w:t>
      </w:r>
    </w:p>
    <w:p w:rsidR="00571E3A" w:rsidRPr="00933191" w:rsidRDefault="00571E3A" w:rsidP="00933191">
      <w:pPr>
        <w:spacing w:after="0" w:line="360" w:lineRule="auto"/>
        <w:rPr>
          <w:rFonts w:ascii="Times New Roman" w:hAnsi="Times New Roman" w:cs="Times New Roman"/>
          <w:b/>
          <w:sz w:val="24"/>
          <w:szCs w:val="24"/>
          <w:lang w:val="en-US"/>
        </w:rPr>
      </w:pPr>
    </w:p>
    <w:p w:rsidR="00933191" w:rsidRPr="00933191" w:rsidRDefault="00933191" w:rsidP="00933191">
      <w:pPr>
        <w:spacing w:after="0" w:line="360" w:lineRule="auto"/>
        <w:rPr>
          <w:rFonts w:ascii="Times New Roman" w:hAnsi="Times New Roman" w:cs="Times New Roman"/>
          <w:sz w:val="24"/>
          <w:szCs w:val="24"/>
        </w:rPr>
      </w:pPr>
      <w:r w:rsidRPr="00933191">
        <w:rPr>
          <w:rFonts w:ascii="Times New Roman" w:hAnsi="Times New Roman" w:cs="Times New Roman"/>
          <w:b/>
          <w:sz w:val="24"/>
          <w:szCs w:val="24"/>
        </w:rPr>
        <w:t>Palabras Clave:</w:t>
      </w:r>
      <w:r w:rsidR="005B0216">
        <w:rPr>
          <w:rFonts w:ascii="Times New Roman" w:hAnsi="Times New Roman" w:cs="Times New Roman"/>
          <w:sz w:val="24"/>
          <w:szCs w:val="24"/>
        </w:rPr>
        <w:t xml:space="preserve"> bases de carreteras;</w:t>
      </w:r>
      <w:r w:rsidRPr="00933191">
        <w:rPr>
          <w:rFonts w:ascii="Times New Roman" w:hAnsi="Times New Roman" w:cs="Times New Roman"/>
          <w:sz w:val="24"/>
          <w:szCs w:val="24"/>
        </w:rPr>
        <w:t xml:space="preserve"> </w:t>
      </w:r>
      <w:r w:rsidR="005B0216">
        <w:rPr>
          <w:rFonts w:ascii="Times New Roman" w:hAnsi="Times New Roman" w:cs="Times New Roman"/>
          <w:sz w:val="24"/>
          <w:szCs w:val="24"/>
        </w:rPr>
        <w:t>e</w:t>
      </w:r>
      <w:r w:rsidRPr="00933191">
        <w:rPr>
          <w:rFonts w:ascii="Times New Roman" w:hAnsi="Times New Roman" w:cs="Times New Roman"/>
          <w:sz w:val="24"/>
          <w:szCs w:val="24"/>
        </w:rPr>
        <w:t xml:space="preserve">scorias </w:t>
      </w:r>
      <w:r w:rsidR="005B0216">
        <w:rPr>
          <w:rFonts w:ascii="Times New Roman" w:hAnsi="Times New Roman" w:cs="Times New Roman"/>
          <w:sz w:val="24"/>
          <w:szCs w:val="24"/>
        </w:rPr>
        <w:t>negra; macadam;</w:t>
      </w:r>
      <w:r w:rsidRPr="00933191">
        <w:rPr>
          <w:rFonts w:ascii="Times New Roman" w:hAnsi="Times New Roman" w:cs="Times New Roman"/>
          <w:sz w:val="24"/>
          <w:szCs w:val="24"/>
        </w:rPr>
        <w:t xml:space="preserve"> </w:t>
      </w:r>
      <w:r w:rsidR="005B0216">
        <w:rPr>
          <w:rFonts w:ascii="Times New Roman" w:hAnsi="Times New Roman" w:cs="Times New Roman"/>
          <w:sz w:val="24"/>
          <w:szCs w:val="24"/>
        </w:rPr>
        <w:t>m</w:t>
      </w:r>
      <w:r w:rsidR="00A61B28">
        <w:rPr>
          <w:rFonts w:ascii="Times New Roman" w:hAnsi="Times New Roman" w:cs="Times New Roman"/>
          <w:sz w:val="24"/>
          <w:szCs w:val="24"/>
        </w:rPr>
        <w:t>edioa</w:t>
      </w:r>
      <w:r w:rsidRPr="00933191">
        <w:rPr>
          <w:rFonts w:ascii="Times New Roman" w:hAnsi="Times New Roman" w:cs="Times New Roman"/>
          <w:sz w:val="24"/>
          <w:szCs w:val="24"/>
        </w:rPr>
        <w:t>mbiente.</w:t>
      </w:r>
    </w:p>
    <w:p w:rsidR="00A61B28" w:rsidRPr="0054462C" w:rsidRDefault="00933191" w:rsidP="00F361D2">
      <w:pPr>
        <w:spacing w:after="0" w:line="360" w:lineRule="auto"/>
        <w:rPr>
          <w:rFonts w:ascii="Times New Roman" w:hAnsi="Times New Roman" w:cs="Times New Roman"/>
          <w:i/>
          <w:sz w:val="24"/>
          <w:szCs w:val="24"/>
        </w:rPr>
      </w:pPr>
      <w:proofErr w:type="spellStart"/>
      <w:r w:rsidRPr="0054462C">
        <w:rPr>
          <w:rFonts w:ascii="Times New Roman" w:hAnsi="Times New Roman" w:cs="Times New Roman"/>
          <w:b/>
          <w:i/>
          <w:sz w:val="24"/>
          <w:szCs w:val="24"/>
        </w:rPr>
        <w:t>Keywords</w:t>
      </w:r>
      <w:proofErr w:type="spellEnd"/>
      <w:r w:rsidRPr="0054462C">
        <w:rPr>
          <w:rFonts w:ascii="Times New Roman" w:hAnsi="Times New Roman" w:cs="Times New Roman"/>
          <w:b/>
          <w:i/>
          <w:sz w:val="24"/>
          <w:szCs w:val="24"/>
        </w:rPr>
        <w:t>:</w:t>
      </w:r>
      <w:r w:rsidR="005B0216">
        <w:rPr>
          <w:rFonts w:ascii="Times New Roman" w:hAnsi="Times New Roman" w:cs="Times New Roman"/>
          <w:b/>
          <w:i/>
          <w:sz w:val="24"/>
          <w:szCs w:val="24"/>
        </w:rPr>
        <w:t xml:space="preserve"> </w:t>
      </w:r>
      <w:proofErr w:type="spellStart"/>
      <w:r w:rsidR="005B0216">
        <w:rPr>
          <w:rFonts w:ascii="Times New Roman" w:hAnsi="Times New Roman" w:cs="Times New Roman"/>
          <w:i/>
          <w:sz w:val="24"/>
          <w:szCs w:val="24"/>
        </w:rPr>
        <w:t>Roadbases</w:t>
      </w:r>
      <w:proofErr w:type="spellEnd"/>
      <w:r w:rsidR="005B0216">
        <w:rPr>
          <w:rFonts w:ascii="Times New Roman" w:hAnsi="Times New Roman" w:cs="Times New Roman"/>
          <w:i/>
          <w:sz w:val="24"/>
          <w:szCs w:val="24"/>
        </w:rPr>
        <w:t xml:space="preserve">; </w:t>
      </w:r>
      <w:proofErr w:type="spellStart"/>
      <w:r w:rsidR="005B0216">
        <w:rPr>
          <w:rFonts w:ascii="Times New Roman" w:hAnsi="Times New Roman" w:cs="Times New Roman"/>
          <w:i/>
          <w:sz w:val="24"/>
          <w:szCs w:val="24"/>
        </w:rPr>
        <w:t>black</w:t>
      </w:r>
      <w:proofErr w:type="spellEnd"/>
      <w:r w:rsidR="005B0216">
        <w:rPr>
          <w:rFonts w:ascii="Times New Roman" w:hAnsi="Times New Roman" w:cs="Times New Roman"/>
          <w:i/>
          <w:sz w:val="24"/>
          <w:szCs w:val="24"/>
        </w:rPr>
        <w:t xml:space="preserve"> </w:t>
      </w:r>
      <w:proofErr w:type="spellStart"/>
      <w:r w:rsidR="005B0216">
        <w:rPr>
          <w:rFonts w:ascii="Times New Roman" w:hAnsi="Times New Roman" w:cs="Times New Roman"/>
          <w:i/>
          <w:sz w:val="24"/>
          <w:szCs w:val="24"/>
        </w:rPr>
        <w:t>slag</w:t>
      </w:r>
      <w:proofErr w:type="spellEnd"/>
      <w:r w:rsidR="005B0216">
        <w:rPr>
          <w:rFonts w:ascii="Times New Roman" w:hAnsi="Times New Roman" w:cs="Times New Roman"/>
          <w:i/>
          <w:sz w:val="24"/>
          <w:szCs w:val="24"/>
        </w:rPr>
        <w:t xml:space="preserve">; Macadam; </w:t>
      </w:r>
      <w:proofErr w:type="spellStart"/>
      <w:r w:rsidR="005B0216">
        <w:rPr>
          <w:rFonts w:ascii="Times New Roman" w:hAnsi="Times New Roman" w:cs="Times New Roman"/>
          <w:i/>
          <w:sz w:val="24"/>
          <w:szCs w:val="24"/>
        </w:rPr>
        <w:t>e</w:t>
      </w:r>
      <w:r w:rsidR="00F361D2" w:rsidRPr="0054462C">
        <w:rPr>
          <w:rFonts w:ascii="Times New Roman" w:hAnsi="Times New Roman" w:cs="Times New Roman"/>
          <w:i/>
          <w:sz w:val="24"/>
          <w:szCs w:val="24"/>
        </w:rPr>
        <w:t>nvironment</w:t>
      </w:r>
      <w:proofErr w:type="spellEnd"/>
      <w:r w:rsidR="00F361D2" w:rsidRPr="0054462C">
        <w:rPr>
          <w:rFonts w:ascii="Times New Roman" w:hAnsi="Times New Roman" w:cs="Times New Roman"/>
          <w:i/>
          <w:sz w:val="24"/>
          <w:szCs w:val="24"/>
        </w:rPr>
        <w:t>.</w:t>
      </w:r>
    </w:p>
    <w:p w:rsidR="009647EC" w:rsidRDefault="009647EC" w:rsidP="00F361D2">
      <w:pPr>
        <w:spacing w:after="0" w:line="360" w:lineRule="auto"/>
        <w:rPr>
          <w:rFonts w:ascii="Times New Roman" w:hAnsi="Times New Roman" w:cs="Times New Roman"/>
          <w:b/>
          <w:sz w:val="24"/>
          <w:szCs w:val="24"/>
        </w:rPr>
      </w:pPr>
    </w:p>
    <w:p w:rsidR="009647EC" w:rsidRDefault="009647EC">
      <w:pPr>
        <w:spacing w:after="160" w:line="259" w:lineRule="auto"/>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DE1A08" w:rsidRPr="00A23D3F" w:rsidRDefault="00DE1A08" w:rsidP="00A23D3F">
      <w:pPr>
        <w:pStyle w:val="Ttulo1"/>
        <w:spacing w:before="0" w:line="360" w:lineRule="auto"/>
        <w:rPr>
          <w:rFonts w:ascii="Times New Roman" w:hAnsi="Times New Roman" w:cs="Times New Roman"/>
          <w:b/>
          <w:color w:val="auto"/>
          <w:sz w:val="24"/>
          <w:szCs w:val="24"/>
        </w:rPr>
      </w:pPr>
      <w:r w:rsidRPr="00A23D3F">
        <w:rPr>
          <w:rFonts w:ascii="Times New Roman" w:hAnsi="Times New Roman" w:cs="Times New Roman"/>
          <w:b/>
          <w:color w:val="auto"/>
          <w:sz w:val="24"/>
          <w:szCs w:val="24"/>
        </w:rPr>
        <w:lastRenderedPageBreak/>
        <w:t>1. Introducción</w:t>
      </w:r>
    </w:p>
    <w:p w:rsidR="00B1532B" w:rsidRPr="00B1532B" w:rsidRDefault="00B1532B" w:rsidP="00B1532B">
      <w:pPr>
        <w:spacing w:after="0" w:line="360" w:lineRule="auto"/>
        <w:jc w:val="both"/>
        <w:rPr>
          <w:rFonts w:ascii="Times New Roman" w:hAnsi="Times New Roman" w:cs="Times New Roman"/>
          <w:sz w:val="24"/>
          <w:szCs w:val="24"/>
        </w:rPr>
      </w:pPr>
      <w:r w:rsidRPr="00B1532B">
        <w:rPr>
          <w:rFonts w:ascii="Times New Roman" w:hAnsi="Times New Roman" w:cs="Times New Roman"/>
          <w:sz w:val="24"/>
          <w:szCs w:val="24"/>
        </w:rPr>
        <w:t>En la actualidad el uso irracional y acelerado de los recursos naturales acapara la atención de no pocos en el planeta. El hombre en su afán de satisfacer sus necesidades ha llegado a actuar de manera irresponsable en lo que al uso de los bienes ofrecidos por la naturaleza se refiere. Esto ha traído como consecuencia irreparables pérdidas al medio ambiente. Se impone en nuestro andar diario una mentalidad superior en cuanto a minimización y gestión de recursos. Se estima que estas acciones, que aún son incipientes, se multipliquen con el pasar de los años, para así contribuir a la disminución de los recursos en su forma originaria.</w:t>
      </w:r>
    </w:p>
    <w:p w:rsidR="00B1532B" w:rsidRPr="00B1532B" w:rsidRDefault="00B1532B" w:rsidP="00B1532B">
      <w:pPr>
        <w:spacing w:after="0" w:line="360" w:lineRule="auto"/>
        <w:jc w:val="both"/>
        <w:rPr>
          <w:rFonts w:ascii="Times New Roman" w:hAnsi="Times New Roman" w:cs="Times New Roman"/>
          <w:sz w:val="24"/>
          <w:szCs w:val="24"/>
        </w:rPr>
      </w:pPr>
      <w:r w:rsidRPr="00B1532B">
        <w:rPr>
          <w:rFonts w:ascii="Times New Roman" w:hAnsi="Times New Roman" w:cs="Times New Roman"/>
          <w:sz w:val="24"/>
          <w:szCs w:val="24"/>
        </w:rPr>
        <w:t xml:space="preserve">Los áridos de origen natural están considerados la segunda materia prima más utilizada en el planeta, sólo superada por el consumo de tan preciado líquido como el agua. Esto presupone una extenuación paulatina de las canteras de las cuales se extraen estos materiales. Su demanda como recursos no renovables supera los volúmenes extraídos y surge la necesidad de reemplazarlos por materiales alternativos como los residuos generados por las producciones industriales. </w:t>
      </w:r>
    </w:p>
    <w:p w:rsidR="00B1532B" w:rsidRPr="00B1532B" w:rsidRDefault="00B1532B" w:rsidP="00B1532B">
      <w:pPr>
        <w:spacing w:after="0" w:line="360" w:lineRule="auto"/>
        <w:jc w:val="both"/>
        <w:rPr>
          <w:rFonts w:ascii="Times New Roman" w:hAnsi="Times New Roman" w:cs="Times New Roman"/>
          <w:sz w:val="24"/>
          <w:szCs w:val="24"/>
        </w:rPr>
      </w:pPr>
      <w:r w:rsidRPr="00B1532B">
        <w:rPr>
          <w:rFonts w:ascii="Times New Roman" w:hAnsi="Times New Roman" w:cs="Times New Roman"/>
          <w:sz w:val="24"/>
          <w:szCs w:val="24"/>
        </w:rPr>
        <w:t>En tal sentido la industria siderúrgica genera grandes volúmenes de residuos entre los que destacan las escorias resultantes de su proceso productivo. Estas no son más que un subproducto de la fundición de la mena para la purificación de los metales. Se componen fundamentalmente de calcio, hierro y silicato de magnesio donde el contenido de dichos componentes, depende de la tecnología con que se obtenga el acero. La misma se encuentra subordinada al tipo de horno empleado que puede ser: horno Siemens Martin, horno al oxígeno y horno de arco eléctrico (HAE). (Deliz, 2017)</w:t>
      </w:r>
    </w:p>
    <w:p w:rsidR="00B1532B" w:rsidRPr="00B1532B" w:rsidRDefault="00B1532B" w:rsidP="00B1532B">
      <w:pPr>
        <w:spacing w:after="0" w:line="360" w:lineRule="auto"/>
        <w:jc w:val="both"/>
        <w:rPr>
          <w:rFonts w:ascii="Times New Roman" w:hAnsi="Times New Roman" w:cs="Times New Roman"/>
          <w:sz w:val="24"/>
          <w:szCs w:val="24"/>
        </w:rPr>
      </w:pPr>
      <w:r w:rsidRPr="00B1532B">
        <w:rPr>
          <w:rFonts w:ascii="Times New Roman" w:hAnsi="Times New Roman" w:cs="Times New Roman"/>
          <w:sz w:val="24"/>
          <w:szCs w:val="24"/>
        </w:rPr>
        <w:t xml:space="preserve">El proceso de obtención de las escorias de HAE reviste singular importancia por ser la tecnología empleada en Cuba. Además, presenta un notable desarrollo en las más variadas geografías del planeta. Se emplean en muchas partes del mundo, en la fabricación del cemento, como agregados en la fabricación de hormigón, como material de base y subbase en los pavimentos, en la estabilización de subrasante, en la carpeta asfáltica como parte del ligante bituminoso, entre otros. </w:t>
      </w:r>
    </w:p>
    <w:p w:rsidR="00B1532B" w:rsidRPr="00B1532B" w:rsidRDefault="00B1532B" w:rsidP="00B1532B">
      <w:pPr>
        <w:spacing w:after="0" w:line="360" w:lineRule="auto"/>
        <w:jc w:val="both"/>
        <w:rPr>
          <w:rFonts w:ascii="Times New Roman" w:hAnsi="Times New Roman" w:cs="Times New Roman"/>
          <w:sz w:val="24"/>
          <w:szCs w:val="24"/>
        </w:rPr>
      </w:pPr>
      <w:r w:rsidRPr="00B1532B">
        <w:rPr>
          <w:rFonts w:ascii="Times New Roman" w:hAnsi="Times New Roman" w:cs="Times New Roman"/>
          <w:sz w:val="24"/>
          <w:szCs w:val="24"/>
        </w:rPr>
        <w:lastRenderedPageBreak/>
        <w:t>Al emplearse este subproducto en construcción de la infraestructura vial se evita explotar nuevas canteras, se mantiene el paisaje dela zona; pues, como no requiere procesar los agregados se reduce el consumo de energía y combustibles, y se subyugan las emisiones de CO</w:t>
      </w:r>
      <w:r w:rsidRPr="00B1532B">
        <w:rPr>
          <w:rFonts w:ascii="Times New Roman" w:hAnsi="Times New Roman" w:cs="Times New Roman"/>
          <w:sz w:val="24"/>
          <w:szCs w:val="24"/>
          <w:vertAlign w:val="subscript"/>
        </w:rPr>
        <w:t>2</w:t>
      </w:r>
      <w:r w:rsidRPr="00B1532B">
        <w:rPr>
          <w:rFonts w:ascii="Times New Roman" w:hAnsi="Times New Roman" w:cs="Times New Roman"/>
          <w:sz w:val="24"/>
          <w:szCs w:val="24"/>
        </w:rPr>
        <w:t xml:space="preserve"> al ambiente. (Carrillo y García, 2012)</w:t>
      </w:r>
    </w:p>
    <w:p w:rsidR="00B1532B" w:rsidRPr="00B1532B" w:rsidRDefault="00B1532B" w:rsidP="00B1532B">
      <w:pPr>
        <w:spacing w:after="0" w:line="360" w:lineRule="auto"/>
        <w:jc w:val="both"/>
        <w:rPr>
          <w:rFonts w:ascii="Times New Roman" w:hAnsi="Times New Roman" w:cs="Times New Roman"/>
          <w:sz w:val="24"/>
          <w:szCs w:val="24"/>
          <w:lang w:val="es-MX"/>
        </w:rPr>
      </w:pPr>
      <w:r w:rsidRPr="00B1532B">
        <w:rPr>
          <w:rFonts w:ascii="Times New Roman" w:hAnsi="Times New Roman" w:cs="Times New Roman"/>
          <w:sz w:val="24"/>
          <w:szCs w:val="24"/>
          <w:lang w:val="es-MX"/>
        </w:rPr>
        <w:t>De hecho, esta sentencia resulta muy interesante si se analiza que en la provincia Las Tunas existe una planta de aceros que emplea esta tecnología y se ubica a menos de un kilómetro de la circunvalante norte que se encuentra en reparación en estos momentos. En dicha planta se generan de 6 a 8 toneladas de escoria negra por cada colada de acero, para un promedio anual de 14 mil seiscientas toneladas. Estas se depositan actualmente en rellenos sanitarios y existen grandes cantidades que se han acopiadas en el mismo lugar durante años y actúan como agentes contaminantes del medioambiente.</w:t>
      </w:r>
    </w:p>
    <w:p w:rsidR="00B1532B" w:rsidRPr="00B1532B" w:rsidRDefault="00B1532B" w:rsidP="00B1532B">
      <w:pPr>
        <w:spacing w:after="0" w:line="360" w:lineRule="auto"/>
        <w:jc w:val="both"/>
        <w:rPr>
          <w:rFonts w:ascii="Times New Roman" w:hAnsi="Times New Roman" w:cs="Times New Roman"/>
          <w:sz w:val="24"/>
          <w:szCs w:val="24"/>
          <w:lang w:val="es-MX"/>
        </w:rPr>
      </w:pPr>
      <w:r w:rsidRPr="00B1532B">
        <w:rPr>
          <w:rFonts w:ascii="Times New Roman" w:hAnsi="Times New Roman" w:cs="Times New Roman"/>
          <w:sz w:val="24"/>
          <w:szCs w:val="24"/>
          <w:lang w:val="es-MX"/>
        </w:rPr>
        <w:t>Además, la circunvalante está utilizando como material de base granular, áridos procedentes de la cantera Las Parras que se ubica a 30 kilómetros de la obra. Esto refleja una contradicción, existente, entre la explotación que se realiza a los yacimientos de áridos durante largos períodos de tiempo, lo cual trae consigo el agotamiento de los mismos y el aumento de su precio en el mercado. Por otra parte, en la fábrica ACINOX, Las Tunas se desechan grandes volúmenes de residuos industriales que se han posicionado como potenciales materiales para su utilización como áridos en la construcción lo que contribuiría a la protección del medio ambiente. De ahí que el objetivo de la presente investigación sea evaluar la posibilidad de incluir las escorias negras de la planta de aceros inoxidables ACINOX, Las Tunas para la conformación de bases de carreteras.</w:t>
      </w:r>
    </w:p>
    <w:p w:rsidR="00DE1A08" w:rsidRPr="00B1532B" w:rsidRDefault="00DE1A08" w:rsidP="00DE1A08">
      <w:pPr>
        <w:spacing w:after="0" w:line="360" w:lineRule="auto"/>
        <w:jc w:val="both"/>
        <w:rPr>
          <w:rFonts w:ascii="Times New Roman" w:hAnsi="Times New Roman" w:cs="Times New Roman"/>
          <w:sz w:val="24"/>
          <w:szCs w:val="24"/>
          <w:lang w:val="es-MX"/>
        </w:rPr>
      </w:pPr>
    </w:p>
    <w:p w:rsidR="00DE1A08" w:rsidRPr="00A23D3F" w:rsidRDefault="00DE1A08" w:rsidP="00A23D3F">
      <w:pPr>
        <w:pStyle w:val="Ttulo1"/>
        <w:spacing w:before="0" w:line="360" w:lineRule="auto"/>
        <w:rPr>
          <w:rFonts w:ascii="Times New Roman" w:hAnsi="Times New Roman" w:cs="Times New Roman"/>
          <w:b/>
          <w:color w:val="auto"/>
          <w:sz w:val="24"/>
          <w:szCs w:val="24"/>
        </w:rPr>
      </w:pPr>
      <w:r w:rsidRPr="00A23D3F">
        <w:rPr>
          <w:rFonts w:ascii="Times New Roman" w:hAnsi="Times New Roman" w:cs="Times New Roman"/>
          <w:b/>
          <w:color w:val="auto"/>
          <w:sz w:val="24"/>
          <w:szCs w:val="24"/>
        </w:rPr>
        <w:t>2. Metodología</w:t>
      </w:r>
    </w:p>
    <w:p w:rsidR="00B1532B" w:rsidRPr="00B1532B" w:rsidRDefault="00B1532B" w:rsidP="00B1532B">
      <w:pPr>
        <w:spacing w:after="0" w:line="360" w:lineRule="auto"/>
        <w:jc w:val="both"/>
        <w:rPr>
          <w:rFonts w:ascii="Times New Roman" w:hAnsi="Times New Roman" w:cs="Times New Roman"/>
          <w:bCs/>
          <w:sz w:val="24"/>
          <w:szCs w:val="24"/>
          <w:lang w:val="es-MX"/>
        </w:rPr>
      </w:pPr>
      <w:r w:rsidRPr="00B1532B">
        <w:rPr>
          <w:rFonts w:ascii="Times New Roman" w:hAnsi="Times New Roman" w:cs="Times New Roman"/>
          <w:bCs/>
          <w:sz w:val="24"/>
          <w:szCs w:val="24"/>
          <w:lang w:val="es-MX"/>
        </w:rPr>
        <w:t xml:space="preserve">La estructura de un pavimento flexible está formada por varias capas de material granular, dispuestas en orden creciente de calidad, sobre las que se coloca una superficie de carpeta asfáltica. Estas capas son la subrasante, la subbase, y la base granular. Según la NC 255: 2005 la base es la capa del pavimento situada inmediatamente debajo de la capa de </w:t>
      </w:r>
      <w:r w:rsidRPr="00B1532B">
        <w:rPr>
          <w:rFonts w:ascii="Times New Roman" w:hAnsi="Times New Roman" w:cs="Times New Roman"/>
          <w:bCs/>
          <w:sz w:val="24"/>
          <w:szCs w:val="24"/>
          <w:lang w:val="es-MX"/>
        </w:rPr>
        <w:lastRenderedPageBreak/>
        <w:t>rodadura y trasmite las cargas del tránsito a la subbase y al terreno. El principal empleo que se le imputa es la resistencia, por lo cual debe presentar un alto grado de compacidad.</w:t>
      </w:r>
    </w:p>
    <w:p w:rsidR="00B1532B" w:rsidRPr="00B1532B" w:rsidRDefault="00B1532B" w:rsidP="00B1532B">
      <w:pPr>
        <w:spacing w:after="0" w:line="360" w:lineRule="auto"/>
        <w:jc w:val="both"/>
        <w:rPr>
          <w:rFonts w:ascii="Times New Roman" w:hAnsi="Times New Roman" w:cs="Times New Roman"/>
          <w:bCs/>
          <w:sz w:val="24"/>
          <w:szCs w:val="24"/>
          <w:lang w:val="es-MX"/>
        </w:rPr>
      </w:pPr>
      <w:r w:rsidRPr="00B1532B">
        <w:rPr>
          <w:rFonts w:ascii="Times New Roman" w:hAnsi="Times New Roman" w:cs="Times New Roman"/>
          <w:bCs/>
          <w:sz w:val="24"/>
          <w:szCs w:val="24"/>
          <w:lang w:val="es-MX"/>
        </w:rPr>
        <w:t>La presente investigación se centra en el estudio de las bases tipo Macadam por ser este el material utilizado en la circunvalante de Las Tunas. La base Macadam es denominado así en honor a su inventor, el ingeniero escocés John McAdam y es un material de base de estructura uniforme. Se obtiene extendiendo y compactando el árido grueso. Sus huecos se rellenan posteriormente con un árido fino denominado recebo. La NC 255:2005 define al Macadam como una capa base de poco espesor, esencialmente constituida por piedras trituradas de granulometría muy cerrada y fuertemente compactadas. Este tipo de base, según dicha NC, debe cumplir con una serie de requisitos tales como:</w:t>
      </w:r>
    </w:p>
    <w:p w:rsidR="00B1532B" w:rsidRPr="00B1532B" w:rsidRDefault="00B1532B" w:rsidP="00B1532B">
      <w:pPr>
        <w:numPr>
          <w:ilvl w:val="0"/>
          <w:numId w:val="22"/>
        </w:numPr>
        <w:spacing w:after="0" w:line="360" w:lineRule="auto"/>
        <w:jc w:val="both"/>
        <w:rPr>
          <w:rFonts w:ascii="Times New Roman" w:hAnsi="Times New Roman" w:cs="Times New Roman"/>
          <w:bCs/>
          <w:sz w:val="24"/>
          <w:szCs w:val="24"/>
          <w:lang w:val="es-MX"/>
        </w:rPr>
      </w:pPr>
      <w:r w:rsidRPr="00B1532B">
        <w:rPr>
          <w:rFonts w:ascii="Times New Roman" w:hAnsi="Times New Roman" w:cs="Times New Roman"/>
          <w:bCs/>
          <w:sz w:val="24"/>
          <w:szCs w:val="24"/>
          <w:lang w:val="es-MX"/>
        </w:rPr>
        <w:t>La piedra picada debe estar libre de partículas blandas y desintegradas, polvo, arcilla, material vegetal o cualquier otra materia extraña que impida que la obra cumpla con los requisitos esenciales.</w:t>
      </w:r>
    </w:p>
    <w:p w:rsidR="00B1532B" w:rsidRPr="00B1532B" w:rsidRDefault="00B1532B" w:rsidP="00B1532B">
      <w:pPr>
        <w:numPr>
          <w:ilvl w:val="0"/>
          <w:numId w:val="22"/>
        </w:numPr>
        <w:spacing w:after="0" w:line="360" w:lineRule="auto"/>
        <w:jc w:val="both"/>
        <w:rPr>
          <w:rFonts w:ascii="Times New Roman" w:hAnsi="Times New Roman" w:cs="Times New Roman"/>
          <w:bCs/>
          <w:sz w:val="24"/>
          <w:szCs w:val="24"/>
          <w:lang w:val="es-MX"/>
        </w:rPr>
      </w:pPr>
      <w:r w:rsidRPr="00B1532B">
        <w:rPr>
          <w:rFonts w:ascii="Times New Roman" w:hAnsi="Times New Roman" w:cs="Times New Roman"/>
          <w:bCs/>
          <w:sz w:val="24"/>
          <w:szCs w:val="24"/>
          <w:lang w:val="es-MX"/>
        </w:rPr>
        <w:t>La forma será cúbica o lo más cerca posible al cubo</w:t>
      </w:r>
    </w:p>
    <w:p w:rsidR="00B1532B" w:rsidRPr="00B1532B" w:rsidRDefault="00B1532B" w:rsidP="00B1532B">
      <w:pPr>
        <w:numPr>
          <w:ilvl w:val="0"/>
          <w:numId w:val="22"/>
        </w:numPr>
        <w:spacing w:after="0" w:line="360" w:lineRule="auto"/>
        <w:jc w:val="both"/>
        <w:rPr>
          <w:rFonts w:ascii="Times New Roman" w:hAnsi="Times New Roman" w:cs="Times New Roman"/>
          <w:bCs/>
          <w:sz w:val="24"/>
          <w:szCs w:val="24"/>
          <w:lang w:val="es-MX"/>
        </w:rPr>
      </w:pPr>
      <w:r w:rsidRPr="00B1532B">
        <w:rPr>
          <w:rFonts w:ascii="Times New Roman" w:hAnsi="Times New Roman" w:cs="Times New Roman"/>
          <w:bCs/>
          <w:sz w:val="24"/>
          <w:szCs w:val="24"/>
          <w:lang w:val="es-MX"/>
        </w:rPr>
        <w:t>La máxima cantidad de partículas planas y alargadas será el 20 %. (Se considerará que un fragmento o partícula de piedra es plana o alargada cuando su mayor dimensión sea cuatro veces la dimensión menor)</w:t>
      </w:r>
    </w:p>
    <w:p w:rsidR="00B1532B" w:rsidRPr="00B1532B" w:rsidRDefault="00B1532B" w:rsidP="00B1532B">
      <w:pPr>
        <w:numPr>
          <w:ilvl w:val="0"/>
          <w:numId w:val="22"/>
        </w:numPr>
        <w:spacing w:after="0" w:line="360" w:lineRule="auto"/>
        <w:jc w:val="both"/>
        <w:rPr>
          <w:rFonts w:ascii="Times New Roman" w:hAnsi="Times New Roman" w:cs="Times New Roman"/>
          <w:bCs/>
          <w:sz w:val="24"/>
          <w:szCs w:val="24"/>
          <w:lang w:val="es-MX"/>
        </w:rPr>
      </w:pPr>
      <w:r w:rsidRPr="00B1532B">
        <w:rPr>
          <w:rFonts w:ascii="Times New Roman" w:hAnsi="Times New Roman" w:cs="Times New Roman"/>
          <w:bCs/>
          <w:sz w:val="24"/>
          <w:szCs w:val="24"/>
          <w:lang w:val="es-MX"/>
        </w:rPr>
        <w:t>El por ciento de desgaste de Los Ángeles será menor de 40, según NC 188: 2002</w:t>
      </w:r>
    </w:p>
    <w:p w:rsidR="00B1532B" w:rsidRPr="00B1532B" w:rsidRDefault="00B1532B" w:rsidP="00B1532B">
      <w:pPr>
        <w:numPr>
          <w:ilvl w:val="0"/>
          <w:numId w:val="22"/>
        </w:numPr>
        <w:spacing w:after="0" w:line="360" w:lineRule="auto"/>
        <w:jc w:val="both"/>
        <w:rPr>
          <w:rFonts w:ascii="Times New Roman" w:hAnsi="Times New Roman" w:cs="Times New Roman"/>
          <w:bCs/>
          <w:sz w:val="24"/>
          <w:szCs w:val="24"/>
          <w:lang w:val="es-MX"/>
        </w:rPr>
      </w:pPr>
      <w:r w:rsidRPr="00B1532B">
        <w:rPr>
          <w:rFonts w:ascii="Times New Roman" w:hAnsi="Times New Roman" w:cs="Times New Roman"/>
          <w:bCs/>
          <w:sz w:val="24"/>
          <w:szCs w:val="24"/>
          <w:lang w:val="es-MX"/>
        </w:rPr>
        <w:t xml:space="preserve">La granulometría debe </w:t>
      </w:r>
      <w:r w:rsidR="007F6704">
        <w:rPr>
          <w:rFonts w:ascii="Times New Roman" w:hAnsi="Times New Roman" w:cs="Times New Roman"/>
          <w:bCs/>
          <w:sz w:val="24"/>
          <w:szCs w:val="24"/>
          <w:lang w:val="es-MX"/>
        </w:rPr>
        <w:t xml:space="preserve">ser mayor que 12,7 mm y menor que 76,2 mm, </w:t>
      </w:r>
      <w:r w:rsidRPr="00B1532B">
        <w:rPr>
          <w:rFonts w:ascii="Times New Roman" w:hAnsi="Times New Roman" w:cs="Times New Roman"/>
          <w:bCs/>
          <w:sz w:val="24"/>
          <w:szCs w:val="24"/>
          <w:lang w:val="es-MX"/>
        </w:rPr>
        <w:t>cumpli</w:t>
      </w:r>
      <w:r w:rsidR="007F6704">
        <w:rPr>
          <w:rFonts w:ascii="Times New Roman" w:hAnsi="Times New Roman" w:cs="Times New Roman"/>
          <w:bCs/>
          <w:sz w:val="24"/>
          <w:szCs w:val="24"/>
          <w:lang w:val="es-MX"/>
        </w:rPr>
        <w:t xml:space="preserve">endo </w:t>
      </w:r>
      <w:r w:rsidRPr="00B1532B">
        <w:rPr>
          <w:rFonts w:ascii="Times New Roman" w:hAnsi="Times New Roman" w:cs="Times New Roman"/>
          <w:bCs/>
          <w:sz w:val="24"/>
          <w:szCs w:val="24"/>
          <w:lang w:val="es-MX"/>
        </w:rPr>
        <w:t xml:space="preserve">con los </w:t>
      </w:r>
      <w:r>
        <w:rPr>
          <w:rFonts w:ascii="Times New Roman" w:hAnsi="Times New Roman" w:cs="Times New Roman"/>
          <w:bCs/>
          <w:sz w:val="24"/>
          <w:szCs w:val="24"/>
          <w:lang w:val="es-MX"/>
        </w:rPr>
        <w:t>requisitos</w:t>
      </w:r>
      <w:r w:rsidR="007F6704">
        <w:rPr>
          <w:rFonts w:ascii="Times New Roman" w:hAnsi="Times New Roman" w:cs="Times New Roman"/>
          <w:bCs/>
          <w:sz w:val="24"/>
          <w:szCs w:val="24"/>
          <w:lang w:val="es-MX"/>
        </w:rPr>
        <w:t>de la norma NC 2: 2005.</w:t>
      </w:r>
    </w:p>
    <w:p w:rsidR="00B1532B" w:rsidRPr="00B1532B" w:rsidRDefault="00B1532B" w:rsidP="00B1532B">
      <w:pPr>
        <w:spacing w:after="0" w:line="360" w:lineRule="auto"/>
        <w:jc w:val="both"/>
        <w:rPr>
          <w:rFonts w:ascii="Times New Roman" w:hAnsi="Times New Roman" w:cs="Times New Roman"/>
          <w:bCs/>
          <w:sz w:val="24"/>
          <w:szCs w:val="24"/>
          <w:lang w:val="es-MX"/>
        </w:rPr>
      </w:pPr>
      <w:r w:rsidRPr="00B1532B">
        <w:rPr>
          <w:rFonts w:ascii="Times New Roman" w:hAnsi="Times New Roman" w:cs="Times New Roman"/>
          <w:bCs/>
          <w:sz w:val="24"/>
          <w:szCs w:val="24"/>
          <w:lang w:val="es-MX"/>
        </w:rPr>
        <w:t>Por ello deben realizarse cuatro ensayos para verificar que es posible utilizar un árido para su uso como Macadam. Estos son: determinación partículas de arcilla, partículas planas y alargadas, desgaste de Los Ángeles y granulometría. Aquí el coeficiente de desgaste de Los Ángeles constituye uno de los más importantes pues incide directamente en la resistencia y durabilidad que tendrá la base.</w:t>
      </w:r>
    </w:p>
    <w:p w:rsidR="00B1532B" w:rsidRPr="00B1532B" w:rsidRDefault="00B1532B" w:rsidP="00B1532B">
      <w:pPr>
        <w:spacing w:after="0" w:line="360" w:lineRule="auto"/>
        <w:jc w:val="both"/>
        <w:rPr>
          <w:rFonts w:ascii="Times New Roman" w:hAnsi="Times New Roman" w:cs="Times New Roman"/>
          <w:bCs/>
          <w:sz w:val="24"/>
          <w:szCs w:val="24"/>
          <w:lang w:val="es-MX"/>
        </w:rPr>
      </w:pPr>
      <w:r w:rsidRPr="00B1532B">
        <w:rPr>
          <w:rFonts w:ascii="Times New Roman" w:hAnsi="Times New Roman" w:cs="Times New Roman"/>
          <w:bCs/>
          <w:sz w:val="24"/>
          <w:szCs w:val="24"/>
          <w:lang w:val="es-MX"/>
        </w:rPr>
        <w:t xml:space="preserve">Para la realización de los ensayos, se toma una muestra de escoria de HAE procedente del relleno sanitario de la planta ACINOX Las Tunas. La escoria es recogida el día 19 de marzo de 2018 del vertedero que se encuentra aproximadamente a unos 500 metros de la </w:t>
      </w:r>
      <w:r w:rsidRPr="00B1532B">
        <w:rPr>
          <w:rFonts w:ascii="Times New Roman" w:hAnsi="Times New Roman" w:cs="Times New Roman"/>
          <w:bCs/>
          <w:sz w:val="24"/>
          <w:szCs w:val="24"/>
          <w:lang w:val="es-MX"/>
        </w:rPr>
        <w:lastRenderedPageBreak/>
        <w:t>fábrica. Se verifica de forma visual que la misma estuviera adecuadamente envejecida, a partir de los conocimientos adquiridos en la revisión bibliográfica y teniendo en cuenta la información brindada por trabajadores de la zona acerca de las que llevan más tiempo en deposición. El material fue envasado en sacos y trasladado al día siguiente para la ENIA de Holguín. Se cuidó que la escoria no se contaminara con arcillas u otras materias extrañas.</w:t>
      </w:r>
    </w:p>
    <w:p w:rsidR="00DE1A08" w:rsidRPr="00B1532B" w:rsidRDefault="00B1532B" w:rsidP="00DE1A08">
      <w:pPr>
        <w:spacing w:after="0" w:line="360" w:lineRule="auto"/>
        <w:jc w:val="both"/>
        <w:rPr>
          <w:rFonts w:ascii="Times New Roman" w:hAnsi="Times New Roman" w:cs="Times New Roman"/>
          <w:bCs/>
          <w:sz w:val="24"/>
          <w:szCs w:val="24"/>
          <w:lang w:val="es-MX"/>
        </w:rPr>
      </w:pPr>
      <w:r w:rsidRPr="00B1532B">
        <w:rPr>
          <w:rFonts w:ascii="Times New Roman" w:hAnsi="Times New Roman" w:cs="Times New Roman"/>
          <w:bCs/>
          <w:sz w:val="24"/>
          <w:szCs w:val="24"/>
          <w:lang w:val="es-MX"/>
        </w:rPr>
        <w:t>De manera similar se procede para tomar la muestra del material de base (rajoncillo) empleado actualmente en la reparación de la circunvalación de la ciudad de Las Tunas. Esta se toma in situ el 20 de marzo de 2018. Es denominada muestra patrón o de referencia para comparar los resultados de la escoria con ella.</w:t>
      </w:r>
      <w:r w:rsidR="009647EC">
        <w:rPr>
          <w:rFonts w:ascii="Times New Roman" w:hAnsi="Times New Roman" w:cs="Times New Roman"/>
          <w:bCs/>
          <w:sz w:val="24"/>
          <w:szCs w:val="24"/>
          <w:lang w:val="es-MX"/>
        </w:rPr>
        <w:t xml:space="preserve"> También se vacía en sacos y se</w:t>
      </w:r>
      <w:r w:rsidRPr="00B1532B">
        <w:rPr>
          <w:rFonts w:ascii="Times New Roman" w:hAnsi="Times New Roman" w:cs="Times New Roman"/>
          <w:bCs/>
          <w:sz w:val="24"/>
          <w:szCs w:val="24"/>
          <w:lang w:val="es-MX"/>
        </w:rPr>
        <w:t xml:space="preserve"> trasladada para la ENIA de Holguín evitando cualquier tipo de contaminación.</w:t>
      </w:r>
    </w:p>
    <w:p w:rsidR="00DE1A08" w:rsidRDefault="00DE1A08" w:rsidP="00DE1A08">
      <w:pPr>
        <w:spacing w:after="0" w:line="360" w:lineRule="auto"/>
        <w:jc w:val="both"/>
        <w:rPr>
          <w:rFonts w:ascii="Times New Roman" w:hAnsi="Times New Roman" w:cs="Times New Roman"/>
          <w:sz w:val="24"/>
          <w:szCs w:val="24"/>
        </w:rPr>
      </w:pPr>
    </w:p>
    <w:p w:rsidR="00DE1A08" w:rsidRPr="00A23D3F" w:rsidRDefault="00DE1A08" w:rsidP="00A23D3F">
      <w:pPr>
        <w:pStyle w:val="Ttulo1"/>
        <w:spacing w:before="0" w:line="360" w:lineRule="auto"/>
        <w:rPr>
          <w:rFonts w:ascii="Times New Roman" w:hAnsi="Times New Roman" w:cs="Times New Roman"/>
          <w:b/>
          <w:color w:val="auto"/>
          <w:sz w:val="24"/>
          <w:szCs w:val="24"/>
        </w:rPr>
      </w:pPr>
      <w:r w:rsidRPr="00A23D3F">
        <w:rPr>
          <w:rFonts w:ascii="Times New Roman" w:hAnsi="Times New Roman" w:cs="Times New Roman"/>
          <w:b/>
          <w:color w:val="auto"/>
          <w:sz w:val="24"/>
          <w:szCs w:val="24"/>
        </w:rPr>
        <w:t>3. Resultados y discusión</w:t>
      </w:r>
    </w:p>
    <w:p w:rsidR="007A035A" w:rsidRPr="00A23D3F" w:rsidRDefault="007A035A" w:rsidP="00A23D3F">
      <w:pPr>
        <w:pStyle w:val="Ttulo2"/>
        <w:spacing w:line="360" w:lineRule="auto"/>
        <w:ind w:left="284"/>
        <w:rPr>
          <w:rFonts w:ascii="Times New Roman" w:hAnsi="Times New Roman" w:cs="Times New Roman"/>
          <w:b/>
          <w:color w:val="auto"/>
          <w:sz w:val="24"/>
          <w:lang w:val="es-MX"/>
        </w:rPr>
      </w:pPr>
      <w:r w:rsidRPr="00A23D3F">
        <w:rPr>
          <w:rFonts w:ascii="Times New Roman" w:hAnsi="Times New Roman" w:cs="Times New Roman"/>
          <w:b/>
          <w:color w:val="auto"/>
          <w:sz w:val="24"/>
          <w:lang w:val="es-MX"/>
        </w:rPr>
        <w:t>3.1 Ensayos realizados a las muestras</w:t>
      </w:r>
    </w:p>
    <w:p w:rsidR="00B1532B" w:rsidRDefault="00B1532B" w:rsidP="00B1532B">
      <w:pPr>
        <w:spacing w:after="80" w:line="360" w:lineRule="auto"/>
        <w:jc w:val="both"/>
        <w:rPr>
          <w:rFonts w:ascii="Times New Roman" w:hAnsi="Times New Roman" w:cs="Times New Roman"/>
          <w:bCs/>
          <w:sz w:val="24"/>
          <w:szCs w:val="24"/>
          <w:lang w:val="es-MX"/>
        </w:rPr>
      </w:pPr>
      <w:r w:rsidRPr="007F7AF9">
        <w:rPr>
          <w:rFonts w:ascii="Times New Roman" w:hAnsi="Times New Roman" w:cs="Times New Roman"/>
          <w:bCs/>
          <w:sz w:val="24"/>
          <w:szCs w:val="24"/>
          <w:lang w:val="es-MX"/>
        </w:rPr>
        <w:t>Los ensayos realizados a la muestra patrón</w:t>
      </w:r>
      <w:r>
        <w:rPr>
          <w:rFonts w:ascii="Times New Roman" w:hAnsi="Times New Roman" w:cs="Times New Roman"/>
          <w:bCs/>
          <w:sz w:val="24"/>
          <w:szCs w:val="24"/>
          <w:lang w:val="es-MX"/>
        </w:rPr>
        <w:t xml:space="preserve"> y a</w:t>
      </w:r>
      <w:r w:rsidRPr="007F7AF9">
        <w:rPr>
          <w:rFonts w:ascii="Times New Roman" w:hAnsi="Times New Roman" w:cs="Times New Roman"/>
          <w:bCs/>
          <w:sz w:val="24"/>
          <w:szCs w:val="24"/>
          <w:lang w:val="es-MX"/>
        </w:rPr>
        <w:t xml:space="preserve"> la escoria de HAE se corresponden con los requisitos que establece la NC 255:2005.</w:t>
      </w:r>
      <w:r>
        <w:rPr>
          <w:rFonts w:ascii="Times New Roman" w:hAnsi="Times New Roman" w:cs="Times New Roman"/>
          <w:bCs/>
          <w:sz w:val="24"/>
          <w:szCs w:val="24"/>
          <w:lang w:val="es-MX"/>
        </w:rPr>
        <w:t xml:space="preserve"> Además de los cuatros ensayos normados que se mencionaban anteriormente se realiza una caracterización física de ambas muestras. Los resultados se comparan entre sí teniendo en cuenta las especificaciones de la norma para arribar a conclusiones</w:t>
      </w:r>
      <w:r w:rsidRPr="007F7AF9">
        <w:rPr>
          <w:rFonts w:ascii="Times New Roman" w:hAnsi="Times New Roman" w:cs="Times New Roman"/>
          <w:bCs/>
          <w:sz w:val="24"/>
          <w:szCs w:val="24"/>
          <w:lang w:val="es-MX"/>
        </w:rPr>
        <w:t>comparativas</w:t>
      </w:r>
      <w:r>
        <w:rPr>
          <w:rFonts w:ascii="Times New Roman" w:hAnsi="Times New Roman" w:cs="Times New Roman"/>
          <w:bCs/>
          <w:sz w:val="24"/>
          <w:szCs w:val="24"/>
          <w:lang w:val="es-MX"/>
        </w:rPr>
        <w:t>.</w:t>
      </w:r>
    </w:p>
    <w:p w:rsidR="00B1532B" w:rsidRPr="00A23D3F" w:rsidRDefault="00B1532B" w:rsidP="00A23D3F">
      <w:pPr>
        <w:pStyle w:val="Ttulo3"/>
        <w:spacing w:before="0" w:line="360" w:lineRule="auto"/>
        <w:rPr>
          <w:rFonts w:ascii="Times New Roman" w:hAnsi="Times New Roman" w:cs="Times New Roman"/>
          <w:b/>
          <w:color w:val="auto"/>
          <w:lang w:val="es-MX"/>
        </w:rPr>
      </w:pPr>
      <w:r w:rsidRPr="00A23D3F">
        <w:rPr>
          <w:rFonts w:ascii="Times New Roman" w:hAnsi="Times New Roman" w:cs="Times New Roman"/>
          <w:b/>
          <w:color w:val="auto"/>
          <w:lang w:val="es-MX"/>
        </w:rPr>
        <w:t xml:space="preserve">Caracterización </w:t>
      </w:r>
      <w:r w:rsidR="007A035A" w:rsidRPr="00A23D3F">
        <w:rPr>
          <w:rFonts w:ascii="Times New Roman" w:hAnsi="Times New Roman" w:cs="Times New Roman"/>
          <w:b/>
          <w:color w:val="auto"/>
          <w:lang w:val="es-MX"/>
        </w:rPr>
        <w:t>f</w:t>
      </w:r>
      <w:r w:rsidRPr="00A23D3F">
        <w:rPr>
          <w:rFonts w:ascii="Times New Roman" w:hAnsi="Times New Roman" w:cs="Times New Roman"/>
          <w:b/>
          <w:color w:val="auto"/>
          <w:lang w:val="es-MX"/>
        </w:rPr>
        <w:t xml:space="preserve">ísica </w:t>
      </w:r>
    </w:p>
    <w:p w:rsidR="00B1532B" w:rsidRDefault="00B1532B" w:rsidP="00B1532B">
      <w:pPr>
        <w:spacing w:after="8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C</w:t>
      </w:r>
      <w:r w:rsidRPr="007F7AF9">
        <w:rPr>
          <w:rFonts w:ascii="Times New Roman" w:hAnsi="Times New Roman" w:cs="Times New Roman"/>
          <w:bCs/>
          <w:sz w:val="24"/>
          <w:szCs w:val="24"/>
          <w:lang w:val="es-MX"/>
        </w:rPr>
        <w:t xml:space="preserve">omo parte de su caracterización física se realizan ensayos de densidad de roca tanto a la muestra patrón como a la escoria de HAE. </w:t>
      </w:r>
      <w:r>
        <w:rPr>
          <w:rFonts w:ascii="Times New Roman" w:hAnsi="Times New Roman" w:cs="Times New Roman"/>
          <w:bCs/>
          <w:sz w:val="24"/>
          <w:szCs w:val="24"/>
          <w:lang w:val="es-MX"/>
        </w:rPr>
        <w:t>Estos se encuentran</w:t>
      </w:r>
      <w:r w:rsidRPr="007F7AF9">
        <w:rPr>
          <w:rFonts w:ascii="Times New Roman" w:hAnsi="Times New Roman" w:cs="Times New Roman"/>
          <w:bCs/>
          <w:sz w:val="24"/>
          <w:szCs w:val="24"/>
          <w:lang w:val="es-MX"/>
        </w:rPr>
        <w:t xml:space="preserve"> regulados por la NC 54-258:1983. El objetivo es de</w:t>
      </w:r>
      <w:r>
        <w:rPr>
          <w:rFonts w:ascii="Times New Roman" w:hAnsi="Times New Roman" w:cs="Times New Roman"/>
          <w:bCs/>
          <w:sz w:val="24"/>
          <w:szCs w:val="24"/>
          <w:lang w:val="es-MX"/>
        </w:rPr>
        <w:t>terminar características como</w:t>
      </w:r>
      <w:r w:rsidRPr="007F7AF9">
        <w:rPr>
          <w:rFonts w:ascii="Times New Roman" w:hAnsi="Times New Roman" w:cs="Times New Roman"/>
          <w:bCs/>
          <w:sz w:val="24"/>
          <w:szCs w:val="24"/>
          <w:lang w:val="es-MX"/>
        </w:rPr>
        <w:t xml:space="preserve"> volumen (V), volumen de vacíos (Vv), porciento de poros (n), densidad seca (</w:t>
      </w:r>
      <w:r w:rsidRPr="007F7AF9">
        <w:rPr>
          <w:rFonts w:ascii="Times New Roman" w:hAnsi="Times New Roman" w:cs="Times New Roman"/>
          <w:bCs/>
          <w:sz w:val="24"/>
          <w:szCs w:val="24"/>
          <w:lang w:val="es-MX"/>
        </w:rPr>
        <w:sym w:font="Symbol" w:char="0067"/>
      </w:r>
      <w:r w:rsidRPr="007F7AF9">
        <w:rPr>
          <w:rFonts w:ascii="Times New Roman" w:hAnsi="Times New Roman" w:cs="Times New Roman"/>
          <w:bCs/>
          <w:sz w:val="24"/>
          <w:szCs w:val="24"/>
          <w:vertAlign w:val="subscript"/>
          <w:lang w:val="es-MX"/>
        </w:rPr>
        <w:t>s</w:t>
      </w:r>
      <w:r w:rsidRPr="007F7AF9">
        <w:rPr>
          <w:rFonts w:ascii="Times New Roman" w:hAnsi="Times New Roman" w:cs="Times New Roman"/>
          <w:bCs/>
          <w:sz w:val="24"/>
          <w:szCs w:val="24"/>
          <w:lang w:val="es-MX"/>
        </w:rPr>
        <w:t>), densidad saturada (</w:t>
      </w:r>
      <w:r w:rsidRPr="007F7AF9">
        <w:rPr>
          <w:rFonts w:ascii="Times New Roman" w:hAnsi="Times New Roman" w:cs="Times New Roman"/>
          <w:bCs/>
          <w:sz w:val="24"/>
          <w:szCs w:val="24"/>
          <w:lang w:val="es-MX"/>
        </w:rPr>
        <w:sym w:font="Symbol" w:char="0067"/>
      </w:r>
      <w:r w:rsidRPr="007F7AF9">
        <w:rPr>
          <w:rFonts w:ascii="Times New Roman" w:hAnsi="Times New Roman" w:cs="Times New Roman"/>
          <w:bCs/>
          <w:sz w:val="24"/>
          <w:szCs w:val="24"/>
          <w:vertAlign w:val="subscript"/>
          <w:lang w:val="es-MX"/>
        </w:rPr>
        <w:t>Sat</w:t>
      </w:r>
      <w:r w:rsidRPr="007F7AF9">
        <w:rPr>
          <w:rFonts w:ascii="Times New Roman" w:hAnsi="Times New Roman" w:cs="Times New Roman"/>
          <w:bCs/>
          <w:sz w:val="24"/>
          <w:szCs w:val="24"/>
          <w:lang w:val="es-MX"/>
        </w:rPr>
        <w:t>) y porciento de absorción (Abs). Para ello se toman las muestras y se lavan con agua de análisis para quitarles el polvo. Se seleccionan seis muestras, de aproximadamente 50 gramos cada una, representat</w:t>
      </w:r>
      <w:r>
        <w:rPr>
          <w:rFonts w:ascii="Times New Roman" w:hAnsi="Times New Roman" w:cs="Times New Roman"/>
          <w:bCs/>
          <w:sz w:val="24"/>
          <w:szCs w:val="24"/>
          <w:lang w:val="es-MX"/>
        </w:rPr>
        <w:t xml:space="preserve">ivas del material. Se pesan </w:t>
      </w:r>
      <w:r w:rsidRPr="007F7AF9">
        <w:rPr>
          <w:rFonts w:ascii="Times New Roman" w:hAnsi="Times New Roman" w:cs="Times New Roman"/>
          <w:bCs/>
          <w:sz w:val="24"/>
          <w:szCs w:val="24"/>
          <w:lang w:val="es-MX"/>
        </w:rPr>
        <w:t>en la balanzay el resultado obtenido es la masa inicial.</w:t>
      </w:r>
      <w:r>
        <w:rPr>
          <w:rFonts w:ascii="Times New Roman" w:hAnsi="Times New Roman" w:cs="Times New Roman"/>
          <w:bCs/>
          <w:sz w:val="24"/>
          <w:szCs w:val="24"/>
          <w:lang w:val="es-MX"/>
        </w:rPr>
        <w:t xml:space="preserve"> Como se puede apreciar en el anexo 1 de este documento la muestra de escoria es más pesada que la de rajoncillo.</w:t>
      </w:r>
    </w:p>
    <w:p w:rsidR="00B1532B" w:rsidRDefault="00B1532B" w:rsidP="00B1532B">
      <w:pPr>
        <w:spacing w:after="8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lastRenderedPageBreak/>
        <w:t>Dichas</w:t>
      </w:r>
      <w:r w:rsidRPr="007F7AF9">
        <w:rPr>
          <w:rFonts w:ascii="Times New Roman" w:hAnsi="Times New Roman" w:cs="Times New Roman"/>
          <w:bCs/>
          <w:sz w:val="24"/>
          <w:szCs w:val="24"/>
          <w:lang w:val="es-MX"/>
        </w:rPr>
        <w:t xml:space="preserve"> muestras se colocan en una bandeja identificada previamente con el número de cada partícula para evitar errores.</w:t>
      </w:r>
      <w:r w:rsidRPr="00CF7B14">
        <w:rPr>
          <w:rFonts w:ascii="Times New Roman" w:hAnsi="Times New Roman" w:cs="Times New Roman"/>
          <w:bCs/>
          <w:sz w:val="24"/>
          <w:szCs w:val="24"/>
          <w:lang w:val="es-MX"/>
        </w:rPr>
        <w:t xml:space="preserve">Luego se sumergen en agua </w:t>
      </w:r>
      <w:r>
        <w:rPr>
          <w:rFonts w:ascii="Times New Roman" w:hAnsi="Times New Roman" w:cs="Times New Roman"/>
          <w:bCs/>
          <w:sz w:val="24"/>
          <w:szCs w:val="24"/>
          <w:lang w:val="es-MX"/>
        </w:rPr>
        <w:t>durante 24 horas y</w:t>
      </w:r>
      <w:r w:rsidRPr="00CF7B14">
        <w:rPr>
          <w:rFonts w:ascii="Times New Roman" w:hAnsi="Times New Roman" w:cs="Times New Roman"/>
          <w:bCs/>
          <w:sz w:val="24"/>
          <w:szCs w:val="24"/>
          <w:lang w:val="es-MX"/>
        </w:rPr>
        <w:t xml:space="preserve"> se pesan nuevamente para determinar la masa saturada</w:t>
      </w:r>
      <w:r>
        <w:rPr>
          <w:rFonts w:ascii="Times New Roman" w:hAnsi="Times New Roman" w:cs="Times New Roman"/>
          <w:bCs/>
          <w:sz w:val="24"/>
          <w:szCs w:val="24"/>
          <w:lang w:val="es-MX"/>
        </w:rPr>
        <w:t xml:space="preserve">. </w:t>
      </w:r>
      <w:r w:rsidRPr="00CF7B14">
        <w:rPr>
          <w:rFonts w:ascii="Times New Roman" w:hAnsi="Times New Roman" w:cs="Times New Roman"/>
          <w:bCs/>
          <w:sz w:val="24"/>
          <w:szCs w:val="24"/>
          <w:lang w:val="es-MX"/>
        </w:rPr>
        <w:t>Después las partículas se secan en la estufa a una temperatura de 110ºC para eliminar su contenido de agua</w:t>
      </w:r>
      <w:r>
        <w:rPr>
          <w:rFonts w:ascii="Times New Roman" w:hAnsi="Times New Roman" w:cs="Times New Roman"/>
          <w:bCs/>
          <w:sz w:val="24"/>
          <w:szCs w:val="24"/>
          <w:lang w:val="es-MX"/>
        </w:rPr>
        <w:t xml:space="preserve">. Al procesar los datos de masa y volumen de cada una de ellas se obtienen los datos que se aprecian en la tabla </w:t>
      </w:r>
      <w:r w:rsidR="00A61B28">
        <w:rPr>
          <w:rFonts w:ascii="Times New Roman" w:hAnsi="Times New Roman" w:cs="Times New Roman"/>
          <w:bCs/>
          <w:sz w:val="24"/>
          <w:szCs w:val="24"/>
          <w:lang w:val="es-MX"/>
        </w:rPr>
        <w:t>1</w:t>
      </w:r>
      <w:r>
        <w:rPr>
          <w:rFonts w:ascii="Times New Roman" w:hAnsi="Times New Roman" w:cs="Times New Roman"/>
          <w:bCs/>
          <w:sz w:val="24"/>
          <w:szCs w:val="24"/>
          <w:lang w:val="es-MX"/>
        </w:rPr>
        <w:t>.</w:t>
      </w:r>
    </w:p>
    <w:p w:rsidR="00B1532B" w:rsidRPr="00496D53" w:rsidRDefault="00A61B28" w:rsidP="00B1532B">
      <w:pPr>
        <w:spacing w:after="80" w:line="360" w:lineRule="auto"/>
        <w:jc w:val="both"/>
        <w:rPr>
          <w:rFonts w:ascii="Times New Roman" w:hAnsi="Times New Roman" w:cs="Times New Roman"/>
          <w:bCs/>
          <w:sz w:val="24"/>
          <w:szCs w:val="24"/>
          <w:vertAlign w:val="subscript"/>
          <w:lang w:val="es-MX"/>
        </w:rPr>
      </w:pPr>
      <w:r>
        <w:rPr>
          <w:rFonts w:ascii="Times New Roman" w:hAnsi="Times New Roman" w:cs="Times New Roman"/>
          <w:bCs/>
          <w:sz w:val="24"/>
          <w:szCs w:val="24"/>
          <w:lang w:val="es-MX"/>
        </w:rPr>
        <w:t>Tabla 1</w:t>
      </w:r>
      <w:r w:rsidR="00B1532B" w:rsidRPr="00496D53">
        <w:rPr>
          <w:rFonts w:ascii="Times New Roman" w:hAnsi="Times New Roman" w:cs="Times New Roman"/>
          <w:bCs/>
          <w:sz w:val="24"/>
          <w:szCs w:val="24"/>
          <w:lang w:val="es-MX"/>
        </w:rPr>
        <w:t>. Resultados promedios de los ensayos físicos realizados a ambas muestras</w:t>
      </w:r>
      <w:r w:rsidR="006975B7" w:rsidRPr="00496D53">
        <w:rPr>
          <w:rFonts w:ascii="Times New Roman" w:hAnsi="Times New Roman" w:cs="Times New Roman"/>
          <w:bCs/>
          <w:sz w:val="24"/>
          <w:szCs w:val="24"/>
          <w:lang w:val="es-MX"/>
        </w:rPr>
        <w:t xml:space="preserve">. </w:t>
      </w:r>
    </w:p>
    <w:tbl>
      <w:tblPr>
        <w:tblStyle w:val="Tablaconcuadrcula"/>
        <w:tblW w:w="0" w:type="auto"/>
        <w:tblLook w:val="04A0"/>
      </w:tblPr>
      <w:tblGrid>
        <w:gridCol w:w="1340"/>
        <w:gridCol w:w="1289"/>
        <w:gridCol w:w="1289"/>
        <w:gridCol w:w="1287"/>
        <w:gridCol w:w="1288"/>
        <w:gridCol w:w="1288"/>
        <w:gridCol w:w="1273"/>
      </w:tblGrid>
      <w:tr w:rsidR="00B1532B" w:rsidRPr="00CF7B14" w:rsidTr="00142677">
        <w:tc>
          <w:tcPr>
            <w:tcW w:w="1345" w:type="dxa"/>
            <w:shd w:val="clear" w:color="auto" w:fill="D9D9D9" w:themeFill="background1" w:themeFillShade="D9"/>
            <w:vAlign w:val="center"/>
          </w:tcPr>
          <w:p w:rsidR="00B1532B" w:rsidRPr="00CF7B14" w:rsidRDefault="00B1532B" w:rsidP="00142677">
            <w:pPr>
              <w:spacing w:after="0" w:line="240" w:lineRule="auto"/>
              <w:jc w:val="center"/>
              <w:rPr>
                <w:rFonts w:ascii="Times New Roman" w:hAnsi="Times New Roman" w:cs="Times New Roman"/>
                <w:b/>
                <w:bCs/>
                <w:sz w:val="24"/>
                <w:szCs w:val="24"/>
                <w:lang w:val="en-US"/>
              </w:rPr>
            </w:pPr>
            <w:r w:rsidRPr="00CF7B14">
              <w:rPr>
                <w:rFonts w:ascii="Times New Roman" w:hAnsi="Times New Roman" w:cs="Times New Roman"/>
                <w:b/>
                <w:bCs/>
                <w:sz w:val="24"/>
                <w:szCs w:val="24"/>
                <w:lang w:val="en-US"/>
              </w:rPr>
              <w:t>Muestra</w:t>
            </w:r>
          </w:p>
        </w:tc>
        <w:tc>
          <w:tcPr>
            <w:tcW w:w="1325" w:type="dxa"/>
            <w:shd w:val="clear" w:color="auto" w:fill="D9D9D9" w:themeFill="background1" w:themeFillShade="D9"/>
            <w:vAlign w:val="center"/>
          </w:tcPr>
          <w:p w:rsidR="00B1532B" w:rsidRPr="00CF7B14" w:rsidRDefault="00B1532B" w:rsidP="00142677">
            <w:pPr>
              <w:spacing w:after="0" w:line="240" w:lineRule="auto"/>
              <w:jc w:val="center"/>
              <w:rPr>
                <w:rFonts w:ascii="Times New Roman" w:hAnsi="Times New Roman" w:cs="Times New Roman"/>
                <w:b/>
                <w:bCs/>
                <w:sz w:val="24"/>
                <w:szCs w:val="24"/>
                <w:lang w:val="en-US"/>
              </w:rPr>
            </w:pPr>
            <w:r w:rsidRPr="00CF7B14">
              <w:rPr>
                <w:rFonts w:ascii="Times New Roman" w:hAnsi="Times New Roman" w:cs="Times New Roman"/>
                <w:b/>
                <w:bCs/>
                <w:sz w:val="24"/>
                <w:szCs w:val="24"/>
                <w:lang w:val="en-US"/>
              </w:rPr>
              <w:t>V</w:t>
            </w:r>
          </w:p>
          <w:p w:rsidR="00B1532B" w:rsidRPr="00CF7B14" w:rsidRDefault="00B1532B" w:rsidP="00142677">
            <w:pPr>
              <w:spacing w:after="0" w:line="240" w:lineRule="auto"/>
              <w:jc w:val="center"/>
              <w:rPr>
                <w:rFonts w:ascii="Times New Roman" w:hAnsi="Times New Roman" w:cs="Times New Roman"/>
                <w:b/>
                <w:bCs/>
                <w:sz w:val="24"/>
                <w:szCs w:val="24"/>
                <w:lang w:val="en-US"/>
              </w:rPr>
            </w:pPr>
            <w:r w:rsidRPr="00CF7B14">
              <w:rPr>
                <w:rFonts w:ascii="Times New Roman" w:hAnsi="Times New Roman" w:cs="Times New Roman"/>
                <w:b/>
                <w:bCs/>
                <w:sz w:val="24"/>
                <w:szCs w:val="24"/>
                <w:lang w:val="en-US"/>
              </w:rPr>
              <w:t>(cm</w:t>
            </w:r>
            <w:r w:rsidRPr="00CF7B14">
              <w:rPr>
                <w:rFonts w:ascii="Times New Roman" w:hAnsi="Times New Roman" w:cs="Times New Roman"/>
                <w:b/>
                <w:bCs/>
                <w:sz w:val="24"/>
                <w:szCs w:val="24"/>
                <w:vertAlign w:val="superscript"/>
                <w:lang w:val="en-US"/>
              </w:rPr>
              <w:t>3</w:t>
            </w:r>
            <w:r w:rsidRPr="00CF7B14">
              <w:rPr>
                <w:rFonts w:ascii="Times New Roman" w:hAnsi="Times New Roman" w:cs="Times New Roman"/>
                <w:b/>
                <w:bCs/>
                <w:sz w:val="24"/>
                <w:szCs w:val="24"/>
                <w:lang w:val="en-US"/>
              </w:rPr>
              <w:t>)</w:t>
            </w:r>
          </w:p>
        </w:tc>
        <w:tc>
          <w:tcPr>
            <w:tcW w:w="1325" w:type="dxa"/>
            <w:shd w:val="clear" w:color="auto" w:fill="D9D9D9" w:themeFill="background1" w:themeFillShade="D9"/>
            <w:vAlign w:val="center"/>
          </w:tcPr>
          <w:p w:rsidR="00B1532B" w:rsidRPr="00CF7B14" w:rsidRDefault="00B1532B" w:rsidP="00142677">
            <w:pPr>
              <w:spacing w:after="0" w:line="240" w:lineRule="auto"/>
              <w:jc w:val="center"/>
              <w:rPr>
                <w:rFonts w:ascii="Times New Roman" w:hAnsi="Times New Roman" w:cs="Times New Roman"/>
                <w:b/>
                <w:bCs/>
                <w:sz w:val="24"/>
                <w:szCs w:val="24"/>
                <w:lang w:val="en-US"/>
              </w:rPr>
            </w:pPr>
            <w:r w:rsidRPr="00CF7B14">
              <w:rPr>
                <w:rFonts w:ascii="Times New Roman" w:hAnsi="Times New Roman" w:cs="Times New Roman"/>
                <w:b/>
                <w:bCs/>
                <w:sz w:val="24"/>
                <w:szCs w:val="24"/>
                <w:lang w:val="en-US"/>
              </w:rPr>
              <w:t>Vv</w:t>
            </w:r>
          </w:p>
          <w:p w:rsidR="00B1532B" w:rsidRPr="00CF7B14" w:rsidRDefault="00B1532B" w:rsidP="00142677">
            <w:pPr>
              <w:spacing w:after="0" w:line="240" w:lineRule="auto"/>
              <w:jc w:val="center"/>
              <w:rPr>
                <w:rFonts w:ascii="Times New Roman" w:hAnsi="Times New Roman" w:cs="Times New Roman"/>
                <w:b/>
                <w:bCs/>
                <w:sz w:val="24"/>
                <w:szCs w:val="24"/>
                <w:lang w:val="en-US"/>
              </w:rPr>
            </w:pPr>
            <w:r w:rsidRPr="00CF7B14">
              <w:rPr>
                <w:rFonts w:ascii="Times New Roman" w:hAnsi="Times New Roman" w:cs="Times New Roman"/>
                <w:b/>
                <w:bCs/>
                <w:sz w:val="24"/>
                <w:szCs w:val="24"/>
                <w:lang w:val="en-US"/>
              </w:rPr>
              <w:t>(cm</w:t>
            </w:r>
            <w:r w:rsidRPr="00CF7B14">
              <w:rPr>
                <w:rFonts w:ascii="Times New Roman" w:hAnsi="Times New Roman" w:cs="Times New Roman"/>
                <w:b/>
                <w:bCs/>
                <w:sz w:val="24"/>
                <w:szCs w:val="24"/>
                <w:vertAlign w:val="superscript"/>
                <w:lang w:val="en-US"/>
              </w:rPr>
              <w:t>3</w:t>
            </w:r>
            <w:r w:rsidRPr="00CF7B14">
              <w:rPr>
                <w:rFonts w:ascii="Times New Roman" w:hAnsi="Times New Roman" w:cs="Times New Roman"/>
                <w:b/>
                <w:bCs/>
                <w:sz w:val="24"/>
                <w:szCs w:val="24"/>
                <w:lang w:val="en-US"/>
              </w:rPr>
              <w:t>)</w:t>
            </w:r>
          </w:p>
        </w:tc>
        <w:tc>
          <w:tcPr>
            <w:tcW w:w="1324" w:type="dxa"/>
            <w:shd w:val="clear" w:color="auto" w:fill="D9D9D9" w:themeFill="background1" w:themeFillShade="D9"/>
            <w:vAlign w:val="center"/>
          </w:tcPr>
          <w:p w:rsidR="00B1532B" w:rsidRPr="00CF7B14" w:rsidRDefault="00B1532B" w:rsidP="00142677">
            <w:pPr>
              <w:spacing w:after="0" w:line="240" w:lineRule="auto"/>
              <w:jc w:val="center"/>
              <w:rPr>
                <w:rFonts w:ascii="Times New Roman" w:hAnsi="Times New Roman" w:cs="Times New Roman"/>
                <w:b/>
                <w:bCs/>
                <w:sz w:val="24"/>
                <w:szCs w:val="24"/>
                <w:lang w:val="en-US"/>
              </w:rPr>
            </w:pPr>
            <w:r w:rsidRPr="00CF7B14">
              <w:rPr>
                <w:rFonts w:ascii="Times New Roman" w:hAnsi="Times New Roman" w:cs="Times New Roman"/>
                <w:b/>
                <w:bCs/>
                <w:sz w:val="24"/>
                <w:szCs w:val="24"/>
                <w:lang w:val="en-US"/>
              </w:rPr>
              <w:t>n</w:t>
            </w:r>
          </w:p>
        </w:tc>
        <w:tc>
          <w:tcPr>
            <w:tcW w:w="1325" w:type="dxa"/>
            <w:shd w:val="clear" w:color="auto" w:fill="D9D9D9" w:themeFill="background1" w:themeFillShade="D9"/>
            <w:vAlign w:val="center"/>
          </w:tcPr>
          <w:p w:rsidR="00B1532B" w:rsidRPr="00CF7B14" w:rsidRDefault="00B1532B" w:rsidP="00142677">
            <w:pPr>
              <w:spacing w:after="0" w:line="240" w:lineRule="auto"/>
              <w:jc w:val="center"/>
              <w:rPr>
                <w:rFonts w:ascii="Times New Roman" w:hAnsi="Times New Roman" w:cs="Times New Roman"/>
                <w:b/>
                <w:bCs/>
                <w:sz w:val="24"/>
                <w:szCs w:val="24"/>
                <w:vertAlign w:val="subscript"/>
              </w:rPr>
            </w:pPr>
            <w:r w:rsidRPr="00CF7B14">
              <w:rPr>
                <w:rFonts w:ascii="Times New Roman" w:hAnsi="Times New Roman" w:cs="Times New Roman"/>
                <w:b/>
                <w:bCs/>
                <w:sz w:val="24"/>
                <w:szCs w:val="24"/>
              </w:rPr>
              <w:sym w:font="Symbol" w:char="0067"/>
            </w:r>
            <w:r w:rsidRPr="00CF7B14">
              <w:rPr>
                <w:rFonts w:ascii="Times New Roman" w:hAnsi="Times New Roman" w:cs="Times New Roman"/>
                <w:b/>
                <w:bCs/>
                <w:sz w:val="24"/>
                <w:szCs w:val="24"/>
                <w:vertAlign w:val="subscript"/>
              </w:rPr>
              <w:t>s</w:t>
            </w:r>
          </w:p>
          <w:p w:rsidR="00B1532B" w:rsidRPr="00CF7B14" w:rsidRDefault="00B1532B" w:rsidP="00142677">
            <w:pPr>
              <w:spacing w:after="0" w:line="240" w:lineRule="auto"/>
              <w:jc w:val="center"/>
              <w:rPr>
                <w:rFonts w:ascii="Times New Roman" w:hAnsi="Times New Roman" w:cs="Times New Roman"/>
                <w:b/>
                <w:bCs/>
                <w:sz w:val="24"/>
                <w:szCs w:val="24"/>
                <w:lang w:val="en-US"/>
              </w:rPr>
            </w:pPr>
            <w:r w:rsidRPr="00CF7B14">
              <w:rPr>
                <w:rFonts w:ascii="Times New Roman" w:hAnsi="Times New Roman" w:cs="Times New Roman"/>
                <w:b/>
                <w:bCs/>
                <w:sz w:val="24"/>
                <w:szCs w:val="24"/>
              </w:rPr>
              <w:t>(kN / m</w:t>
            </w:r>
            <w:r w:rsidRPr="00CF7B14">
              <w:rPr>
                <w:rFonts w:ascii="Times New Roman" w:hAnsi="Times New Roman" w:cs="Times New Roman"/>
                <w:b/>
                <w:bCs/>
                <w:sz w:val="24"/>
                <w:szCs w:val="24"/>
                <w:vertAlign w:val="superscript"/>
              </w:rPr>
              <w:t>3</w:t>
            </w:r>
            <w:r w:rsidRPr="00CF7B14">
              <w:rPr>
                <w:rFonts w:ascii="Times New Roman" w:hAnsi="Times New Roman" w:cs="Times New Roman"/>
                <w:b/>
                <w:bCs/>
                <w:sz w:val="24"/>
                <w:szCs w:val="24"/>
              </w:rPr>
              <w:t>)</w:t>
            </w:r>
          </w:p>
        </w:tc>
        <w:tc>
          <w:tcPr>
            <w:tcW w:w="1325" w:type="dxa"/>
            <w:shd w:val="clear" w:color="auto" w:fill="D9D9D9" w:themeFill="background1" w:themeFillShade="D9"/>
            <w:vAlign w:val="center"/>
          </w:tcPr>
          <w:p w:rsidR="00B1532B" w:rsidRPr="00CF7B14" w:rsidRDefault="00B1532B" w:rsidP="00142677">
            <w:pPr>
              <w:spacing w:after="0" w:line="240" w:lineRule="auto"/>
              <w:jc w:val="center"/>
              <w:rPr>
                <w:rFonts w:ascii="Times New Roman" w:hAnsi="Times New Roman" w:cs="Times New Roman"/>
                <w:b/>
                <w:bCs/>
                <w:sz w:val="24"/>
                <w:szCs w:val="24"/>
                <w:vertAlign w:val="subscript"/>
                <w:lang w:val="en-US"/>
              </w:rPr>
            </w:pPr>
            <w:r w:rsidRPr="00CF7B14">
              <w:rPr>
                <w:rFonts w:ascii="Times New Roman" w:hAnsi="Times New Roman" w:cs="Times New Roman"/>
                <w:b/>
                <w:bCs/>
                <w:sz w:val="24"/>
                <w:szCs w:val="24"/>
              </w:rPr>
              <w:sym w:font="Symbol" w:char="0067"/>
            </w:r>
            <w:r w:rsidRPr="00CF7B14">
              <w:rPr>
                <w:rFonts w:ascii="Times New Roman" w:hAnsi="Times New Roman" w:cs="Times New Roman"/>
                <w:b/>
                <w:bCs/>
                <w:sz w:val="24"/>
                <w:szCs w:val="24"/>
                <w:vertAlign w:val="subscript"/>
              </w:rPr>
              <w:t>S</w:t>
            </w:r>
            <w:r w:rsidRPr="00CF7B14">
              <w:rPr>
                <w:rFonts w:ascii="Times New Roman" w:hAnsi="Times New Roman" w:cs="Times New Roman"/>
                <w:b/>
                <w:bCs/>
                <w:sz w:val="24"/>
                <w:szCs w:val="24"/>
                <w:vertAlign w:val="subscript"/>
                <w:lang w:val="en-US"/>
              </w:rPr>
              <w:t>at</w:t>
            </w:r>
          </w:p>
          <w:p w:rsidR="00B1532B" w:rsidRPr="00CF7B14" w:rsidRDefault="00B1532B" w:rsidP="00142677">
            <w:pPr>
              <w:spacing w:after="0" w:line="240" w:lineRule="auto"/>
              <w:jc w:val="center"/>
              <w:rPr>
                <w:rFonts w:ascii="Times New Roman" w:hAnsi="Times New Roman" w:cs="Times New Roman"/>
                <w:b/>
                <w:bCs/>
                <w:sz w:val="24"/>
                <w:szCs w:val="24"/>
                <w:lang w:val="en-US"/>
              </w:rPr>
            </w:pPr>
            <w:r w:rsidRPr="00CF7B14">
              <w:rPr>
                <w:rFonts w:ascii="Times New Roman" w:hAnsi="Times New Roman" w:cs="Times New Roman"/>
                <w:b/>
                <w:bCs/>
                <w:sz w:val="24"/>
                <w:szCs w:val="24"/>
              </w:rPr>
              <w:t>(kN / m</w:t>
            </w:r>
            <w:r w:rsidRPr="00CF7B14">
              <w:rPr>
                <w:rFonts w:ascii="Times New Roman" w:hAnsi="Times New Roman" w:cs="Times New Roman"/>
                <w:b/>
                <w:bCs/>
                <w:sz w:val="24"/>
                <w:szCs w:val="24"/>
                <w:vertAlign w:val="superscript"/>
              </w:rPr>
              <w:t>3</w:t>
            </w:r>
            <w:r w:rsidRPr="00CF7B14">
              <w:rPr>
                <w:rFonts w:ascii="Times New Roman" w:hAnsi="Times New Roman" w:cs="Times New Roman"/>
                <w:b/>
                <w:bCs/>
                <w:sz w:val="24"/>
                <w:szCs w:val="24"/>
              </w:rPr>
              <w:t>)</w:t>
            </w:r>
          </w:p>
        </w:tc>
        <w:tc>
          <w:tcPr>
            <w:tcW w:w="1317" w:type="dxa"/>
            <w:shd w:val="clear" w:color="auto" w:fill="D9D9D9" w:themeFill="background1" w:themeFillShade="D9"/>
            <w:vAlign w:val="center"/>
          </w:tcPr>
          <w:p w:rsidR="00B1532B" w:rsidRPr="00CF7B14" w:rsidRDefault="00B1532B" w:rsidP="00142677">
            <w:pPr>
              <w:spacing w:after="0" w:line="240" w:lineRule="auto"/>
              <w:jc w:val="center"/>
              <w:rPr>
                <w:rFonts w:ascii="Times New Roman" w:hAnsi="Times New Roman" w:cs="Times New Roman"/>
                <w:b/>
                <w:bCs/>
                <w:sz w:val="24"/>
                <w:szCs w:val="24"/>
                <w:lang w:val="en-US"/>
              </w:rPr>
            </w:pPr>
            <w:r w:rsidRPr="00CF7B14">
              <w:rPr>
                <w:rFonts w:ascii="Times New Roman" w:hAnsi="Times New Roman" w:cs="Times New Roman"/>
                <w:b/>
                <w:bCs/>
                <w:sz w:val="24"/>
                <w:szCs w:val="24"/>
              </w:rPr>
              <w:t>Abs (%)</w:t>
            </w:r>
          </w:p>
        </w:tc>
      </w:tr>
      <w:tr w:rsidR="00B1532B" w:rsidRPr="00CF7B14" w:rsidTr="00142677">
        <w:tc>
          <w:tcPr>
            <w:tcW w:w="1345" w:type="dxa"/>
            <w:vAlign w:val="center"/>
          </w:tcPr>
          <w:p w:rsidR="00B1532B" w:rsidRPr="00CF7B14" w:rsidRDefault="00B1532B" w:rsidP="0014267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Rajoncillo </w:t>
            </w:r>
          </w:p>
        </w:tc>
        <w:tc>
          <w:tcPr>
            <w:tcW w:w="1325" w:type="dxa"/>
            <w:vAlign w:val="center"/>
          </w:tcPr>
          <w:p w:rsidR="00B1532B" w:rsidRPr="00B61489" w:rsidRDefault="00B1532B" w:rsidP="00142677">
            <w:pPr>
              <w:spacing w:after="0" w:line="240" w:lineRule="auto"/>
              <w:jc w:val="center"/>
              <w:rPr>
                <w:rFonts w:ascii="Times New Roman" w:hAnsi="Times New Roman" w:cs="Times New Roman"/>
                <w:bCs/>
                <w:sz w:val="24"/>
                <w:szCs w:val="24"/>
                <w:lang w:val="en-US"/>
              </w:rPr>
            </w:pPr>
            <w:r w:rsidRPr="00B61489">
              <w:rPr>
                <w:rFonts w:ascii="Times New Roman" w:hAnsi="Times New Roman" w:cs="Times New Roman"/>
                <w:bCs/>
                <w:sz w:val="24"/>
                <w:szCs w:val="24"/>
                <w:lang w:val="en-US"/>
              </w:rPr>
              <w:t>21.83</w:t>
            </w:r>
          </w:p>
        </w:tc>
        <w:tc>
          <w:tcPr>
            <w:tcW w:w="1325" w:type="dxa"/>
            <w:vAlign w:val="center"/>
          </w:tcPr>
          <w:p w:rsidR="00B1532B" w:rsidRPr="00B61489" w:rsidRDefault="00B1532B" w:rsidP="00142677">
            <w:pPr>
              <w:spacing w:after="0" w:line="240" w:lineRule="auto"/>
              <w:jc w:val="center"/>
              <w:rPr>
                <w:rFonts w:ascii="Times New Roman" w:hAnsi="Times New Roman" w:cs="Times New Roman"/>
                <w:bCs/>
                <w:sz w:val="24"/>
                <w:szCs w:val="24"/>
                <w:lang w:val="en-US"/>
              </w:rPr>
            </w:pPr>
            <w:r w:rsidRPr="00B61489">
              <w:rPr>
                <w:rFonts w:ascii="Times New Roman" w:hAnsi="Times New Roman" w:cs="Times New Roman"/>
                <w:bCs/>
                <w:sz w:val="24"/>
                <w:szCs w:val="24"/>
                <w:lang w:val="en-US"/>
              </w:rPr>
              <w:t>0.62</w:t>
            </w:r>
          </w:p>
        </w:tc>
        <w:tc>
          <w:tcPr>
            <w:tcW w:w="1324" w:type="dxa"/>
            <w:vAlign w:val="center"/>
          </w:tcPr>
          <w:p w:rsidR="00B1532B" w:rsidRPr="00B61489" w:rsidRDefault="00B1532B" w:rsidP="00142677">
            <w:pPr>
              <w:spacing w:after="0" w:line="240" w:lineRule="auto"/>
              <w:jc w:val="center"/>
              <w:rPr>
                <w:rFonts w:ascii="Times New Roman" w:hAnsi="Times New Roman" w:cs="Times New Roman"/>
                <w:bCs/>
                <w:sz w:val="24"/>
                <w:szCs w:val="24"/>
                <w:lang w:val="en-US"/>
              </w:rPr>
            </w:pPr>
            <w:r w:rsidRPr="00B61489">
              <w:rPr>
                <w:rFonts w:ascii="Times New Roman" w:hAnsi="Times New Roman" w:cs="Times New Roman"/>
                <w:bCs/>
                <w:sz w:val="24"/>
                <w:szCs w:val="24"/>
                <w:lang w:val="en-US"/>
              </w:rPr>
              <w:t>2.945</w:t>
            </w:r>
          </w:p>
        </w:tc>
        <w:tc>
          <w:tcPr>
            <w:tcW w:w="1325" w:type="dxa"/>
            <w:vAlign w:val="center"/>
          </w:tcPr>
          <w:p w:rsidR="00B1532B" w:rsidRPr="00B61489" w:rsidRDefault="00B1532B" w:rsidP="00142677">
            <w:pPr>
              <w:spacing w:after="0" w:line="240" w:lineRule="auto"/>
              <w:jc w:val="center"/>
              <w:rPr>
                <w:rFonts w:ascii="Times New Roman" w:hAnsi="Times New Roman" w:cs="Times New Roman"/>
                <w:bCs/>
                <w:sz w:val="24"/>
                <w:szCs w:val="24"/>
                <w:lang w:val="en-US"/>
              </w:rPr>
            </w:pPr>
            <w:r w:rsidRPr="00B61489">
              <w:rPr>
                <w:rFonts w:ascii="Times New Roman" w:hAnsi="Times New Roman" w:cs="Times New Roman"/>
                <w:bCs/>
                <w:sz w:val="24"/>
                <w:szCs w:val="24"/>
                <w:lang w:val="en-US"/>
              </w:rPr>
              <w:t>24.89</w:t>
            </w:r>
          </w:p>
        </w:tc>
        <w:tc>
          <w:tcPr>
            <w:tcW w:w="1325" w:type="dxa"/>
            <w:vAlign w:val="center"/>
          </w:tcPr>
          <w:p w:rsidR="00B1532B" w:rsidRPr="00B61489" w:rsidRDefault="00B1532B" w:rsidP="00142677">
            <w:pPr>
              <w:spacing w:after="0" w:line="240" w:lineRule="auto"/>
              <w:jc w:val="center"/>
              <w:rPr>
                <w:rFonts w:ascii="Times New Roman" w:hAnsi="Times New Roman" w:cs="Times New Roman"/>
                <w:bCs/>
                <w:sz w:val="24"/>
                <w:szCs w:val="24"/>
                <w:lang w:val="en-US"/>
              </w:rPr>
            </w:pPr>
            <w:r w:rsidRPr="00B61489">
              <w:rPr>
                <w:rFonts w:ascii="Times New Roman" w:hAnsi="Times New Roman" w:cs="Times New Roman"/>
                <w:bCs/>
                <w:sz w:val="24"/>
                <w:szCs w:val="24"/>
                <w:lang w:val="en-US"/>
              </w:rPr>
              <w:t>25.18</w:t>
            </w:r>
          </w:p>
        </w:tc>
        <w:tc>
          <w:tcPr>
            <w:tcW w:w="1317" w:type="dxa"/>
            <w:vAlign w:val="center"/>
          </w:tcPr>
          <w:p w:rsidR="00B1532B" w:rsidRPr="00B61489" w:rsidRDefault="00B1532B" w:rsidP="00142677">
            <w:pPr>
              <w:spacing w:after="0" w:line="240" w:lineRule="auto"/>
              <w:jc w:val="center"/>
              <w:rPr>
                <w:rFonts w:ascii="Times New Roman" w:hAnsi="Times New Roman" w:cs="Times New Roman"/>
                <w:bCs/>
                <w:sz w:val="24"/>
                <w:szCs w:val="24"/>
                <w:lang w:val="en-US"/>
              </w:rPr>
            </w:pPr>
            <w:r w:rsidRPr="00B61489">
              <w:rPr>
                <w:rFonts w:ascii="Times New Roman" w:hAnsi="Times New Roman" w:cs="Times New Roman"/>
                <w:bCs/>
                <w:sz w:val="24"/>
                <w:szCs w:val="24"/>
                <w:lang w:val="en-US"/>
              </w:rPr>
              <w:t>1.17</w:t>
            </w:r>
          </w:p>
        </w:tc>
      </w:tr>
      <w:tr w:rsidR="00B1532B" w:rsidRPr="00CF7B14" w:rsidTr="00142677">
        <w:tc>
          <w:tcPr>
            <w:tcW w:w="1345" w:type="dxa"/>
            <w:vAlign w:val="center"/>
          </w:tcPr>
          <w:p w:rsidR="00B1532B" w:rsidRDefault="00B1532B" w:rsidP="0014267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Escoria</w:t>
            </w:r>
          </w:p>
        </w:tc>
        <w:tc>
          <w:tcPr>
            <w:tcW w:w="1325" w:type="dxa"/>
            <w:vAlign w:val="center"/>
          </w:tcPr>
          <w:p w:rsidR="00B1532B" w:rsidRPr="00B61489" w:rsidRDefault="00B1532B" w:rsidP="00142677">
            <w:pPr>
              <w:spacing w:after="0" w:line="240" w:lineRule="auto"/>
              <w:jc w:val="center"/>
              <w:rPr>
                <w:rFonts w:ascii="Times New Roman" w:hAnsi="Times New Roman" w:cs="Times New Roman"/>
                <w:sz w:val="24"/>
                <w:szCs w:val="24"/>
                <w:lang w:val="en-US"/>
              </w:rPr>
            </w:pPr>
            <w:r w:rsidRPr="00B61489">
              <w:rPr>
                <w:rFonts w:ascii="Times New Roman" w:hAnsi="Times New Roman" w:cs="Times New Roman"/>
                <w:sz w:val="24"/>
                <w:szCs w:val="24"/>
                <w:lang w:val="en-US"/>
              </w:rPr>
              <w:t>24.17</w:t>
            </w:r>
          </w:p>
        </w:tc>
        <w:tc>
          <w:tcPr>
            <w:tcW w:w="1325" w:type="dxa"/>
            <w:vAlign w:val="center"/>
          </w:tcPr>
          <w:p w:rsidR="00B1532B" w:rsidRPr="00B61489" w:rsidRDefault="00B1532B" w:rsidP="00142677">
            <w:pPr>
              <w:spacing w:after="0" w:line="240" w:lineRule="auto"/>
              <w:jc w:val="center"/>
              <w:rPr>
                <w:rFonts w:ascii="Times New Roman" w:hAnsi="Times New Roman" w:cs="Times New Roman"/>
                <w:sz w:val="24"/>
                <w:szCs w:val="24"/>
                <w:lang w:val="en-US"/>
              </w:rPr>
            </w:pPr>
            <w:r w:rsidRPr="00B61489">
              <w:rPr>
                <w:rFonts w:ascii="Times New Roman" w:hAnsi="Times New Roman" w:cs="Times New Roman"/>
                <w:sz w:val="24"/>
                <w:szCs w:val="24"/>
                <w:lang w:val="en-US"/>
              </w:rPr>
              <w:t>1.51</w:t>
            </w:r>
          </w:p>
        </w:tc>
        <w:tc>
          <w:tcPr>
            <w:tcW w:w="1324" w:type="dxa"/>
            <w:vAlign w:val="center"/>
          </w:tcPr>
          <w:p w:rsidR="00B1532B" w:rsidRPr="00B61489" w:rsidRDefault="00B1532B" w:rsidP="00142677">
            <w:pPr>
              <w:spacing w:after="0" w:line="240" w:lineRule="auto"/>
              <w:jc w:val="center"/>
              <w:rPr>
                <w:rFonts w:ascii="Times New Roman" w:hAnsi="Times New Roman" w:cs="Times New Roman"/>
                <w:sz w:val="24"/>
                <w:szCs w:val="24"/>
                <w:lang w:val="en-US"/>
              </w:rPr>
            </w:pPr>
            <w:r w:rsidRPr="00B61489">
              <w:rPr>
                <w:rFonts w:ascii="Times New Roman" w:hAnsi="Times New Roman" w:cs="Times New Roman"/>
                <w:sz w:val="24"/>
                <w:szCs w:val="24"/>
                <w:lang w:val="en-US"/>
              </w:rPr>
              <w:t>6.24</w:t>
            </w:r>
          </w:p>
        </w:tc>
        <w:tc>
          <w:tcPr>
            <w:tcW w:w="1325" w:type="dxa"/>
            <w:vAlign w:val="center"/>
          </w:tcPr>
          <w:p w:rsidR="00B1532B" w:rsidRPr="00B61489" w:rsidRDefault="00B1532B" w:rsidP="00142677">
            <w:pPr>
              <w:spacing w:after="0" w:line="240" w:lineRule="auto"/>
              <w:jc w:val="center"/>
              <w:rPr>
                <w:rFonts w:ascii="Times New Roman" w:hAnsi="Times New Roman" w:cs="Times New Roman"/>
                <w:sz w:val="24"/>
                <w:szCs w:val="24"/>
                <w:lang w:val="en-US"/>
              </w:rPr>
            </w:pPr>
            <w:r w:rsidRPr="00B61489">
              <w:rPr>
                <w:rFonts w:ascii="Times New Roman" w:hAnsi="Times New Roman" w:cs="Times New Roman"/>
                <w:sz w:val="24"/>
                <w:szCs w:val="24"/>
                <w:lang w:val="en-US"/>
              </w:rPr>
              <w:t>28.30</w:t>
            </w:r>
          </w:p>
        </w:tc>
        <w:tc>
          <w:tcPr>
            <w:tcW w:w="1325" w:type="dxa"/>
            <w:vAlign w:val="center"/>
          </w:tcPr>
          <w:p w:rsidR="00B1532B" w:rsidRPr="00B61489" w:rsidRDefault="00B1532B" w:rsidP="00142677">
            <w:pPr>
              <w:spacing w:after="0" w:line="240" w:lineRule="auto"/>
              <w:jc w:val="center"/>
              <w:rPr>
                <w:rFonts w:ascii="Times New Roman" w:hAnsi="Times New Roman" w:cs="Times New Roman"/>
                <w:sz w:val="24"/>
                <w:szCs w:val="24"/>
                <w:lang w:val="en-US"/>
              </w:rPr>
            </w:pPr>
            <w:r w:rsidRPr="00B61489">
              <w:rPr>
                <w:rFonts w:ascii="Times New Roman" w:hAnsi="Times New Roman" w:cs="Times New Roman"/>
                <w:sz w:val="24"/>
                <w:szCs w:val="24"/>
                <w:lang w:val="en-US"/>
              </w:rPr>
              <w:t>28.92</w:t>
            </w:r>
          </w:p>
        </w:tc>
        <w:tc>
          <w:tcPr>
            <w:tcW w:w="1317" w:type="dxa"/>
            <w:vAlign w:val="center"/>
          </w:tcPr>
          <w:p w:rsidR="00B1532B" w:rsidRPr="00B61489" w:rsidRDefault="00B1532B" w:rsidP="00142677">
            <w:pPr>
              <w:spacing w:after="0" w:line="240" w:lineRule="auto"/>
              <w:jc w:val="center"/>
              <w:rPr>
                <w:rFonts w:ascii="Times New Roman" w:hAnsi="Times New Roman" w:cs="Times New Roman"/>
                <w:sz w:val="24"/>
                <w:szCs w:val="24"/>
                <w:lang w:val="en-US"/>
              </w:rPr>
            </w:pPr>
            <w:r w:rsidRPr="00B61489">
              <w:rPr>
                <w:rFonts w:ascii="Times New Roman" w:hAnsi="Times New Roman" w:cs="Times New Roman"/>
                <w:sz w:val="24"/>
                <w:szCs w:val="24"/>
                <w:lang w:val="en-US"/>
              </w:rPr>
              <w:t>2.16</w:t>
            </w:r>
          </w:p>
        </w:tc>
      </w:tr>
    </w:tbl>
    <w:p w:rsidR="00B1532B" w:rsidRPr="00636C4B" w:rsidRDefault="00B1532B" w:rsidP="00B1532B">
      <w:pPr>
        <w:spacing w:before="240" w:after="80" w:line="360" w:lineRule="auto"/>
        <w:jc w:val="both"/>
        <w:rPr>
          <w:rFonts w:ascii="Times New Roman" w:hAnsi="Times New Roman" w:cs="Times New Roman"/>
          <w:bCs/>
          <w:sz w:val="24"/>
          <w:szCs w:val="24"/>
          <w:lang w:val="es-MX"/>
        </w:rPr>
      </w:pPr>
      <w:r w:rsidRPr="00636C4B">
        <w:rPr>
          <w:rFonts w:ascii="Times New Roman" w:hAnsi="Times New Roman" w:cs="Times New Roman"/>
          <w:bCs/>
          <w:sz w:val="24"/>
          <w:szCs w:val="24"/>
          <w:lang w:val="es-MX"/>
        </w:rPr>
        <w:t>Delanálisis de</w:t>
      </w:r>
      <w:r>
        <w:rPr>
          <w:rFonts w:ascii="Times New Roman" w:hAnsi="Times New Roman" w:cs="Times New Roman"/>
          <w:bCs/>
          <w:sz w:val="24"/>
          <w:szCs w:val="24"/>
          <w:lang w:val="es-MX"/>
        </w:rPr>
        <w:t xml:space="preserve"> esta tabla s</w:t>
      </w:r>
      <w:r w:rsidRPr="00636C4B">
        <w:rPr>
          <w:rFonts w:ascii="Times New Roman" w:hAnsi="Times New Roman" w:cs="Times New Roman"/>
          <w:bCs/>
          <w:sz w:val="24"/>
          <w:szCs w:val="24"/>
          <w:lang w:val="es-MX"/>
        </w:rPr>
        <w:t>e puede inferir que las escorias de HAE so</w:t>
      </w:r>
      <w:r>
        <w:rPr>
          <w:rFonts w:ascii="Times New Roman" w:hAnsi="Times New Roman" w:cs="Times New Roman"/>
          <w:bCs/>
          <w:sz w:val="24"/>
          <w:szCs w:val="24"/>
          <w:lang w:val="es-MX"/>
        </w:rPr>
        <w:t>n más densas que el rajoncillo</w:t>
      </w:r>
      <w:r w:rsidRPr="00636C4B">
        <w:rPr>
          <w:rFonts w:ascii="Times New Roman" w:hAnsi="Times New Roman" w:cs="Times New Roman"/>
          <w:bCs/>
          <w:sz w:val="24"/>
          <w:szCs w:val="24"/>
          <w:lang w:val="es-MX"/>
        </w:rPr>
        <w:t>. Además</w:t>
      </w:r>
      <w:r>
        <w:rPr>
          <w:rFonts w:ascii="Times New Roman" w:hAnsi="Times New Roman" w:cs="Times New Roman"/>
          <w:bCs/>
          <w:sz w:val="24"/>
          <w:szCs w:val="24"/>
          <w:lang w:val="es-MX"/>
        </w:rPr>
        <w:t>, po</w:t>
      </w:r>
      <w:r w:rsidRPr="00636C4B">
        <w:rPr>
          <w:rFonts w:ascii="Times New Roman" w:hAnsi="Times New Roman" w:cs="Times New Roman"/>
          <w:bCs/>
          <w:sz w:val="24"/>
          <w:szCs w:val="24"/>
          <w:lang w:val="es-MX"/>
        </w:rPr>
        <w:t xml:space="preserve">seen un porciento de absorción más elevado debido al mayor número de vesículas presente en las escorias. El término vesicular es más adecuado que poroso </w:t>
      </w:r>
      <w:r>
        <w:rPr>
          <w:rFonts w:ascii="Times New Roman" w:hAnsi="Times New Roman" w:cs="Times New Roman"/>
          <w:bCs/>
          <w:sz w:val="24"/>
          <w:szCs w:val="24"/>
          <w:lang w:val="es-MX"/>
        </w:rPr>
        <w:t>pues</w:t>
      </w:r>
      <w:r w:rsidRPr="00636C4B">
        <w:rPr>
          <w:rFonts w:ascii="Times New Roman" w:hAnsi="Times New Roman" w:cs="Times New Roman"/>
          <w:bCs/>
          <w:sz w:val="24"/>
          <w:szCs w:val="24"/>
          <w:lang w:val="es-MX"/>
        </w:rPr>
        <w:t xml:space="preserve"> las celdas que componen el material no están intercomunicadas</w:t>
      </w:r>
      <w:r>
        <w:rPr>
          <w:rFonts w:ascii="Times New Roman" w:hAnsi="Times New Roman" w:cs="Times New Roman"/>
          <w:bCs/>
          <w:sz w:val="24"/>
          <w:szCs w:val="24"/>
          <w:lang w:val="es-MX"/>
        </w:rPr>
        <w:t xml:space="preserve"> entre sí. E</w:t>
      </w:r>
      <w:r w:rsidRPr="00636C4B">
        <w:rPr>
          <w:rFonts w:ascii="Times New Roman" w:hAnsi="Times New Roman" w:cs="Times New Roman"/>
          <w:bCs/>
          <w:sz w:val="24"/>
          <w:szCs w:val="24"/>
          <w:lang w:val="es-MX"/>
        </w:rPr>
        <w:t xml:space="preserve">sto </w:t>
      </w:r>
      <w:r>
        <w:rPr>
          <w:rFonts w:ascii="Times New Roman" w:hAnsi="Times New Roman" w:cs="Times New Roman"/>
          <w:bCs/>
          <w:sz w:val="24"/>
          <w:szCs w:val="24"/>
          <w:lang w:val="es-MX"/>
        </w:rPr>
        <w:t>se debe</w:t>
      </w:r>
      <w:r w:rsidRPr="00636C4B">
        <w:rPr>
          <w:rFonts w:ascii="Times New Roman" w:hAnsi="Times New Roman" w:cs="Times New Roman"/>
          <w:bCs/>
          <w:sz w:val="24"/>
          <w:szCs w:val="24"/>
          <w:lang w:val="es-MX"/>
        </w:rPr>
        <w:t xml:space="preserve"> a los gases que </w:t>
      </w:r>
      <w:r>
        <w:rPr>
          <w:rFonts w:ascii="Times New Roman" w:hAnsi="Times New Roman" w:cs="Times New Roman"/>
          <w:bCs/>
          <w:sz w:val="24"/>
          <w:szCs w:val="24"/>
          <w:lang w:val="es-MX"/>
        </w:rPr>
        <w:t>quedan</w:t>
      </w:r>
      <w:r w:rsidRPr="00636C4B">
        <w:rPr>
          <w:rFonts w:ascii="Times New Roman" w:hAnsi="Times New Roman" w:cs="Times New Roman"/>
          <w:bCs/>
          <w:sz w:val="24"/>
          <w:szCs w:val="24"/>
          <w:lang w:val="es-MX"/>
        </w:rPr>
        <w:t xml:space="preserve"> atrapados en la escoria caliente en el momento de</w:t>
      </w:r>
      <w:r>
        <w:rPr>
          <w:rFonts w:ascii="Times New Roman" w:hAnsi="Times New Roman" w:cs="Times New Roman"/>
          <w:bCs/>
          <w:sz w:val="24"/>
          <w:szCs w:val="24"/>
          <w:lang w:val="es-MX"/>
        </w:rPr>
        <w:t xml:space="preserve"> su</w:t>
      </w:r>
      <w:r w:rsidRPr="00636C4B">
        <w:rPr>
          <w:rFonts w:ascii="Times New Roman" w:hAnsi="Times New Roman" w:cs="Times New Roman"/>
          <w:bCs/>
          <w:sz w:val="24"/>
          <w:szCs w:val="24"/>
          <w:lang w:val="es-MX"/>
        </w:rPr>
        <w:t xml:space="preserve"> enfriamiento</w:t>
      </w:r>
      <w:r>
        <w:rPr>
          <w:rFonts w:ascii="Times New Roman" w:hAnsi="Times New Roman" w:cs="Times New Roman"/>
          <w:bCs/>
          <w:sz w:val="24"/>
          <w:szCs w:val="24"/>
          <w:lang w:val="es-MX"/>
        </w:rPr>
        <w:t>. Dicho</w:t>
      </w:r>
      <w:r w:rsidRPr="00636C4B">
        <w:rPr>
          <w:rFonts w:ascii="Times New Roman" w:hAnsi="Times New Roman" w:cs="Times New Roman"/>
          <w:bCs/>
          <w:sz w:val="24"/>
          <w:szCs w:val="24"/>
          <w:lang w:val="es-MX"/>
        </w:rPr>
        <w:t xml:space="preserve"> porciento de absorción, aunque mayor que el de la muestra patrón, es </w:t>
      </w:r>
      <w:r>
        <w:rPr>
          <w:rFonts w:ascii="Times New Roman" w:hAnsi="Times New Roman" w:cs="Times New Roman"/>
          <w:bCs/>
          <w:sz w:val="24"/>
          <w:szCs w:val="24"/>
          <w:lang w:val="es-MX"/>
        </w:rPr>
        <w:t>relativamente</w:t>
      </w:r>
      <w:r w:rsidRPr="00636C4B">
        <w:rPr>
          <w:rFonts w:ascii="Times New Roman" w:hAnsi="Times New Roman" w:cs="Times New Roman"/>
          <w:bCs/>
          <w:sz w:val="24"/>
          <w:szCs w:val="24"/>
          <w:lang w:val="es-MX"/>
        </w:rPr>
        <w:t xml:space="preserve"> bajo por lo que no representa un inconveniente a la hora de su uso. </w:t>
      </w:r>
    </w:p>
    <w:p w:rsidR="00B1532B" w:rsidRDefault="00B1532B" w:rsidP="00B1532B">
      <w:pPr>
        <w:spacing w:after="8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Por otro lado</w:t>
      </w:r>
      <w:r w:rsidRPr="00636C4B">
        <w:rPr>
          <w:rFonts w:ascii="Times New Roman" w:hAnsi="Times New Roman" w:cs="Times New Roman"/>
          <w:bCs/>
          <w:sz w:val="24"/>
          <w:szCs w:val="24"/>
          <w:lang w:val="es-MX"/>
        </w:rPr>
        <w:t>, las escorias negras procedentes de la planta ACINOX poseen un color grisáceo oscuro o negro. Superficialmente poseen una textura rugosa, forma cúbica con marcada tendencia angular</w:t>
      </w:r>
      <w:r>
        <w:rPr>
          <w:rFonts w:ascii="Times New Roman" w:hAnsi="Times New Roman" w:cs="Times New Roman"/>
          <w:bCs/>
          <w:sz w:val="24"/>
          <w:szCs w:val="24"/>
          <w:lang w:val="es-MX"/>
        </w:rPr>
        <w:t xml:space="preserve">. </w:t>
      </w:r>
      <w:r w:rsidRPr="00636C4B">
        <w:rPr>
          <w:rFonts w:ascii="Times New Roman" w:hAnsi="Times New Roman" w:cs="Times New Roman"/>
          <w:bCs/>
          <w:sz w:val="24"/>
          <w:szCs w:val="24"/>
          <w:lang w:val="es-MX"/>
        </w:rPr>
        <w:t>Est</w:t>
      </w:r>
      <w:r>
        <w:rPr>
          <w:rFonts w:ascii="Times New Roman" w:hAnsi="Times New Roman" w:cs="Times New Roman"/>
          <w:bCs/>
          <w:sz w:val="24"/>
          <w:szCs w:val="24"/>
          <w:lang w:val="es-MX"/>
        </w:rPr>
        <w:t>aspropiedades,</w:t>
      </w:r>
      <w:r w:rsidRPr="00636C4B">
        <w:rPr>
          <w:rFonts w:ascii="Times New Roman" w:hAnsi="Times New Roman" w:cs="Times New Roman"/>
          <w:bCs/>
          <w:sz w:val="24"/>
          <w:szCs w:val="24"/>
          <w:lang w:val="es-MX"/>
        </w:rPr>
        <w:t xml:space="preserve"> combinada</w:t>
      </w:r>
      <w:r>
        <w:rPr>
          <w:rFonts w:ascii="Times New Roman" w:hAnsi="Times New Roman" w:cs="Times New Roman"/>
          <w:bCs/>
          <w:sz w:val="24"/>
          <w:szCs w:val="24"/>
          <w:lang w:val="es-MX"/>
        </w:rPr>
        <w:t>s</w:t>
      </w:r>
      <w:r w:rsidRPr="00636C4B">
        <w:rPr>
          <w:rFonts w:ascii="Times New Roman" w:hAnsi="Times New Roman" w:cs="Times New Roman"/>
          <w:bCs/>
          <w:sz w:val="24"/>
          <w:szCs w:val="24"/>
          <w:lang w:val="es-MX"/>
        </w:rPr>
        <w:t xml:space="preserve"> con su peso hacen de ella un excelente material para capas de base de calzadas y balasto </w:t>
      </w:r>
      <w:r>
        <w:rPr>
          <w:rFonts w:ascii="Times New Roman" w:hAnsi="Times New Roman" w:cs="Times New Roman"/>
          <w:bCs/>
          <w:sz w:val="24"/>
          <w:szCs w:val="24"/>
          <w:lang w:val="es-MX"/>
        </w:rPr>
        <w:t>en</w:t>
      </w:r>
      <w:r w:rsidRPr="00636C4B">
        <w:rPr>
          <w:rFonts w:ascii="Times New Roman" w:hAnsi="Times New Roman" w:cs="Times New Roman"/>
          <w:bCs/>
          <w:sz w:val="24"/>
          <w:szCs w:val="24"/>
          <w:lang w:val="es-MX"/>
        </w:rPr>
        <w:t xml:space="preserve"> vías férreas. </w:t>
      </w:r>
      <w:r>
        <w:rPr>
          <w:rFonts w:ascii="Times New Roman" w:hAnsi="Times New Roman" w:cs="Times New Roman"/>
          <w:bCs/>
          <w:sz w:val="24"/>
          <w:szCs w:val="24"/>
          <w:lang w:val="es-MX"/>
        </w:rPr>
        <w:t>A</w:t>
      </w:r>
      <w:r w:rsidRPr="00F35875">
        <w:rPr>
          <w:rFonts w:ascii="Times New Roman" w:hAnsi="Times New Roman" w:cs="Times New Roman"/>
          <w:bCs/>
          <w:sz w:val="24"/>
          <w:szCs w:val="24"/>
          <w:lang w:val="es-MX"/>
        </w:rPr>
        <w:t xml:space="preserve">demás </w:t>
      </w:r>
      <w:r>
        <w:rPr>
          <w:rFonts w:ascii="Times New Roman" w:hAnsi="Times New Roman" w:cs="Times New Roman"/>
          <w:bCs/>
          <w:sz w:val="24"/>
          <w:szCs w:val="24"/>
          <w:lang w:val="es-MX"/>
        </w:rPr>
        <w:t xml:space="preserve">poseen </w:t>
      </w:r>
      <w:r w:rsidRPr="00F35875">
        <w:rPr>
          <w:rFonts w:ascii="Times New Roman" w:hAnsi="Times New Roman" w:cs="Times New Roman"/>
          <w:bCs/>
          <w:sz w:val="24"/>
          <w:szCs w:val="24"/>
          <w:lang w:val="es-MX"/>
        </w:rPr>
        <w:t>la capacidad de almacenamiento de calor por períodos largos de tiempo lo que representa una potencialidad a la hora de hacerle llegar el cemento asfáltico por penetración</w:t>
      </w:r>
      <w:r>
        <w:rPr>
          <w:rFonts w:ascii="Times New Roman" w:hAnsi="Times New Roman" w:cs="Times New Roman"/>
          <w:bCs/>
          <w:sz w:val="24"/>
          <w:szCs w:val="24"/>
          <w:lang w:val="es-MX"/>
        </w:rPr>
        <w:t xml:space="preserve">. </w:t>
      </w:r>
    </w:p>
    <w:p w:rsidR="00B1532B" w:rsidRPr="00A23D3F" w:rsidRDefault="00B1532B" w:rsidP="00A23D3F">
      <w:pPr>
        <w:pStyle w:val="Ttulo3"/>
        <w:spacing w:before="0" w:line="360" w:lineRule="auto"/>
        <w:rPr>
          <w:rFonts w:ascii="Times New Roman" w:hAnsi="Times New Roman" w:cs="Times New Roman"/>
          <w:b/>
          <w:color w:val="auto"/>
          <w:lang w:val="es-MX"/>
        </w:rPr>
      </w:pPr>
      <w:r w:rsidRPr="00A23D3F">
        <w:rPr>
          <w:rFonts w:ascii="Times New Roman" w:hAnsi="Times New Roman" w:cs="Times New Roman"/>
          <w:b/>
          <w:color w:val="auto"/>
          <w:lang w:val="es-MX"/>
        </w:rPr>
        <w:t xml:space="preserve">Granulometría </w:t>
      </w:r>
    </w:p>
    <w:p w:rsidR="00B1532B" w:rsidRPr="00832A92" w:rsidRDefault="00B1532B" w:rsidP="00B1532B">
      <w:pPr>
        <w:spacing w:after="80" w:line="360" w:lineRule="auto"/>
        <w:jc w:val="both"/>
        <w:rPr>
          <w:rFonts w:ascii="Times New Roman" w:hAnsi="Times New Roman" w:cs="Times New Roman"/>
          <w:bCs/>
          <w:sz w:val="24"/>
          <w:szCs w:val="24"/>
          <w:lang w:val="es-MX"/>
        </w:rPr>
      </w:pPr>
      <w:r w:rsidRPr="00832A92">
        <w:rPr>
          <w:rFonts w:ascii="Times New Roman" w:hAnsi="Times New Roman" w:cs="Times New Roman"/>
          <w:bCs/>
          <w:sz w:val="24"/>
          <w:szCs w:val="24"/>
          <w:lang w:val="es-MX"/>
        </w:rPr>
        <w:t xml:space="preserve">El ensayo granulométrico se realiza conforme a las especificaciones de la norma cubana NC 178:2002. El mismo se ejecuta el día 6 de abril de 2018 en el laboratorio de materiales de la ENIA de Holguín. Para la realización de este ensayo se prepara la muestra por el sistema de cuarteado. Se selecciona un peso de 2000 gramos pues este es el establecido </w:t>
      </w:r>
      <w:r w:rsidRPr="00832A92">
        <w:rPr>
          <w:rFonts w:ascii="Times New Roman" w:hAnsi="Times New Roman" w:cs="Times New Roman"/>
          <w:bCs/>
          <w:sz w:val="24"/>
          <w:szCs w:val="24"/>
          <w:lang w:val="es-MX"/>
        </w:rPr>
        <w:lastRenderedPageBreak/>
        <w:t>para cuando la fracción de áridos es de 76 a 38 milímetros. Las muestras son secadas en la estufa a una temperatura constante de 110ºC.</w:t>
      </w:r>
    </w:p>
    <w:p w:rsidR="00B1532B" w:rsidRDefault="00B1532B" w:rsidP="00B1532B">
      <w:pPr>
        <w:spacing w:after="80" w:line="360" w:lineRule="auto"/>
        <w:jc w:val="both"/>
        <w:rPr>
          <w:rFonts w:ascii="Times New Roman" w:hAnsi="Times New Roman" w:cs="Times New Roman"/>
          <w:bCs/>
          <w:sz w:val="24"/>
          <w:szCs w:val="24"/>
          <w:lang w:val="es-MX"/>
        </w:rPr>
      </w:pPr>
      <w:r w:rsidRPr="00832A92">
        <w:rPr>
          <w:rFonts w:ascii="Times New Roman" w:hAnsi="Times New Roman" w:cs="Times New Roman"/>
          <w:bCs/>
          <w:sz w:val="24"/>
          <w:szCs w:val="24"/>
          <w:lang w:val="es-MX"/>
        </w:rPr>
        <w:t xml:space="preserve">Luego la muestra es separada en una serie de tamaños usando para ello los tamices 76.2 mm, 63.5 mm, 50.8 mm, 38.1 mm y 19.1 mm como se muestra en </w:t>
      </w:r>
      <w:r>
        <w:rPr>
          <w:rFonts w:ascii="Times New Roman" w:hAnsi="Times New Roman" w:cs="Times New Roman"/>
          <w:bCs/>
          <w:sz w:val="24"/>
          <w:szCs w:val="24"/>
          <w:lang w:val="es-MX"/>
        </w:rPr>
        <w:t>el anexo 1</w:t>
      </w:r>
      <w:r w:rsidRPr="00832A92">
        <w:rPr>
          <w:rFonts w:ascii="Times New Roman" w:hAnsi="Times New Roman" w:cs="Times New Roman"/>
          <w:bCs/>
          <w:sz w:val="24"/>
          <w:szCs w:val="24"/>
          <w:lang w:val="es-MX"/>
        </w:rPr>
        <w:t xml:space="preserve">. </w:t>
      </w:r>
      <w:r w:rsidRPr="005B2F04">
        <w:rPr>
          <w:rFonts w:ascii="Times New Roman" w:hAnsi="Times New Roman" w:cs="Times New Roman"/>
          <w:bCs/>
          <w:sz w:val="24"/>
          <w:szCs w:val="24"/>
          <w:lang w:val="es-MX"/>
        </w:rPr>
        <w:t>Se lleva a cabo la operación del tamizado por medio de movimientos laterales y verticales de los tamices. A estas acciones se le incluye las de sacudido de manera que la muestra se mueva continuamente sobre la superficie del tamiz. Después de esto se determina por medio de la balanza el peso de las cantidades retenidas en cada tamiz</w:t>
      </w:r>
      <w:r>
        <w:rPr>
          <w:rFonts w:ascii="Times New Roman" w:hAnsi="Times New Roman" w:cs="Times New Roman"/>
          <w:bCs/>
          <w:sz w:val="24"/>
          <w:szCs w:val="24"/>
          <w:lang w:val="es-MX"/>
        </w:rPr>
        <w:t>. Los resultados se muestran graficados en la figura 1</w:t>
      </w:r>
    </w:p>
    <w:p w:rsidR="00B1532B" w:rsidRDefault="00B1532B" w:rsidP="00B1532B">
      <w:pPr>
        <w:spacing w:after="80" w:line="360" w:lineRule="auto"/>
        <w:jc w:val="center"/>
        <w:rPr>
          <w:rFonts w:ascii="Times New Roman" w:hAnsi="Times New Roman" w:cs="Times New Roman"/>
          <w:bCs/>
          <w:sz w:val="24"/>
          <w:szCs w:val="24"/>
          <w:lang w:val="es-MX"/>
        </w:rPr>
      </w:pPr>
      <w:r>
        <w:rPr>
          <w:rFonts w:ascii="Times New Roman" w:hAnsi="Times New Roman" w:cs="Times New Roman"/>
          <w:bCs/>
          <w:noProof/>
          <w:sz w:val="24"/>
          <w:szCs w:val="24"/>
          <w:lang w:eastAsia="es-ES"/>
        </w:rPr>
        <w:drawing>
          <wp:inline distT="0" distB="0" distL="0" distR="0">
            <wp:extent cx="2520000" cy="1541084"/>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1541084"/>
                    </a:xfrm>
                    <a:prstGeom prst="rect">
                      <a:avLst/>
                    </a:prstGeom>
                    <a:noFill/>
                  </pic:spPr>
                </pic:pic>
              </a:graphicData>
            </a:graphic>
          </wp:inline>
        </w:drawing>
      </w:r>
      <w:r>
        <w:rPr>
          <w:rFonts w:ascii="Times New Roman" w:hAnsi="Times New Roman" w:cs="Times New Roman"/>
          <w:bCs/>
          <w:noProof/>
          <w:sz w:val="24"/>
          <w:szCs w:val="24"/>
          <w:lang w:eastAsia="es-ES"/>
        </w:rPr>
        <w:drawing>
          <wp:inline distT="0" distB="0" distL="0" distR="0">
            <wp:extent cx="2520000" cy="154108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1541084"/>
                    </a:xfrm>
                    <a:prstGeom prst="rect">
                      <a:avLst/>
                    </a:prstGeom>
                    <a:noFill/>
                  </pic:spPr>
                </pic:pic>
              </a:graphicData>
            </a:graphic>
          </wp:inline>
        </w:drawing>
      </w:r>
    </w:p>
    <w:p w:rsidR="00B1532B" w:rsidRPr="009C10BC" w:rsidRDefault="00B1532B" w:rsidP="00B1532B">
      <w:pPr>
        <w:jc w:val="center"/>
        <w:rPr>
          <w:rFonts w:ascii="Times New Roman" w:hAnsi="Times New Roman" w:cs="Times New Roman"/>
          <w:bCs/>
          <w:sz w:val="20"/>
          <w:lang w:val="es-MX"/>
        </w:rPr>
      </w:pPr>
      <w:r w:rsidRPr="009C10BC">
        <w:rPr>
          <w:rFonts w:ascii="Times New Roman" w:hAnsi="Times New Roman" w:cs="Times New Roman"/>
          <w:sz w:val="20"/>
        </w:rPr>
        <w:t xml:space="preserve">Figura </w:t>
      </w:r>
      <w:r w:rsidR="00052847" w:rsidRPr="009C10BC">
        <w:rPr>
          <w:rFonts w:ascii="Times New Roman" w:hAnsi="Times New Roman" w:cs="Times New Roman"/>
          <w:sz w:val="20"/>
        </w:rPr>
        <w:fldChar w:fldCharType="begin"/>
      </w:r>
      <w:r w:rsidRPr="009C10BC">
        <w:rPr>
          <w:rFonts w:ascii="Times New Roman" w:hAnsi="Times New Roman" w:cs="Times New Roman"/>
          <w:sz w:val="20"/>
        </w:rPr>
        <w:instrText xml:space="preserve"> SEQ Figura \* ARABIC </w:instrText>
      </w:r>
      <w:r w:rsidR="00052847" w:rsidRPr="009C10BC">
        <w:rPr>
          <w:rFonts w:ascii="Times New Roman" w:hAnsi="Times New Roman" w:cs="Times New Roman"/>
          <w:sz w:val="20"/>
        </w:rPr>
        <w:fldChar w:fldCharType="separate"/>
      </w:r>
      <w:r w:rsidR="00BF2E81">
        <w:rPr>
          <w:rFonts w:ascii="Times New Roman" w:hAnsi="Times New Roman" w:cs="Times New Roman"/>
          <w:noProof/>
          <w:sz w:val="20"/>
        </w:rPr>
        <w:t>1</w:t>
      </w:r>
      <w:r w:rsidR="00052847" w:rsidRPr="009C10BC">
        <w:rPr>
          <w:rFonts w:ascii="Times New Roman" w:hAnsi="Times New Roman" w:cs="Times New Roman"/>
          <w:sz w:val="20"/>
        </w:rPr>
        <w:fldChar w:fldCharType="end"/>
      </w:r>
      <w:r w:rsidRPr="009C10BC">
        <w:rPr>
          <w:rFonts w:ascii="Times New Roman" w:hAnsi="Times New Roman" w:cs="Times New Roman"/>
          <w:sz w:val="20"/>
        </w:rPr>
        <w:t>. Curvas granulométricas</w:t>
      </w:r>
      <w:r w:rsidRPr="009C10BC">
        <w:rPr>
          <w:rFonts w:ascii="Times New Roman" w:hAnsi="Times New Roman" w:cs="Times New Roman"/>
          <w:noProof/>
          <w:sz w:val="20"/>
        </w:rPr>
        <w:t xml:space="preserve"> de las muestras ensayadas</w:t>
      </w:r>
      <w:r w:rsidR="006975B7">
        <w:rPr>
          <w:rFonts w:ascii="Times New Roman" w:hAnsi="Times New Roman" w:cs="Times New Roman"/>
          <w:noProof/>
          <w:sz w:val="20"/>
        </w:rPr>
        <w:t xml:space="preserve">. </w:t>
      </w:r>
      <w:r w:rsidR="00496D53">
        <w:rPr>
          <w:rFonts w:ascii="Times New Roman" w:hAnsi="Times New Roman" w:cs="Times New Roman"/>
          <w:noProof/>
          <w:sz w:val="20"/>
        </w:rPr>
        <w:t>(E</w:t>
      </w:r>
      <w:r w:rsidR="006975B7">
        <w:rPr>
          <w:rFonts w:ascii="Times New Roman" w:hAnsi="Times New Roman" w:cs="Times New Roman"/>
          <w:noProof/>
          <w:sz w:val="20"/>
        </w:rPr>
        <w:t>laboración propia)</w:t>
      </w:r>
    </w:p>
    <w:p w:rsidR="00B57645" w:rsidRDefault="00B57645" w:rsidP="00B57645">
      <w:pPr>
        <w:spacing w:after="0" w:line="360" w:lineRule="auto"/>
        <w:jc w:val="both"/>
        <w:rPr>
          <w:rFonts w:ascii="Times New Roman" w:hAnsi="Times New Roman" w:cs="Times New Roman"/>
          <w:bCs/>
          <w:sz w:val="24"/>
          <w:szCs w:val="24"/>
          <w:lang w:val="es-MX"/>
        </w:rPr>
      </w:pPr>
      <w:r w:rsidRPr="00B57645">
        <w:rPr>
          <w:rFonts w:ascii="Times New Roman" w:hAnsi="Times New Roman" w:cs="Times New Roman"/>
          <w:bCs/>
          <w:sz w:val="24"/>
          <w:szCs w:val="24"/>
          <w:lang w:val="es-MX"/>
        </w:rPr>
        <w:t>Como se puede apreciar ambas curvas son similares y se encuentran dentro del rango</w:t>
      </w:r>
      <w:r>
        <w:rPr>
          <w:rFonts w:ascii="Times New Roman" w:hAnsi="Times New Roman" w:cs="Times New Roman"/>
          <w:bCs/>
          <w:sz w:val="24"/>
          <w:szCs w:val="24"/>
          <w:lang w:val="es-MX"/>
        </w:rPr>
        <w:t xml:space="preserve"> establecido en la</w:t>
      </w:r>
      <w:r w:rsidRPr="00B57645">
        <w:rPr>
          <w:rFonts w:ascii="Times New Roman" w:hAnsi="Times New Roman" w:cs="Times New Roman"/>
          <w:bCs/>
          <w:sz w:val="24"/>
          <w:szCs w:val="24"/>
          <w:lang w:val="es-MX"/>
        </w:rPr>
        <w:t xml:space="preserve"> NC 255:2005. En el caso de la escoria de HAE </w:t>
      </w:r>
      <w:r>
        <w:rPr>
          <w:rFonts w:ascii="Times New Roman" w:hAnsi="Times New Roman" w:cs="Times New Roman"/>
          <w:bCs/>
          <w:sz w:val="24"/>
          <w:szCs w:val="24"/>
          <w:lang w:val="es-MX"/>
        </w:rPr>
        <w:t xml:space="preserve">debe tenerse en cuenta que esta tiene muchas veces tamaños mayores a los ensayados. Pues enfría en la forma del horno, pero </w:t>
      </w:r>
      <w:r w:rsidRPr="00B57645">
        <w:rPr>
          <w:rFonts w:ascii="Times New Roman" w:hAnsi="Times New Roman" w:cs="Times New Roman"/>
          <w:bCs/>
          <w:sz w:val="24"/>
          <w:szCs w:val="24"/>
          <w:lang w:val="es-MX"/>
        </w:rPr>
        <w:t>su granulometría puede ajusta</w:t>
      </w:r>
      <w:r>
        <w:rPr>
          <w:rFonts w:ascii="Times New Roman" w:hAnsi="Times New Roman" w:cs="Times New Roman"/>
          <w:bCs/>
          <w:sz w:val="24"/>
          <w:szCs w:val="24"/>
          <w:lang w:val="es-MX"/>
        </w:rPr>
        <w:t>rse</w:t>
      </w:r>
      <w:r w:rsidRPr="00B57645">
        <w:rPr>
          <w:rFonts w:ascii="Times New Roman" w:hAnsi="Times New Roman" w:cs="Times New Roman"/>
          <w:bCs/>
          <w:sz w:val="24"/>
          <w:szCs w:val="24"/>
          <w:lang w:val="es-MX"/>
        </w:rPr>
        <w:t xml:space="preserve"> fácilmente a la granulometría requerida luego de ser procesada por un molino, de la misma forma que la muestra patrón.</w:t>
      </w:r>
    </w:p>
    <w:p w:rsidR="00887028" w:rsidRPr="00A23D3F" w:rsidRDefault="00887028" w:rsidP="00A23D3F">
      <w:pPr>
        <w:pStyle w:val="Ttulo3"/>
        <w:spacing w:before="0" w:line="360" w:lineRule="auto"/>
        <w:rPr>
          <w:rFonts w:ascii="Times New Roman" w:hAnsi="Times New Roman" w:cs="Times New Roman"/>
          <w:b/>
          <w:color w:val="auto"/>
          <w:lang w:val="es-MX"/>
        </w:rPr>
      </w:pPr>
      <w:r w:rsidRPr="00A23D3F">
        <w:rPr>
          <w:rFonts w:ascii="Times New Roman" w:hAnsi="Times New Roman" w:cs="Times New Roman"/>
          <w:b/>
          <w:color w:val="auto"/>
          <w:lang w:val="es-MX"/>
        </w:rPr>
        <w:t>Determinación del contenido de arcilla</w:t>
      </w:r>
    </w:p>
    <w:p w:rsidR="00887028" w:rsidRDefault="00887028" w:rsidP="00B57645">
      <w:pPr>
        <w:spacing w:after="0" w:line="360" w:lineRule="auto"/>
        <w:jc w:val="both"/>
        <w:rPr>
          <w:rFonts w:ascii="Times New Roman" w:hAnsi="Times New Roman" w:cs="Times New Roman"/>
          <w:bCs/>
          <w:sz w:val="24"/>
          <w:szCs w:val="24"/>
          <w:lang w:val="es-MX"/>
        </w:rPr>
      </w:pPr>
      <w:r w:rsidRPr="00887028">
        <w:rPr>
          <w:rFonts w:ascii="Times New Roman" w:hAnsi="Times New Roman" w:cs="Times New Roman"/>
          <w:bCs/>
          <w:sz w:val="24"/>
          <w:szCs w:val="24"/>
          <w:lang w:val="es-MX"/>
        </w:rPr>
        <w:t xml:space="preserve">El ensayo para determinar las partículas de arcilla se lleva a cabo según las especificaciones de la NC 179: 2002. Se prepara la muestra obtenida por cuarteo y se secan en la estufa a 110ºC. Luego es realizada la separación de las muestras en diferentes tamices (38.1 mm, 19.1 mm, 9.52 mm, 4.76 mm). El peso de la muestra total es de 5000 gramos. Se extiende una capa delgada para examinar las partículas de arcilla y se descubre que el material no </w:t>
      </w:r>
      <w:r w:rsidRPr="00887028">
        <w:rPr>
          <w:rFonts w:ascii="Times New Roman" w:hAnsi="Times New Roman" w:cs="Times New Roman"/>
          <w:bCs/>
          <w:sz w:val="24"/>
          <w:szCs w:val="24"/>
          <w:lang w:val="es-MX"/>
        </w:rPr>
        <w:lastRenderedPageBreak/>
        <w:t>posee partículas de arcilla. Lo anterior resulta muy ventajoso porque las partículas de arcilla tienden a proporcionarle cierta plasticidad a la estructura en presencia de agua. Por ende, al no poseer partículas de arcilla el material de base cuenta con una capa estructural mucho más estable volumétricamente</w:t>
      </w:r>
      <w:r>
        <w:rPr>
          <w:rFonts w:ascii="Times New Roman" w:hAnsi="Times New Roman" w:cs="Times New Roman"/>
          <w:bCs/>
          <w:sz w:val="24"/>
          <w:szCs w:val="24"/>
          <w:lang w:val="es-MX"/>
        </w:rPr>
        <w:t xml:space="preserve">. </w:t>
      </w:r>
    </w:p>
    <w:p w:rsidR="00887028" w:rsidRDefault="00887028" w:rsidP="00887028">
      <w:pPr>
        <w:spacing w:after="0" w:line="360" w:lineRule="auto"/>
        <w:jc w:val="both"/>
        <w:rPr>
          <w:rFonts w:ascii="Times New Roman" w:hAnsi="Times New Roman" w:cs="Times New Roman"/>
          <w:bCs/>
          <w:sz w:val="24"/>
          <w:szCs w:val="24"/>
          <w:lang w:val="es-MX"/>
        </w:rPr>
      </w:pPr>
      <w:r w:rsidRPr="00887028">
        <w:rPr>
          <w:rFonts w:ascii="Times New Roman" w:hAnsi="Times New Roman" w:cs="Times New Roman"/>
          <w:bCs/>
          <w:sz w:val="24"/>
          <w:szCs w:val="24"/>
          <w:lang w:val="es-MX"/>
        </w:rPr>
        <w:t xml:space="preserve">Para el caso de la escoria de HAE se sigue el mismo procedimiento </w:t>
      </w:r>
      <w:r>
        <w:rPr>
          <w:rFonts w:ascii="Times New Roman" w:hAnsi="Times New Roman" w:cs="Times New Roman"/>
          <w:bCs/>
          <w:sz w:val="24"/>
          <w:szCs w:val="24"/>
          <w:lang w:val="es-MX"/>
        </w:rPr>
        <w:t>y se comprueba que a</w:t>
      </w:r>
      <w:r w:rsidRPr="00887028">
        <w:rPr>
          <w:rFonts w:ascii="Times New Roman" w:hAnsi="Times New Roman" w:cs="Times New Roman"/>
          <w:bCs/>
          <w:sz w:val="24"/>
          <w:szCs w:val="24"/>
          <w:lang w:val="es-MX"/>
        </w:rPr>
        <w:t xml:space="preserve">l extender la muestra en capas delgadas la misma no presenta partículas de arcilla. Este árido al provenir de la industria siderúrgica debe, por lo general, estar libre de este tipo de </w:t>
      </w:r>
      <w:r>
        <w:rPr>
          <w:rFonts w:ascii="Times New Roman" w:hAnsi="Times New Roman" w:cs="Times New Roman"/>
          <w:bCs/>
          <w:sz w:val="24"/>
          <w:szCs w:val="24"/>
          <w:lang w:val="es-MX"/>
        </w:rPr>
        <w:t>material</w:t>
      </w:r>
      <w:r w:rsidRPr="00887028">
        <w:rPr>
          <w:rFonts w:ascii="Times New Roman" w:hAnsi="Times New Roman" w:cs="Times New Roman"/>
          <w:bCs/>
          <w:sz w:val="24"/>
          <w:szCs w:val="24"/>
          <w:lang w:val="es-MX"/>
        </w:rPr>
        <w:t xml:space="preserve">. Siempre se ha de tener en cuenta </w:t>
      </w:r>
      <w:r>
        <w:rPr>
          <w:rFonts w:ascii="Times New Roman" w:hAnsi="Times New Roman" w:cs="Times New Roman"/>
          <w:bCs/>
          <w:sz w:val="24"/>
          <w:szCs w:val="24"/>
          <w:lang w:val="es-MX"/>
        </w:rPr>
        <w:t>se contaminen</w:t>
      </w:r>
      <w:r w:rsidRPr="00887028">
        <w:rPr>
          <w:rFonts w:ascii="Times New Roman" w:hAnsi="Times New Roman" w:cs="Times New Roman"/>
          <w:bCs/>
          <w:sz w:val="24"/>
          <w:szCs w:val="24"/>
          <w:lang w:val="es-MX"/>
        </w:rPr>
        <w:t xml:space="preserve"> por su exposición en el vertedero o su traslado.Como se puede apreciar ambos materiales cumplen con los requerimientos de la NC 205:2005. Este aspecto resulta provechoso pues la no presencia de arcillas le confiere mayor estabilidad volumétrica a la capa base.  </w:t>
      </w:r>
    </w:p>
    <w:p w:rsidR="00EF1AAF" w:rsidRPr="00A23D3F" w:rsidRDefault="00EF1AAF" w:rsidP="00A23D3F">
      <w:pPr>
        <w:pStyle w:val="Ttulo3"/>
        <w:spacing w:before="0" w:line="360" w:lineRule="auto"/>
        <w:rPr>
          <w:rFonts w:ascii="Times New Roman" w:hAnsi="Times New Roman" w:cs="Times New Roman"/>
          <w:b/>
          <w:color w:val="auto"/>
          <w:lang w:val="es-MX"/>
        </w:rPr>
      </w:pPr>
      <w:r w:rsidRPr="00A23D3F">
        <w:rPr>
          <w:rFonts w:ascii="Times New Roman" w:hAnsi="Times New Roman" w:cs="Times New Roman"/>
          <w:b/>
          <w:color w:val="auto"/>
          <w:lang w:val="es-MX"/>
        </w:rPr>
        <w:t>Partículas planas y alargadas</w:t>
      </w:r>
    </w:p>
    <w:p w:rsidR="00EF1AAF" w:rsidRDefault="00EF1AAF" w:rsidP="00EF1AAF">
      <w:pPr>
        <w:spacing w:after="0" w:line="360" w:lineRule="auto"/>
        <w:jc w:val="both"/>
        <w:rPr>
          <w:rFonts w:ascii="Times New Roman" w:hAnsi="Times New Roman" w:cs="Times New Roman"/>
          <w:bCs/>
          <w:sz w:val="24"/>
          <w:szCs w:val="24"/>
          <w:lang w:val="es-MX"/>
        </w:rPr>
      </w:pPr>
      <w:r w:rsidRPr="00EF1AAF">
        <w:rPr>
          <w:rFonts w:ascii="Times New Roman" w:hAnsi="Times New Roman" w:cs="Times New Roman"/>
          <w:bCs/>
          <w:sz w:val="24"/>
          <w:szCs w:val="24"/>
          <w:lang w:val="es-MX"/>
        </w:rPr>
        <w:t>LaNC 189:2002</w:t>
      </w:r>
      <w:r>
        <w:rPr>
          <w:rFonts w:ascii="Times New Roman" w:hAnsi="Times New Roman" w:cs="Times New Roman"/>
          <w:bCs/>
          <w:sz w:val="24"/>
          <w:szCs w:val="24"/>
          <w:lang w:val="es-MX"/>
        </w:rPr>
        <w:t xml:space="preserve"> es quien rige e</w:t>
      </w:r>
      <w:r w:rsidRPr="00EF1AAF">
        <w:rPr>
          <w:rFonts w:ascii="Times New Roman" w:hAnsi="Times New Roman" w:cs="Times New Roman"/>
          <w:bCs/>
          <w:sz w:val="24"/>
          <w:szCs w:val="24"/>
          <w:lang w:val="es-MX"/>
        </w:rPr>
        <w:t>l ensayo de partículas planas y alargadas</w:t>
      </w:r>
      <w:r>
        <w:rPr>
          <w:rFonts w:ascii="Times New Roman" w:hAnsi="Times New Roman" w:cs="Times New Roman"/>
          <w:bCs/>
          <w:sz w:val="24"/>
          <w:szCs w:val="24"/>
          <w:lang w:val="es-MX"/>
        </w:rPr>
        <w:t xml:space="preserve">. Este </w:t>
      </w:r>
      <w:r w:rsidRPr="00EF1AAF">
        <w:rPr>
          <w:rFonts w:ascii="Times New Roman" w:hAnsi="Times New Roman" w:cs="Times New Roman"/>
          <w:bCs/>
          <w:sz w:val="24"/>
          <w:szCs w:val="24"/>
          <w:lang w:val="es-MX"/>
        </w:rPr>
        <w:t xml:space="preserve">se desarrolla </w:t>
      </w:r>
      <w:r>
        <w:rPr>
          <w:rFonts w:ascii="Times New Roman" w:hAnsi="Times New Roman" w:cs="Times New Roman"/>
          <w:bCs/>
          <w:sz w:val="24"/>
          <w:szCs w:val="24"/>
          <w:lang w:val="es-MX"/>
        </w:rPr>
        <w:t xml:space="preserve">también </w:t>
      </w:r>
      <w:r w:rsidRPr="00EF1AAF">
        <w:rPr>
          <w:rFonts w:ascii="Times New Roman" w:hAnsi="Times New Roman" w:cs="Times New Roman"/>
          <w:bCs/>
          <w:sz w:val="24"/>
          <w:szCs w:val="24"/>
          <w:lang w:val="es-MX"/>
        </w:rPr>
        <w:t xml:space="preserve">el 19 de abril de 2018 en el laboratorio de materiales de la ENIA de Holguín. Las muestras </w:t>
      </w:r>
      <w:r>
        <w:rPr>
          <w:rFonts w:ascii="Times New Roman" w:hAnsi="Times New Roman" w:cs="Times New Roman"/>
          <w:bCs/>
          <w:sz w:val="24"/>
          <w:szCs w:val="24"/>
          <w:lang w:val="es-MX"/>
        </w:rPr>
        <w:t>también deben ser se</w:t>
      </w:r>
      <w:r w:rsidRPr="00EF1AAF">
        <w:rPr>
          <w:rFonts w:ascii="Times New Roman" w:hAnsi="Times New Roman" w:cs="Times New Roman"/>
          <w:bCs/>
          <w:sz w:val="24"/>
          <w:szCs w:val="24"/>
          <w:lang w:val="es-MX"/>
        </w:rPr>
        <w:t xml:space="preserve">cadas en la estufa hasta </w:t>
      </w:r>
      <w:r>
        <w:rPr>
          <w:rFonts w:ascii="Times New Roman" w:hAnsi="Times New Roman" w:cs="Times New Roman"/>
          <w:bCs/>
          <w:sz w:val="24"/>
          <w:szCs w:val="24"/>
          <w:lang w:val="es-MX"/>
        </w:rPr>
        <w:t xml:space="preserve">alcanzar un </w:t>
      </w:r>
      <w:r w:rsidRPr="00EF1AAF">
        <w:rPr>
          <w:rFonts w:ascii="Times New Roman" w:hAnsi="Times New Roman" w:cs="Times New Roman"/>
          <w:bCs/>
          <w:sz w:val="24"/>
          <w:szCs w:val="24"/>
          <w:lang w:val="es-MX"/>
        </w:rPr>
        <w:t>peso constante a una temperatura de 110ºC. Se pas</w:t>
      </w:r>
      <w:r>
        <w:rPr>
          <w:rFonts w:ascii="Times New Roman" w:hAnsi="Times New Roman" w:cs="Times New Roman"/>
          <w:bCs/>
          <w:sz w:val="24"/>
          <w:szCs w:val="24"/>
          <w:lang w:val="es-MX"/>
        </w:rPr>
        <w:t>a</w:t>
      </w:r>
      <w:r w:rsidRPr="00EF1AAF">
        <w:rPr>
          <w:rFonts w:ascii="Times New Roman" w:hAnsi="Times New Roman" w:cs="Times New Roman"/>
          <w:bCs/>
          <w:sz w:val="24"/>
          <w:szCs w:val="24"/>
          <w:lang w:val="es-MX"/>
        </w:rPr>
        <w:t xml:space="preserve"> la muestra por los tamices establecidos (76.2 mm, 63.5 mm, 50.8 mm, 38.1 mm y 19.1 mm) y por simple inspección visual se considera que ninguna partícula o fragmento de piedra </w:t>
      </w:r>
      <w:r>
        <w:rPr>
          <w:rFonts w:ascii="Times New Roman" w:hAnsi="Times New Roman" w:cs="Times New Roman"/>
          <w:bCs/>
          <w:sz w:val="24"/>
          <w:szCs w:val="24"/>
          <w:lang w:val="es-MX"/>
        </w:rPr>
        <w:t xml:space="preserve">en la muestra </w:t>
      </w:r>
      <w:r w:rsidRPr="00EF1AAF">
        <w:rPr>
          <w:rFonts w:ascii="Times New Roman" w:hAnsi="Times New Roman" w:cs="Times New Roman"/>
          <w:bCs/>
          <w:sz w:val="24"/>
          <w:szCs w:val="24"/>
          <w:lang w:val="es-MX"/>
        </w:rPr>
        <w:t xml:space="preserve">era plana y alargada. </w:t>
      </w:r>
    </w:p>
    <w:p w:rsidR="00EF1AAF" w:rsidRPr="00EF1AAF" w:rsidRDefault="00EF1AAF" w:rsidP="00EF1AAF">
      <w:pPr>
        <w:spacing w:after="0" w:line="360" w:lineRule="auto"/>
        <w:jc w:val="both"/>
        <w:rPr>
          <w:rFonts w:ascii="Times New Roman" w:hAnsi="Times New Roman" w:cs="Times New Roman"/>
          <w:bCs/>
          <w:sz w:val="24"/>
          <w:szCs w:val="24"/>
          <w:lang w:val="es-MX"/>
        </w:rPr>
      </w:pPr>
      <w:r w:rsidRPr="00EF1AAF">
        <w:rPr>
          <w:rFonts w:ascii="Times New Roman" w:hAnsi="Times New Roman" w:cs="Times New Roman"/>
          <w:bCs/>
          <w:sz w:val="24"/>
          <w:szCs w:val="24"/>
          <w:lang w:val="es-MX"/>
        </w:rPr>
        <w:t>A las partículas que visualmente ofrec</w:t>
      </w:r>
      <w:r>
        <w:rPr>
          <w:rFonts w:ascii="Times New Roman" w:hAnsi="Times New Roman" w:cs="Times New Roman"/>
          <w:bCs/>
          <w:sz w:val="24"/>
          <w:szCs w:val="24"/>
          <w:lang w:val="es-MX"/>
        </w:rPr>
        <w:t>ían</w:t>
      </w:r>
      <w:r w:rsidRPr="00EF1AAF">
        <w:rPr>
          <w:rFonts w:ascii="Times New Roman" w:hAnsi="Times New Roman" w:cs="Times New Roman"/>
          <w:bCs/>
          <w:sz w:val="24"/>
          <w:szCs w:val="24"/>
          <w:lang w:val="es-MX"/>
        </w:rPr>
        <w:t xml:space="preserve"> algún tipo de duda se les mide sus dimensiones con el pie de rey. Los resultados en esta muestra son de 0 % partículas planas y alargadas ya que en ningún caso la dimensión mayor es cuatro veces la </w:t>
      </w:r>
      <w:r>
        <w:rPr>
          <w:rFonts w:ascii="Times New Roman" w:hAnsi="Times New Roman" w:cs="Times New Roman"/>
          <w:bCs/>
          <w:sz w:val="24"/>
          <w:szCs w:val="24"/>
          <w:lang w:val="es-MX"/>
        </w:rPr>
        <w:t xml:space="preserve">dimensión </w:t>
      </w:r>
      <w:r w:rsidRPr="00EF1AAF">
        <w:rPr>
          <w:rFonts w:ascii="Times New Roman" w:hAnsi="Times New Roman" w:cs="Times New Roman"/>
          <w:bCs/>
          <w:sz w:val="24"/>
          <w:szCs w:val="24"/>
          <w:lang w:val="es-MX"/>
        </w:rPr>
        <w:t xml:space="preserve">menor. Las escorias de HAE tampoco presentan inconvenientes en cuanto a este aspecto. Su forma es bastante cercana al cubo lo cual resulta muy ventajoso para los materiales de bases en la construcción de carreteras. La forma cúbica posibilita que haya un mayor tranque entre los áridos y por ende una mayor resistencia.  </w:t>
      </w:r>
    </w:p>
    <w:p w:rsidR="00B57645" w:rsidRPr="00A23D3F" w:rsidRDefault="00B57645" w:rsidP="00A23D3F">
      <w:pPr>
        <w:pStyle w:val="Ttulo3"/>
        <w:spacing w:before="0" w:line="360" w:lineRule="auto"/>
        <w:rPr>
          <w:rFonts w:ascii="Times New Roman" w:hAnsi="Times New Roman" w:cs="Times New Roman"/>
          <w:b/>
          <w:color w:val="auto"/>
          <w:lang w:val="es-MX"/>
        </w:rPr>
      </w:pPr>
      <w:r w:rsidRPr="00A23D3F">
        <w:rPr>
          <w:rFonts w:ascii="Times New Roman" w:hAnsi="Times New Roman" w:cs="Times New Roman"/>
          <w:b/>
          <w:color w:val="auto"/>
          <w:lang w:val="es-MX"/>
        </w:rPr>
        <w:t>Ensayo de abrasión de Los Ángeles</w:t>
      </w:r>
    </w:p>
    <w:p w:rsidR="00FE03C9" w:rsidRDefault="00FE03C9" w:rsidP="00B57645">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E</w:t>
      </w:r>
      <w:r w:rsidR="00B57645" w:rsidRPr="00B57645">
        <w:rPr>
          <w:rFonts w:ascii="Times New Roman" w:hAnsi="Times New Roman" w:cs="Times New Roman"/>
          <w:bCs/>
          <w:sz w:val="24"/>
          <w:szCs w:val="24"/>
          <w:lang w:val="es-MX"/>
        </w:rPr>
        <w:t xml:space="preserve">l ensayo de Los Ángeles se realiza regido por la norma cubana NC 188:2002 el 19 de abril de 2018 en el laboratorio de materiales de la ENIA de Holguín. El objetivo de este ensayo </w:t>
      </w:r>
      <w:r w:rsidR="00B57645" w:rsidRPr="00B57645">
        <w:rPr>
          <w:rFonts w:ascii="Times New Roman" w:hAnsi="Times New Roman" w:cs="Times New Roman"/>
          <w:bCs/>
          <w:sz w:val="24"/>
          <w:szCs w:val="24"/>
          <w:lang w:val="es-MX"/>
        </w:rPr>
        <w:lastRenderedPageBreak/>
        <w:t>es la determina</w:t>
      </w:r>
      <w:r>
        <w:rPr>
          <w:rFonts w:ascii="Times New Roman" w:hAnsi="Times New Roman" w:cs="Times New Roman"/>
          <w:bCs/>
          <w:sz w:val="24"/>
          <w:szCs w:val="24"/>
          <w:lang w:val="es-MX"/>
        </w:rPr>
        <w:t>r</w:t>
      </w:r>
      <w:r w:rsidR="00B57645" w:rsidRPr="00B57645">
        <w:rPr>
          <w:rFonts w:ascii="Times New Roman" w:hAnsi="Times New Roman" w:cs="Times New Roman"/>
          <w:bCs/>
          <w:sz w:val="24"/>
          <w:szCs w:val="24"/>
          <w:lang w:val="es-MX"/>
        </w:rPr>
        <w:t xml:space="preserve"> de la resistencia a la abrasión y al impacto en los áridos gruesos. Después que el árido se lava la muestra es secada a una temperatura de 110 grados Celsius.Se determina, luego de pasar las muestras por una serie de tamices, que las mismas respondan al grado A con un peso de 5000 gramos planteado por la norma. </w:t>
      </w:r>
    </w:p>
    <w:p w:rsidR="00B57645" w:rsidRDefault="00B57645" w:rsidP="00B57645">
      <w:pPr>
        <w:spacing w:after="0" w:line="360" w:lineRule="auto"/>
        <w:jc w:val="both"/>
        <w:rPr>
          <w:rFonts w:ascii="Times New Roman" w:hAnsi="Times New Roman" w:cs="Times New Roman"/>
          <w:bCs/>
          <w:sz w:val="24"/>
          <w:szCs w:val="24"/>
          <w:lang w:val="es-MX"/>
        </w:rPr>
      </w:pPr>
      <w:r w:rsidRPr="00B57645">
        <w:rPr>
          <w:rFonts w:ascii="Times New Roman" w:hAnsi="Times New Roman" w:cs="Times New Roman"/>
          <w:bCs/>
          <w:sz w:val="24"/>
          <w:szCs w:val="24"/>
          <w:lang w:val="es-MX"/>
        </w:rPr>
        <w:t xml:space="preserve">Al ser la muestra </w:t>
      </w:r>
      <w:r w:rsidR="00FE03C9" w:rsidRPr="00B57645">
        <w:rPr>
          <w:rFonts w:ascii="Times New Roman" w:hAnsi="Times New Roman" w:cs="Times New Roman"/>
          <w:bCs/>
          <w:sz w:val="24"/>
          <w:szCs w:val="24"/>
          <w:lang w:val="es-MX"/>
        </w:rPr>
        <w:t xml:space="preserve">grado A </w:t>
      </w:r>
      <w:r w:rsidRPr="00B57645">
        <w:rPr>
          <w:rFonts w:ascii="Times New Roman" w:hAnsi="Times New Roman" w:cs="Times New Roman"/>
          <w:bCs/>
          <w:sz w:val="24"/>
          <w:szCs w:val="24"/>
          <w:lang w:val="es-MX"/>
        </w:rPr>
        <w:t>se utiliza una carga abrasiva de 12 esferas de acero. Se comprueba, con la balanza, que el peso de las esferas est</w:t>
      </w:r>
      <w:r w:rsidR="00FE03C9">
        <w:rPr>
          <w:rFonts w:ascii="Times New Roman" w:hAnsi="Times New Roman" w:cs="Times New Roman"/>
          <w:bCs/>
          <w:sz w:val="24"/>
          <w:szCs w:val="24"/>
          <w:lang w:val="es-MX"/>
        </w:rPr>
        <w:t>é</w:t>
      </w:r>
      <w:r w:rsidRPr="00B57645">
        <w:rPr>
          <w:rFonts w:ascii="Times New Roman" w:hAnsi="Times New Roman" w:cs="Times New Roman"/>
          <w:bCs/>
          <w:sz w:val="24"/>
          <w:szCs w:val="24"/>
          <w:lang w:val="es-MX"/>
        </w:rPr>
        <w:t xml:space="preserve"> en el rango del peso correspondiente y la</w:t>
      </w:r>
      <w:r w:rsidR="00FE03C9">
        <w:rPr>
          <w:rFonts w:ascii="Times New Roman" w:hAnsi="Times New Roman" w:cs="Times New Roman"/>
          <w:bCs/>
          <w:sz w:val="24"/>
          <w:szCs w:val="24"/>
          <w:lang w:val="es-MX"/>
        </w:rPr>
        <w:t>s</w:t>
      </w:r>
      <w:r w:rsidRPr="00B57645">
        <w:rPr>
          <w:rFonts w:ascii="Times New Roman" w:hAnsi="Times New Roman" w:cs="Times New Roman"/>
          <w:bCs/>
          <w:sz w:val="24"/>
          <w:szCs w:val="24"/>
          <w:lang w:val="es-MX"/>
        </w:rPr>
        <w:t xml:space="preserve"> misma</w:t>
      </w:r>
      <w:r w:rsidR="00FE03C9">
        <w:rPr>
          <w:rFonts w:ascii="Times New Roman" w:hAnsi="Times New Roman" w:cs="Times New Roman"/>
          <w:bCs/>
          <w:sz w:val="24"/>
          <w:szCs w:val="24"/>
          <w:lang w:val="es-MX"/>
        </w:rPr>
        <w:t>s</w:t>
      </w:r>
      <w:r w:rsidRPr="00B57645">
        <w:rPr>
          <w:rFonts w:ascii="Times New Roman" w:hAnsi="Times New Roman" w:cs="Times New Roman"/>
          <w:bCs/>
          <w:sz w:val="24"/>
          <w:szCs w:val="24"/>
          <w:lang w:val="es-MX"/>
        </w:rPr>
        <w:t xml:space="preserve"> pesa</w:t>
      </w:r>
      <w:r w:rsidR="00FE03C9">
        <w:rPr>
          <w:rFonts w:ascii="Times New Roman" w:hAnsi="Times New Roman" w:cs="Times New Roman"/>
          <w:bCs/>
          <w:sz w:val="24"/>
          <w:szCs w:val="24"/>
          <w:lang w:val="es-MX"/>
        </w:rPr>
        <w:t>n</w:t>
      </w:r>
      <w:r w:rsidRPr="00B57645">
        <w:rPr>
          <w:rFonts w:ascii="Times New Roman" w:hAnsi="Times New Roman" w:cs="Times New Roman"/>
          <w:bCs/>
          <w:sz w:val="24"/>
          <w:szCs w:val="24"/>
          <w:lang w:val="es-MX"/>
        </w:rPr>
        <w:t xml:space="preserve"> 4989 gramos. </w:t>
      </w:r>
      <w:r w:rsidR="00FE03C9">
        <w:rPr>
          <w:rFonts w:ascii="Times New Roman" w:hAnsi="Times New Roman" w:cs="Times New Roman"/>
          <w:bCs/>
          <w:sz w:val="24"/>
          <w:szCs w:val="24"/>
          <w:lang w:val="es-MX"/>
        </w:rPr>
        <w:t>Por ello, es</w:t>
      </w:r>
      <w:r w:rsidRPr="00B57645">
        <w:rPr>
          <w:rFonts w:ascii="Times New Roman" w:hAnsi="Times New Roman" w:cs="Times New Roman"/>
          <w:bCs/>
          <w:sz w:val="24"/>
          <w:szCs w:val="24"/>
          <w:lang w:val="es-MX"/>
        </w:rPr>
        <w:t xml:space="preserve"> posible utilizar esta carga pues el peso ha de estar entre los 4975 y 5025 gramos.</w:t>
      </w:r>
    </w:p>
    <w:p w:rsidR="00FE03C9" w:rsidRDefault="00FE03C9" w:rsidP="00B57645">
      <w:pPr>
        <w:spacing w:after="0" w:line="360" w:lineRule="auto"/>
        <w:jc w:val="both"/>
        <w:rPr>
          <w:rFonts w:ascii="Times New Roman" w:hAnsi="Times New Roman" w:cs="Times New Roman"/>
          <w:bCs/>
          <w:sz w:val="24"/>
          <w:szCs w:val="24"/>
          <w:lang w:val="es-MX"/>
        </w:rPr>
      </w:pPr>
      <w:r w:rsidRPr="00FE03C9">
        <w:rPr>
          <w:rFonts w:ascii="Times New Roman" w:hAnsi="Times New Roman" w:cs="Times New Roman"/>
          <w:bCs/>
          <w:sz w:val="24"/>
          <w:szCs w:val="24"/>
          <w:lang w:val="es-MX"/>
        </w:rPr>
        <w:t>Las muestras y la carga abrasiva se colocan en la máquina de Los Ángeles y se hace girar el cilindro a una velocidad entre 30 y 33 rpm hasta las 500 revoluciones. Transcurridas las 500 revoluciones la máquina se detiene automáticamente</w:t>
      </w:r>
      <w:r>
        <w:rPr>
          <w:rFonts w:ascii="Times New Roman" w:hAnsi="Times New Roman" w:cs="Times New Roman"/>
          <w:bCs/>
          <w:sz w:val="24"/>
          <w:szCs w:val="24"/>
          <w:lang w:val="es-MX"/>
        </w:rPr>
        <w:t xml:space="preserve">. </w:t>
      </w:r>
      <w:r w:rsidRPr="00FE03C9">
        <w:rPr>
          <w:rFonts w:ascii="Times New Roman" w:hAnsi="Times New Roman" w:cs="Times New Roman"/>
          <w:bCs/>
          <w:sz w:val="24"/>
          <w:szCs w:val="24"/>
          <w:lang w:val="es-MX"/>
        </w:rPr>
        <w:t>Luego se descarga el material del cilindro en una bandeja, siempre con el cuidado de vaciar todo el material. Se lleva a cabo la separación del mismo pasándolo por un tamiz de abertura mayor de 1.68 mm. El material que pasa, se tamiza después empleando el tamiz de abertura 1.68 mm (No 12). Para lo anterior se sigue el procedimiento descrito por la NC 178: 2 de análisis granulométrico. La totalidad del material retenido en el tamiz 1.68 mm se pesa con precisión de 1 gramo luego de ser lavada y desecada</w:t>
      </w:r>
      <w:r>
        <w:rPr>
          <w:rFonts w:ascii="Times New Roman" w:hAnsi="Times New Roman" w:cs="Times New Roman"/>
          <w:bCs/>
          <w:sz w:val="24"/>
          <w:szCs w:val="24"/>
          <w:lang w:val="es-MX"/>
        </w:rPr>
        <w:t xml:space="preserve"> la muestra.</w:t>
      </w:r>
    </w:p>
    <w:p w:rsidR="00FE03C9" w:rsidRPr="00FE03C9" w:rsidRDefault="00FE03C9" w:rsidP="00FE03C9">
      <w:pPr>
        <w:spacing w:line="360" w:lineRule="auto"/>
        <w:jc w:val="both"/>
        <w:rPr>
          <w:rFonts w:ascii="Times New Roman" w:hAnsi="Times New Roman" w:cs="Times New Roman"/>
          <w:bCs/>
          <w:sz w:val="24"/>
          <w:szCs w:val="24"/>
          <w:lang w:val="es-MX"/>
        </w:rPr>
      </w:pPr>
      <w:r w:rsidRPr="00FE03C9">
        <w:rPr>
          <w:rFonts w:ascii="Times New Roman" w:hAnsi="Times New Roman" w:cs="Times New Roman"/>
          <w:bCs/>
          <w:sz w:val="24"/>
          <w:szCs w:val="24"/>
          <w:lang w:val="es-MX"/>
        </w:rPr>
        <w:t>La fracción pesada en la balanza arroja el resultado de 3978.4 gramos. Se procede</w:t>
      </w:r>
      <w:r>
        <w:rPr>
          <w:rFonts w:ascii="Times New Roman" w:hAnsi="Times New Roman" w:cs="Times New Roman"/>
          <w:bCs/>
          <w:sz w:val="24"/>
          <w:szCs w:val="24"/>
          <w:lang w:val="es-MX"/>
        </w:rPr>
        <w:t xml:space="preserve"> entonces</w:t>
      </w:r>
      <w:r w:rsidRPr="00FE03C9">
        <w:rPr>
          <w:rFonts w:ascii="Times New Roman" w:hAnsi="Times New Roman" w:cs="Times New Roman"/>
          <w:bCs/>
          <w:sz w:val="24"/>
          <w:szCs w:val="24"/>
          <w:lang w:val="es-MX"/>
        </w:rPr>
        <w:t xml:space="preserve"> a calcular el porciento de desgaste </w:t>
      </w:r>
      <w:r>
        <w:rPr>
          <w:rFonts w:ascii="Times New Roman" w:hAnsi="Times New Roman" w:cs="Times New Roman"/>
          <w:bCs/>
          <w:sz w:val="24"/>
          <w:szCs w:val="24"/>
          <w:lang w:val="es-MX"/>
        </w:rPr>
        <w:t xml:space="preserve">(%D) </w:t>
      </w:r>
      <w:r w:rsidRPr="00FE03C9">
        <w:rPr>
          <w:rFonts w:ascii="Times New Roman" w:hAnsi="Times New Roman" w:cs="Times New Roman"/>
          <w:bCs/>
          <w:sz w:val="24"/>
          <w:szCs w:val="24"/>
          <w:lang w:val="es-MX"/>
        </w:rPr>
        <w:t>por la fórmula:</w:t>
      </w:r>
    </w:p>
    <w:p w:rsidR="00FE03C9" w:rsidRPr="00FE03C9" w:rsidRDefault="00FE03C9" w:rsidP="00FE03C9">
      <w:pPr>
        <w:spacing w:after="0" w:line="360" w:lineRule="auto"/>
        <w:jc w:val="both"/>
        <w:rPr>
          <w:rFonts w:ascii="Times New Roman" w:hAnsi="Times New Roman" w:cs="Times New Roman"/>
          <w:bCs/>
          <w:sz w:val="24"/>
          <w:szCs w:val="24"/>
          <w:lang w:val="es-MX"/>
        </w:rPr>
      </w:pPr>
      <m:oMathPara>
        <m:oMath>
          <m:r>
            <w:rPr>
              <w:rFonts w:ascii="Cambria Math" w:hAnsi="Cambria Math" w:cs="Times New Roman"/>
              <w:sz w:val="24"/>
              <w:szCs w:val="24"/>
              <w:lang w:val="es-MX"/>
            </w:rPr>
            <m:t>%D=</m:t>
          </m:r>
          <m:f>
            <m:fPr>
              <m:ctrlPr>
                <w:rPr>
                  <w:rFonts w:ascii="Cambria Math" w:hAnsi="Cambria Math" w:cs="Times New Roman"/>
                  <w:bCs/>
                  <w:i/>
                  <w:sz w:val="24"/>
                  <w:szCs w:val="24"/>
                  <w:lang w:val="es-MX"/>
                </w:rPr>
              </m:ctrlPr>
            </m:fPr>
            <m:num>
              <m:r>
                <w:rPr>
                  <w:rFonts w:ascii="Cambria Math" w:hAnsi="Cambria Math" w:cs="Times New Roman"/>
                  <w:sz w:val="24"/>
                  <w:szCs w:val="24"/>
                  <w:lang w:val="es-MX"/>
                </w:rPr>
                <m:t>PI-PF</m:t>
              </m:r>
            </m:num>
            <m:den>
              <m:r>
                <w:rPr>
                  <w:rFonts w:ascii="Cambria Math" w:hAnsi="Cambria Math" w:cs="Times New Roman"/>
                  <w:sz w:val="24"/>
                  <w:szCs w:val="24"/>
                  <w:lang w:val="es-MX"/>
                </w:rPr>
                <m:t>PI</m:t>
              </m:r>
            </m:den>
          </m:f>
          <m:r>
            <w:rPr>
              <w:rFonts w:ascii="Cambria Math" w:hAnsi="Cambria Math" w:cs="Times New Roman"/>
              <w:sz w:val="24"/>
              <w:szCs w:val="24"/>
              <w:lang w:val="es-MX"/>
            </w:rPr>
            <m:t>*100</m:t>
          </m:r>
        </m:oMath>
      </m:oMathPara>
    </w:p>
    <w:p w:rsidR="00FE03C9" w:rsidRDefault="00FE03C9" w:rsidP="00FE03C9">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Donde:</w:t>
      </w:r>
    </w:p>
    <w:p w:rsidR="00FE03C9" w:rsidRDefault="00FE03C9" w:rsidP="00FE03C9">
      <w:pPr>
        <w:pStyle w:val="Prrafodelista"/>
        <w:numPr>
          <w:ilvl w:val="0"/>
          <w:numId w:val="22"/>
        </w:numPr>
        <w:spacing w:after="0"/>
        <w:rPr>
          <w:rFonts w:ascii="Times New Roman" w:hAnsi="Times New Roman" w:cs="Times New Roman"/>
          <w:bCs/>
          <w:lang w:val="es-MX"/>
        </w:rPr>
      </w:pPr>
      <w:r>
        <w:rPr>
          <w:rFonts w:ascii="Times New Roman" w:hAnsi="Times New Roman" w:cs="Times New Roman"/>
          <w:bCs/>
          <w:lang w:val="es-MX"/>
        </w:rPr>
        <w:t>PI</w:t>
      </w:r>
      <w:r w:rsidRPr="00FE03C9">
        <w:rPr>
          <w:rFonts w:ascii="Times New Roman" w:hAnsi="Times New Roman" w:cs="Times New Roman"/>
          <w:bCs/>
          <w:lang w:val="es-MX"/>
        </w:rPr>
        <w:t xml:space="preserve">: </w:t>
      </w:r>
      <w:r>
        <w:rPr>
          <w:rFonts w:ascii="Times New Roman" w:hAnsi="Times New Roman" w:cs="Times New Roman"/>
          <w:bCs/>
          <w:lang w:val="es-MX"/>
        </w:rPr>
        <w:t xml:space="preserve">es el peso inicial </w:t>
      </w:r>
    </w:p>
    <w:p w:rsidR="00FE03C9" w:rsidRPr="00FE03C9" w:rsidRDefault="00FE03C9" w:rsidP="00FE03C9">
      <w:pPr>
        <w:pStyle w:val="Prrafodelista"/>
        <w:numPr>
          <w:ilvl w:val="0"/>
          <w:numId w:val="22"/>
        </w:numPr>
        <w:spacing w:after="0"/>
        <w:rPr>
          <w:rFonts w:ascii="Times New Roman" w:hAnsi="Times New Roman" w:cs="Times New Roman"/>
          <w:bCs/>
          <w:lang w:val="es-MX"/>
        </w:rPr>
      </w:pPr>
      <w:r>
        <w:rPr>
          <w:rFonts w:ascii="Times New Roman" w:hAnsi="Times New Roman" w:cs="Times New Roman"/>
          <w:bCs/>
          <w:lang w:val="es-MX"/>
        </w:rPr>
        <w:t>PF: es el peso final</w:t>
      </w:r>
    </w:p>
    <w:p w:rsidR="00FE03C9" w:rsidRDefault="002A4CF4" w:rsidP="00FE03C9">
      <w:pPr>
        <w:spacing w:after="0" w:line="360" w:lineRule="auto"/>
        <w:jc w:val="both"/>
        <w:rPr>
          <w:rFonts w:ascii="Times New Roman" w:hAnsi="Times New Roman" w:cs="Times New Roman"/>
          <w:bCs/>
          <w:sz w:val="24"/>
          <w:szCs w:val="24"/>
          <w:lang w:val="es-MX"/>
        </w:rPr>
      </w:pPr>
      <w:r w:rsidRPr="00FE03C9">
        <w:rPr>
          <w:rFonts w:ascii="Times New Roman" w:hAnsi="Times New Roman" w:cs="Times New Roman"/>
          <w:bCs/>
          <w:sz w:val="24"/>
          <w:szCs w:val="24"/>
          <w:lang w:val="es-MX"/>
        </w:rPr>
        <w:t xml:space="preserve">Elpeso inicial </w:t>
      </w:r>
      <w:r>
        <w:rPr>
          <w:rFonts w:ascii="Times New Roman" w:hAnsi="Times New Roman" w:cs="Times New Roman"/>
          <w:bCs/>
          <w:sz w:val="24"/>
          <w:szCs w:val="24"/>
          <w:lang w:val="es-MX"/>
        </w:rPr>
        <w:t>son los</w:t>
      </w:r>
      <w:r w:rsidR="00FE03C9" w:rsidRPr="00FE03C9">
        <w:rPr>
          <w:rFonts w:ascii="Times New Roman" w:hAnsi="Times New Roman" w:cs="Times New Roman"/>
          <w:bCs/>
          <w:sz w:val="24"/>
          <w:szCs w:val="24"/>
          <w:lang w:val="es-MX"/>
        </w:rPr>
        <w:t xml:space="preserve"> 5000 gramos </w:t>
      </w:r>
      <w:r>
        <w:rPr>
          <w:rFonts w:ascii="Times New Roman" w:hAnsi="Times New Roman" w:cs="Times New Roman"/>
          <w:bCs/>
          <w:sz w:val="24"/>
          <w:szCs w:val="24"/>
          <w:lang w:val="es-MX"/>
        </w:rPr>
        <w:t>definidos para grado A y</w:t>
      </w:r>
      <w:r w:rsidR="00FE03C9" w:rsidRPr="00FE03C9">
        <w:rPr>
          <w:rFonts w:ascii="Times New Roman" w:hAnsi="Times New Roman" w:cs="Times New Roman"/>
          <w:bCs/>
          <w:sz w:val="24"/>
          <w:szCs w:val="24"/>
          <w:lang w:val="es-MX"/>
        </w:rPr>
        <w:t xml:space="preserve"> el peso final es de 3978.4 gramos para un porciento de desgaste del 20.43 %. Luego en la validación del ensayo se corrigen el peso final y el porciento de desgaste, el peso final es 3976,89 gramos para un 20.46 % de desgaste</w:t>
      </w:r>
      <w:r>
        <w:rPr>
          <w:rFonts w:ascii="Times New Roman" w:hAnsi="Times New Roman" w:cs="Times New Roman"/>
          <w:bCs/>
          <w:sz w:val="24"/>
          <w:szCs w:val="24"/>
          <w:lang w:val="es-MX"/>
        </w:rPr>
        <w:t>.</w:t>
      </w:r>
    </w:p>
    <w:p w:rsidR="00887028" w:rsidRPr="00887028" w:rsidRDefault="002A4CF4" w:rsidP="00887028">
      <w:pPr>
        <w:spacing w:after="0" w:line="360" w:lineRule="auto"/>
        <w:jc w:val="both"/>
        <w:rPr>
          <w:rFonts w:ascii="Times New Roman" w:hAnsi="Times New Roman" w:cs="Times New Roman"/>
          <w:bCs/>
          <w:sz w:val="24"/>
          <w:szCs w:val="24"/>
          <w:lang w:val="es-MX"/>
        </w:rPr>
      </w:pPr>
      <w:r w:rsidRPr="002A4CF4">
        <w:rPr>
          <w:rFonts w:ascii="Times New Roman" w:hAnsi="Times New Roman" w:cs="Times New Roman"/>
          <w:bCs/>
          <w:sz w:val="24"/>
          <w:szCs w:val="24"/>
          <w:lang w:val="es-MX"/>
        </w:rPr>
        <w:lastRenderedPageBreak/>
        <w:t>En el caso de las escorias de HAE se sigue el mismo procedimiento</w:t>
      </w:r>
      <w:r>
        <w:rPr>
          <w:rFonts w:ascii="Times New Roman" w:hAnsi="Times New Roman" w:cs="Times New Roman"/>
          <w:bCs/>
          <w:sz w:val="24"/>
          <w:szCs w:val="24"/>
          <w:lang w:val="es-MX"/>
        </w:rPr>
        <w:t xml:space="preserve">. </w:t>
      </w:r>
      <w:r w:rsidRPr="002A4CF4">
        <w:rPr>
          <w:rFonts w:ascii="Times New Roman" w:hAnsi="Times New Roman" w:cs="Times New Roman"/>
          <w:bCs/>
          <w:sz w:val="24"/>
          <w:szCs w:val="24"/>
          <w:lang w:val="es-MX"/>
        </w:rPr>
        <w:t>La fracción pesada en la balanza arroja el resultado de 4378.2 gramos</w:t>
      </w:r>
      <w:r>
        <w:rPr>
          <w:rFonts w:ascii="Times New Roman" w:hAnsi="Times New Roman" w:cs="Times New Roman"/>
          <w:bCs/>
          <w:sz w:val="24"/>
          <w:szCs w:val="24"/>
          <w:lang w:val="es-MX"/>
        </w:rPr>
        <w:t xml:space="preserve">. Después de </w:t>
      </w:r>
      <w:r w:rsidRPr="002A4CF4">
        <w:rPr>
          <w:rFonts w:ascii="Times New Roman" w:hAnsi="Times New Roman" w:cs="Times New Roman"/>
          <w:bCs/>
          <w:sz w:val="24"/>
          <w:szCs w:val="24"/>
          <w:lang w:val="es-MX"/>
        </w:rPr>
        <w:t>valida</w:t>
      </w:r>
      <w:r>
        <w:rPr>
          <w:rFonts w:ascii="Times New Roman" w:hAnsi="Times New Roman" w:cs="Times New Roman"/>
          <w:bCs/>
          <w:sz w:val="24"/>
          <w:szCs w:val="24"/>
          <w:lang w:val="es-MX"/>
        </w:rPr>
        <w:t xml:space="preserve">r </w:t>
      </w:r>
      <w:r w:rsidRPr="002A4CF4">
        <w:rPr>
          <w:rFonts w:ascii="Times New Roman" w:hAnsi="Times New Roman" w:cs="Times New Roman"/>
          <w:bCs/>
          <w:sz w:val="24"/>
          <w:szCs w:val="24"/>
          <w:lang w:val="es-MX"/>
        </w:rPr>
        <w:t xml:space="preserve">el ensayo </w:t>
      </w:r>
      <w:r>
        <w:rPr>
          <w:rFonts w:ascii="Times New Roman" w:hAnsi="Times New Roman" w:cs="Times New Roman"/>
          <w:bCs/>
          <w:sz w:val="24"/>
          <w:szCs w:val="24"/>
          <w:lang w:val="es-MX"/>
        </w:rPr>
        <w:t>y</w:t>
      </w:r>
      <w:r w:rsidRPr="002A4CF4">
        <w:rPr>
          <w:rFonts w:ascii="Times New Roman" w:hAnsi="Times New Roman" w:cs="Times New Roman"/>
          <w:bCs/>
          <w:sz w:val="24"/>
          <w:szCs w:val="24"/>
          <w:lang w:val="es-MX"/>
        </w:rPr>
        <w:t xml:space="preserve"> corr</w:t>
      </w:r>
      <w:r>
        <w:rPr>
          <w:rFonts w:ascii="Times New Roman" w:hAnsi="Times New Roman" w:cs="Times New Roman"/>
          <w:bCs/>
          <w:sz w:val="24"/>
          <w:szCs w:val="24"/>
          <w:lang w:val="es-MX"/>
        </w:rPr>
        <w:t>e</w:t>
      </w:r>
      <w:r w:rsidRPr="002A4CF4">
        <w:rPr>
          <w:rFonts w:ascii="Times New Roman" w:hAnsi="Times New Roman" w:cs="Times New Roman"/>
          <w:bCs/>
          <w:sz w:val="24"/>
          <w:szCs w:val="24"/>
          <w:lang w:val="es-MX"/>
        </w:rPr>
        <w:t>g</w:t>
      </w:r>
      <w:r>
        <w:rPr>
          <w:rFonts w:ascii="Times New Roman" w:hAnsi="Times New Roman" w:cs="Times New Roman"/>
          <w:bCs/>
          <w:sz w:val="24"/>
          <w:szCs w:val="24"/>
          <w:lang w:val="es-MX"/>
        </w:rPr>
        <w:t>ir el peso final, el porciento de desgaste resulta ser de 12.68 %</w:t>
      </w:r>
      <w:r w:rsidRPr="002A4CF4">
        <w:rPr>
          <w:rFonts w:ascii="Times New Roman" w:hAnsi="Times New Roman" w:cs="Times New Roman"/>
          <w:bCs/>
          <w:sz w:val="24"/>
          <w:szCs w:val="24"/>
          <w:lang w:val="es-MX"/>
        </w:rPr>
        <w:t>.</w:t>
      </w:r>
      <w:r w:rsidR="00887028" w:rsidRPr="00887028">
        <w:rPr>
          <w:rFonts w:ascii="Times New Roman" w:hAnsi="Times New Roman" w:cs="Times New Roman"/>
          <w:bCs/>
          <w:sz w:val="24"/>
          <w:szCs w:val="24"/>
          <w:lang w:val="es-MX"/>
        </w:rPr>
        <w:t>El árido siderúrgico manifiesta un porciento de desgaste mucho menor que la muestra patrón lo que se interpreta como un mejor comportamiento ante cargas abrasivas.</w:t>
      </w:r>
    </w:p>
    <w:p w:rsidR="007A035A" w:rsidRPr="00A23D3F" w:rsidRDefault="007A035A" w:rsidP="00A23D3F">
      <w:pPr>
        <w:pStyle w:val="Ttulo2"/>
        <w:spacing w:line="360" w:lineRule="auto"/>
        <w:ind w:left="284"/>
        <w:rPr>
          <w:rFonts w:ascii="Times New Roman" w:hAnsi="Times New Roman" w:cs="Times New Roman"/>
          <w:b/>
          <w:color w:val="auto"/>
          <w:sz w:val="24"/>
          <w:lang w:val="es-MX"/>
        </w:rPr>
      </w:pPr>
      <w:r w:rsidRPr="00A23D3F">
        <w:rPr>
          <w:rFonts w:ascii="Times New Roman" w:hAnsi="Times New Roman" w:cs="Times New Roman"/>
          <w:b/>
          <w:color w:val="auto"/>
          <w:sz w:val="24"/>
          <w:lang w:val="es-MX"/>
        </w:rPr>
        <w:t xml:space="preserve">3.2 </w:t>
      </w:r>
      <w:r w:rsidR="006975B7" w:rsidRPr="00A23D3F">
        <w:rPr>
          <w:rFonts w:ascii="Times New Roman" w:hAnsi="Times New Roman" w:cs="Times New Roman"/>
          <w:b/>
          <w:color w:val="auto"/>
          <w:sz w:val="24"/>
          <w:lang w:val="es-MX"/>
        </w:rPr>
        <w:t>Evaluación del uso de las escorias como material de base en carreteras</w:t>
      </w:r>
    </w:p>
    <w:p w:rsidR="00496D53" w:rsidRPr="006975B7" w:rsidRDefault="006975B7" w:rsidP="00496D53">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Si se a</w:t>
      </w:r>
      <w:r w:rsidRPr="006975B7">
        <w:rPr>
          <w:rFonts w:ascii="Times New Roman" w:hAnsi="Times New Roman" w:cs="Times New Roman"/>
          <w:bCs/>
          <w:sz w:val="24"/>
          <w:szCs w:val="24"/>
          <w:lang w:val="es-MX"/>
        </w:rPr>
        <w:t>naliza</w:t>
      </w:r>
      <w:r>
        <w:rPr>
          <w:rFonts w:ascii="Times New Roman" w:hAnsi="Times New Roman" w:cs="Times New Roman"/>
          <w:bCs/>
          <w:sz w:val="24"/>
          <w:szCs w:val="24"/>
          <w:lang w:val="es-MX"/>
        </w:rPr>
        <w:t>n los resultados de los ensayos</w:t>
      </w:r>
      <w:r w:rsidR="00496D53">
        <w:rPr>
          <w:rFonts w:ascii="Times New Roman" w:hAnsi="Times New Roman" w:cs="Times New Roman"/>
          <w:bCs/>
          <w:sz w:val="24"/>
          <w:szCs w:val="24"/>
          <w:lang w:val="es-MX"/>
        </w:rPr>
        <w:t>,</w:t>
      </w:r>
      <w:r>
        <w:rPr>
          <w:rFonts w:ascii="Times New Roman" w:hAnsi="Times New Roman" w:cs="Times New Roman"/>
          <w:bCs/>
          <w:sz w:val="24"/>
          <w:szCs w:val="24"/>
          <w:lang w:val="es-MX"/>
        </w:rPr>
        <w:t xml:space="preserve"> resumidos en la tabla </w:t>
      </w:r>
      <w:r w:rsidR="00142677">
        <w:rPr>
          <w:rFonts w:ascii="Times New Roman" w:hAnsi="Times New Roman" w:cs="Times New Roman"/>
          <w:bCs/>
          <w:sz w:val="24"/>
          <w:szCs w:val="24"/>
          <w:lang w:val="es-MX"/>
        </w:rPr>
        <w:t>2</w:t>
      </w:r>
      <w:r w:rsidR="00496D53">
        <w:rPr>
          <w:rFonts w:ascii="Times New Roman" w:hAnsi="Times New Roman" w:cs="Times New Roman"/>
          <w:bCs/>
          <w:sz w:val="24"/>
          <w:szCs w:val="24"/>
          <w:lang w:val="es-MX"/>
        </w:rPr>
        <w:t>,</w:t>
      </w:r>
      <w:r>
        <w:rPr>
          <w:rFonts w:ascii="Times New Roman" w:hAnsi="Times New Roman" w:cs="Times New Roman"/>
          <w:bCs/>
          <w:sz w:val="24"/>
          <w:szCs w:val="24"/>
          <w:lang w:val="es-MX"/>
        </w:rPr>
        <w:t xml:space="preserve">se puede </w:t>
      </w:r>
      <w:r w:rsidRPr="006975B7">
        <w:rPr>
          <w:rFonts w:ascii="Times New Roman" w:hAnsi="Times New Roman" w:cs="Times New Roman"/>
          <w:bCs/>
          <w:sz w:val="24"/>
          <w:szCs w:val="24"/>
          <w:lang w:val="es-MX"/>
        </w:rPr>
        <w:t>apreciar que tanto el árido grueso procedente de la cantera José Rodríguez de Las Parras, como la escoria de HAE de ACINOX Las Tunas, cumplen con las características de base Macadam, según los requerimientos específicos de la NC 255:2005.</w:t>
      </w:r>
      <w:r w:rsidR="00496D53">
        <w:rPr>
          <w:rFonts w:ascii="Times New Roman" w:hAnsi="Times New Roman" w:cs="Times New Roman"/>
          <w:bCs/>
          <w:sz w:val="24"/>
          <w:szCs w:val="24"/>
          <w:lang w:val="es-MX"/>
        </w:rPr>
        <w:t xml:space="preserve">Por lo cual </w:t>
      </w:r>
      <w:r w:rsidR="00496D53" w:rsidRPr="006975B7">
        <w:rPr>
          <w:rFonts w:ascii="Times New Roman" w:hAnsi="Times New Roman" w:cs="Times New Roman"/>
          <w:bCs/>
          <w:sz w:val="24"/>
          <w:szCs w:val="24"/>
          <w:lang w:val="es-MX"/>
        </w:rPr>
        <w:t>es conveniente analizar cuan positivo puede resultar su utilización en la construcción de bases de carreteras</w:t>
      </w:r>
      <w:r w:rsidR="00496D53">
        <w:rPr>
          <w:rFonts w:ascii="Times New Roman" w:hAnsi="Times New Roman" w:cs="Times New Roman"/>
          <w:bCs/>
          <w:sz w:val="24"/>
          <w:szCs w:val="24"/>
          <w:lang w:val="es-MX"/>
        </w:rPr>
        <w:t>.</w:t>
      </w:r>
      <w:r w:rsidR="00496D53" w:rsidRPr="006975B7">
        <w:rPr>
          <w:rFonts w:ascii="Times New Roman" w:hAnsi="Times New Roman" w:cs="Times New Roman"/>
          <w:bCs/>
          <w:sz w:val="24"/>
          <w:szCs w:val="24"/>
          <w:lang w:val="es-MX"/>
        </w:rPr>
        <w:t>Para evaluar el uso de las escorias negras de ACINOX Las Tunas se puede realizar una valoración a partir de tres dimensiones principales: técnica, económica y medioambiental.</w:t>
      </w:r>
    </w:p>
    <w:p w:rsidR="006975B7" w:rsidRPr="006975B7" w:rsidRDefault="006975B7" w:rsidP="006975B7">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 xml:space="preserve">Tabla </w:t>
      </w:r>
      <w:r w:rsidR="00142677">
        <w:rPr>
          <w:rFonts w:ascii="Times New Roman" w:hAnsi="Times New Roman" w:cs="Times New Roman"/>
          <w:bCs/>
          <w:sz w:val="24"/>
          <w:szCs w:val="24"/>
          <w:lang w:val="es-MX"/>
        </w:rPr>
        <w:t>2</w:t>
      </w:r>
      <w:r>
        <w:rPr>
          <w:rFonts w:ascii="Times New Roman" w:hAnsi="Times New Roman" w:cs="Times New Roman"/>
          <w:bCs/>
          <w:sz w:val="24"/>
          <w:szCs w:val="24"/>
          <w:lang w:val="es-MX"/>
        </w:rPr>
        <w:t>. Resumen de los resultados obtenidos en los ensayos realizados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2018"/>
        <w:gridCol w:w="2018"/>
        <w:gridCol w:w="2019"/>
      </w:tblGrid>
      <w:tr w:rsidR="006975B7" w:rsidRPr="006975B7" w:rsidTr="006975B7">
        <w:trPr>
          <w:trHeight w:val="364"/>
          <w:jc w:val="center"/>
        </w:trPr>
        <w:tc>
          <w:tcPr>
            <w:tcW w:w="2251" w:type="dxa"/>
            <w:shd w:val="clear" w:color="auto" w:fill="D9D9D9" w:themeFill="background1" w:themeFillShade="D9"/>
            <w:vAlign w:val="center"/>
          </w:tcPr>
          <w:p w:rsidR="006975B7" w:rsidRPr="006975B7" w:rsidRDefault="006975B7" w:rsidP="006975B7">
            <w:pPr>
              <w:spacing w:after="0"/>
              <w:jc w:val="center"/>
              <w:rPr>
                <w:rFonts w:ascii="Times New Roman" w:hAnsi="Times New Roman" w:cs="Times New Roman"/>
                <w:b/>
                <w:bCs/>
                <w:sz w:val="24"/>
                <w:szCs w:val="24"/>
                <w:lang w:val="de-DE"/>
              </w:rPr>
            </w:pPr>
            <w:r w:rsidRPr="006975B7">
              <w:rPr>
                <w:rFonts w:ascii="Times New Roman" w:hAnsi="Times New Roman" w:cs="Times New Roman"/>
                <w:b/>
                <w:bCs/>
                <w:sz w:val="24"/>
                <w:szCs w:val="24"/>
                <w:lang w:val="de-DE"/>
              </w:rPr>
              <w:t>Ensayo</w:t>
            </w:r>
          </w:p>
        </w:tc>
        <w:tc>
          <w:tcPr>
            <w:tcW w:w="2018" w:type="dxa"/>
            <w:shd w:val="clear" w:color="auto" w:fill="D9D9D9" w:themeFill="background1" w:themeFillShade="D9"/>
            <w:vAlign w:val="center"/>
          </w:tcPr>
          <w:p w:rsidR="006975B7" w:rsidRPr="006975B7" w:rsidRDefault="006975B7" w:rsidP="006975B7">
            <w:pPr>
              <w:spacing w:after="0"/>
              <w:jc w:val="center"/>
              <w:rPr>
                <w:rFonts w:ascii="Times New Roman" w:hAnsi="Times New Roman" w:cs="Times New Roman"/>
                <w:b/>
                <w:bCs/>
                <w:sz w:val="24"/>
                <w:szCs w:val="24"/>
                <w:lang w:val="de-DE"/>
              </w:rPr>
            </w:pPr>
            <w:r w:rsidRPr="006975B7">
              <w:rPr>
                <w:rFonts w:ascii="Times New Roman" w:hAnsi="Times New Roman" w:cs="Times New Roman"/>
                <w:b/>
                <w:bCs/>
                <w:sz w:val="24"/>
                <w:szCs w:val="24"/>
                <w:lang w:val="de-DE"/>
              </w:rPr>
              <w:t>Requirimiento NC255:2005</w:t>
            </w:r>
          </w:p>
        </w:tc>
        <w:tc>
          <w:tcPr>
            <w:tcW w:w="2018" w:type="dxa"/>
            <w:shd w:val="clear" w:color="auto" w:fill="D9D9D9" w:themeFill="background1" w:themeFillShade="D9"/>
            <w:vAlign w:val="center"/>
          </w:tcPr>
          <w:p w:rsidR="006975B7" w:rsidRPr="006975B7" w:rsidRDefault="006975B7" w:rsidP="006975B7">
            <w:pPr>
              <w:spacing w:after="0"/>
              <w:jc w:val="center"/>
              <w:rPr>
                <w:rFonts w:ascii="Times New Roman" w:hAnsi="Times New Roman" w:cs="Times New Roman"/>
                <w:b/>
                <w:bCs/>
                <w:sz w:val="24"/>
                <w:szCs w:val="24"/>
                <w:lang w:val="de-DE"/>
              </w:rPr>
            </w:pPr>
            <w:r w:rsidRPr="006975B7">
              <w:rPr>
                <w:rFonts w:ascii="Times New Roman" w:hAnsi="Times New Roman" w:cs="Times New Roman"/>
                <w:b/>
                <w:bCs/>
                <w:sz w:val="24"/>
                <w:szCs w:val="24"/>
                <w:lang w:val="de-DE"/>
              </w:rPr>
              <w:t>Muestra Patrón</w:t>
            </w:r>
          </w:p>
        </w:tc>
        <w:tc>
          <w:tcPr>
            <w:tcW w:w="2019" w:type="dxa"/>
            <w:shd w:val="clear" w:color="auto" w:fill="D9D9D9" w:themeFill="background1" w:themeFillShade="D9"/>
            <w:vAlign w:val="center"/>
          </w:tcPr>
          <w:p w:rsidR="006975B7" w:rsidRPr="006975B7" w:rsidRDefault="006975B7" w:rsidP="006975B7">
            <w:pPr>
              <w:spacing w:after="0"/>
              <w:jc w:val="center"/>
              <w:rPr>
                <w:rFonts w:ascii="Times New Roman" w:hAnsi="Times New Roman" w:cs="Times New Roman"/>
                <w:b/>
                <w:bCs/>
                <w:sz w:val="24"/>
                <w:szCs w:val="24"/>
                <w:lang w:val="de-DE"/>
              </w:rPr>
            </w:pPr>
            <w:r w:rsidRPr="006975B7">
              <w:rPr>
                <w:rFonts w:ascii="Times New Roman" w:hAnsi="Times New Roman" w:cs="Times New Roman"/>
                <w:b/>
                <w:bCs/>
                <w:sz w:val="24"/>
                <w:szCs w:val="24"/>
                <w:lang w:val="de-DE"/>
              </w:rPr>
              <w:t>Escoria de HAE</w:t>
            </w:r>
          </w:p>
        </w:tc>
      </w:tr>
      <w:tr w:rsidR="006975B7" w:rsidRPr="006975B7" w:rsidTr="00142677">
        <w:trPr>
          <w:trHeight w:val="194"/>
          <w:jc w:val="center"/>
        </w:trPr>
        <w:tc>
          <w:tcPr>
            <w:tcW w:w="2251" w:type="dxa"/>
            <w:vAlign w:val="center"/>
          </w:tcPr>
          <w:p w:rsidR="006975B7" w:rsidRPr="006975B7" w:rsidRDefault="006975B7" w:rsidP="006975B7">
            <w:pPr>
              <w:spacing w:after="0"/>
              <w:jc w:val="both"/>
              <w:rPr>
                <w:rFonts w:ascii="Times New Roman" w:hAnsi="Times New Roman" w:cs="Times New Roman"/>
                <w:bCs/>
                <w:sz w:val="24"/>
                <w:szCs w:val="24"/>
                <w:lang w:val="de-DE"/>
              </w:rPr>
            </w:pPr>
            <w:r w:rsidRPr="006975B7">
              <w:rPr>
                <w:rFonts w:ascii="Times New Roman" w:hAnsi="Times New Roman" w:cs="Times New Roman"/>
                <w:bCs/>
                <w:sz w:val="24"/>
                <w:szCs w:val="24"/>
                <w:lang w:val="de-DE"/>
              </w:rPr>
              <w:t>Granulometría</w:t>
            </w:r>
          </w:p>
        </w:tc>
        <w:tc>
          <w:tcPr>
            <w:tcW w:w="2018"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Uniforme</w:t>
            </w:r>
          </w:p>
        </w:tc>
        <w:tc>
          <w:tcPr>
            <w:tcW w:w="2018"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Uniforme</w:t>
            </w:r>
          </w:p>
        </w:tc>
        <w:tc>
          <w:tcPr>
            <w:tcW w:w="2019"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Uniforme</w:t>
            </w:r>
          </w:p>
        </w:tc>
      </w:tr>
      <w:tr w:rsidR="006975B7" w:rsidRPr="006975B7" w:rsidTr="00142677">
        <w:trPr>
          <w:trHeight w:val="172"/>
          <w:jc w:val="center"/>
        </w:trPr>
        <w:tc>
          <w:tcPr>
            <w:tcW w:w="2251" w:type="dxa"/>
            <w:vAlign w:val="center"/>
          </w:tcPr>
          <w:p w:rsidR="006975B7" w:rsidRPr="006975B7" w:rsidRDefault="006975B7" w:rsidP="006975B7">
            <w:pPr>
              <w:spacing w:after="0"/>
              <w:jc w:val="both"/>
              <w:rPr>
                <w:rFonts w:ascii="Times New Roman" w:hAnsi="Times New Roman" w:cs="Times New Roman"/>
                <w:bCs/>
                <w:sz w:val="24"/>
                <w:szCs w:val="24"/>
                <w:lang w:val="de-DE"/>
              </w:rPr>
            </w:pPr>
            <w:r w:rsidRPr="006975B7">
              <w:rPr>
                <w:rFonts w:ascii="Times New Roman" w:hAnsi="Times New Roman" w:cs="Times New Roman"/>
                <w:bCs/>
                <w:sz w:val="24"/>
                <w:szCs w:val="24"/>
                <w:lang w:val="de-DE"/>
              </w:rPr>
              <w:t>Partículas de arcilla</w:t>
            </w:r>
          </w:p>
        </w:tc>
        <w:tc>
          <w:tcPr>
            <w:tcW w:w="2018"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Libre de arcilla</w:t>
            </w:r>
          </w:p>
        </w:tc>
        <w:tc>
          <w:tcPr>
            <w:tcW w:w="2018"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Libre de arcilla</w:t>
            </w:r>
          </w:p>
        </w:tc>
        <w:tc>
          <w:tcPr>
            <w:tcW w:w="2019"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Libre de arcilla</w:t>
            </w:r>
          </w:p>
        </w:tc>
      </w:tr>
      <w:tr w:rsidR="006975B7" w:rsidRPr="006975B7" w:rsidTr="00142677">
        <w:trPr>
          <w:trHeight w:val="187"/>
          <w:jc w:val="center"/>
        </w:trPr>
        <w:tc>
          <w:tcPr>
            <w:tcW w:w="2251" w:type="dxa"/>
            <w:vAlign w:val="center"/>
          </w:tcPr>
          <w:p w:rsidR="006975B7" w:rsidRPr="006975B7" w:rsidRDefault="006975B7" w:rsidP="006975B7">
            <w:pPr>
              <w:spacing w:after="0"/>
              <w:jc w:val="both"/>
              <w:rPr>
                <w:rFonts w:ascii="Times New Roman" w:hAnsi="Times New Roman" w:cs="Times New Roman"/>
                <w:bCs/>
                <w:sz w:val="24"/>
                <w:szCs w:val="24"/>
                <w:lang w:val="de-DE"/>
              </w:rPr>
            </w:pPr>
            <w:r w:rsidRPr="006975B7">
              <w:rPr>
                <w:rFonts w:ascii="Times New Roman" w:hAnsi="Times New Roman" w:cs="Times New Roman"/>
                <w:bCs/>
                <w:sz w:val="24"/>
                <w:szCs w:val="24"/>
                <w:lang w:val="de-DE"/>
              </w:rPr>
              <w:t>Planas y alargadas</w:t>
            </w:r>
          </w:p>
        </w:tc>
        <w:tc>
          <w:tcPr>
            <w:tcW w:w="2018"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20 % máx</w:t>
            </w:r>
          </w:p>
        </w:tc>
        <w:tc>
          <w:tcPr>
            <w:tcW w:w="2018"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0 %</w:t>
            </w:r>
          </w:p>
        </w:tc>
        <w:tc>
          <w:tcPr>
            <w:tcW w:w="2019"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0 %</w:t>
            </w:r>
          </w:p>
        </w:tc>
      </w:tr>
      <w:tr w:rsidR="006975B7" w:rsidRPr="006975B7" w:rsidTr="00142677">
        <w:trPr>
          <w:trHeight w:val="194"/>
          <w:jc w:val="center"/>
        </w:trPr>
        <w:tc>
          <w:tcPr>
            <w:tcW w:w="2251" w:type="dxa"/>
            <w:vAlign w:val="center"/>
          </w:tcPr>
          <w:p w:rsidR="006975B7" w:rsidRPr="006975B7" w:rsidRDefault="006975B7" w:rsidP="006975B7">
            <w:pPr>
              <w:spacing w:after="0"/>
              <w:jc w:val="both"/>
              <w:rPr>
                <w:rFonts w:ascii="Times New Roman" w:hAnsi="Times New Roman" w:cs="Times New Roman"/>
                <w:bCs/>
                <w:sz w:val="24"/>
                <w:szCs w:val="24"/>
                <w:lang w:val="de-DE"/>
              </w:rPr>
            </w:pPr>
            <w:r w:rsidRPr="006975B7">
              <w:rPr>
                <w:rFonts w:ascii="Times New Roman" w:hAnsi="Times New Roman" w:cs="Times New Roman"/>
                <w:bCs/>
                <w:sz w:val="24"/>
                <w:szCs w:val="24"/>
                <w:lang w:val="de-DE"/>
              </w:rPr>
              <w:t>Abrasión</w:t>
            </w:r>
          </w:p>
        </w:tc>
        <w:tc>
          <w:tcPr>
            <w:tcW w:w="2018"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40 % máx</w:t>
            </w:r>
          </w:p>
        </w:tc>
        <w:tc>
          <w:tcPr>
            <w:tcW w:w="2018"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20,46 %</w:t>
            </w:r>
          </w:p>
        </w:tc>
        <w:tc>
          <w:tcPr>
            <w:tcW w:w="2019" w:type="dxa"/>
            <w:vAlign w:val="center"/>
          </w:tcPr>
          <w:p w:rsidR="006975B7" w:rsidRPr="006975B7" w:rsidRDefault="006975B7" w:rsidP="00142677">
            <w:pPr>
              <w:spacing w:after="0"/>
              <w:jc w:val="center"/>
              <w:rPr>
                <w:rFonts w:ascii="Times New Roman" w:hAnsi="Times New Roman" w:cs="Times New Roman"/>
                <w:bCs/>
                <w:sz w:val="24"/>
                <w:szCs w:val="24"/>
                <w:lang w:val="de-DE"/>
              </w:rPr>
            </w:pPr>
            <w:r w:rsidRPr="006975B7">
              <w:rPr>
                <w:rFonts w:ascii="Times New Roman" w:hAnsi="Times New Roman" w:cs="Times New Roman"/>
                <w:bCs/>
                <w:sz w:val="24"/>
                <w:szCs w:val="24"/>
                <w:lang w:val="de-DE"/>
              </w:rPr>
              <w:t>12,68 %</w:t>
            </w:r>
          </w:p>
        </w:tc>
      </w:tr>
    </w:tbl>
    <w:p w:rsidR="006975B7" w:rsidRPr="006975B7" w:rsidRDefault="006975B7" w:rsidP="00496D53">
      <w:pPr>
        <w:spacing w:before="240" w:after="0" w:line="360" w:lineRule="auto"/>
        <w:jc w:val="both"/>
        <w:rPr>
          <w:rFonts w:ascii="Times New Roman" w:hAnsi="Times New Roman" w:cs="Times New Roman"/>
          <w:bCs/>
          <w:sz w:val="24"/>
          <w:szCs w:val="24"/>
          <w:lang w:val="es-MX"/>
        </w:rPr>
      </w:pPr>
      <w:r w:rsidRPr="006975B7">
        <w:rPr>
          <w:rFonts w:ascii="Times New Roman" w:hAnsi="Times New Roman" w:cs="Times New Roman"/>
          <w:bCs/>
          <w:sz w:val="24"/>
          <w:szCs w:val="24"/>
          <w:lang w:val="es-MX"/>
        </w:rPr>
        <w:t xml:space="preserve">En el aspecto técnico se puede verificar la calidad que presentan las escorias de HAE de ACINOX Las Tunas para ser usadas como base tipo Macadam. Al confrontar los resultados de los ensayos practicados a ambos materiales (ver </w:t>
      </w:r>
      <w:r w:rsidR="00496D53">
        <w:rPr>
          <w:rFonts w:ascii="Times New Roman" w:hAnsi="Times New Roman" w:cs="Times New Roman"/>
          <w:bCs/>
          <w:sz w:val="24"/>
          <w:szCs w:val="24"/>
          <w:lang w:val="es-MX"/>
        </w:rPr>
        <w:t xml:space="preserve">Tabla </w:t>
      </w:r>
      <w:r w:rsidRPr="006975B7">
        <w:rPr>
          <w:rFonts w:ascii="Times New Roman" w:hAnsi="Times New Roman" w:cs="Times New Roman"/>
          <w:bCs/>
          <w:sz w:val="24"/>
          <w:szCs w:val="24"/>
          <w:lang w:val="es-MX"/>
        </w:rPr>
        <w:t xml:space="preserve">2) se comprueba que ambos cumplen con los requerimientos establecidos por la norma cubana en cuanto a granulometría, partículas libres de arcilla y partícula planas y alargadas. Además, se aprecia que en dichos aspectos los resultados arrojan valores muy similares. Las mayores diferencias se encuentran en el ensayo de abrasión donde la escoria presenta una resistencia superior al rajoncillo en aproximadamente un 39 %. </w:t>
      </w:r>
    </w:p>
    <w:p w:rsidR="006975B7" w:rsidRPr="006975B7" w:rsidRDefault="00496D53" w:rsidP="006975B7">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lastRenderedPageBreak/>
        <w:t>Por lo cual es posible</w:t>
      </w:r>
      <w:r w:rsidR="006975B7" w:rsidRPr="006975B7">
        <w:rPr>
          <w:rFonts w:ascii="Times New Roman" w:hAnsi="Times New Roman" w:cs="Times New Roman"/>
          <w:bCs/>
          <w:sz w:val="24"/>
          <w:szCs w:val="24"/>
          <w:lang w:val="es-MX"/>
        </w:rPr>
        <w:t xml:space="preserve"> utilizar </w:t>
      </w:r>
      <w:r>
        <w:rPr>
          <w:rFonts w:ascii="Times New Roman" w:hAnsi="Times New Roman" w:cs="Times New Roman"/>
          <w:bCs/>
          <w:sz w:val="24"/>
          <w:szCs w:val="24"/>
          <w:lang w:val="es-MX"/>
        </w:rPr>
        <w:t xml:space="preserve">la escoria </w:t>
      </w:r>
      <w:r w:rsidR="006975B7" w:rsidRPr="006975B7">
        <w:rPr>
          <w:rFonts w:ascii="Times New Roman" w:hAnsi="Times New Roman" w:cs="Times New Roman"/>
          <w:bCs/>
          <w:sz w:val="24"/>
          <w:szCs w:val="24"/>
          <w:lang w:val="es-MX"/>
        </w:rPr>
        <w:t>como sustitución del rajoncillo en bases tipo Macadam para la construcción de carreteras</w:t>
      </w:r>
      <w:r>
        <w:rPr>
          <w:rFonts w:ascii="Times New Roman" w:hAnsi="Times New Roman" w:cs="Times New Roman"/>
          <w:bCs/>
          <w:sz w:val="24"/>
          <w:szCs w:val="24"/>
          <w:lang w:val="es-MX"/>
        </w:rPr>
        <w:t xml:space="preserve"> con prestaciones incluso superiores</w:t>
      </w:r>
      <w:r w:rsidR="006975B7" w:rsidRPr="006975B7">
        <w:rPr>
          <w:rFonts w:ascii="Times New Roman" w:hAnsi="Times New Roman" w:cs="Times New Roman"/>
          <w:bCs/>
          <w:sz w:val="24"/>
          <w:szCs w:val="24"/>
          <w:lang w:val="es-MX"/>
        </w:rPr>
        <w:t>. Lo anterior se debe a que las escorias de HAE de ACINOX Las Tunas presentan propiedades ventajosas, entre las que destacan:</w:t>
      </w:r>
    </w:p>
    <w:p w:rsidR="006975B7" w:rsidRPr="006975B7" w:rsidRDefault="006975B7" w:rsidP="00496D53">
      <w:pPr>
        <w:numPr>
          <w:ilvl w:val="0"/>
          <w:numId w:val="23"/>
        </w:numPr>
        <w:spacing w:after="0" w:line="360" w:lineRule="auto"/>
        <w:ind w:left="426"/>
        <w:jc w:val="both"/>
        <w:rPr>
          <w:rFonts w:ascii="Times New Roman" w:hAnsi="Times New Roman" w:cs="Times New Roman"/>
          <w:bCs/>
          <w:sz w:val="24"/>
          <w:szCs w:val="24"/>
          <w:lang w:val="es-MX"/>
        </w:rPr>
      </w:pPr>
      <w:r w:rsidRPr="006975B7">
        <w:rPr>
          <w:rFonts w:ascii="Times New Roman" w:hAnsi="Times New Roman" w:cs="Times New Roman"/>
          <w:bCs/>
          <w:sz w:val="24"/>
          <w:szCs w:val="24"/>
          <w:lang w:val="es-MX"/>
        </w:rPr>
        <w:t xml:space="preserve">Presentar una forma bastante cercana al cubo, lo cual posibilita que haya un mayor tranque entre las partículas y un mayor rozamiento interno. Todo esto se traduce en una resistencia mecánica mucho más elevada de la base en su conjunto. </w:t>
      </w:r>
    </w:p>
    <w:p w:rsidR="006975B7" w:rsidRPr="006975B7" w:rsidRDefault="006975B7" w:rsidP="00496D53">
      <w:pPr>
        <w:numPr>
          <w:ilvl w:val="0"/>
          <w:numId w:val="23"/>
        </w:numPr>
        <w:spacing w:after="0" w:line="360" w:lineRule="auto"/>
        <w:ind w:left="426"/>
        <w:jc w:val="both"/>
        <w:rPr>
          <w:rFonts w:ascii="Times New Roman" w:hAnsi="Times New Roman" w:cs="Times New Roman"/>
          <w:bCs/>
          <w:sz w:val="24"/>
          <w:szCs w:val="24"/>
          <w:lang w:val="es-MX"/>
        </w:rPr>
      </w:pPr>
      <w:r w:rsidRPr="006975B7">
        <w:rPr>
          <w:rFonts w:ascii="Times New Roman" w:hAnsi="Times New Roman" w:cs="Times New Roman"/>
          <w:bCs/>
          <w:sz w:val="24"/>
          <w:szCs w:val="24"/>
          <w:lang w:val="es-MX"/>
        </w:rPr>
        <w:t>Poseer un coeficiente de desgaste muy inferior que el del ár</w:t>
      </w:r>
      <w:r w:rsidR="00496D53">
        <w:rPr>
          <w:rFonts w:ascii="Times New Roman" w:hAnsi="Times New Roman" w:cs="Times New Roman"/>
          <w:bCs/>
          <w:sz w:val="24"/>
          <w:szCs w:val="24"/>
          <w:lang w:val="es-MX"/>
        </w:rPr>
        <w:t xml:space="preserve">ido utilizado tradicionalmente. </w:t>
      </w:r>
      <w:r w:rsidRPr="006975B7">
        <w:rPr>
          <w:rFonts w:ascii="Times New Roman" w:hAnsi="Times New Roman" w:cs="Times New Roman"/>
          <w:bCs/>
          <w:sz w:val="24"/>
          <w:szCs w:val="24"/>
          <w:lang w:val="es-MX"/>
        </w:rPr>
        <w:t>Lo cual es una mediada de su excelente comportamiento ante cargas abrasivas y la poca degradación de sus propiedades mecánicas a lo largo del tiempo.</w:t>
      </w:r>
    </w:p>
    <w:p w:rsidR="006975B7" w:rsidRPr="006975B7" w:rsidRDefault="006975B7" w:rsidP="006975B7">
      <w:pPr>
        <w:spacing w:after="0" w:line="360" w:lineRule="auto"/>
        <w:jc w:val="both"/>
        <w:rPr>
          <w:rFonts w:ascii="Times New Roman" w:hAnsi="Times New Roman" w:cs="Times New Roman"/>
          <w:bCs/>
          <w:sz w:val="24"/>
          <w:szCs w:val="24"/>
          <w:lang w:val="es-MX"/>
        </w:rPr>
      </w:pPr>
      <w:r w:rsidRPr="006975B7">
        <w:rPr>
          <w:rFonts w:ascii="Times New Roman" w:hAnsi="Times New Roman" w:cs="Times New Roman"/>
          <w:bCs/>
          <w:sz w:val="24"/>
          <w:szCs w:val="24"/>
          <w:lang w:val="es-MX"/>
        </w:rPr>
        <w:t xml:space="preserve">Desde el punto de vista económico se observa por simple evaluación de costos que el rajoncillo se compra a 18.97 pesos </w:t>
      </w:r>
      <w:r w:rsidR="00496D53">
        <w:rPr>
          <w:rFonts w:ascii="Times New Roman" w:hAnsi="Times New Roman" w:cs="Times New Roman"/>
          <w:bCs/>
          <w:sz w:val="24"/>
          <w:szCs w:val="24"/>
          <w:lang w:val="es-MX"/>
        </w:rPr>
        <w:t>el</w:t>
      </w:r>
      <w:r w:rsidRPr="006975B7">
        <w:rPr>
          <w:rFonts w:ascii="Times New Roman" w:hAnsi="Times New Roman" w:cs="Times New Roman"/>
          <w:bCs/>
          <w:sz w:val="24"/>
          <w:szCs w:val="24"/>
          <w:lang w:val="es-MX"/>
        </w:rPr>
        <w:t xml:space="preserve"> metro cúbico. Para construir 1 </w:t>
      </w:r>
      <w:r w:rsidR="00F277B1">
        <w:rPr>
          <w:rFonts w:ascii="Times New Roman" w:hAnsi="Times New Roman" w:cs="Times New Roman"/>
          <w:bCs/>
          <w:sz w:val="24"/>
          <w:szCs w:val="24"/>
          <w:lang w:val="es-MX"/>
        </w:rPr>
        <w:t>kiló</w:t>
      </w:r>
      <w:r w:rsidRPr="006975B7">
        <w:rPr>
          <w:rFonts w:ascii="Times New Roman" w:hAnsi="Times New Roman" w:cs="Times New Roman"/>
          <w:bCs/>
          <w:sz w:val="24"/>
          <w:szCs w:val="24"/>
          <w:lang w:val="es-MX"/>
        </w:rPr>
        <w:t xml:space="preserve">metro en la circunvalante sur se necesitan </w:t>
      </w:r>
      <w:r w:rsidR="00F277B1">
        <w:rPr>
          <w:rFonts w:ascii="Times New Roman" w:hAnsi="Times New Roman" w:cs="Times New Roman"/>
          <w:bCs/>
          <w:sz w:val="24"/>
          <w:szCs w:val="24"/>
          <w:lang w:val="es-MX"/>
        </w:rPr>
        <w:t>700</w:t>
      </w:r>
      <w:r w:rsidRPr="006975B7">
        <w:rPr>
          <w:rFonts w:ascii="Times New Roman" w:hAnsi="Times New Roman" w:cs="Times New Roman"/>
          <w:bCs/>
          <w:sz w:val="24"/>
          <w:szCs w:val="24"/>
          <w:lang w:val="es-MX"/>
        </w:rPr>
        <w:t xml:space="preserve"> metros cúbicos</w:t>
      </w:r>
      <w:r w:rsidR="00F277B1">
        <w:rPr>
          <w:rFonts w:ascii="Times New Roman" w:hAnsi="Times New Roman" w:cs="Times New Roman"/>
          <w:bCs/>
          <w:sz w:val="24"/>
          <w:szCs w:val="24"/>
          <w:lang w:val="es-MX"/>
        </w:rPr>
        <w:t xml:space="preserve"> de rajoncillo. Esto </w:t>
      </w:r>
      <w:r w:rsidRPr="006975B7">
        <w:rPr>
          <w:rFonts w:ascii="Times New Roman" w:hAnsi="Times New Roman" w:cs="Times New Roman"/>
          <w:bCs/>
          <w:sz w:val="24"/>
          <w:szCs w:val="24"/>
          <w:lang w:val="es-MX"/>
        </w:rPr>
        <w:t xml:space="preserve">da un costo de </w:t>
      </w:r>
      <w:r w:rsidR="00F277B1">
        <w:rPr>
          <w:rFonts w:ascii="Times New Roman" w:hAnsi="Times New Roman" w:cs="Times New Roman"/>
          <w:bCs/>
          <w:sz w:val="24"/>
          <w:szCs w:val="24"/>
          <w:lang w:val="es-MX"/>
        </w:rPr>
        <w:t>13 279</w:t>
      </w:r>
      <w:r w:rsidRPr="006975B7">
        <w:rPr>
          <w:rFonts w:ascii="Times New Roman" w:hAnsi="Times New Roman" w:cs="Times New Roman"/>
          <w:bCs/>
          <w:sz w:val="24"/>
          <w:szCs w:val="24"/>
          <w:lang w:val="es-MX"/>
        </w:rPr>
        <w:t xml:space="preserve"> pesos por cada </w:t>
      </w:r>
      <w:r w:rsidR="00F277B1">
        <w:rPr>
          <w:rFonts w:ascii="Times New Roman" w:hAnsi="Times New Roman" w:cs="Times New Roman"/>
          <w:bCs/>
          <w:sz w:val="24"/>
          <w:szCs w:val="24"/>
          <w:lang w:val="es-MX"/>
        </w:rPr>
        <w:t>kiló</w:t>
      </w:r>
      <w:r w:rsidRPr="006975B7">
        <w:rPr>
          <w:rFonts w:ascii="Times New Roman" w:hAnsi="Times New Roman" w:cs="Times New Roman"/>
          <w:bCs/>
          <w:sz w:val="24"/>
          <w:szCs w:val="24"/>
          <w:lang w:val="es-MX"/>
        </w:rPr>
        <w:t>metro de carretera</w:t>
      </w:r>
      <w:r w:rsidR="00F277B1">
        <w:rPr>
          <w:rFonts w:ascii="Times New Roman" w:hAnsi="Times New Roman" w:cs="Times New Roman"/>
          <w:bCs/>
          <w:sz w:val="24"/>
          <w:szCs w:val="24"/>
          <w:lang w:val="es-MX"/>
        </w:rPr>
        <w:t>, solo por concepto de compra de material, sin incluir las mermas</w:t>
      </w:r>
      <w:r w:rsidRPr="006975B7">
        <w:rPr>
          <w:rFonts w:ascii="Times New Roman" w:hAnsi="Times New Roman" w:cs="Times New Roman"/>
          <w:bCs/>
          <w:sz w:val="24"/>
          <w:szCs w:val="24"/>
          <w:lang w:val="es-MX"/>
        </w:rPr>
        <w:t xml:space="preserve">. La escoria de HAE se desecha, está libre de costos. Su costo de transportación es mucho menor que el del rajoncillo </w:t>
      </w:r>
      <w:r w:rsidR="00F277B1">
        <w:rPr>
          <w:rFonts w:ascii="Times New Roman" w:hAnsi="Times New Roman" w:cs="Times New Roman"/>
          <w:bCs/>
          <w:sz w:val="24"/>
          <w:szCs w:val="24"/>
          <w:lang w:val="es-MX"/>
        </w:rPr>
        <w:t>pues</w:t>
      </w:r>
      <w:r w:rsidRPr="006975B7">
        <w:rPr>
          <w:rFonts w:ascii="Times New Roman" w:hAnsi="Times New Roman" w:cs="Times New Roman"/>
          <w:bCs/>
          <w:sz w:val="24"/>
          <w:szCs w:val="24"/>
          <w:lang w:val="es-MX"/>
        </w:rPr>
        <w:t xml:space="preserve"> este se traslada desde la cantera de Las Parras, distante a aproximadamente 30 km, y las primeras se depositan a tan solo 2 kilómetros de la circunvalante. En estudios posteriores se puede realizar un análisis de costo más profundo pues estas escorias requieren ser transformadas a una granulometría específica. Lo anterior es subsanable si se lleva a cabo la instalación de un molino para la trituración del residuo siderúrgico</w:t>
      </w:r>
      <w:r w:rsidR="00F277B1">
        <w:rPr>
          <w:rFonts w:ascii="Times New Roman" w:hAnsi="Times New Roman" w:cs="Times New Roman"/>
          <w:bCs/>
          <w:sz w:val="24"/>
          <w:szCs w:val="24"/>
          <w:lang w:val="es-MX"/>
        </w:rPr>
        <w:t xml:space="preserve">. Como es lógico, esto debeser, a largo plazo, </w:t>
      </w:r>
      <w:r w:rsidRPr="006975B7">
        <w:rPr>
          <w:rFonts w:ascii="Times New Roman" w:hAnsi="Times New Roman" w:cs="Times New Roman"/>
          <w:bCs/>
          <w:sz w:val="24"/>
          <w:szCs w:val="24"/>
          <w:lang w:val="es-MX"/>
        </w:rPr>
        <w:t>mucho más factible que transportar el árido convencional de la cantera a la obra en cuestión.</w:t>
      </w:r>
    </w:p>
    <w:p w:rsidR="006975B7" w:rsidRPr="006975B7" w:rsidRDefault="006975B7" w:rsidP="006975B7">
      <w:pPr>
        <w:spacing w:after="0" w:line="360" w:lineRule="auto"/>
        <w:jc w:val="both"/>
        <w:rPr>
          <w:rFonts w:ascii="Times New Roman" w:hAnsi="Times New Roman" w:cs="Times New Roman"/>
          <w:bCs/>
          <w:sz w:val="24"/>
          <w:szCs w:val="24"/>
          <w:lang w:val="es-MX"/>
        </w:rPr>
      </w:pPr>
      <w:r w:rsidRPr="006975B7">
        <w:rPr>
          <w:rFonts w:ascii="Times New Roman" w:hAnsi="Times New Roman" w:cs="Times New Roman"/>
          <w:bCs/>
          <w:sz w:val="24"/>
          <w:szCs w:val="24"/>
          <w:lang w:val="es-MX"/>
        </w:rPr>
        <w:t>No puede hacerse a un lado el análisis medio ambiental que de manera indirecta tributa con un carácter muy positivo la presente investigaci</w:t>
      </w:r>
      <w:r w:rsidR="00F277B1">
        <w:rPr>
          <w:rFonts w:ascii="Times New Roman" w:hAnsi="Times New Roman" w:cs="Times New Roman"/>
          <w:bCs/>
          <w:sz w:val="24"/>
          <w:szCs w:val="24"/>
          <w:lang w:val="es-MX"/>
        </w:rPr>
        <w:t>ón. S</w:t>
      </w:r>
      <w:r w:rsidRPr="006975B7">
        <w:rPr>
          <w:rFonts w:ascii="Times New Roman" w:hAnsi="Times New Roman" w:cs="Times New Roman"/>
          <w:bCs/>
          <w:sz w:val="24"/>
          <w:szCs w:val="24"/>
          <w:lang w:val="es-MX"/>
        </w:rPr>
        <w:t xml:space="preserve">e habla de reducir o eliminar áreas que se usan actualmente como vertederos. Estas escorias de ACINOX se acopian constantemente en un lugar que deteriora el paisaje, además limita el uso de los suelos y al ser depositadas en un lugar a cielo abierto actúan como agentes contaminantes del medio </w:t>
      </w:r>
      <w:r w:rsidRPr="006975B7">
        <w:rPr>
          <w:rFonts w:ascii="Times New Roman" w:hAnsi="Times New Roman" w:cs="Times New Roman"/>
          <w:bCs/>
          <w:sz w:val="24"/>
          <w:szCs w:val="24"/>
          <w:lang w:val="es-MX"/>
        </w:rPr>
        <w:lastRenderedPageBreak/>
        <w:t xml:space="preserve">ambiente. Por lo tanto, al reutilizar este residuo se evita la explotación de canteras y se solucionan algunas de las problemáticas planteadas anteriormente. </w:t>
      </w:r>
    </w:p>
    <w:p w:rsidR="006975B7" w:rsidRPr="006975B7" w:rsidRDefault="006975B7" w:rsidP="006975B7">
      <w:pPr>
        <w:spacing w:after="0" w:line="360" w:lineRule="auto"/>
        <w:jc w:val="both"/>
        <w:rPr>
          <w:rFonts w:ascii="Times New Roman" w:hAnsi="Times New Roman" w:cs="Times New Roman"/>
          <w:bCs/>
          <w:sz w:val="24"/>
          <w:szCs w:val="24"/>
          <w:lang w:val="es-MX"/>
        </w:rPr>
      </w:pPr>
      <w:r w:rsidRPr="006975B7">
        <w:rPr>
          <w:rFonts w:ascii="Times New Roman" w:hAnsi="Times New Roman" w:cs="Times New Roman"/>
          <w:bCs/>
          <w:sz w:val="24"/>
          <w:szCs w:val="24"/>
          <w:lang w:val="es-MX"/>
        </w:rPr>
        <w:t xml:space="preserve">Si analiza el problema desde otra arista se debe tener en cuenta otro ensayo muy importante para la valoración ambiental que es el de lixiviación. Este importante método se basa en la disolución de una muestra sólida con ácido acético durante 24 horas. En nuestro país no existen normas para verificar el grado de contaminación o los efectos negativos que pueda ocasionar el manejo de las escorias siderúrgicas. </w:t>
      </w:r>
    </w:p>
    <w:p w:rsidR="00142677" w:rsidRDefault="006975B7" w:rsidP="006975B7">
      <w:pPr>
        <w:spacing w:after="0" w:line="360" w:lineRule="auto"/>
        <w:jc w:val="both"/>
        <w:rPr>
          <w:rFonts w:ascii="Times New Roman" w:hAnsi="Times New Roman" w:cs="Times New Roman"/>
          <w:bCs/>
          <w:sz w:val="24"/>
          <w:szCs w:val="24"/>
          <w:lang w:val="es-MX"/>
        </w:rPr>
      </w:pPr>
      <w:r w:rsidRPr="006975B7">
        <w:rPr>
          <w:rFonts w:ascii="Times New Roman" w:hAnsi="Times New Roman" w:cs="Times New Roman"/>
          <w:bCs/>
          <w:sz w:val="24"/>
          <w:szCs w:val="24"/>
          <w:lang w:val="es-MX"/>
        </w:rPr>
        <w:t>En Cuba el Centro de Investigaciones Metalúrgicas efectuó el análisis de lixiviación y eco toxicidad a las escorias negras y blancas de la Empresa Siderúrgica José Martí. En el mismo la concentración de metales pesados en la escoria de HAE, se encuentra por debajo del límite tóxico de acuerdo a la Legislación Europea.</w:t>
      </w:r>
      <w:r w:rsidR="007F6704" w:rsidRPr="007F6704">
        <w:rPr>
          <w:rFonts w:ascii="Times New Roman" w:hAnsi="Times New Roman" w:cs="Times New Roman"/>
          <w:noProof/>
          <w:sz w:val="24"/>
          <w:szCs w:val="24"/>
        </w:rPr>
        <w:t>(Carballo, 2015)</w:t>
      </w:r>
      <w:r w:rsidR="00142677">
        <w:rPr>
          <w:rFonts w:ascii="Times New Roman" w:hAnsi="Times New Roman" w:cs="Times New Roman"/>
          <w:noProof/>
          <w:sz w:val="24"/>
          <w:szCs w:val="24"/>
        </w:rPr>
        <w:t xml:space="preserve">. </w:t>
      </w:r>
      <w:r w:rsidR="007F6704">
        <w:rPr>
          <w:rFonts w:ascii="Times New Roman" w:hAnsi="Times New Roman" w:cs="Times New Roman"/>
          <w:bCs/>
          <w:sz w:val="24"/>
          <w:szCs w:val="24"/>
          <w:lang w:val="es-MX"/>
        </w:rPr>
        <w:t xml:space="preserve">Las tecnologías de producción </w:t>
      </w:r>
      <w:r w:rsidR="00142677">
        <w:rPr>
          <w:rFonts w:ascii="Times New Roman" w:hAnsi="Times New Roman" w:cs="Times New Roman"/>
          <w:bCs/>
          <w:sz w:val="24"/>
          <w:szCs w:val="24"/>
          <w:lang w:val="es-MX"/>
        </w:rPr>
        <w:t>de</w:t>
      </w:r>
      <w:r w:rsidR="007F6704">
        <w:rPr>
          <w:rFonts w:ascii="Times New Roman" w:hAnsi="Times New Roman" w:cs="Times New Roman"/>
          <w:bCs/>
          <w:sz w:val="24"/>
          <w:szCs w:val="24"/>
          <w:lang w:val="es-MX"/>
        </w:rPr>
        <w:t xml:space="preserve"> ambas plantas son </w:t>
      </w:r>
      <w:r w:rsidR="00142677">
        <w:rPr>
          <w:rFonts w:ascii="Times New Roman" w:hAnsi="Times New Roman" w:cs="Times New Roman"/>
          <w:bCs/>
          <w:sz w:val="24"/>
          <w:szCs w:val="24"/>
          <w:lang w:val="es-MX"/>
        </w:rPr>
        <w:t>las mismas</w:t>
      </w:r>
      <w:r w:rsidR="007F6704">
        <w:rPr>
          <w:rFonts w:ascii="Times New Roman" w:hAnsi="Times New Roman" w:cs="Times New Roman"/>
          <w:bCs/>
          <w:sz w:val="24"/>
          <w:szCs w:val="24"/>
          <w:lang w:val="es-MX"/>
        </w:rPr>
        <w:t>. Además, a</w:t>
      </w:r>
      <w:r w:rsidRPr="006975B7">
        <w:rPr>
          <w:rFonts w:ascii="Times New Roman" w:hAnsi="Times New Roman" w:cs="Times New Roman"/>
          <w:bCs/>
          <w:sz w:val="24"/>
          <w:szCs w:val="24"/>
          <w:lang w:val="es-MX"/>
        </w:rPr>
        <w:t>l comparar los porcentajes de óxidos más representativos de las escorias de HAE generadas en las plantas ACINOX Las</w:t>
      </w:r>
      <w:r w:rsidR="007F6704">
        <w:rPr>
          <w:rFonts w:ascii="Times New Roman" w:hAnsi="Times New Roman" w:cs="Times New Roman"/>
          <w:bCs/>
          <w:sz w:val="24"/>
          <w:szCs w:val="24"/>
          <w:lang w:val="es-MX"/>
        </w:rPr>
        <w:t xml:space="preserve"> Tunas y José Martí (Ver tabla </w:t>
      </w:r>
      <w:r w:rsidR="00142677">
        <w:rPr>
          <w:rFonts w:ascii="Times New Roman" w:hAnsi="Times New Roman" w:cs="Times New Roman"/>
          <w:bCs/>
          <w:sz w:val="24"/>
          <w:szCs w:val="24"/>
          <w:lang w:val="es-MX"/>
        </w:rPr>
        <w:t>3</w:t>
      </w:r>
      <w:r w:rsidRPr="006975B7">
        <w:rPr>
          <w:rFonts w:ascii="Times New Roman" w:hAnsi="Times New Roman" w:cs="Times New Roman"/>
          <w:bCs/>
          <w:sz w:val="24"/>
          <w:szCs w:val="24"/>
          <w:lang w:val="es-MX"/>
        </w:rPr>
        <w:t>), se puede apreciar que las mismas poseen características similares.</w:t>
      </w:r>
    </w:p>
    <w:p w:rsidR="00142677" w:rsidRDefault="00142677" w:rsidP="006975B7">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 xml:space="preserve">Tabla 3. </w:t>
      </w:r>
      <w:r w:rsidRPr="00142677">
        <w:rPr>
          <w:rFonts w:ascii="Times New Roman" w:hAnsi="Times New Roman" w:cs="Times New Roman"/>
          <w:bCs/>
          <w:sz w:val="24"/>
          <w:szCs w:val="24"/>
          <w:lang w:val="es-MX"/>
        </w:rPr>
        <w:t xml:space="preserve">Óxidos principales </w:t>
      </w:r>
      <w:r>
        <w:rPr>
          <w:rFonts w:ascii="Times New Roman" w:hAnsi="Times New Roman" w:cs="Times New Roman"/>
          <w:bCs/>
          <w:sz w:val="24"/>
          <w:szCs w:val="24"/>
          <w:lang w:val="es-MX"/>
        </w:rPr>
        <w:t>de</w:t>
      </w:r>
      <w:r w:rsidRPr="00142677">
        <w:rPr>
          <w:rFonts w:ascii="Times New Roman" w:hAnsi="Times New Roman" w:cs="Times New Roman"/>
          <w:bCs/>
          <w:sz w:val="24"/>
          <w:szCs w:val="24"/>
          <w:lang w:val="es-MX"/>
        </w:rPr>
        <w:t xml:space="preserve"> las escorias de ACINOX Las Tunas y Antilla de Acero</w:t>
      </w:r>
    </w:p>
    <w:tbl>
      <w:tblPr>
        <w:tblStyle w:val="Tablaconcuadrcula"/>
        <w:tblW w:w="8249" w:type="dxa"/>
        <w:tblInd w:w="250" w:type="dxa"/>
        <w:tblLook w:val="04A0"/>
      </w:tblPr>
      <w:tblGrid>
        <w:gridCol w:w="3544"/>
        <w:gridCol w:w="756"/>
        <w:gridCol w:w="768"/>
        <w:gridCol w:w="803"/>
        <w:gridCol w:w="766"/>
        <w:gridCol w:w="843"/>
        <w:gridCol w:w="769"/>
      </w:tblGrid>
      <w:tr w:rsidR="00142677" w:rsidRPr="00142677" w:rsidTr="00142677">
        <w:trPr>
          <w:trHeight w:val="299"/>
        </w:trPr>
        <w:tc>
          <w:tcPr>
            <w:tcW w:w="3544" w:type="dxa"/>
            <w:shd w:val="clear" w:color="auto" w:fill="D9D9D9" w:themeFill="background1" w:themeFillShade="D9"/>
            <w:vAlign w:val="center"/>
            <w:hideMark/>
          </w:tcPr>
          <w:p w:rsidR="00142677" w:rsidRPr="00142677" w:rsidRDefault="00142677" w:rsidP="00142677">
            <w:pPr>
              <w:spacing w:after="0"/>
              <w:jc w:val="both"/>
              <w:rPr>
                <w:rFonts w:ascii="Times New Roman" w:hAnsi="Times New Roman" w:cs="Times New Roman"/>
                <w:b/>
                <w:bCs/>
                <w:sz w:val="24"/>
                <w:szCs w:val="24"/>
              </w:rPr>
            </w:pPr>
            <w:r w:rsidRPr="00142677">
              <w:rPr>
                <w:rFonts w:ascii="Times New Roman" w:hAnsi="Times New Roman" w:cs="Times New Roman"/>
                <w:b/>
                <w:bCs/>
                <w:sz w:val="24"/>
                <w:szCs w:val="24"/>
              </w:rPr>
              <w:t>Óxidos</w:t>
            </w:r>
          </w:p>
        </w:tc>
        <w:tc>
          <w:tcPr>
            <w:tcW w:w="756" w:type="dxa"/>
            <w:shd w:val="clear" w:color="auto" w:fill="D9D9D9" w:themeFill="background1" w:themeFillShade="D9"/>
            <w:vAlign w:val="center"/>
            <w:hideMark/>
          </w:tcPr>
          <w:p w:rsidR="00142677" w:rsidRPr="00142677" w:rsidRDefault="00142677" w:rsidP="00142677">
            <w:pPr>
              <w:spacing w:after="0"/>
              <w:jc w:val="both"/>
              <w:rPr>
                <w:rFonts w:ascii="Times New Roman" w:hAnsi="Times New Roman" w:cs="Times New Roman"/>
                <w:b/>
                <w:bCs/>
                <w:sz w:val="24"/>
                <w:szCs w:val="24"/>
              </w:rPr>
            </w:pPr>
            <w:r w:rsidRPr="00142677">
              <w:rPr>
                <w:rFonts w:ascii="Times New Roman" w:hAnsi="Times New Roman" w:cs="Times New Roman"/>
                <w:b/>
                <w:bCs/>
                <w:sz w:val="24"/>
                <w:szCs w:val="24"/>
              </w:rPr>
              <w:t>CaO</w:t>
            </w:r>
          </w:p>
        </w:tc>
        <w:tc>
          <w:tcPr>
            <w:tcW w:w="768" w:type="dxa"/>
            <w:shd w:val="clear" w:color="auto" w:fill="D9D9D9" w:themeFill="background1" w:themeFillShade="D9"/>
            <w:vAlign w:val="center"/>
            <w:hideMark/>
          </w:tcPr>
          <w:p w:rsidR="00142677" w:rsidRPr="00142677" w:rsidRDefault="00142677" w:rsidP="00142677">
            <w:pPr>
              <w:spacing w:after="0"/>
              <w:jc w:val="both"/>
              <w:rPr>
                <w:rFonts w:ascii="Times New Roman" w:hAnsi="Times New Roman" w:cs="Times New Roman"/>
                <w:b/>
                <w:bCs/>
                <w:sz w:val="24"/>
                <w:szCs w:val="24"/>
              </w:rPr>
            </w:pPr>
            <w:r w:rsidRPr="00142677">
              <w:rPr>
                <w:rFonts w:ascii="Times New Roman" w:hAnsi="Times New Roman" w:cs="Times New Roman"/>
                <w:b/>
                <w:bCs/>
                <w:sz w:val="24"/>
                <w:szCs w:val="24"/>
              </w:rPr>
              <w:t>SiO</w:t>
            </w:r>
            <w:r w:rsidRPr="00142677">
              <w:rPr>
                <w:rFonts w:ascii="Times New Roman" w:hAnsi="Times New Roman" w:cs="Times New Roman"/>
                <w:b/>
                <w:bCs/>
                <w:sz w:val="24"/>
                <w:szCs w:val="24"/>
                <w:vertAlign w:val="subscript"/>
              </w:rPr>
              <w:t>2</w:t>
            </w:r>
          </w:p>
        </w:tc>
        <w:tc>
          <w:tcPr>
            <w:tcW w:w="803" w:type="dxa"/>
            <w:shd w:val="clear" w:color="auto" w:fill="D9D9D9" w:themeFill="background1" w:themeFillShade="D9"/>
            <w:vAlign w:val="center"/>
            <w:hideMark/>
          </w:tcPr>
          <w:p w:rsidR="00142677" w:rsidRPr="00142677" w:rsidRDefault="00142677" w:rsidP="00142677">
            <w:pPr>
              <w:spacing w:after="0"/>
              <w:jc w:val="both"/>
              <w:rPr>
                <w:rFonts w:ascii="Times New Roman" w:hAnsi="Times New Roman" w:cs="Times New Roman"/>
                <w:b/>
                <w:bCs/>
                <w:sz w:val="24"/>
                <w:szCs w:val="24"/>
              </w:rPr>
            </w:pPr>
            <w:r w:rsidRPr="00142677">
              <w:rPr>
                <w:rFonts w:ascii="Times New Roman" w:hAnsi="Times New Roman" w:cs="Times New Roman"/>
                <w:b/>
                <w:bCs/>
                <w:sz w:val="24"/>
                <w:szCs w:val="24"/>
              </w:rPr>
              <w:t>Al</w:t>
            </w:r>
            <w:r w:rsidRPr="00142677">
              <w:rPr>
                <w:rFonts w:ascii="Times New Roman" w:hAnsi="Times New Roman" w:cs="Times New Roman"/>
                <w:b/>
                <w:bCs/>
                <w:sz w:val="24"/>
                <w:szCs w:val="24"/>
                <w:vertAlign w:val="subscript"/>
              </w:rPr>
              <w:t>2</w:t>
            </w:r>
            <w:r w:rsidRPr="00142677">
              <w:rPr>
                <w:rFonts w:ascii="Times New Roman" w:hAnsi="Times New Roman" w:cs="Times New Roman"/>
                <w:b/>
                <w:bCs/>
                <w:sz w:val="24"/>
                <w:szCs w:val="24"/>
              </w:rPr>
              <w:t>O</w:t>
            </w:r>
            <w:r w:rsidRPr="00142677">
              <w:rPr>
                <w:rFonts w:ascii="Times New Roman" w:hAnsi="Times New Roman" w:cs="Times New Roman"/>
                <w:b/>
                <w:bCs/>
                <w:sz w:val="24"/>
                <w:szCs w:val="24"/>
                <w:vertAlign w:val="subscript"/>
              </w:rPr>
              <w:t>3</w:t>
            </w:r>
          </w:p>
        </w:tc>
        <w:tc>
          <w:tcPr>
            <w:tcW w:w="766" w:type="dxa"/>
            <w:shd w:val="clear" w:color="auto" w:fill="D9D9D9" w:themeFill="background1" w:themeFillShade="D9"/>
            <w:vAlign w:val="center"/>
            <w:hideMark/>
          </w:tcPr>
          <w:p w:rsidR="00142677" w:rsidRPr="00142677" w:rsidRDefault="00142677" w:rsidP="00142677">
            <w:pPr>
              <w:spacing w:after="0"/>
              <w:jc w:val="both"/>
              <w:rPr>
                <w:rFonts w:ascii="Times New Roman" w:hAnsi="Times New Roman" w:cs="Times New Roman"/>
                <w:b/>
                <w:bCs/>
                <w:sz w:val="24"/>
                <w:szCs w:val="24"/>
              </w:rPr>
            </w:pPr>
            <w:r w:rsidRPr="00142677">
              <w:rPr>
                <w:rFonts w:ascii="Times New Roman" w:hAnsi="Times New Roman" w:cs="Times New Roman"/>
                <w:b/>
                <w:bCs/>
                <w:sz w:val="24"/>
                <w:szCs w:val="24"/>
              </w:rPr>
              <w:t>MgO</w:t>
            </w:r>
          </w:p>
        </w:tc>
        <w:tc>
          <w:tcPr>
            <w:tcW w:w="843" w:type="dxa"/>
            <w:shd w:val="clear" w:color="auto" w:fill="D9D9D9" w:themeFill="background1" w:themeFillShade="D9"/>
            <w:vAlign w:val="center"/>
            <w:hideMark/>
          </w:tcPr>
          <w:p w:rsidR="00142677" w:rsidRPr="00142677" w:rsidRDefault="00142677" w:rsidP="00142677">
            <w:pPr>
              <w:spacing w:after="0"/>
              <w:jc w:val="both"/>
              <w:rPr>
                <w:rFonts w:ascii="Times New Roman" w:hAnsi="Times New Roman" w:cs="Times New Roman"/>
                <w:b/>
                <w:bCs/>
                <w:sz w:val="24"/>
                <w:szCs w:val="24"/>
              </w:rPr>
            </w:pPr>
            <w:r w:rsidRPr="00142677">
              <w:rPr>
                <w:rFonts w:ascii="Times New Roman" w:hAnsi="Times New Roman" w:cs="Times New Roman"/>
                <w:b/>
                <w:bCs/>
                <w:sz w:val="24"/>
                <w:szCs w:val="24"/>
              </w:rPr>
              <w:t>Cr</w:t>
            </w:r>
            <w:r w:rsidRPr="00142677">
              <w:rPr>
                <w:rFonts w:ascii="Times New Roman" w:hAnsi="Times New Roman" w:cs="Times New Roman"/>
                <w:b/>
                <w:bCs/>
                <w:sz w:val="24"/>
                <w:szCs w:val="24"/>
                <w:vertAlign w:val="subscript"/>
              </w:rPr>
              <w:t>2</w:t>
            </w:r>
            <w:r w:rsidRPr="00142677">
              <w:rPr>
                <w:rFonts w:ascii="Times New Roman" w:hAnsi="Times New Roman" w:cs="Times New Roman"/>
                <w:b/>
                <w:bCs/>
                <w:sz w:val="24"/>
                <w:szCs w:val="24"/>
              </w:rPr>
              <w:t>O</w:t>
            </w:r>
            <w:r w:rsidRPr="00142677">
              <w:rPr>
                <w:rFonts w:ascii="Times New Roman" w:hAnsi="Times New Roman" w:cs="Times New Roman"/>
                <w:b/>
                <w:bCs/>
                <w:sz w:val="24"/>
                <w:szCs w:val="24"/>
                <w:vertAlign w:val="subscript"/>
              </w:rPr>
              <w:t>3</w:t>
            </w:r>
          </w:p>
        </w:tc>
        <w:tc>
          <w:tcPr>
            <w:tcW w:w="769" w:type="dxa"/>
            <w:shd w:val="clear" w:color="auto" w:fill="D9D9D9" w:themeFill="background1" w:themeFillShade="D9"/>
            <w:vAlign w:val="center"/>
            <w:hideMark/>
          </w:tcPr>
          <w:p w:rsidR="00142677" w:rsidRPr="00142677" w:rsidRDefault="00142677" w:rsidP="00142677">
            <w:pPr>
              <w:spacing w:after="0"/>
              <w:jc w:val="both"/>
              <w:rPr>
                <w:rFonts w:ascii="Times New Roman" w:hAnsi="Times New Roman" w:cs="Times New Roman"/>
                <w:b/>
                <w:bCs/>
                <w:sz w:val="24"/>
                <w:szCs w:val="24"/>
              </w:rPr>
            </w:pPr>
            <w:r w:rsidRPr="00142677">
              <w:rPr>
                <w:rFonts w:ascii="Times New Roman" w:hAnsi="Times New Roman" w:cs="Times New Roman"/>
                <w:b/>
                <w:bCs/>
                <w:sz w:val="24"/>
                <w:szCs w:val="24"/>
              </w:rPr>
              <w:t>MnO</w:t>
            </w:r>
          </w:p>
        </w:tc>
      </w:tr>
      <w:tr w:rsidR="00142677" w:rsidRPr="00142677" w:rsidTr="00142677">
        <w:trPr>
          <w:trHeight w:val="44"/>
        </w:trPr>
        <w:tc>
          <w:tcPr>
            <w:tcW w:w="3544"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Escoria de planta ACINOX (%)</w:t>
            </w:r>
          </w:p>
        </w:tc>
        <w:tc>
          <w:tcPr>
            <w:tcW w:w="756"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34</w:t>
            </w:r>
          </w:p>
        </w:tc>
        <w:tc>
          <w:tcPr>
            <w:tcW w:w="768"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16</w:t>
            </w:r>
          </w:p>
        </w:tc>
        <w:tc>
          <w:tcPr>
            <w:tcW w:w="803"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3,1</w:t>
            </w:r>
          </w:p>
        </w:tc>
        <w:tc>
          <w:tcPr>
            <w:tcW w:w="766"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4,6</w:t>
            </w:r>
          </w:p>
        </w:tc>
        <w:tc>
          <w:tcPr>
            <w:tcW w:w="843"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1,2</w:t>
            </w:r>
          </w:p>
        </w:tc>
        <w:tc>
          <w:tcPr>
            <w:tcW w:w="769"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6,3</w:t>
            </w:r>
          </w:p>
        </w:tc>
      </w:tr>
      <w:tr w:rsidR="00142677" w:rsidRPr="00142677" w:rsidTr="00142677">
        <w:trPr>
          <w:trHeight w:val="219"/>
        </w:trPr>
        <w:tc>
          <w:tcPr>
            <w:tcW w:w="3544" w:type="dxa"/>
            <w:vAlign w:val="center"/>
            <w:hideMark/>
          </w:tcPr>
          <w:p w:rsidR="00142677" w:rsidRPr="0054462C" w:rsidRDefault="00142677" w:rsidP="00142677">
            <w:pPr>
              <w:spacing w:after="0"/>
              <w:jc w:val="both"/>
              <w:rPr>
                <w:rFonts w:ascii="Times New Roman" w:hAnsi="Times New Roman" w:cs="Times New Roman"/>
                <w:bCs/>
                <w:sz w:val="24"/>
                <w:szCs w:val="24"/>
                <w:lang w:val="pt-PT"/>
              </w:rPr>
            </w:pPr>
            <w:r w:rsidRPr="0054462C">
              <w:rPr>
                <w:rFonts w:ascii="Times New Roman" w:hAnsi="Times New Roman" w:cs="Times New Roman"/>
                <w:bCs/>
                <w:sz w:val="24"/>
                <w:szCs w:val="24"/>
                <w:lang w:val="pt-PT"/>
              </w:rPr>
              <w:t xml:space="preserve">Escoria de planta José </w:t>
            </w:r>
            <w:proofErr w:type="spellStart"/>
            <w:r w:rsidRPr="0054462C">
              <w:rPr>
                <w:rFonts w:ascii="Times New Roman" w:hAnsi="Times New Roman" w:cs="Times New Roman"/>
                <w:bCs/>
                <w:sz w:val="24"/>
                <w:szCs w:val="24"/>
                <w:lang w:val="pt-PT"/>
              </w:rPr>
              <w:t>Martí</w:t>
            </w:r>
            <w:proofErr w:type="spellEnd"/>
            <w:r w:rsidRPr="0054462C">
              <w:rPr>
                <w:rFonts w:ascii="Times New Roman" w:hAnsi="Times New Roman" w:cs="Times New Roman"/>
                <w:bCs/>
                <w:sz w:val="24"/>
                <w:szCs w:val="24"/>
                <w:lang w:val="pt-PT"/>
              </w:rPr>
              <w:t xml:space="preserve"> (%)</w:t>
            </w:r>
          </w:p>
        </w:tc>
        <w:tc>
          <w:tcPr>
            <w:tcW w:w="756"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29.65</w:t>
            </w:r>
          </w:p>
        </w:tc>
        <w:tc>
          <w:tcPr>
            <w:tcW w:w="768"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15.76</w:t>
            </w:r>
          </w:p>
        </w:tc>
        <w:tc>
          <w:tcPr>
            <w:tcW w:w="803"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4.1</w:t>
            </w:r>
          </w:p>
        </w:tc>
        <w:tc>
          <w:tcPr>
            <w:tcW w:w="766"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4.48</w:t>
            </w:r>
          </w:p>
        </w:tc>
        <w:tc>
          <w:tcPr>
            <w:tcW w:w="843"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1.14</w:t>
            </w:r>
          </w:p>
        </w:tc>
        <w:tc>
          <w:tcPr>
            <w:tcW w:w="769" w:type="dxa"/>
            <w:vAlign w:val="center"/>
            <w:hideMark/>
          </w:tcPr>
          <w:p w:rsidR="00142677" w:rsidRPr="00142677" w:rsidRDefault="00142677" w:rsidP="00142677">
            <w:pPr>
              <w:spacing w:after="0"/>
              <w:jc w:val="both"/>
              <w:rPr>
                <w:rFonts w:ascii="Times New Roman" w:hAnsi="Times New Roman" w:cs="Times New Roman"/>
                <w:bCs/>
                <w:sz w:val="24"/>
                <w:szCs w:val="24"/>
              </w:rPr>
            </w:pPr>
            <w:r w:rsidRPr="00142677">
              <w:rPr>
                <w:rFonts w:ascii="Times New Roman" w:hAnsi="Times New Roman" w:cs="Times New Roman"/>
                <w:bCs/>
                <w:sz w:val="24"/>
                <w:szCs w:val="24"/>
              </w:rPr>
              <w:t>1.16</w:t>
            </w:r>
          </w:p>
        </w:tc>
      </w:tr>
    </w:tbl>
    <w:p w:rsidR="006975B7" w:rsidRDefault="007F6704" w:rsidP="00142677">
      <w:pPr>
        <w:spacing w:before="120"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 xml:space="preserve">Por </w:t>
      </w:r>
      <w:r w:rsidR="006975B7" w:rsidRPr="006975B7">
        <w:rPr>
          <w:rFonts w:ascii="Times New Roman" w:hAnsi="Times New Roman" w:cs="Times New Roman"/>
          <w:bCs/>
          <w:sz w:val="24"/>
          <w:szCs w:val="24"/>
          <w:lang w:val="es-MX"/>
        </w:rPr>
        <w:t xml:space="preserve">lo anterior </w:t>
      </w:r>
      <w:r>
        <w:rPr>
          <w:rFonts w:ascii="Times New Roman" w:hAnsi="Times New Roman" w:cs="Times New Roman"/>
          <w:bCs/>
          <w:sz w:val="24"/>
          <w:szCs w:val="24"/>
          <w:lang w:val="es-MX"/>
        </w:rPr>
        <w:t>es posible</w:t>
      </w:r>
      <w:r w:rsidR="006975B7" w:rsidRPr="006975B7">
        <w:rPr>
          <w:rFonts w:ascii="Times New Roman" w:hAnsi="Times New Roman" w:cs="Times New Roman"/>
          <w:bCs/>
          <w:sz w:val="24"/>
          <w:szCs w:val="24"/>
          <w:lang w:val="es-MX"/>
        </w:rPr>
        <w:t xml:space="preserve"> suponer que las primeras presentan resultados análogos a las segundas, en cuanto </w:t>
      </w:r>
      <w:r>
        <w:rPr>
          <w:rFonts w:ascii="Times New Roman" w:hAnsi="Times New Roman" w:cs="Times New Roman"/>
          <w:bCs/>
          <w:sz w:val="24"/>
          <w:szCs w:val="24"/>
          <w:lang w:val="es-MX"/>
        </w:rPr>
        <w:t>a</w:t>
      </w:r>
      <w:r w:rsidR="006975B7" w:rsidRPr="006975B7">
        <w:rPr>
          <w:rFonts w:ascii="Times New Roman" w:hAnsi="Times New Roman" w:cs="Times New Roman"/>
          <w:bCs/>
          <w:sz w:val="24"/>
          <w:szCs w:val="24"/>
          <w:lang w:val="es-MX"/>
        </w:rPr>
        <w:t xml:space="preserve"> lixiviación. </w:t>
      </w:r>
      <w:r w:rsidR="00142677">
        <w:rPr>
          <w:rFonts w:ascii="Times New Roman" w:hAnsi="Times New Roman" w:cs="Times New Roman"/>
          <w:bCs/>
          <w:sz w:val="24"/>
          <w:szCs w:val="24"/>
          <w:lang w:val="es-MX"/>
        </w:rPr>
        <w:t>Esto permite</w:t>
      </w:r>
      <w:r w:rsidR="006975B7" w:rsidRPr="006975B7">
        <w:rPr>
          <w:rFonts w:ascii="Times New Roman" w:hAnsi="Times New Roman" w:cs="Times New Roman"/>
          <w:bCs/>
          <w:sz w:val="24"/>
          <w:szCs w:val="24"/>
          <w:lang w:val="es-MX"/>
        </w:rPr>
        <w:t xml:space="preserve"> asum</w:t>
      </w:r>
      <w:r w:rsidR="00142677">
        <w:rPr>
          <w:rFonts w:ascii="Times New Roman" w:hAnsi="Times New Roman" w:cs="Times New Roman"/>
          <w:bCs/>
          <w:sz w:val="24"/>
          <w:szCs w:val="24"/>
          <w:lang w:val="es-MX"/>
        </w:rPr>
        <w:t xml:space="preserve">ir </w:t>
      </w:r>
      <w:r w:rsidR="006975B7" w:rsidRPr="006975B7">
        <w:rPr>
          <w:rFonts w:ascii="Times New Roman" w:hAnsi="Times New Roman" w:cs="Times New Roman"/>
          <w:bCs/>
          <w:sz w:val="24"/>
          <w:szCs w:val="24"/>
          <w:lang w:val="es-MX"/>
        </w:rPr>
        <w:t>que las escorias de HAE no presentan riesgos de lixivia</w:t>
      </w:r>
      <w:r>
        <w:rPr>
          <w:rFonts w:ascii="Times New Roman" w:hAnsi="Times New Roman" w:cs="Times New Roman"/>
          <w:bCs/>
          <w:sz w:val="24"/>
          <w:szCs w:val="24"/>
          <w:lang w:val="es-MX"/>
        </w:rPr>
        <w:t xml:space="preserve">dos </w:t>
      </w:r>
      <w:r w:rsidR="006975B7" w:rsidRPr="006975B7">
        <w:rPr>
          <w:rFonts w:ascii="Times New Roman" w:hAnsi="Times New Roman" w:cs="Times New Roman"/>
          <w:bCs/>
          <w:sz w:val="24"/>
          <w:szCs w:val="24"/>
          <w:lang w:val="es-MX"/>
        </w:rPr>
        <w:t xml:space="preserve">y son medioambientalmente aceptables </w:t>
      </w:r>
      <w:r>
        <w:rPr>
          <w:rFonts w:ascii="Times New Roman" w:hAnsi="Times New Roman" w:cs="Times New Roman"/>
          <w:bCs/>
          <w:sz w:val="24"/>
          <w:szCs w:val="24"/>
          <w:lang w:val="es-MX"/>
        </w:rPr>
        <w:t>para</w:t>
      </w:r>
      <w:r w:rsidR="006975B7" w:rsidRPr="006975B7">
        <w:rPr>
          <w:rFonts w:ascii="Times New Roman" w:hAnsi="Times New Roman" w:cs="Times New Roman"/>
          <w:bCs/>
          <w:sz w:val="24"/>
          <w:szCs w:val="24"/>
          <w:lang w:val="es-MX"/>
        </w:rPr>
        <w:t xml:space="preserve"> ser usadas en obras de construcción.</w:t>
      </w:r>
    </w:p>
    <w:p w:rsidR="007F6704" w:rsidRDefault="007F6704" w:rsidP="006975B7">
      <w:pPr>
        <w:spacing w:after="0" w:line="360" w:lineRule="auto"/>
        <w:jc w:val="both"/>
        <w:rPr>
          <w:rFonts w:ascii="Times New Roman" w:hAnsi="Times New Roman" w:cs="Times New Roman"/>
          <w:bCs/>
          <w:sz w:val="24"/>
          <w:szCs w:val="24"/>
          <w:lang w:val="es-MX"/>
        </w:rPr>
      </w:pPr>
    </w:p>
    <w:p w:rsidR="007F6704" w:rsidRPr="00A23D3F" w:rsidRDefault="007F6704" w:rsidP="00A23D3F">
      <w:pPr>
        <w:pStyle w:val="Ttulo1"/>
        <w:spacing w:before="0" w:line="360" w:lineRule="auto"/>
        <w:rPr>
          <w:rFonts w:ascii="Times New Roman" w:hAnsi="Times New Roman" w:cs="Times New Roman"/>
          <w:b/>
          <w:color w:val="auto"/>
          <w:sz w:val="24"/>
          <w:szCs w:val="24"/>
        </w:rPr>
      </w:pPr>
      <w:r w:rsidRPr="00A23D3F">
        <w:rPr>
          <w:rFonts w:ascii="Times New Roman" w:hAnsi="Times New Roman" w:cs="Times New Roman"/>
          <w:b/>
          <w:color w:val="auto"/>
          <w:sz w:val="24"/>
          <w:szCs w:val="24"/>
        </w:rPr>
        <w:t>4. Conclusiones</w:t>
      </w:r>
    </w:p>
    <w:p w:rsidR="00A61B28" w:rsidRPr="00A61B28" w:rsidRDefault="00A61B28" w:rsidP="00A61B28">
      <w:pPr>
        <w:numPr>
          <w:ilvl w:val="0"/>
          <w:numId w:val="24"/>
        </w:numPr>
        <w:spacing w:after="0" w:line="360" w:lineRule="auto"/>
        <w:jc w:val="both"/>
        <w:rPr>
          <w:rFonts w:ascii="Times New Roman" w:hAnsi="Times New Roman" w:cs="Times New Roman"/>
          <w:bCs/>
          <w:sz w:val="24"/>
          <w:szCs w:val="24"/>
          <w:lang w:val="es-MX"/>
        </w:rPr>
      </w:pPr>
      <w:r w:rsidRPr="00A61B28">
        <w:rPr>
          <w:rFonts w:ascii="Times New Roman" w:hAnsi="Times New Roman" w:cs="Times New Roman"/>
          <w:bCs/>
          <w:sz w:val="24"/>
          <w:szCs w:val="24"/>
          <w:lang w:val="es-MX"/>
        </w:rPr>
        <w:t xml:space="preserve">Según los ensayos establecidos por la NC 255: 2005 se comprobó que las escorias de HAE cumplen con los requerimientos técnicos para su uso en bases de carreteras y a su vez, poseen características similares al árido convencional de la cantera Las </w:t>
      </w:r>
      <w:r w:rsidRPr="00A61B28">
        <w:rPr>
          <w:rFonts w:ascii="Times New Roman" w:hAnsi="Times New Roman" w:cs="Times New Roman"/>
          <w:bCs/>
          <w:sz w:val="24"/>
          <w:szCs w:val="24"/>
          <w:lang w:val="es-MX"/>
        </w:rPr>
        <w:lastRenderedPageBreak/>
        <w:t>Parras en cuanto a granulometría, partículas de arcilla y partículas planas y alargadas.</w:t>
      </w:r>
    </w:p>
    <w:p w:rsidR="00A61B28" w:rsidRDefault="00A61B28" w:rsidP="00A61B28">
      <w:pPr>
        <w:numPr>
          <w:ilvl w:val="0"/>
          <w:numId w:val="24"/>
        </w:numPr>
        <w:spacing w:after="0" w:line="360" w:lineRule="auto"/>
        <w:jc w:val="both"/>
        <w:rPr>
          <w:rFonts w:ascii="Times New Roman" w:hAnsi="Times New Roman" w:cs="Times New Roman"/>
          <w:bCs/>
          <w:sz w:val="24"/>
          <w:szCs w:val="24"/>
          <w:lang w:val="es-MX"/>
        </w:rPr>
      </w:pPr>
      <w:r w:rsidRPr="00A61B28">
        <w:rPr>
          <w:rFonts w:ascii="Times New Roman" w:hAnsi="Times New Roman" w:cs="Times New Roman"/>
          <w:bCs/>
          <w:sz w:val="24"/>
          <w:szCs w:val="24"/>
          <w:lang w:val="es-MX"/>
        </w:rPr>
        <w:t>El ensayo de abrasión demostró que la escoria de HAE de ACINOX Las Tunas tiene un por ciento de desgaste inferior al árido convencional lo cual enfatiza las ventajas de su inclusión como árido grueso en bases de carreteras.</w:t>
      </w:r>
    </w:p>
    <w:p w:rsidR="00A61B28" w:rsidRDefault="00A61B28" w:rsidP="00A61B28">
      <w:pPr>
        <w:pStyle w:val="Prrafodelista"/>
        <w:numPr>
          <w:ilvl w:val="0"/>
          <w:numId w:val="24"/>
        </w:numPr>
        <w:rPr>
          <w:rFonts w:ascii="Times New Roman" w:hAnsi="Times New Roman" w:cs="Times New Roman"/>
          <w:bCs/>
          <w:iCs w:val="0"/>
          <w:color w:val="auto"/>
          <w:lang w:val="es-MX"/>
        </w:rPr>
      </w:pPr>
      <w:r>
        <w:rPr>
          <w:rFonts w:ascii="Times New Roman" w:hAnsi="Times New Roman" w:cs="Times New Roman"/>
          <w:bCs/>
          <w:iCs w:val="0"/>
          <w:color w:val="auto"/>
          <w:lang w:val="es-MX"/>
        </w:rPr>
        <w:t xml:space="preserve">La utilización de la escoria como árido en bases granulares de carreteras contribuye </w:t>
      </w:r>
      <w:r w:rsidRPr="00A61B28">
        <w:rPr>
          <w:rFonts w:ascii="Times New Roman" w:hAnsi="Times New Roman" w:cs="Times New Roman"/>
          <w:bCs/>
          <w:iCs w:val="0"/>
          <w:color w:val="auto"/>
          <w:lang w:val="es-MX"/>
        </w:rPr>
        <w:t xml:space="preserve">a la minimización de los impactos ambientales </w:t>
      </w:r>
      <w:r>
        <w:rPr>
          <w:rFonts w:ascii="Times New Roman" w:hAnsi="Times New Roman" w:cs="Times New Roman"/>
          <w:bCs/>
          <w:iCs w:val="0"/>
          <w:color w:val="auto"/>
          <w:lang w:val="es-MX"/>
        </w:rPr>
        <w:t>que provocan estos</w:t>
      </w:r>
      <w:r w:rsidRPr="00A61B28">
        <w:rPr>
          <w:rFonts w:ascii="Times New Roman" w:hAnsi="Times New Roman" w:cs="Times New Roman"/>
          <w:bCs/>
          <w:iCs w:val="0"/>
          <w:color w:val="auto"/>
          <w:lang w:val="es-MX"/>
        </w:rPr>
        <w:t xml:space="preserve"> residuos y la explotación de canteras que demanda la construcción.</w:t>
      </w:r>
    </w:p>
    <w:p w:rsidR="00A61B28" w:rsidRPr="00A61B28" w:rsidRDefault="00A61B28" w:rsidP="00A61B28">
      <w:pPr>
        <w:pStyle w:val="Prrafodelista"/>
        <w:numPr>
          <w:ilvl w:val="0"/>
          <w:numId w:val="24"/>
        </w:numPr>
        <w:rPr>
          <w:rFonts w:ascii="Times New Roman" w:hAnsi="Times New Roman" w:cs="Times New Roman"/>
          <w:bCs/>
          <w:iCs w:val="0"/>
          <w:color w:val="auto"/>
          <w:lang w:val="es-MX"/>
        </w:rPr>
      </w:pPr>
      <w:r>
        <w:rPr>
          <w:rFonts w:ascii="Times New Roman" w:hAnsi="Times New Roman" w:cs="Times New Roman"/>
          <w:bCs/>
          <w:iCs w:val="0"/>
          <w:color w:val="auto"/>
          <w:lang w:val="es-MX"/>
        </w:rPr>
        <w:t xml:space="preserve">El empleo de la escoria de </w:t>
      </w:r>
      <w:r w:rsidRPr="00A61B28">
        <w:rPr>
          <w:rFonts w:ascii="Times New Roman" w:hAnsi="Times New Roman" w:cs="Times New Roman"/>
          <w:bCs/>
          <w:lang w:val="es-MX"/>
        </w:rPr>
        <w:t>HAE de ACINOX Las Tunas</w:t>
      </w:r>
      <w:r>
        <w:rPr>
          <w:rFonts w:ascii="Times New Roman" w:hAnsi="Times New Roman" w:cs="Times New Roman"/>
          <w:bCs/>
          <w:lang w:val="es-MX"/>
        </w:rPr>
        <w:t xml:space="preserve"> en la construcción de la circunvalante sur de esa ciudad reduciría los costos de construcción y montaje de la misma. </w:t>
      </w:r>
    </w:p>
    <w:p w:rsidR="00142677" w:rsidRPr="00A23D3F" w:rsidRDefault="00A23D3F" w:rsidP="00A23D3F">
      <w:pPr>
        <w:pStyle w:val="Ttulo1"/>
        <w:spacing w:before="0" w:line="360" w:lineRule="auto"/>
        <w:rPr>
          <w:rFonts w:ascii="Times New Roman" w:hAnsi="Times New Roman" w:cs="Times New Roman"/>
          <w:b/>
          <w:color w:val="auto"/>
          <w:sz w:val="24"/>
          <w:szCs w:val="24"/>
        </w:rPr>
      </w:pPr>
      <w:r w:rsidRPr="00A23D3F">
        <w:rPr>
          <w:rFonts w:ascii="Times New Roman" w:hAnsi="Times New Roman" w:cs="Times New Roman"/>
          <w:b/>
          <w:color w:val="auto"/>
          <w:sz w:val="24"/>
          <w:szCs w:val="24"/>
        </w:rPr>
        <w:t xml:space="preserve">5. Referencias bibliográficas </w:t>
      </w:r>
    </w:p>
    <w:p w:rsidR="00142677" w:rsidRPr="00A23D3F" w:rsidRDefault="00142677" w:rsidP="00A23D3F">
      <w:pPr>
        <w:pStyle w:val="Prrafodelista"/>
        <w:numPr>
          <w:ilvl w:val="0"/>
          <w:numId w:val="25"/>
        </w:numPr>
        <w:spacing w:after="0"/>
        <w:ind w:left="426" w:hanging="425"/>
        <w:rPr>
          <w:rFonts w:ascii="Times New Roman" w:hAnsi="Times New Roman" w:cs="Times New Roman"/>
          <w:bCs/>
        </w:rPr>
      </w:pPr>
      <w:r w:rsidRPr="00A23D3F">
        <w:rPr>
          <w:rFonts w:ascii="Times New Roman" w:hAnsi="Times New Roman" w:cs="Times New Roman"/>
          <w:bCs/>
        </w:rPr>
        <w:t xml:space="preserve">Carballo Ricardo, J. A. (2015). </w:t>
      </w:r>
      <w:r w:rsidRPr="00A23D3F">
        <w:rPr>
          <w:rFonts w:ascii="Times New Roman" w:hAnsi="Times New Roman" w:cs="Times New Roman"/>
          <w:bCs/>
          <w:i/>
        </w:rPr>
        <w:t>Propuesta de utilización de escorias siderúrgicas en hormigones de 20 MPa.</w:t>
      </w:r>
      <w:r w:rsidRPr="00A23D3F">
        <w:rPr>
          <w:rFonts w:ascii="Times New Roman" w:hAnsi="Times New Roman" w:cs="Times New Roman"/>
          <w:bCs/>
        </w:rPr>
        <w:t xml:space="preserve"> (Tesis de Grado no publicada). Universidad de Holguín. Cuba</w:t>
      </w:r>
    </w:p>
    <w:p w:rsidR="00142677" w:rsidRPr="00A23D3F" w:rsidRDefault="00142677" w:rsidP="00A23D3F">
      <w:pPr>
        <w:pStyle w:val="Prrafodelista"/>
        <w:numPr>
          <w:ilvl w:val="0"/>
          <w:numId w:val="25"/>
        </w:numPr>
        <w:spacing w:after="0"/>
        <w:ind w:left="426" w:hanging="425"/>
        <w:rPr>
          <w:rFonts w:ascii="Times New Roman" w:hAnsi="Times New Roman" w:cs="Times New Roman"/>
          <w:bCs/>
        </w:rPr>
      </w:pPr>
      <w:r w:rsidRPr="00A23D3F">
        <w:rPr>
          <w:rFonts w:ascii="Times New Roman" w:hAnsi="Times New Roman" w:cs="Times New Roman"/>
          <w:bCs/>
        </w:rPr>
        <w:t xml:space="preserve">Carrillo Gil, A., y García García, E. (2012). </w:t>
      </w:r>
      <w:r w:rsidRPr="00A23D3F">
        <w:rPr>
          <w:rFonts w:ascii="Times New Roman" w:hAnsi="Times New Roman" w:cs="Times New Roman"/>
          <w:bCs/>
          <w:i/>
        </w:rPr>
        <w:t>Uso de las escorias de acería de horno de arco eléctrico en obras viales.</w:t>
      </w:r>
      <w:r w:rsidRPr="00A23D3F">
        <w:rPr>
          <w:rFonts w:ascii="Times New Roman" w:hAnsi="Times New Roman" w:cs="Times New Roman"/>
          <w:bCs/>
        </w:rPr>
        <w:t xml:space="preserve"> Pisco. Perú</w:t>
      </w:r>
    </w:p>
    <w:p w:rsidR="00142677" w:rsidRPr="00A23D3F" w:rsidRDefault="009647EC" w:rsidP="00A23D3F">
      <w:pPr>
        <w:pStyle w:val="Prrafodelista"/>
        <w:numPr>
          <w:ilvl w:val="0"/>
          <w:numId w:val="25"/>
        </w:numPr>
        <w:spacing w:after="0"/>
        <w:ind w:left="426" w:hanging="425"/>
        <w:rPr>
          <w:rFonts w:ascii="Times New Roman" w:hAnsi="Times New Roman" w:cs="Times New Roman"/>
          <w:bCs/>
        </w:rPr>
      </w:pPr>
      <w:r>
        <w:rPr>
          <w:rFonts w:ascii="Times New Roman" w:hAnsi="Times New Roman" w:cs="Times New Roman"/>
          <w:bCs/>
        </w:rPr>
        <w:t>NC-255</w:t>
      </w:r>
      <w:r w:rsidR="00142677" w:rsidRPr="00A23D3F">
        <w:rPr>
          <w:rFonts w:ascii="Times New Roman" w:hAnsi="Times New Roman" w:cs="Times New Roman"/>
          <w:bCs/>
        </w:rPr>
        <w:t xml:space="preserve">: 2005. </w:t>
      </w:r>
      <w:r w:rsidR="00142677" w:rsidRPr="00A23D3F">
        <w:rPr>
          <w:rFonts w:ascii="Times New Roman" w:hAnsi="Times New Roman" w:cs="Times New Roman"/>
          <w:bCs/>
          <w:i/>
        </w:rPr>
        <w:t>Carreteras.Colocación de Macadam por penetración.Código de buenas prácticas. Oficina de Normalización</w:t>
      </w:r>
      <w:r w:rsidR="00142677" w:rsidRPr="00A23D3F">
        <w:rPr>
          <w:rFonts w:ascii="Times New Roman" w:hAnsi="Times New Roman" w:cs="Times New Roman"/>
          <w:bCs/>
        </w:rPr>
        <w:t>. La Habana, Cuba</w:t>
      </w:r>
    </w:p>
    <w:p w:rsidR="00142677" w:rsidRPr="00A23D3F" w:rsidRDefault="00142677" w:rsidP="00A23D3F">
      <w:pPr>
        <w:pStyle w:val="Prrafodelista"/>
        <w:numPr>
          <w:ilvl w:val="0"/>
          <w:numId w:val="25"/>
        </w:numPr>
        <w:spacing w:after="0"/>
        <w:ind w:left="426" w:hanging="425"/>
        <w:rPr>
          <w:rFonts w:ascii="Times New Roman" w:hAnsi="Times New Roman" w:cs="Times New Roman"/>
          <w:bCs/>
        </w:rPr>
      </w:pPr>
      <w:r w:rsidRPr="00A23D3F">
        <w:rPr>
          <w:rFonts w:ascii="Times New Roman" w:hAnsi="Times New Roman" w:cs="Times New Roman"/>
          <w:bCs/>
        </w:rPr>
        <w:t xml:space="preserve">NC-178: 2002. </w:t>
      </w:r>
      <w:r w:rsidRPr="00A23D3F">
        <w:rPr>
          <w:rFonts w:ascii="Times New Roman" w:hAnsi="Times New Roman" w:cs="Times New Roman"/>
          <w:bCs/>
          <w:i/>
        </w:rPr>
        <w:t>Granulometría. Oficina de Normalización</w:t>
      </w:r>
      <w:r w:rsidRPr="00A23D3F">
        <w:rPr>
          <w:rFonts w:ascii="Times New Roman" w:hAnsi="Times New Roman" w:cs="Times New Roman"/>
          <w:bCs/>
        </w:rPr>
        <w:t>. La Habana, Cuba</w:t>
      </w:r>
    </w:p>
    <w:p w:rsidR="00142677" w:rsidRPr="00A23D3F" w:rsidRDefault="00142677" w:rsidP="00A23D3F">
      <w:pPr>
        <w:pStyle w:val="Prrafodelista"/>
        <w:numPr>
          <w:ilvl w:val="0"/>
          <w:numId w:val="25"/>
        </w:numPr>
        <w:spacing w:after="0"/>
        <w:ind w:left="426" w:hanging="425"/>
        <w:rPr>
          <w:rFonts w:ascii="Times New Roman" w:hAnsi="Times New Roman" w:cs="Times New Roman"/>
          <w:bCs/>
        </w:rPr>
      </w:pPr>
      <w:r w:rsidRPr="00A23D3F">
        <w:rPr>
          <w:rFonts w:ascii="Times New Roman" w:hAnsi="Times New Roman" w:cs="Times New Roman"/>
          <w:bCs/>
        </w:rPr>
        <w:t xml:space="preserve">NC-179: 2002. </w:t>
      </w:r>
      <w:r w:rsidRPr="00A23D3F">
        <w:rPr>
          <w:rFonts w:ascii="Times New Roman" w:hAnsi="Times New Roman" w:cs="Times New Roman"/>
          <w:bCs/>
          <w:i/>
        </w:rPr>
        <w:t>Determinación de las partículas de arcilla</w:t>
      </w:r>
      <w:r w:rsidRPr="00A23D3F">
        <w:rPr>
          <w:rFonts w:ascii="Times New Roman" w:hAnsi="Times New Roman" w:cs="Times New Roman"/>
          <w:bCs/>
        </w:rPr>
        <w:t>. Oficina de Normalización. La Habana, Cuba</w:t>
      </w:r>
    </w:p>
    <w:p w:rsidR="00142677" w:rsidRPr="00A23D3F" w:rsidRDefault="00142677" w:rsidP="00A23D3F">
      <w:pPr>
        <w:pStyle w:val="Prrafodelista"/>
        <w:numPr>
          <w:ilvl w:val="0"/>
          <w:numId w:val="25"/>
        </w:numPr>
        <w:spacing w:after="0"/>
        <w:ind w:left="426" w:hanging="425"/>
        <w:rPr>
          <w:rFonts w:ascii="Times New Roman" w:hAnsi="Times New Roman" w:cs="Times New Roman"/>
          <w:bCs/>
        </w:rPr>
      </w:pPr>
      <w:r w:rsidRPr="00A23D3F">
        <w:rPr>
          <w:rFonts w:ascii="Times New Roman" w:hAnsi="Times New Roman" w:cs="Times New Roman"/>
          <w:bCs/>
        </w:rPr>
        <w:t xml:space="preserve">NC-188: 2002. </w:t>
      </w:r>
      <w:r w:rsidRPr="00A23D3F">
        <w:rPr>
          <w:rFonts w:ascii="Times New Roman" w:hAnsi="Times New Roman" w:cs="Times New Roman"/>
          <w:bCs/>
          <w:i/>
        </w:rPr>
        <w:t>Áridos gruesos.Abrasión. Método de ensayo</w:t>
      </w:r>
      <w:r w:rsidRPr="00A23D3F">
        <w:rPr>
          <w:rFonts w:ascii="Times New Roman" w:hAnsi="Times New Roman" w:cs="Times New Roman"/>
          <w:bCs/>
        </w:rPr>
        <w:t xml:space="preserve">. Oficina de Normalización. La Habana, Cuba </w:t>
      </w:r>
    </w:p>
    <w:p w:rsidR="00142677" w:rsidRPr="00A23D3F" w:rsidRDefault="00142677" w:rsidP="00A23D3F">
      <w:pPr>
        <w:pStyle w:val="Prrafodelista"/>
        <w:numPr>
          <w:ilvl w:val="0"/>
          <w:numId w:val="25"/>
        </w:numPr>
        <w:spacing w:after="0"/>
        <w:ind w:left="426" w:hanging="425"/>
        <w:rPr>
          <w:rFonts w:ascii="Times New Roman" w:hAnsi="Times New Roman" w:cs="Times New Roman"/>
          <w:bCs/>
        </w:rPr>
      </w:pPr>
      <w:r w:rsidRPr="00A23D3F">
        <w:rPr>
          <w:rFonts w:ascii="Times New Roman" w:hAnsi="Times New Roman" w:cs="Times New Roman"/>
          <w:bCs/>
        </w:rPr>
        <w:t xml:space="preserve">NC-189: 2002. </w:t>
      </w:r>
      <w:r w:rsidRPr="00A23D3F">
        <w:rPr>
          <w:rFonts w:ascii="Times New Roman" w:hAnsi="Times New Roman" w:cs="Times New Roman"/>
          <w:bCs/>
          <w:i/>
        </w:rPr>
        <w:t>Determinación de las partículas planas y alargadas</w:t>
      </w:r>
      <w:r w:rsidRPr="00A23D3F">
        <w:rPr>
          <w:rFonts w:ascii="Times New Roman" w:hAnsi="Times New Roman" w:cs="Times New Roman"/>
          <w:bCs/>
        </w:rPr>
        <w:t>. Oficina de Normalización. La Habana, Cuba</w:t>
      </w:r>
    </w:p>
    <w:p w:rsidR="00142677" w:rsidRPr="00A23D3F" w:rsidRDefault="00142677" w:rsidP="00A23D3F">
      <w:pPr>
        <w:pStyle w:val="Prrafodelista"/>
        <w:numPr>
          <w:ilvl w:val="0"/>
          <w:numId w:val="25"/>
        </w:numPr>
        <w:spacing w:after="0"/>
        <w:ind w:left="426" w:hanging="425"/>
        <w:rPr>
          <w:rFonts w:ascii="Times New Roman" w:hAnsi="Times New Roman" w:cs="Times New Roman"/>
          <w:bCs/>
        </w:rPr>
      </w:pPr>
      <w:r w:rsidRPr="00A23D3F">
        <w:rPr>
          <w:rFonts w:ascii="Times New Roman" w:hAnsi="Times New Roman" w:cs="Times New Roman"/>
          <w:bCs/>
        </w:rPr>
        <w:t xml:space="preserve">Payne Delíz, D. (2017). </w:t>
      </w:r>
      <w:r w:rsidRPr="00A23D3F">
        <w:rPr>
          <w:rFonts w:ascii="Times New Roman" w:hAnsi="Times New Roman" w:cs="Times New Roman"/>
          <w:bCs/>
          <w:i/>
        </w:rPr>
        <w:t>Estabilización de la subrasante de carreteras empleando escorias de acería</w:t>
      </w:r>
      <w:r w:rsidRPr="00A23D3F">
        <w:rPr>
          <w:rFonts w:ascii="Times New Roman" w:hAnsi="Times New Roman" w:cs="Times New Roman"/>
          <w:bCs/>
        </w:rPr>
        <w:t>. (Tesis de grado no publicada) Universidad de Holguín, Cuba</w:t>
      </w:r>
    </w:p>
    <w:p w:rsidR="007A035A" w:rsidRPr="00887028" w:rsidRDefault="007A035A" w:rsidP="002A4CF4">
      <w:pPr>
        <w:spacing w:after="0" w:line="360" w:lineRule="auto"/>
        <w:jc w:val="both"/>
        <w:rPr>
          <w:rFonts w:ascii="Times New Roman" w:hAnsi="Times New Roman" w:cs="Times New Roman"/>
          <w:bCs/>
          <w:sz w:val="24"/>
          <w:szCs w:val="24"/>
        </w:rPr>
      </w:pPr>
    </w:p>
    <w:p w:rsidR="00C67E32" w:rsidRDefault="00C67E32" w:rsidP="00C67E32">
      <w:pPr>
        <w:pStyle w:val="Ttulo1"/>
        <w:spacing w:before="0"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6</w:t>
      </w:r>
      <w:r w:rsidRPr="00A23D3F">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Anexo 1</w:t>
      </w:r>
    </w:p>
    <w:p w:rsidR="00C67E32" w:rsidRDefault="00C67E32" w:rsidP="00C67E32">
      <w:pPr>
        <w:rPr>
          <w:rFonts w:ascii="Times New Roman" w:hAnsi="Times New Roman" w:cs="Times New Roman"/>
          <w:b/>
          <w:bCs/>
          <w:sz w:val="24"/>
          <w:szCs w:val="24"/>
          <w:lang w:val="es-MX"/>
        </w:rPr>
      </w:pPr>
      <w:r>
        <w:rPr>
          <w:rFonts w:ascii="Times New Roman" w:hAnsi="Times New Roman" w:cs="Times New Roman"/>
          <w:b/>
          <w:bCs/>
          <w:sz w:val="24"/>
          <w:szCs w:val="24"/>
          <w:lang w:val="es-MX"/>
        </w:rPr>
        <w:t>Imágenes de los ensayos realizados a la muestra patrón y la escoria de HAE</w:t>
      </w:r>
    </w:p>
    <w:tbl>
      <w:tblPr>
        <w:tblStyle w:val="Tablaconcuadrcula"/>
        <w:tblW w:w="0" w:type="auto"/>
        <w:tblLook w:val="04A0"/>
      </w:tblPr>
      <w:tblGrid>
        <w:gridCol w:w="4527"/>
        <w:gridCol w:w="4527"/>
      </w:tblGrid>
      <w:tr w:rsidR="00A032D7" w:rsidTr="00041FA5">
        <w:trPr>
          <w:trHeight w:val="181"/>
        </w:trPr>
        <w:tc>
          <w:tcPr>
            <w:tcW w:w="4605" w:type="dxa"/>
            <w:vAlign w:val="center"/>
          </w:tcPr>
          <w:p w:rsidR="00C67E32" w:rsidRPr="00994E7D" w:rsidRDefault="00C67E32" w:rsidP="00041FA5">
            <w:pPr>
              <w:spacing w:after="0" w:line="240" w:lineRule="auto"/>
              <w:jc w:val="center"/>
              <w:rPr>
                <w:rFonts w:ascii="Times New Roman" w:hAnsi="Times New Roman" w:cs="Times New Roman"/>
                <w:b/>
                <w:bCs/>
                <w:sz w:val="24"/>
                <w:szCs w:val="24"/>
                <w:lang w:val="es-MX"/>
              </w:rPr>
            </w:pPr>
            <w:r w:rsidRPr="00994E7D">
              <w:rPr>
                <w:rFonts w:ascii="Times New Roman" w:hAnsi="Times New Roman" w:cs="Times New Roman"/>
                <w:b/>
                <w:bCs/>
                <w:sz w:val="24"/>
                <w:szCs w:val="24"/>
                <w:lang w:val="es-MX"/>
              </w:rPr>
              <w:t xml:space="preserve">MUESTRA PATRÓN </w:t>
            </w:r>
          </w:p>
        </w:tc>
        <w:tc>
          <w:tcPr>
            <w:tcW w:w="4605" w:type="dxa"/>
            <w:vAlign w:val="center"/>
          </w:tcPr>
          <w:p w:rsidR="00C67E32" w:rsidRPr="00994E7D" w:rsidRDefault="00C67E32" w:rsidP="00041FA5">
            <w:pPr>
              <w:spacing w:after="0" w:line="240" w:lineRule="auto"/>
              <w:jc w:val="center"/>
              <w:rPr>
                <w:rFonts w:ascii="Times New Roman" w:hAnsi="Times New Roman" w:cs="Times New Roman"/>
                <w:b/>
                <w:bCs/>
                <w:sz w:val="24"/>
                <w:szCs w:val="24"/>
                <w:lang w:val="es-MX"/>
              </w:rPr>
            </w:pPr>
            <w:r w:rsidRPr="00994E7D">
              <w:rPr>
                <w:rFonts w:ascii="Times New Roman" w:hAnsi="Times New Roman" w:cs="Times New Roman"/>
                <w:b/>
                <w:bCs/>
                <w:sz w:val="24"/>
                <w:szCs w:val="24"/>
                <w:lang w:val="es-MX"/>
              </w:rPr>
              <w:t>MUESTRA DE ESCORIA DE HAE</w:t>
            </w:r>
          </w:p>
        </w:tc>
      </w:tr>
      <w:tr w:rsidR="00C67E32" w:rsidTr="00041FA5">
        <w:trPr>
          <w:trHeight w:val="181"/>
        </w:trPr>
        <w:tc>
          <w:tcPr>
            <w:tcW w:w="9210" w:type="dxa"/>
            <w:gridSpan w:val="2"/>
            <w:vAlign w:val="center"/>
          </w:tcPr>
          <w:p w:rsidR="00C67E32" w:rsidRDefault="00C67E32" w:rsidP="00041FA5">
            <w:pPr>
              <w:spacing w:after="0" w:line="240" w:lineRule="auto"/>
              <w:jc w:val="center"/>
              <w:rPr>
                <w:rFonts w:ascii="Times New Roman" w:hAnsi="Times New Roman" w:cs="Times New Roman"/>
                <w:bCs/>
                <w:sz w:val="24"/>
                <w:szCs w:val="24"/>
                <w:lang w:val="es-MX"/>
              </w:rPr>
            </w:pPr>
            <w:r>
              <w:rPr>
                <w:rFonts w:ascii="Times New Roman" w:hAnsi="Times New Roman" w:cs="Times New Roman"/>
                <w:bCs/>
                <w:sz w:val="24"/>
                <w:szCs w:val="24"/>
                <w:lang w:val="es-MX"/>
              </w:rPr>
              <w:t>Pesado inicial de los materiales</w:t>
            </w:r>
          </w:p>
        </w:tc>
      </w:tr>
      <w:tr w:rsidR="00A032D7" w:rsidTr="00041FA5">
        <w:tc>
          <w:tcPr>
            <w:tcW w:w="4605" w:type="dxa"/>
            <w:vAlign w:val="center"/>
          </w:tcPr>
          <w:p w:rsidR="00C67E32" w:rsidRDefault="00C67E32" w:rsidP="00041FA5">
            <w:pPr>
              <w:spacing w:after="0" w:line="240" w:lineRule="auto"/>
              <w:jc w:val="center"/>
              <w:rPr>
                <w:rFonts w:ascii="Times New Roman" w:hAnsi="Times New Roman" w:cs="Times New Roman"/>
                <w:bCs/>
                <w:sz w:val="24"/>
                <w:szCs w:val="24"/>
                <w:lang w:val="es-MX"/>
              </w:rPr>
            </w:pPr>
            <w:r w:rsidRPr="007F7AF9">
              <w:rPr>
                <w:rFonts w:ascii="Times New Roman" w:hAnsi="Times New Roman" w:cs="Times New Roman"/>
                <w:bCs/>
                <w:noProof/>
                <w:sz w:val="24"/>
                <w:szCs w:val="24"/>
                <w:lang w:eastAsia="es-ES"/>
              </w:rPr>
              <w:drawing>
                <wp:inline distT="0" distB="0" distL="0" distR="0">
                  <wp:extent cx="1980000" cy="135533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2767" b="23715"/>
                          <a:stretch/>
                        </pic:blipFill>
                        <pic:spPr bwMode="auto">
                          <a:xfrm>
                            <a:off x="0" y="0"/>
                            <a:ext cx="1980000" cy="13553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05" w:type="dxa"/>
            <w:vAlign w:val="center"/>
          </w:tcPr>
          <w:p w:rsidR="00C67E32" w:rsidRDefault="00C67E32" w:rsidP="00041FA5">
            <w:pPr>
              <w:spacing w:after="0" w:line="240" w:lineRule="auto"/>
              <w:jc w:val="center"/>
              <w:rPr>
                <w:rFonts w:ascii="Times New Roman" w:hAnsi="Times New Roman" w:cs="Times New Roman"/>
                <w:bCs/>
                <w:sz w:val="24"/>
                <w:szCs w:val="24"/>
                <w:lang w:val="es-MX"/>
              </w:rPr>
            </w:pPr>
            <w:r w:rsidRPr="007F7AF9">
              <w:rPr>
                <w:rFonts w:ascii="Times New Roman" w:hAnsi="Times New Roman" w:cs="Times New Roman"/>
                <w:bCs/>
                <w:noProof/>
                <w:sz w:val="24"/>
                <w:szCs w:val="24"/>
                <w:lang w:eastAsia="es-ES"/>
              </w:rPr>
              <w:drawing>
                <wp:inline distT="0" distB="0" distL="0" distR="0">
                  <wp:extent cx="1728000" cy="1381918"/>
                  <wp:effectExtent l="0" t="0" r="571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b="16858"/>
                          <a:stretch/>
                        </pic:blipFill>
                        <pic:spPr bwMode="auto">
                          <a:xfrm>
                            <a:off x="0" y="0"/>
                            <a:ext cx="1728000" cy="13819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C67E32" w:rsidTr="00041FA5">
        <w:tc>
          <w:tcPr>
            <w:tcW w:w="9210" w:type="dxa"/>
            <w:gridSpan w:val="2"/>
            <w:vAlign w:val="center"/>
          </w:tcPr>
          <w:p w:rsidR="00C67E32" w:rsidRDefault="00C67E32" w:rsidP="00041FA5">
            <w:pPr>
              <w:spacing w:after="0" w:line="240" w:lineRule="auto"/>
              <w:jc w:val="center"/>
              <w:rPr>
                <w:rFonts w:ascii="Times New Roman" w:hAnsi="Times New Roman" w:cs="Times New Roman"/>
                <w:bCs/>
                <w:sz w:val="24"/>
                <w:szCs w:val="24"/>
                <w:lang w:val="es-MX"/>
              </w:rPr>
            </w:pPr>
            <w:r>
              <w:rPr>
                <w:rFonts w:ascii="Times New Roman" w:hAnsi="Times New Roman" w:cs="Times New Roman"/>
                <w:bCs/>
                <w:sz w:val="24"/>
                <w:szCs w:val="24"/>
                <w:lang w:val="es-MX"/>
              </w:rPr>
              <w:t>Análisis granulométrico</w:t>
            </w:r>
          </w:p>
        </w:tc>
      </w:tr>
      <w:tr w:rsidR="00A032D7" w:rsidTr="00041FA5">
        <w:tc>
          <w:tcPr>
            <w:tcW w:w="4605" w:type="dxa"/>
            <w:vAlign w:val="center"/>
          </w:tcPr>
          <w:p w:rsidR="00C67E32" w:rsidRDefault="00C67E32" w:rsidP="00041FA5">
            <w:pPr>
              <w:spacing w:after="0" w:line="240" w:lineRule="auto"/>
              <w:jc w:val="center"/>
              <w:rPr>
                <w:rFonts w:ascii="Times New Roman" w:hAnsi="Times New Roman" w:cs="Times New Roman"/>
                <w:bCs/>
                <w:sz w:val="24"/>
                <w:szCs w:val="24"/>
                <w:lang w:val="es-MX"/>
              </w:rPr>
            </w:pPr>
            <w:r>
              <w:rPr>
                <w:noProof/>
                <w:lang w:eastAsia="es-ES"/>
              </w:rPr>
              <w:drawing>
                <wp:inline distT="0" distB="0" distL="0" distR="0">
                  <wp:extent cx="1980000" cy="1327766"/>
                  <wp:effectExtent l="0" t="0" r="127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80000" cy="1327766"/>
                          </a:xfrm>
                          <a:prstGeom prst="rect">
                            <a:avLst/>
                          </a:prstGeom>
                        </pic:spPr>
                      </pic:pic>
                    </a:graphicData>
                  </a:graphic>
                </wp:inline>
              </w:drawing>
            </w:r>
          </w:p>
        </w:tc>
        <w:tc>
          <w:tcPr>
            <w:tcW w:w="4605" w:type="dxa"/>
            <w:vAlign w:val="center"/>
          </w:tcPr>
          <w:p w:rsidR="00C67E32" w:rsidRDefault="003F7CFE" w:rsidP="00041FA5">
            <w:pPr>
              <w:spacing w:after="0" w:line="240" w:lineRule="auto"/>
              <w:jc w:val="center"/>
              <w:rPr>
                <w:rFonts w:ascii="Times New Roman" w:hAnsi="Times New Roman" w:cs="Times New Roman"/>
                <w:bCs/>
                <w:sz w:val="24"/>
                <w:szCs w:val="24"/>
                <w:lang w:val="es-MX"/>
              </w:rPr>
            </w:pPr>
            <w:r>
              <w:rPr>
                <w:noProof/>
              </w:rPr>
              <w:object w:dxaOrig="6345" w:dyaOrig="4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3pt;height:103.85pt" o:ole="">
                  <v:imagedata r:id="rId15" o:title="" gain="78019f" blacklevel="-1311f"/>
                </v:shape>
                <o:OLEObject Type="Embed" ProgID="PBrush" ShapeID="_x0000_i1025" DrawAspect="Content" ObjectID="_1617603931" r:id="rId16"/>
              </w:object>
            </w:r>
          </w:p>
        </w:tc>
      </w:tr>
      <w:tr w:rsidR="00C67E32" w:rsidTr="00041FA5">
        <w:tc>
          <w:tcPr>
            <w:tcW w:w="9210" w:type="dxa"/>
            <w:gridSpan w:val="2"/>
            <w:vAlign w:val="center"/>
          </w:tcPr>
          <w:p w:rsidR="00C67E32" w:rsidRDefault="00C67E32" w:rsidP="00041FA5">
            <w:pPr>
              <w:spacing w:after="0" w:line="240" w:lineRule="auto"/>
              <w:jc w:val="center"/>
              <w:rPr>
                <w:rFonts w:ascii="Times New Roman" w:hAnsi="Times New Roman" w:cs="Times New Roman"/>
                <w:bCs/>
                <w:sz w:val="24"/>
                <w:szCs w:val="24"/>
                <w:lang w:val="es-MX"/>
              </w:rPr>
            </w:pPr>
            <w:r>
              <w:rPr>
                <w:rFonts w:ascii="Times New Roman" w:hAnsi="Times New Roman" w:cs="Times New Roman"/>
                <w:bCs/>
                <w:sz w:val="24"/>
                <w:szCs w:val="24"/>
                <w:lang w:val="es-MX"/>
              </w:rPr>
              <w:t xml:space="preserve">Partículas planas y alargadas </w:t>
            </w:r>
          </w:p>
        </w:tc>
      </w:tr>
      <w:tr w:rsidR="00A032D7" w:rsidTr="00041FA5">
        <w:tc>
          <w:tcPr>
            <w:tcW w:w="4605" w:type="dxa"/>
            <w:vAlign w:val="center"/>
          </w:tcPr>
          <w:p w:rsidR="00C67E32" w:rsidRDefault="00C67E32" w:rsidP="00041FA5">
            <w:pPr>
              <w:spacing w:after="0" w:line="240" w:lineRule="auto"/>
              <w:jc w:val="center"/>
              <w:rPr>
                <w:rFonts w:ascii="Times New Roman" w:hAnsi="Times New Roman" w:cs="Times New Roman"/>
                <w:bCs/>
                <w:sz w:val="24"/>
                <w:szCs w:val="24"/>
                <w:lang w:val="es-MX"/>
              </w:rPr>
            </w:pPr>
            <w:r>
              <w:rPr>
                <w:noProof/>
                <w:lang w:eastAsia="es-ES"/>
              </w:rPr>
              <w:drawing>
                <wp:inline distT="0" distB="0" distL="0" distR="0">
                  <wp:extent cx="1980000" cy="1485000"/>
                  <wp:effectExtent l="0" t="0" r="127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980000" cy="1485000"/>
                          </a:xfrm>
                          <a:prstGeom prst="rect">
                            <a:avLst/>
                          </a:prstGeom>
                        </pic:spPr>
                      </pic:pic>
                    </a:graphicData>
                  </a:graphic>
                </wp:inline>
              </w:drawing>
            </w:r>
          </w:p>
        </w:tc>
        <w:tc>
          <w:tcPr>
            <w:tcW w:w="4605" w:type="dxa"/>
            <w:vAlign w:val="center"/>
          </w:tcPr>
          <w:p w:rsidR="00C67E32" w:rsidRDefault="00C67E32" w:rsidP="00041FA5">
            <w:pPr>
              <w:spacing w:after="0" w:line="240" w:lineRule="auto"/>
              <w:jc w:val="center"/>
              <w:rPr>
                <w:rFonts w:ascii="Times New Roman" w:hAnsi="Times New Roman" w:cs="Times New Roman"/>
                <w:bCs/>
                <w:sz w:val="24"/>
                <w:szCs w:val="24"/>
                <w:lang w:val="es-MX"/>
              </w:rPr>
            </w:pPr>
            <w:r>
              <w:rPr>
                <w:noProof/>
                <w:lang w:eastAsia="es-ES"/>
              </w:rPr>
              <w:drawing>
                <wp:inline distT="0" distB="0" distL="0" distR="0">
                  <wp:extent cx="1800000" cy="148263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V="1">
                            <a:off x="0" y="0"/>
                            <a:ext cx="1800000" cy="1482630"/>
                          </a:xfrm>
                          <a:prstGeom prst="rect">
                            <a:avLst/>
                          </a:prstGeom>
                        </pic:spPr>
                      </pic:pic>
                    </a:graphicData>
                  </a:graphic>
                </wp:inline>
              </w:drawing>
            </w:r>
          </w:p>
        </w:tc>
      </w:tr>
      <w:tr w:rsidR="00C67E32" w:rsidTr="00041FA5">
        <w:tc>
          <w:tcPr>
            <w:tcW w:w="9210" w:type="dxa"/>
            <w:gridSpan w:val="2"/>
            <w:vAlign w:val="center"/>
          </w:tcPr>
          <w:p w:rsidR="00C67E32" w:rsidRDefault="00C67E32" w:rsidP="00041FA5">
            <w:pPr>
              <w:spacing w:after="0" w:line="240" w:lineRule="auto"/>
              <w:jc w:val="center"/>
              <w:rPr>
                <w:rFonts w:ascii="Times New Roman" w:hAnsi="Times New Roman" w:cs="Times New Roman"/>
                <w:bCs/>
                <w:sz w:val="24"/>
                <w:szCs w:val="24"/>
                <w:lang w:val="es-MX"/>
              </w:rPr>
            </w:pPr>
            <w:r>
              <w:rPr>
                <w:rFonts w:ascii="Times New Roman" w:hAnsi="Times New Roman" w:cs="Times New Roman"/>
                <w:bCs/>
                <w:sz w:val="24"/>
                <w:szCs w:val="24"/>
                <w:lang w:val="es-MX"/>
              </w:rPr>
              <w:t>Ensayo de abrasión de los Ángeles</w:t>
            </w:r>
          </w:p>
        </w:tc>
      </w:tr>
      <w:tr w:rsidR="00A032D7" w:rsidTr="00041FA5">
        <w:tc>
          <w:tcPr>
            <w:tcW w:w="4605" w:type="dxa"/>
            <w:vAlign w:val="center"/>
          </w:tcPr>
          <w:p w:rsidR="00C67E32" w:rsidRDefault="00C67E32" w:rsidP="00041FA5">
            <w:pPr>
              <w:spacing w:after="0" w:line="240" w:lineRule="auto"/>
              <w:jc w:val="center"/>
              <w:rPr>
                <w:rFonts w:ascii="Times New Roman" w:hAnsi="Times New Roman" w:cs="Times New Roman"/>
                <w:bCs/>
                <w:sz w:val="24"/>
                <w:szCs w:val="24"/>
                <w:lang w:val="es-MX"/>
              </w:rPr>
            </w:pPr>
            <w:r>
              <w:rPr>
                <w:noProof/>
                <w:lang w:eastAsia="es-ES"/>
              </w:rPr>
              <w:drawing>
                <wp:inline distT="0" distB="0" distL="0" distR="0">
                  <wp:extent cx="1980000" cy="1441225"/>
                  <wp:effectExtent l="0" t="0" r="127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0000" cy="1441225"/>
                          </a:xfrm>
                          <a:prstGeom prst="rect">
                            <a:avLst/>
                          </a:prstGeom>
                        </pic:spPr>
                      </pic:pic>
                    </a:graphicData>
                  </a:graphic>
                </wp:inline>
              </w:drawing>
            </w:r>
          </w:p>
        </w:tc>
        <w:tc>
          <w:tcPr>
            <w:tcW w:w="4605" w:type="dxa"/>
            <w:vAlign w:val="center"/>
          </w:tcPr>
          <w:p w:rsidR="00C67E32" w:rsidRDefault="00C67E32" w:rsidP="00041FA5">
            <w:pPr>
              <w:spacing w:after="0" w:line="240" w:lineRule="auto"/>
              <w:jc w:val="center"/>
              <w:rPr>
                <w:rFonts w:ascii="Times New Roman" w:hAnsi="Times New Roman" w:cs="Times New Roman"/>
                <w:bCs/>
                <w:sz w:val="24"/>
                <w:szCs w:val="24"/>
                <w:lang w:val="es-MX"/>
              </w:rPr>
            </w:pPr>
            <w:r>
              <w:rPr>
                <w:noProof/>
                <w:lang w:eastAsia="es-ES"/>
              </w:rPr>
              <w:drawing>
                <wp:inline distT="0" distB="0" distL="0" distR="0">
                  <wp:extent cx="1980000" cy="1484999"/>
                  <wp:effectExtent l="0" t="0" r="127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980000" cy="1484999"/>
                          </a:xfrm>
                          <a:prstGeom prst="rect">
                            <a:avLst/>
                          </a:prstGeom>
                        </pic:spPr>
                      </pic:pic>
                    </a:graphicData>
                  </a:graphic>
                </wp:inline>
              </w:drawing>
            </w:r>
          </w:p>
        </w:tc>
      </w:tr>
    </w:tbl>
    <w:p w:rsidR="00453475" w:rsidRPr="00E8784B" w:rsidRDefault="00453475" w:rsidP="00DE1A08"/>
    <w:sectPr w:rsidR="00453475" w:rsidRPr="00E8784B" w:rsidSect="00A61B28">
      <w:headerReference w:type="default" r:id="rId21"/>
      <w:pgSz w:w="12240" w:h="15840" w:code="1"/>
      <w:pgMar w:top="1035" w:right="1701"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5898" w:rsidRDefault="00905898" w:rsidP="00874E73">
      <w:pPr>
        <w:spacing w:after="0" w:line="240" w:lineRule="auto"/>
      </w:pPr>
      <w:r>
        <w:separator/>
      </w:r>
    </w:p>
  </w:endnote>
  <w:endnote w:type="continuationSeparator" w:id="1">
    <w:p w:rsidR="00905898" w:rsidRDefault="00905898" w:rsidP="00874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5898" w:rsidRDefault="00905898" w:rsidP="00874E73">
      <w:pPr>
        <w:spacing w:after="0" w:line="240" w:lineRule="auto"/>
      </w:pPr>
      <w:r>
        <w:separator/>
      </w:r>
    </w:p>
  </w:footnote>
  <w:footnote w:type="continuationSeparator" w:id="1">
    <w:p w:rsidR="00905898" w:rsidRDefault="00905898" w:rsidP="00874E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77" w:rsidRDefault="00142677" w:rsidP="00874E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9264" behindDoc="1" locked="0" layoutInCell="1" allowOverlap="1">
          <wp:simplePos x="0" y="0"/>
          <wp:positionH relativeFrom="column">
            <wp:posOffset>5395292</wp:posOffset>
          </wp:positionH>
          <wp:positionV relativeFrom="paragraph">
            <wp:posOffset>-296766</wp:posOffset>
          </wp:positionV>
          <wp:extent cx="714375" cy="836295"/>
          <wp:effectExtent l="0" t="0" r="9525"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142677" w:rsidRDefault="00142677" w:rsidP="00874E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p>
  <w:p w:rsidR="00142677" w:rsidRPr="00640758" w:rsidRDefault="00142677" w:rsidP="00874E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60288" behindDoc="1" locked="0" layoutInCell="1" allowOverlap="1">
          <wp:simplePos x="0" y="0"/>
          <wp:positionH relativeFrom="column">
            <wp:posOffset>5398467</wp:posOffset>
          </wp:positionH>
          <wp:positionV relativeFrom="paragraph">
            <wp:posOffset>13749</wp:posOffset>
          </wp:positionV>
          <wp:extent cx="729615" cy="815975"/>
          <wp:effectExtent l="0" t="0" r="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142677" w:rsidRDefault="00142677" w:rsidP="00874E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142677" w:rsidRDefault="00142677" w:rsidP="00874E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142677" w:rsidRDefault="00142677" w:rsidP="00874E73">
    <w:pPr>
      <w:pStyle w:val="Encabezado"/>
      <w:jc w:val="center"/>
      <w:rPr>
        <w:rFonts w:ascii="Times New Roman" w:hAnsi="Times New Roman" w:cs="Times New Roman"/>
        <w:b/>
        <w:sz w:val="24"/>
      </w:rPr>
    </w:pPr>
  </w:p>
  <w:p w:rsidR="00142677" w:rsidRDefault="0014267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150D2"/>
    <w:multiLevelType w:val="hybridMultilevel"/>
    <w:tmpl w:val="B82AB2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354355B"/>
    <w:multiLevelType w:val="hybridMultilevel"/>
    <w:tmpl w:val="3A7878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B541D91"/>
    <w:multiLevelType w:val="hybridMultilevel"/>
    <w:tmpl w:val="ADB0D256"/>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nsid w:val="2C1F634E"/>
    <w:multiLevelType w:val="hybridMultilevel"/>
    <w:tmpl w:val="31A60EBA"/>
    <w:lvl w:ilvl="0" w:tplc="264A6CA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EC0326F"/>
    <w:multiLevelType w:val="hybridMultilevel"/>
    <w:tmpl w:val="70B89DD4"/>
    <w:lvl w:ilvl="0" w:tplc="A8126BD6">
      <w:start w:val="1"/>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
    <w:nsid w:val="2F95180A"/>
    <w:multiLevelType w:val="hybridMultilevel"/>
    <w:tmpl w:val="F1389E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11F3485"/>
    <w:multiLevelType w:val="multilevel"/>
    <w:tmpl w:val="458ED354"/>
    <w:lvl w:ilvl="0">
      <w:start w:val="1"/>
      <w:numFmt w:val="decimal"/>
      <w:pStyle w:val="Ttulo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42A7070"/>
    <w:multiLevelType w:val="hybridMultilevel"/>
    <w:tmpl w:val="E98AF39E"/>
    <w:lvl w:ilvl="0" w:tplc="0C0A000B">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8">
    <w:nsid w:val="3B130DF8"/>
    <w:multiLevelType w:val="hybridMultilevel"/>
    <w:tmpl w:val="A9A80BF6"/>
    <w:lvl w:ilvl="0" w:tplc="2A928780">
      <w:start w:val="1"/>
      <w:numFmt w:val="decimal"/>
      <w:lvlText w:val="%1."/>
      <w:lvlJc w:val="left"/>
      <w:pPr>
        <w:ind w:left="360" w:hanging="360"/>
      </w:pPr>
      <w:rPr>
        <w:rFonts w:ascii="Times New Roman" w:hAnsi="Times New Roman" w:cs="Times New Roman"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3F043868"/>
    <w:multiLevelType w:val="hybridMultilevel"/>
    <w:tmpl w:val="EDDEF6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7CC2AF7"/>
    <w:multiLevelType w:val="hybridMultilevel"/>
    <w:tmpl w:val="70CCD3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B3D2A8D"/>
    <w:multiLevelType w:val="multilevel"/>
    <w:tmpl w:val="4FF4AF0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4F0D68FA"/>
    <w:multiLevelType w:val="hybridMultilevel"/>
    <w:tmpl w:val="0EE4899E"/>
    <w:lvl w:ilvl="0" w:tplc="080A0001">
      <w:start w:val="1"/>
      <w:numFmt w:val="bullet"/>
      <w:lvlText w:val=""/>
      <w:lvlJc w:val="left"/>
      <w:pPr>
        <w:ind w:left="1500" w:hanging="360"/>
      </w:pPr>
      <w:rPr>
        <w:rFonts w:ascii="Symbol" w:hAnsi="Symbol"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3">
    <w:nsid w:val="4F8D0F6D"/>
    <w:multiLevelType w:val="hybridMultilevel"/>
    <w:tmpl w:val="ADDC45E8"/>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59944A15"/>
    <w:multiLevelType w:val="multilevel"/>
    <w:tmpl w:val="AFDADC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A7052CA"/>
    <w:multiLevelType w:val="hybridMultilevel"/>
    <w:tmpl w:val="83EA4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D0C632F"/>
    <w:multiLevelType w:val="hybridMultilevel"/>
    <w:tmpl w:val="E79CE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0770BCD"/>
    <w:multiLevelType w:val="multilevel"/>
    <w:tmpl w:val="C0145F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16B116F"/>
    <w:multiLevelType w:val="hybridMultilevel"/>
    <w:tmpl w:val="D43CB76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7BA60DC"/>
    <w:multiLevelType w:val="hybridMultilevel"/>
    <w:tmpl w:val="2A267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8756712"/>
    <w:multiLevelType w:val="hybridMultilevel"/>
    <w:tmpl w:val="6B285158"/>
    <w:lvl w:ilvl="0" w:tplc="0AEE9CF8">
      <w:start w:val="1"/>
      <w:numFmt w:val="decimal"/>
      <w:lvlText w:val="%1."/>
      <w:lvlJc w:val="left"/>
      <w:pPr>
        <w:ind w:left="360" w:hanging="360"/>
      </w:pPr>
      <w:rPr>
        <w:rFonts w:ascii="Times New Roman" w:eastAsiaTheme="minorHAnsi" w:hAnsi="Times New Roman"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nsid w:val="7B01374F"/>
    <w:multiLevelType w:val="hybridMultilevel"/>
    <w:tmpl w:val="123E43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C064E31"/>
    <w:multiLevelType w:val="hybridMultilevel"/>
    <w:tmpl w:val="69B0E37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F7E552C"/>
    <w:multiLevelType w:val="hybridMultilevel"/>
    <w:tmpl w:val="6C64D0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23"/>
  </w:num>
  <w:num w:numId="5">
    <w:abstractNumId w:val="16"/>
  </w:num>
  <w:num w:numId="6">
    <w:abstractNumId w:val="7"/>
  </w:num>
  <w:num w:numId="7">
    <w:abstractNumId w:val="9"/>
  </w:num>
  <w:num w:numId="8">
    <w:abstractNumId w:val="2"/>
  </w:num>
  <w:num w:numId="9">
    <w:abstractNumId w:val="5"/>
  </w:num>
  <w:num w:numId="10">
    <w:abstractNumId w:val="0"/>
  </w:num>
  <w:num w:numId="11">
    <w:abstractNumId w:val="22"/>
  </w:num>
  <w:num w:numId="12">
    <w:abstractNumId w:val="21"/>
  </w:num>
  <w:num w:numId="13">
    <w:abstractNumId w:val="4"/>
  </w:num>
  <w:num w:numId="14">
    <w:abstractNumId w:val="10"/>
  </w:num>
  <w:num w:numId="15">
    <w:abstractNumId w:val="11"/>
  </w:num>
  <w:num w:numId="16">
    <w:abstractNumId w:val="8"/>
  </w:num>
  <w:num w:numId="17">
    <w:abstractNumId w:val="14"/>
  </w:num>
  <w:num w:numId="18">
    <w:abstractNumId w:val="17"/>
  </w:num>
  <w:num w:numId="19">
    <w:abstractNumId w:val="18"/>
  </w:num>
  <w:num w:numId="20">
    <w:abstractNumId w:val="13"/>
  </w:num>
  <w:num w:numId="21">
    <w:abstractNumId w:val="19"/>
  </w:num>
  <w:num w:numId="22">
    <w:abstractNumId w:val="15"/>
  </w:num>
  <w:num w:numId="23">
    <w:abstractNumId w:val="12"/>
  </w:num>
  <w:num w:numId="24">
    <w:abstractNumId w:val="20"/>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494083"/>
    <w:rsid w:val="00002AA5"/>
    <w:rsid w:val="00044763"/>
    <w:rsid w:val="00052847"/>
    <w:rsid w:val="00075E61"/>
    <w:rsid w:val="00093B4E"/>
    <w:rsid w:val="000B11C5"/>
    <w:rsid w:val="001058CA"/>
    <w:rsid w:val="00113AE9"/>
    <w:rsid w:val="00121FC0"/>
    <w:rsid w:val="00130988"/>
    <w:rsid w:val="00142677"/>
    <w:rsid w:val="0015123E"/>
    <w:rsid w:val="001626D4"/>
    <w:rsid w:val="001C1B28"/>
    <w:rsid w:val="001D27CA"/>
    <w:rsid w:val="001E5DFC"/>
    <w:rsid w:val="001F3E4F"/>
    <w:rsid w:val="001F535F"/>
    <w:rsid w:val="002176B9"/>
    <w:rsid w:val="002271B1"/>
    <w:rsid w:val="00246DAC"/>
    <w:rsid w:val="002530A8"/>
    <w:rsid w:val="002617CC"/>
    <w:rsid w:val="002A0D1C"/>
    <w:rsid w:val="002A2966"/>
    <w:rsid w:val="002A4CF4"/>
    <w:rsid w:val="002A7248"/>
    <w:rsid w:val="002B497A"/>
    <w:rsid w:val="002B7C6D"/>
    <w:rsid w:val="003127E2"/>
    <w:rsid w:val="00380CDE"/>
    <w:rsid w:val="003A44F5"/>
    <w:rsid w:val="003B77CB"/>
    <w:rsid w:val="003F77A9"/>
    <w:rsid w:val="003F7CFE"/>
    <w:rsid w:val="00404C17"/>
    <w:rsid w:val="004417FC"/>
    <w:rsid w:val="0045242D"/>
    <w:rsid w:val="00453475"/>
    <w:rsid w:val="00460A40"/>
    <w:rsid w:val="004809C0"/>
    <w:rsid w:val="00494083"/>
    <w:rsid w:val="00496D53"/>
    <w:rsid w:val="00497978"/>
    <w:rsid w:val="004A4272"/>
    <w:rsid w:val="004C55A2"/>
    <w:rsid w:val="004E6FD4"/>
    <w:rsid w:val="004E7782"/>
    <w:rsid w:val="0050653C"/>
    <w:rsid w:val="00527D83"/>
    <w:rsid w:val="0054462C"/>
    <w:rsid w:val="0054710F"/>
    <w:rsid w:val="005564DC"/>
    <w:rsid w:val="00571E3A"/>
    <w:rsid w:val="005A3B2E"/>
    <w:rsid w:val="005B0216"/>
    <w:rsid w:val="005E1FDB"/>
    <w:rsid w:val="005E5B4F"/>
    <w:rsid w:val="005F37D9"/>
    <w:rsid w:val="00600204"/>
    <w:rsid w:val="00657AD7"/>
    <w:rsid w:val="00690DF2"/>
    <w:rsid w:val="00696907"/>
    <w:rsid w:val="006975B7"/>
    <w:rsid w:val="006D47E1"/>
    <w:rsid w:val="006E037A"/>
    <w:rsid w:val="00702879"/>
    <w:rsid w:val="00706951"/>
    <w:rsid w:val="007705D6"/>
    <w:rsid w:val="0078714D"/>
    <w:rsid w:val="007918F5"/>
    <w:rsid w:val="007931F5"/>
    <w:rsid w:val="007A035A"/>
    <w:rsid w:val="007F6704"/>
    <w:rsid w:val="00874E73"/>
    <w:rsid w:val="00884807"/>
    <w:rsid w:val="00887028"/>
    <w:rsid w:val="008A5528"/>
    <w:rsid w:val="008B6D16"/>
    <w:rsid w:val="008D7566"/>
    <w:rsid w:val="008E5D6E"/>
    <w:rsid w:val="008E6C56"/>
    <w:rsid w:val="008F3237"/>
    <w:rsid w:val="00905898"/>
    <w:rsid w:val="00933191"/>
    <w:rsid w:val="00934911"/>
    <w:rsid w:val="009647EC"/>
    <w:rsid w:val="00973D8C"/>
    <w:rsid w:val="009810C4"/>
    <w:rsid w:val="0098620C"/>
    <w:rsid w:val="00987A59"/>
    <w:rsid w:val="009A4617"/>
    <w:rsid w:val="00A032D7"/>
    <w:rsid w:val="00A23D3F"/>
    <w:rsid w:val="00A61B28"/>
    <w:rsid w:val="00A633CF"/>
    <w:rsid w:val="00A86819"/>
    <w:rsid w:val="00A910D9"/>
    <w:rsid w:val="00A958E1"/>
    <w:rsid w:val="00AC046C"/>
    <w:rsid w:val="00AE5163"/>
    <w:rsid w:val="00B00828"/>
    <w:rsid w:val="00B05B55"/>
    <w:rsid w:val="00B1532B"/>
    <w:rsid w:val="00B24349"/>
    <w:rsid w:val="00B24384"/>
    <w:rsid w:val="00B57645"/>
    <w:rsid w:val="00B76D54"/>
    <w:rsid w:val="00BC7E02"/>
    <w:rsid w:val="00BD3255"/>
    <w:rsid w:val="00BF2133"/>
    <w:rsid w:val="00BF2E81"/>
    <w:rsid w:val="00BF4EC2"/>
    <w:rsid w:val="00C06AEB"/>
    <w:rsid w:val="00C11C37"/>
    <w:rsid w:val="00C313BA"/>
    <w:rsid w:val="00C41528"/>
    <w:rsid w:val="00C54263"/>
    <w:rsid w:val="00C67E32"/>
    <w:rsid w:val="00CA3EE1"/>
    <w:rsid w:val="00CB0F6C"/>
    <w:rsid w:val="00D02383"/>
    <w:rsid w:val="00D11361"/>
    <w:rsid w:val="00D15028"/>
    <w:rsid w:val="00D752FB"/>
    <w:rsid w:val="00D8139B"/>
    <w:rsid w:val="00D93B67"/>
    <w:rsid w:val="00DA5D71"/>
    <w:rsid w:val="00DE1A08"/>
    <w:rsid w:val="00DF34B6"/>
    <w:rsid w:val="00E25B83"/>
    <w:rsid w:val="00E30E3E"/>
    <w:rsid w:val="00E366E7"/>
    <w:rsid w:val="00E8784B"/>
    <w:rsid w:val="00EA1183"/>
    <w:rsid w:val="00EC30F5"/>
    <w:rsid w:val="00ED74F3"/>
    <w:rsid w:val="00EF17F9"/>
    <w:rsid w:val="00EF1AAF"/>
    <w:rsid w:val="00F05CD5"/>
    <w:rsid w:val="00F277B1"/>
    <w:rsid w:val="00F361D2"/>
    <w:rsid w:val="00F43B22"/>
    <w:rsid w:val="00F46A15"/>
    <w:rsid w:val="00F61405"/>
    <w:rsid w:val="00F63F36"/>
    <w:rsid w:val="00F71455"/>
    <w:rsid w:val="00F72DBC"/>
    <w:rsid w:val="00F76625"/>
    <w:rsid w:val="00F9242C"/>
    <w:rsid w:val="00F93FAB"/>
    <w:rsid w:val="00FB149B"/>
    <w:rsid w:val="00FB3A5F"/>
    <w:rsid w:val="00FB403B"/>
    <w:rsid w:val="00FE03C9"/>
    <w:rsid w:val="00FE682D"/>
    <w:rsid w:val="00FF24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A08"/>
    <w:pPr>
      <w:spacing w:after="200" w:line="276" w:lineRule="auto"/>
    </w:pPr>
  </w:style>
  <w:style w:type="paragraph" w:styleId="Ttulo1">
    <w:name w:val="heading 1"/>
    <w:basedOn w:val="Normal"/>
    <w:next w:val="Normal"/>
    <w:link w:val="Ttulo1Car"/>
    <w:uiPriority w:val="9"/>
    <w:qFormat/>
    <w:rsid w:val="00ED74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D74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714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aliases w:val="nivel 4"/>
    <w:basedOn w:val="Normal"/>
    <w:next w:val="Normal"/>
    <w:link w:val="Ttulo4Car"/>
    <w:uiPriority w:val="9"/>
    <w:unhideWhenUsed/>
    <w:qFormat/>
    <w:rsid w:val="0054710F"/>
    <w:pPr>
      <w:keepNext/>
      <w:keepLines/>
      <w:numPr>
        <w:numId w:val="2"/>
      </w:numPr>
      <w:spacing w:before="40" w:after="0" w:line="360" w:lineRule="auto"/>
      <w:ind w:hanging="360"/>
      <w:jc w:val="both"/>
      <w:outlineLvl w:val="3"/>
    </w:pPr>
    <w:rPr>
      <w:rFonts w:ascii="Arial" w:eastAsiaTheme="majorEastAsia" w:hAnsi="Arial"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aliases w:val="nivel 4 Car"/>
    <w:basedOn w:val="Fuentedeprrafopredeter"/>
    <w:link w:val="Ttulo4"/>
    <w:uiPriority w:val="9"/>
    <w:rsid w:val="0054710F"/>
    <w:rPr>
      <w:rFonts w:ascii="Arial" w:eastAsiaTheme="majorEastAsia" w:hAnsi="Arial" w:cstheme="majorBidi"/>
      <w:b/>
      <w:iCs/>
      <w:sz w:val="24"/>
    </w:rPr>
  </w:style>
  <w:style w:type="character" w:styleId="Hipervnculo">
    <w:name w:val="Hyperlink"/>
    <w:basedOn w:val="Fuentedeprrafopredeter"/>
    <w:uiPriority w:val="99"/>
    <w:unhideWhenUsed/>
    <w:rsid w:val="00C11C37"/>
    <w:rPr>
      <w:color w:val="0563C1" w:themeColor="hyperlink"/>
      <w:u w:val="single"/>
    </w:rPr>
  </w:style>
  <w:style w:type="character" w:styleId="Textoennegrita">
    <w:name w:val="Strong"/>
    <w:basedOn w:val="Fuentedeprrafopredeter"/>
    <w:uiPriority w:val="22"/>
    <w:qFormat/>
    <w:rsid w:val="00093B4E"/>
    <w:rPr>
      <w:rFonts w:ascii="Arial" w:hAnsi="Arial"/>
      <w:b/>
      <w:bCs/>
      <w:color w:val="auto"/>
      <w:sz w:val="28"/>
      <w:szCs w:val="28"/>
    </w:rPr>
  </w:style>
  <w:style w:type="paragraph" w:styleId="Prrafodelista">
    <w:name w:val="List Paragraph"/>
    <w:basedOn w:val="Normal"/>
    <w:uiPriority w:val="34"/>
    <w:qFormat/>
    <w:rsid w:val="00093B4E"/>
    <w:pPr>
      <w:spacing w:line="360" w:lineRule="auto"/>
      <w:ind w:left="720"/>
      <w:contextualSpacing/>
      <w:jc w:val="both"/>
    </w:pPr>
    <w:rPr>
      <w:rFonts w:ascii="Arial" w:hAnsi="Arial"/>
      <w:iCs/>
      <w:color w:val="000000" w:themeColor="text1"/>
      <w:sz w:val="24"/>
      <w:szCs w:val="24"/>
    </w:rPr>
  </w:style>
  <w:style w:type="paragraph" w:styleId="Epgrafe">
    <w:name w:val="caption"/>
    <w:aliases w:val="ecuacion"/>
    <w:basedOn w:val="Normal"/>
    <w:next w:val="Normal"/>
    <w:unhideWhenUsed/>
    <w:qFormat/>
    <w:rsid w:val="00AC046C"/>
    <w:pPr>
      <w:spacing w:line="240" w:lineRule="auto"/>
    </w:pPr>
    <w:rPr>
      <w:i/>
      <w:iCs/>
      <w:color w:val="44546A" w:themeColor="text2"/>
      <w:sz w:val="18"/>
      <w:szCs w:val="18"/>
    </w:rPr>
  </w:style>
  <w:style w:type="table" w:styleId="Tablaconcuadrcula">
    <w:name w:val="Table Grid"/>
    <w:basedOn w:val="Tablanormal"/>
    <w:uiPriority w:val="59"/>
    <w:rsid w:val="00AC0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B0F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0F6C"/>
    <w:rPr>
      <w:rFonts w:ascii="Tahoma" w:hAnsi="Tahoma" w:cs="Tahoma"/>
      <w:sz w:val="16"/>
      <w:szCs w:val="16"/>
    </w:rPr>
  </w:style>
  <w:style w:type="character" w:styleId="Textodelmarcadordeposicin">
    <w:name w:val="Placeholder Text"/>
    <w:basedOn w:val="Fuentedeprrafopredeter"/>
    <w:uiPriority w:val="99"/>
    <w:semiHidden/>
    <w:rsid w:val="00113AE9"/>
    <w:rPr>
      <w:color w:val="808080"/>
    </w:rPr>
  </w:style>
  <w:style w:type="paragraph" w:styleId="Cita">
    <w:name w:val="Quote"/>
    <w:aliases w:val="Tablas y figuras"/>
    <w:basedOn w:val="Epgrafe"/>
    <w:next w:val="Normal"/>
    <w:link w:val="CitaCar"/>
    <w:autoRedefine/>
    <w:uiPriority w:val="29"/>
    <w:qFormat/>
    <w:rsid w:val="00075E61"/>
    <w:pPr>
      <w:spacing w:after="0"/>
      <w:ind w:right="-2"/>
      <w:jc w:val="both"/>
    </w:pPr>
    <w:rPr>
      <w:rFonts w:ascii="Arial" w:hAnsi="Arial"/>
      <w:iCs w:val="0"/>
      <w:color w:val="auto"/>
      <w:sz w:val="20"/>
      <w:szCs w:val="24"/>
    </w:rPr>
  </w:style>
  <w:style w:type="character" w:customStyle="1" w:styleId="CitaCar">
    <w:name w:val="Cita Car"/>
    <w:aliases w:val="Tablas y figuras Car"/>
    <w:basedOn w:val="Fuentedeprrafopredeter"/>
    <w:link w:val="Cita"/>
    <w:uiPriority w:val="29"/>
    <w:rsid w:val="00075E61"/>
    <w:rPr>
      <w:rFonts w:ascii="Arial" w:hAnsi="Arial"/>
      <w:i/>
      <w:sz w:val="20"/>
      <w:szCs w:val="24"/>
    </w:rPr>
  </w:style>
  <w:style w:type="paragraph" w:customStyle="1" w:styleId="Titulo4">
    <w:name w:val="Titulo 4"/>
    <w:basedOn w:val="Normal"/>
    <w:link w:val="Titulo4Car"/>
    <w:qFormat/>
    <w:rsid w:val="00F05CD5"/>
    <w:pPr>
      <w:spacing w:after="0" w:line="240" w:lineRule="auto"/>
    </w:pPr>
    <w:rPr>
      <w:rFonts w:ascii="Times New Roman" w:eastAsia="Batang" w:hAnsi="Times New Roman" w:cs="Times New Roman"/>
      <w:b/>
      <w:caps/>
      <w:sz w:val="20"/>
      <w:szCs w:val="20"/>
      <w:lang w:val="es-MX" w:eastAsia="ko-KR"/>
    </w:rPr>
  </w:style>
  <w:style w:type="character" w:customStyle="1" w:styleId="Titulo4Car">
    <w:name w:val="Titulo 4 Car"/>
    <w:link w:val="Titulo4"/>
    <w:rsid w:val="00F05CD5"/>
    <w:rPr>
      <w:rFonts w:ascii="Times New Roman" w:eastAsia="Batang" w:hAnsi="Times New Roman" w:cs="Times New Roman"/>
      <w:b/>
      <w:caps/>
      <w:sz w:val="20"/>
      <w:szCs w:val="20"/>
      <w:lang w:val="es-MX" w:eastAsia="ko-KR"/>
    </w:rPr>
  </w:style>
  <w:style w:type="paragraph" w:customStyle="1" w:styleId="EndNoteBibliography">
    <w:name w:val="EndNote Bibliography"/>
    <w:basedOn w:val="Normal"/>
    <w:link w:val="EndNoteBibliographyCar"/>
    <w:rsid w:val="00F61405"/>
    <w:pPr>
      <w:spacing w:line="240" w:lineRule="auto"/>
      <w:jc w:val="both"/>
    </w:pPr>
    <w:rPr>
      <w:rFonts w:ascii="Arial" w:hAnsi="Arial" w:cs="Arial"/>
      <w:iCs/>
      <w:noProof/>
      <w:color w:val="000000" w:themeColor="text1"/>
      <w:sz w:val="24"/>
      <w:szCs w:val="24"/>
      <w:lang w:val="en-US"/>
    </w:rPr>
  </w:style>
  <w:style w:type="character" w:customStyle="1" w:styleId="EndNoteBibliographyCar">
    <w:name w:val="EndNote Bibliography Car"/>
    <w:basedOn w:val="Fuentedeprrafopredeter"/>
    <w:link w:val="EndNoteBibliography"/>
    <w:rsid w:val="00F61405"/>
    <w:rPr>
      <w:rFonts w:ascii="Arial" w:hAnsi="Arial" w:cs="Arial"/>
      <w:iCs/>
      <w:noProof/>
      <w:color w:val="000000" w:themeColor="text1"/>
      <w:sz w:val="24"/>
      <w:szCs w:val="24"/>
      <w:lang w:val="en-US"/>
    </w:rPr>
  </w:style>
  <w:style w:type="paragraph" w:styleId="Encabezado">
    <w:name w:val="header"/>
    <w:basedOn w:val="Normal"/>
    <w:link w:val="EncabezadoCar"/>
    <w:unhideWhenUsed/>
    <w:rsid w:val="00874E73"/>
    <w:pPr>
      <w:tabs>
        <w:tab w:val="center" w:pos="4252"/>
        <w:tab w:val="right" w:pos="8504"/>
      </w:tabs>
      <w:spacing w:after="0" w:line="240" w:lineRule="auto"/>
    </w:pPr>
  </w:style>
  <w:style w:type="character" w:customStyle="1" w:styleId="EncabezadoCar">
    <w:name w:val="Encabezado Car"/>
    <w:basedOn w:val="Fuentedeprrafopredeter"/>
    <w:link w:val="Encabezado"/>
    <w:rsid w:val="00874E73"/>
  </w:style>
  <w:style w:type="paragraph" w:styleId="Piedepgina">
    <w:name w:val="footer"/>
    <w:basedOn w:val="Normal"/>
    <w:link w:val="PiedepginaCar"/>
    <w:uiPriority w:val="99"/>
    <w:unhideWhenUsed/>
    <w:rsid w:val="00874E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4E73"/>
  </w:style>
  <w:style w:type="character" w:customStyle="1" w:styleId="Ttulo2Car">
    <w:name w:val="Título 2 Car"/>
    <w:basedOn w:val="Fuentedeprrafopredeter"/>
    <w:link w:val="Ttulo2"/>
    <w:uiPriority w:val="9"/>
    <w:rsid w:val="00ED74F3"/>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ED74F3"/>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F71455"/>
    <w:rPr>
      <w:rFonts w:asciiTheme="majorHAnsi" w:eastAsiaTheme="majorEastAsia" w:hAnsiTheme="majorHAnsi" w:cstheme="majorBidi"/>
      <w:color w:val="1F4D78" w:themeColor="accent1" w:themeShade="7F"/>
      <w:sz w:val="24"/>
      <w:szCs w:val="24"/>
    </w:rPr>
  </w:style>
  <w:style w:type="paragraph" w:styleId="Bibliografa">
    <w:name w:val="Bibliography"/>
    <w:basedOn w:val="Normal"/>
    <w:next w:val="Normal"/>
    <w:uiPriority w:val="37"/>
    <w:semiHidden/>
    <w:unhideWhenUsed/>
    <w:rsid w:val="00142677"/>
  </w:style>
</w:styles>
</file>

<file path=word/webSettings.xml><?xml version="1.0" encoding="utf-8"?>
<w:webSettings xmlns:r="http://schemas.openxmlformats.org/officeDocument/2006/relationships" xmlns:w="http://schemas.openxmlformats.org/wordprocessingml/2006/main">
  <w:divs>
    <w:div w:id="498275360">
      <w:bodyDiv w:val="1"/>
      <w:marLeft w:val="0"/>
      <w:marRight w:val="0"/>
      <w:marTop w:val="0"/>
      <w:marBottom w:val="0"/>
      <w:divBdr>
        <w:top w:val="none" w:sz="0" w:space="0" w:color="auto"/>
        <w:left w:val="none" w:sz="0" w:space="0" w:color="auto"/>
        <w:bottom w:val="none" w:sz="0" w:space="0" w:color="auto"/>
        <w:right w:val="none" w:sz="0" w:space="0" w:color="auto"/>
      </w:divBdr>
    </w:div>
    <w:div w:id="531577366">
      <w:bodyDiv w:val="1"/>
      <w:marLeft w:val="0"/>
      <w:marRight w:val="0"/>
      <w:marTop w:val="0"/>
      <w:marBottom w:val="0"/>
      <w:divBdr>
        <w:top w:val="none" w:sz="0" w:space="0" w:color="auto"/>
        <w:left w:val="none" w:sz="0" w:space="0" w:color="auto"/>
        <w:bottom w:val="none" w:sz="0" w:space="0" w:color="auto"/>
        <w:right w:val="none" w:sz="0" w:space="0" w:color="auto"/>
      </w:divBdr>
    </w:div>
    <w:div w:id="772936836">
      <w:bodyDiv w:val="1"/>
      <w:marLeft w:val="0"/>
      <w:marRight w:val="0"/>
      <w:marTop w:val="0"/>
      <w:marBottom w:val="0"/>
      <w:divBdr>
        <w:top w:val="none" w:sz="0" w:space="0" w:color="auto"/>
        <w:left w:val="none" w:sz="0" w:space="0" w:color="auto"/>
        <w:bottom w:val="none" w:sz="0" w:space="0" w:color="auto"/>
        <w:right w:val="none" w:sz="0" w:space="0" w:color="auto"/>
      </w:divBdr>
    </w:div>
    <w:div w:id="1237129534">
      <w:bodyDiv w:val="1"/>
      <w:marLeft w:val="0"/>
      <w:marRight w:val="0"/>
      <w:marTop w:val="0"/>
      <w:marBottom w:val="0"/>
      <w:divBdr>
        <w:top w:val="none" w:sz="0" w:space="0" w:color="auto"/>
        <w:left w:val="none" w:sz="0" w:space="0" w:color="auto"/>
        <w:bottom w:val="none" w:sz="0" w:space="0" w:color="auto"/>
        <w:right w:val="none" w:sz="0" w:space="0" w:color="auto"/>
      </w:divBdr>
    </w:div>
    <w:div w:id="1302737135">
      <w:bodyDiv w:val="1"/>
      <w:marLeft w:val="0"/>
      <w:marRight w:val="0"/>
      <w:marTop w:val="0"/>
      <w:marBottom w:val="0"/>
      <w:divBdr>
        <w:top w:val="none" w:sz="0" w:space="0" w:color="auto"/>
        <w:left w:val="none" w:sz="0" w:space="0" w:color="auto"/>
        <w:bottom w:val="none" w:sz="0" w:space="0" w:color="auto"/>
        <w:right w:val="none" w:sz="0" w:space="0" w:color="auto"/>
      </w:divBdr>
    </w:div>
    <w:div w:id="1628197016">
      <w:bodyDiv w:val="1"/>
      <w:marLeft w:val="0"/>
      <w:marRight w:val="0"/>
      <w:marTop w:val="0"/>
      <w:marBottom w:val="0"/>
      <w:divBdr>
        <w:top w:val="none" w:sz="0" w:space="0" w:color="auto"/>
        <w:left w:val="none" w:sz="0" w:space="0" w:color="auto"/>
        <w:bottom w:val="none" w:sz="0" w:space="0" w:color="auto"/>
        <w:right w:val="none" w:sz="0" w:space="0" w:color="auto"/>
      </w:divBdr>
    </w:div>
    <w:div w:id="1844317722">
      <w:bodyDiv w:val="1"/>
      <w:marLeft w:val="0"/>
      <w:marRight w:val="0"/>
      <w:marTop w:val="0"/>
      <w:marBottom w:val="0"/>
      <w:divBdr>
        <w:top w:val="none" w:sz="0" w:space="0" w:color="auto"/>
        <w:left w:val="none" w:sz="0" w:space="0" w:color="auto"/>
        <w:bottom w:val="none" w:sz="0" w:space="0" w:color="auto"/>
        <w:right w:val="none" w:sz="0" w:space="0" w:color="auto"/>
      </w:divBdr>
    </w:div>
    <w:div w:id="192147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oza@uho.edu.cu"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eunices@uho.edu.cu"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Car15</b:Tag>
    <b:SourceType>Report</b:SourceType>
    <b:Guid>{59D9F6AF-1BCC-4062-B645-8C32873B49D1}</b:Guid>
    <b:Title>Propuesta de utilización de escorias siderúrgicas en hormigones de 20 MPa</b:Title>
    <b:Year>2015</b:Year>
    <b:City>Holguín</b:City>
    <b:Author>
      <b:Author>
        <b:NameList>
          <b:Person>
            <b:Last>Carballo Ricardo</b:Last>
            <b:Middle>Antonio</b:Middle>
            <b:First>Jose </b:First>
          </b:Person>
        </b:NameList>
      </b:Author>
    </b:Author>
    <b:RefOrder>1</b:RefOrder>
  </b:Source>
</b:Sources>
</file>

<file path=customXml/itemProps1.xml><?xml version="1.0" encoding="utf-8"?>
<ds:datastoreItem xmlns:ds="http://schemas.openxmlformats.org/officeDocument/2006/customXml" ds:itemID="{935BC24C-E610-47B7-B45D-EA6996A72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15</Pages>
  <Words>4287</Words>
  <Characters>23580</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Ayala</dc:creator>
  <cp:lastModifiedBy>Nauta</cp:lastModifiedBy>
  <cp:revision>12</cp:revision>
  <cp:lastPrinted>2019-04-23T20:26:00Z</cp:lastPrinted>
  <dcterms:created xsi:type="dcterms:W3CDTF">2019-04-24T01:36:00Z</dcterms:created>
  <dcterms:modified xsi:type="dcterms:W3CDTF">2019-04-24T14:39:00Z</dcterms:modified>
</cp:coreProperties>
</file>