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7" w:rsidRPr="00375D87" w:rsidRDefault="00375D87" w:rsidP="00375D8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75D87">
        <w:rPr>
          <w:rFonts w:ascii="Times New Roman" w:eastAsia="Calibri" w:hAnsi="Times New Roman" w:cs="Times New Roman"/>
          <w:b/>
          <w:sz w:val="28"/>
          <w:szCs w:val="28"/>
        </w:rPr>
        <w:t>Envejecer en una ciudad envejecida</w:t>
      </w:r>
    </w:p>
    <w:p w:rsidR="00375D87" w:rsidRPr="00375D87" w:rsidRDefault="00375D87" w:rsidP="00375D8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D87">
        <w:rPr>
          <w:rFonts w:ascii="Times New Roman" w:eastAsia="Calibri" w:hAnsi="Times New Roman" w:cs="Times New Roman"/>
          <w:b/>
          <w:sz w:val="24"/>
          <w:szCs w:val="24"/>
        </w:rPr>
        <w:t>Mª Carmen Martín Cano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75D87" w:rsidRP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D87">
        <w:rPr>
          <w:rFonts w:ascii="Times New Roman" w:eastAsia="Calibri" w:hAnsi="Times New Roman" w:cs="Times New Roman"/>
          <w:sz w:val="24"/>
          <w:szCs w:val="24"/>
        </w:rPr>
        <w:t>Universidad de Jaén. España</w:t>
      </w:r>
    </w:p>
    <w:p w:rsidR="00375D87" w:rsidRDefault="00B17D0F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375D87" w:rsidRPr="00375D87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mmcano@ujaen.es</w:t>
        </w:r>
      </w:hyperlink>
      <w:r w:rsidR="00375D8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D87">
        <w:rPr>
          <w:rFonts w:ascii="Times New Roman" w:eastAsia="Calibri" w:hAnsi="Times New Roman" w:cs="Times New Roman"/>
          <w:b/>
          <w:sz w:val="24"/>
          <w:szCs w:val="24"/>
        </w:rPr>
        <w:t>Yolanda de la Fuente Robles</w:t>
      </w:r>
    </w:p>
    <w:p w:rsidR="00375D87" w:rsidRP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5D87">
        <w:rPr>
          <w:rFonts w:ascii="Times New Roman" w:eastAsia="Calibri" w:hAnsi="Times New Roman" w:cs="Times New Roman"/>
          <w:sz w:val="24"/>
          <w:szCs w:val="24"/>
        </w:rPr>
        <w:t>Universidad de Jaén. España</w:t>
      </w:r>
    </w:p>
    <w:p w:rsidR="00375D87" w:rsidRDefault="00B17D0F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375D87" w:rsidRPr="00375D87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mmcano@ujaen.es</w:t>
        </w:r>
      </w:hyperlink>
      <w:r w:rsidR="00375D8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75D87" w:rsidRP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D87">
        <w:rPr>
          <w:rFonts w:ascii="Times New Roman" w:eastAsia="Calibri" w:hAnsi="Times New Roman" w:cs="Times New Roman"/>
          <w:b/>
          <w:sz w:val="24"/>
          <w:szCs w:val="24"/>
        </w:rPr>
        <w:t>Antonio López Peláez</w:t>
      </w:r>
    </w:p>
    <w:p w:rsid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Universidad Nacional a Distancia (UNED). España </w:t>
      </w:r>
    </w:p>
    <w:p w:rsidR="00375D87" w:rsidRDefault="00B17D0F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10" w:history="1">
        <w:r w:rsidR="00375D87" w:rsidRPr="001268AA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alopez@der.uned.es</w:t>
        </w:r>
      </w:hyperlink>
    </w:p>
    <w:p w:rsidR="00375D87" w:rsidRPr="00375D87" w:rsidRDefault="00375D87" w:rsidP="00375D87">
      <w:pPr>
        <w:tabs>
          <w:tab w:val="center" w:pos="4535"/>
          <w:tab w:val="left" w:pos="831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5D87" w:rsidRPr="00375D87" w:rsidRDefault="00375D87" w:rsidP="00375D8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D87" w:rsidRPr="00375D87" w:rsidRDefault="00375D87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D87">
        <w:rPr>
          <w:rFonts w:ascii="Times New Roman" w:eastAsia="Calibri" w:hAnsi="Times New Roman" w:cs="Times New Roman"/>
          <w:b/>
          <w:sz w:val="24"/>
          <w:szCs w:val="24"/>
        </w:rPr>
        <w:t>Resumen:</w:t>
      </w:r>
      <w:r w:rsidRPr="00375D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5D87" w:rsidRPr="00375D87" w:rsidRDefault="00EB60C2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Este trabajo </w:t>
      </w:r>
      <w:r w:rsidR="00375D87" w:rsidRPr="00375D87">
        <w:rPr>
          <w:rFonts w:ascii="Times New Roman" w:eastAsia="Calibri" w:hAnsi="Times New Roman" w:cs="Times New Roman"/>
          <w:sz w:val="24"/>
          <w:szCs w:val="24"/>
        </w:rPr>
        <w:t xml:space="preserve">se enmarca dentro del Proyecto de Cooperación Internacional para el Desarrollo titulado </w:t>
      </w:r>
      <w:r w:rsidR="00375D87" w:rsidRPr="00BA239C">
        <w:rPr>
          <w:rFonts w:ascii="Times New Roman" w:eastAsia="Calibri" w:hAnsi="Times New Roman" w:cs="Times New Roman"/>
          <w:sz w:val="24"/>
          <w:szCs w:val="24"/>
        </w:rPr>
        <w:t>“</w:t>
      </w:r>
      <w:r w:rsidR="00375D87" w:rsidRPr="00375D87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Capacitación en accesibilidad universal para la gestión estratégica del envejecimiento poblacional en la provincia de Villa Clara (Cuba)</w:t>
      </w:r>
      <w:r w:rsidR="00375D87" w:rsidRPr="00BA239C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”</w:t>
      </w:r>
      <w:r w:rsidR="00375D87" w:rsidRPr="00375D87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, financiado por la Consejería de Fomento y Vivienda de la Junta de Andalucía (2018/2020).</w:t>
      </w:r>
      <w:r w:rsidR="00375D87" w:rsidRPr="00375D8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:rsidR="00C23D6E" w:rsidRPr="00BA239C" w:rsidRDefault="00375D87" w:rsidP="00BA239C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239C">
        <w:rPr>
          <w:rFonts w:ascii="Times New Roman" w:eastAsia="Calibri" w:hAnsi="Times New Roman" w:cs="Times New Roman"/>
          <w:sz w:val="24"/>
          <w:szCs w:val="24"/>
        </w:rPr>
        <w:t xml:space="preserve">El reto al que se enfrentan las ciudades en la actualidad, está relacionado con lo más básico que se espera de las mismas, </w:t>
      </w:r>
      <w:r w:rsidR="00C23D6E" w:rsidRPr="00BA239C">
        <w:rPr>
          <w:rFonts w:ascii="Times New Roman" w:eastAsia="Calibri" w:hAnsi="Times New Roman" w:cs="Times New Roman"/>
          <w:bCs/>
          <w:sz w:val="24"/>
          <w:szCs w:val="24"/>
        </w:rPr>
        <w:t xml:space="preserve">ser un ciudadano  y una ciudadana libre dentro de ellas; ciudades que permita desarrollar el proyecto de vida de cada persona, con la mayor independencia y autonomía posible, donde la cadena de accesibilidad se respete y se vigile, y donde las administraciones sean proactivas para que las ciudades representen puntos de encuentro y desarrollo de </w:t>
      </w:r>
      <w:r w:rsidR="00EB60C2">
        <w:rPr>
          <w:rFonts w:ascii="Times New Roman" w:eastAsia="Calibri" w:hAnsi="Times New Roman" w:cs="Times New Roman"/>
          <w:bCs/>
          <w:sz w:val="24"/>
          <w:szCs w:val="24"/>
        </w:rPr>
        <w:t xml:space="preserve">las personas que viven </w:t>
      </w:r>
      <w:r w:rsidR="00C23D6E" w:rsidRPr="00BA239C">
        <w:rPr>
          <w:rFonts w:ascii="Times New Roman" w:eastAsia="Calibri" w:hAnsi="Times New Roman" w:cs="Times New Roman"/>
          <w:bCs/>
          <w:sz w:val="24"/>
          <w:szCs w:val="24"/>
        </w:rPr>
        <w:t>en ellas, con independencia de su edad, sus capacidades y recursos.</w:t>
      </w:r>
    </w:p>
    <w:p w:rsidR="00C23D6E" w:rsidRPr="00BA239C" w:rsidRDefault="00375D87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39C">
        <w:rPr>
          <w:rFonts w:ascii="Times New Roman" w:eastAsia="Calibri" w:hAnsi="Times New Roman" w:cs="Times New Roman"/>
          <w:sz w:val="24"/>
          <w:szCs w:val="24"/>
        </w:rPr>
        <w:t xml:space="preserve">El aumento de la esperanza de vida de la población, requiere un rediseño de las ciudades con espacios adecuados, amables y sobre todo accesibles, más allá del espacio físico, para todas las personas. Si nos enfrentamos a la realidad de las ciudades nos encontramos ante una pregunta con difícil respuesta, ¿están las ciudades preparadas para dar respuestas a las necesidades de las personas mayores?, seguramente no. </w:t>
      </w:r>
    </w:p>
    <w:p w:rsidR="00C23D6E" w:rsidRPr="00C23D6E" w:rsidRDefault="00C23D6E" w:rsidP="00BA239C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lastRenderedPageBreak/>
        <w:t>No podemos olvidar, que cuanto más hostil es la ciudad menos permite ejercer el derecho a la misma por parte de su ciudadanía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. El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derecho a la ciudad no es una propuesta nueva, </w:t>
      </w:r>
      <w:r w:rsidRPr="00C23D6E">
        <w:rPr>
          <w:rFonts w:ascii="Times New Roman" w:eastAsia="Calibri" w:hAnsi="Times New Roman" w:cs="Times New Roman"/>
          <w:sz w:val="24"/>
          <w:szCs w:val="24"/>
          <w:lang w:eastAsia="es-ES_tradnl"/>
        </w:rPr>
        <w:t>en 1968 Henri Lefebvre en su libro “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eastAsia="es-ES_tradnl"/>
        </w:rPr>
        <w:t>El derecho a la ciudad”</w:t>
      </w:r>
      <w:r w:rsidRPr="00C23D6E">
        <w:rPr>
          <w:rFonts w:ascii="Times New Roman" w:eastAsia="Calibri" w:hAnsi="Times New Roman" w:cs="Times New Roman"/>
          <w:sz w:val="24"/>
          <w:szCs w:val="24"/>
          <w:lang w:eastAsia="es-ES_tradnl"/>
        </w:rPr>
        <w:t xml:space="preserve">, analizaba el impacto negativo en la ciudadanía cuando la ciudad está al servicio del capital. El derecho a la ciudad es instaurar la posibilidad del 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eastAsia="es-ES_tradnl"/>
        </w:rPr>
        <w:t>bien vivir</w:t>
      </w:r>
      <w:r w:rsidRPr="00C23D6E">
        <w:rPr>
          <w:rFonts w:ascii="Times New Roman" w:eastAsia="Calibri" w:hAnsi="Times New Roman" w:cs="Times New Roman"/>
          <w:sz w:val="24"/>
          <w:szCs w:val="24"/>
          <w:lang w:eastAsia="es-ES_tradnl"/>
        </w:rPr>
        <w:t xml:space="preserve"> para todas las personas, y hacer de la ciudad el escenario de encuentro para la construcción de la vida colectiva. El derecho a la ciudad es la posibilidad de construir una ciudad en la que se pueda vivir dignamente, reconocerse como parte de ella, y donde se posibilite la distribución equitativa de los diferentes tipos de recursos: educación, salud, vivienda, servicios sociales, etc.</w:t>
      </w:r>
    </w:p>
    <w:p w:rsidR="00C23D6E" w:rsidRPr="00BA239C" w:rsidRDefault="00C23D6E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39C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Pr="006148A4">
        <w:rPr>
          <w:rFonts w:ascii="Times New Roman" w:eastAsia="Calibri" w:hAnsi="Times New Roman" w:cs="Times New Roman"/>
          <w:sz w:val="24"/>
          <w:szCs w:val="24"/>
        </w:rPr>
        <w:t>afirma Harvey (2009),</w:t>
      </w:r>
      <w:r w:rsidRPr="00BA239C">
        <w:rPr>
          <w:rFonts w:ascii="Times New Roman" w:eastAsia="Calibri" w:hAnsi="Times New Roman" w:cs="Times New Roman"/>
          <w:sz w:val="24"/>
          <w:szCs w:val="24"/>
        </w:rPr>
        <w:t xml:space="preserve"> es el derecho de toda persona a crear ciudades que respondan a las necesidades humanas, transformando a la ciudad en algo radicalmente distinto. El derecho a la ciudad se basa en una dinámica de progreso y de conquista, en el cual los movimientos sociales son el motor para lograr el cumplimiento del derecho a la ciudad</w:t>
      </w:r>
    </w:p>
    <w:p w:rsidR="00C23D6E" w:rsidRPr="00C23D6E" w:rsidRDefault="00EB60C2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Muy importante en este proceso fue la </w:t>
      </w:r>
      <w:r w:rsidR="00C23D6E" w:rsidRPr="00C23D6E">
        <w:rPr>
          <w:rFonts w:ascii="Times New Roman" w:eastAsia="Calibri" w:hAnsi="Times New Roman" w:cs="Times New Roman"/>
          <w:sz w:val="24"/>
          <w:szCs w:val="24"/>
        </w:rPr>
        <w:t xml:space="preserve"> elaboración de la Carta Mundial por el Derecho a la Ciudad, articulada por </w:t>
      </w:r>
      <w:r w:rsidR="00C23D6E" w:rsidRPr="00C23D6E">
        <w:rPr>
          <w:rFonts w:ascii="Times New Roman" w:eastAsia="Calibri" w:hAnsi="Times New Roman" w:cs="Times New Roman"/>
          <w:i/>
          <w:iCs/>
          <w:sz w:val="24"/>
          <w:szCs w:val="24"/>
        </w:rPr>
        <w:t>Habitat International Coalition</w:t>
      </w:r>
      <w:r w:rsidR="006148A4">
        <w:rPr>
          <w:rFonts w:ascii="Times New Roman" w:eastAsia="Calibri" w:hAnsi="Times New Roman" w:cs="Times New Roman"/>
          <w:sz w:val="24"/>
          <w:szCs w:val="24"/>
        </w:rPr>
        <w:t xml:space="preserve"> en 2004. D</w:t>
      </w:r>
      <w:r w:rsidR="00C23D6E" w:rsidRPr="00C23D6E">
        <w:rPr>
          <w:rFonts w:ascii="Times New Roman" w:eastAsia="Calibri" w:hAnsi="Times New Roman" w:cs="Times New Roman"/>
          <w:sz w:val="24"/>
          <w:szCs w:val="24"/>
        </w:rPr>
        <w:t>icha carta busca recoger los compromisos y medidas que deben ser asumidos por la sociedad civil, los gobiernos locales y nacionales, parlamentarios y organismos internacionales para que todas las personas vivan con dignidad en las ciudades.</w:t>
      </w:r>
    </w:p>
    <w:p w:rsidR="00C23D6E" w:rsidRPr="00C23D6E" w:rsidRDefault="00C23D6E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</w:rPr>
        <w:t>El Derecho a la Ciudad amplía el tradicional enfoque sobre la mejora de la calidad de vida de las personas centrado en la vivienda y el barrio hasta abarcar la calidad de vida a escala de ciudad y su entorno rural, como un mecanismo de protección de la población que vive en ciudades o regiones en acelerado proceso de urbanización. Esto implica enfatizar una nueva manera de promoción, respeto, defensa y realización de los derechos civiles, políticos, económicos, sociales, culturales y ambientales garantizados en los instrumentos regionales e internacionales de derechos humanos.</w:t>
      </w:r>
    </w:p>
    <w:p w:rsidR="00C23D6E" w:rsidRPr="00C23D6E" w:rsidRDefault="00C23D6E" w:rsidP="00BA239C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También es necesario hacer referencia al proyecto 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Ciudades Amigables con los Mayores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, elaborado por la Organización Mundial de la Salud (OMS), en el que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,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con la participación de las personas mayores, se identificaron algunos temas centrales para convertir una ciudad en una ciudad amigable con los mayores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. Entre ellos: 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el respeto e </w:t>
      </w:r>
      <w:r w:rsidR="00EB60C2"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inclusión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social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;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la participación cívica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; 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la comunicación e información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; 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los servicios comunitarios y de salud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; 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los espacios al aire libre y edificios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; 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el transporte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; 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la vivienda y la participación social</w:t>
      </w:r>
      <w:r w:rsidR="006148A4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</w:t>
      </w:r>
      <w:r w:rsidR="006148A4" w:rsidRPr="006148A4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(OMS, 2007)</w:t>
      </w:r>
      <w:r w:rsidR="006148A4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.</w:t>
      </w:r>
    </w:p>
    <w:p w:rsidR="00C23D6E" w:rsidRPr="00C23D6E" w:rsidRDefault="00C23D6E" w:rsidP="006148A4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lastRenderedPageBreak/>
        <w:t xml:space="preserve">Para </w:t>
      </w:r>
      <w:r w:rsidR="00EB60C2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conseguir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 una ciudad amigable con las personas mayores se hace necesario: </w:t>
      </w:r>
    </w:p>
    <w:p w:rsidR="00C23D6E" w:rsidRPr="00C23D6E" w:rsidRDefault="00C23D6E" w:rsidP="00BA239C">
      <w:pPr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Que 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la ciudad pueda satisfacer las necesidades básicas de la ciudadanía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, y en este aspecto el entorno físico, virtual y social tiene un papel clave. </w:t>
      </w:r>
    </w:p>
    <w:p w:rsidR="00C23D6E" w:rsidRPr="00C23D6E" w:rsidRDefault="00C23D6E" w:rsidP="00BA239C">
      <w:pPr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Que 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la ciudad proyecte seguridad en sentido amplio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. La falta de seguridad económica en la vejez es un gran obstáculo para el Envejecimiento Activo y para reducir las diferencias. Cómo ejemplo concreto podría ser el caso del derecho a una vivienda adecuada y segura, que implica algo más que cuatro paredes y un techo. Cómo podemos constatar en la guía recientemente publicada de Ageing Lab “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Guía Práctica. Entornos Accesibles para las Personas Mayores”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>. Entre los beneficios de una mejor adecuación se incluyen: mejoras de salud mental, menos lesiones, la capacidad de mantener vínculos tanto con el hogar como con la comunidad, y mayor autonomía e independencia.</w:t>
      </w:r>
    </w:p>
    <w:p w:rsidR="00C23D6E" w:rsidRPr="00C23D6E" w:rsidRDefault="00C23D6E" w:rsidP="00BA239C">
      <w:pPr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Que 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la ciudad les permita seguir aprendiendo, creciendo personalmente y tomando decisiones</w:t>
      </w: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, todo ello es clave para que tengan una sensación de control. </w:t>
      </w:r>
    </w:p>
    <w:p w:rsidR="00C23D6E" w:rsidRPr="00BA239C" w:rsidRDefault="00C23D6E" w:rsidP="00BA239C">
      <w:pPr>
        <w:numPr>
          <w:ilvl w:val="0"/>
          <w:numId w:val="1"/>
        </w:num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C23D6E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Que </w:t>
      </w:r>
      <w:r w:rsidRPr="00C23D6E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la ciudad les permita crear nuevas relaciones y mantener su patri</w:t>
      </w:r>
      <w:r w:rsidR="00BA239C" w:rsidRPr="00BA239C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>monio emocional</w:t>
      </w:r>
    </w:p>
    <w:p w:rsidR="00BA239C" w:rsidRPr="00BA239C" w:rsidRDefault="00BA239C" w:rsidP="00BA23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</w:pPr>
      <w:r w:rsidRPr="00BA239C">
        <w:rPr>
          <w:rFonts w:ascii="Times New Roman" w:eastAsia="Calibri" w:hAnsi="Times New Roman" w:cs="Times New Roman"/>
          <w:i/>
          <w:sz w:val="24"/>
          <w:szCs w:val="24"/>
          <w:lang w:val="es-ES_tradnl" w:eastAsia="es-ES_tradnl"/>
        </w:rPr>
        <w:t xml:space="preserve">Que la ciudad les permita contribuir, </w:t>
      </w:r>
      <w:r w:rsidRPr="00BA239C">
        <w:rPr>
          <w:rFonts w:ascii="Times New Roman" w:eastAsia="Calibri" w:hAnsi="Times New Roman" w:cs="Times New Roman"/>
          <w:sz w:val="24"/>
          <w:szCs w:val="24"/>
          <w:lang w:val="es-ES_tradnl" w:eastAsia="es-ES_tradnl"/>
        </w:rPr>
        <w:t xml:space="preserve">la capacidad de contribuir está  muy relacionada con la participación en actividades sociales y culturales entre generaciones. Un ejemplo de esta capacidad es el poder recuperar los principios de dar y recibir entre las generaciones, siendo un claro ejemplo la creación de centros intergeneracionales (OMS, 2015) </w:t>
      </w:r>
    </w:p>
    <w:p w:rsidR="006148A4" w:rsidRDefault="00375D87" w:rsidP="00BA239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39C">
        <w:rPr>
          <w:rFonts w:ascii="Times New Roman" w:eastAsia="Calibri" w:hAnsi="Times New Roman" w:cs="Times New Roman"/>
          <w:sz w:val="24"/>
          <w:szCs w:val="24"/>
        </w:rPr>
        <w:t xml:space="preserve">El objetivo de este trabajo poner en valor la importancia de promover ciudades amigables con las personas mayores, que den respuesta a sus necesidades.  Si se envejece en una ciudad que avanza, se adapta y no improvisa, se envejece bajo el paraguas de la empatía, ¿cómo se consigue esto?, hay una única respuesta, propiciando un estado activo, que asociado a la ciudadanía, promueva el desarrollo para todas las personas, y sobre todo contando con las personas mayores como agentes de transformación social, convirtiéndose así en protagonistas de su propia historia. </w:t>
      </w:r>
    </w:p>
    <w:p w:rsidR="00C23D6E" w:rsidRPr="00BA239C" w:rsidRDefault="00C23D6E" w:rsidP="00BA239C">
      <w:pPr>
        <w:spacing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23D6E">
        <w:rPr>
          <w:rFonts w:ascii="Times New Roman" w:eastAsia="Calibri" w:hAnsi="Times New Roman" w:cs="Times New Roman"/>
          <w:sz w:val="24"/>
          <w:szCs w:val="24"/>
        </w:rPr>
        <w:t>Todas y todos hacemos ciudad y la sentiremos, disfrutaremos, cuidaremos y la haremos prosperar y progresar, si realmente, nos sentimos a gusto en ella y la sentimos nuestra.</w:t>
      </w:r>
      <w:r w:rsidR="006148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3D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Construir hoy la ciudad del siglo XXI es tener un proyecto de ciudadanía, ampliar los derechos de tercera generación, el derecho al lugar y a la movilidad, a la diferencia, etc.</w:t>
      </w:r>
      <w:r w:rsidR="006148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23D6E">
        <w:rPr>
          <w:rFonts w:ascii="Times New Roman" w:eastAsia="Calibri" w:hAnsi="Times New Roman" w:cs="Times New Roman"/>
          <w:bCs/>
          <w:sz w:val="24"/>
          <w:szCs w:val="24"/>
        </w:rPr>
        <w:t xml:space="preserve">Como decía Bertolt Brecht </w:t>
      </w:r>
      <w:r w:rsidRPr="00C23D6E">
        <w:rPr>
          <w:rFonts w:ascii="Times New Roman" w:eastAsia="Calibri" w:hAnsi="Times New Roman" w:cs="Times New Roman"/>
          <w:bCs/>
          <w:i/>
          <w:sz w:val="24"/>
          <w:szCs w:val="24"/>
        </w:rPr>
        <w:t>“</w:t>
      </w:r>
      <w:r w:rsidRPr="00C23D6E">
        <w:rPr>
          <w:rFonts w:ascii="Times New Roman" w:eastAsia="Calibri" w:hAnsi="Times New Roman" w:cs="Times New Roman"/>
          <w:bCs/>
          <w:sz w:val="24"/>
          <w:szCs w:val="24"/>
        </w:rPr>
        <w:t>no aceptemos lo habitual como cosa natural, porque en tiempos de desorden, de confusión organizada, de humanidad deshumanizada, nada debe parecernos natural. Nada debe parecer imposible de cambiar</w:t>
      </w:r>
      <w:r w:rsidRPr="00C23D6E">
        <w:rPr>
          <w:rFonts w:ascii="Times New Roman" w:eastAsia="Calibri" w:hAnsi="Times New Roman" w:cs="Times New Roman"/>
          <w:bCs/>
          <w:i/>
          <w:sz w:val="24"/>
          <w:szCs w:val="24"/>
        </w:rPr>
        <w:t>”.</w:t>
      </w:r>
    </w:p>
    <w:p w:rsidR="00BA239C" w:rsidRPr="00BA239C" w:rsidRDefault="00BA239C" w:rsidP="00BA239C">
      <w:pPr>
        <w:rPr>
          <w:rFonts w:ascii="Times New Roman" w:hAnsi="Times New Roman" w:cs="Times New Roman"/>
          <w:b/>
          <w:sz w:val="24"/>
          <w:szCs w:val="24"/>
        </w:rPr>
      </w:pPr>
      <w:r w:rsidRPr="00BA239C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BA239C" w:rsidRPr="00BA239C" w:rsidRDefault="00BA239C" w:rsidP="00BA239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239C">
        <w:rPr>
          <w:rFonts w:ascii="Times New Roman" w:hAnsi="Times New Roman" w:cs="Times New Roman"/>
          <w:sz w:val="24"/>
          <w:szCs w:val="24"/>
        </w:rPr>
        <w:t>Habitat International Coalition (2004). Carta Mundial por el Derecho a la Ciudad. Recuperado de file:///C:/Users/Carmen/Downloads/HIC-Document-5785-20190225-1205.pdf</w:t>
      </w:r>
    </w:p>
    <w:p w:rsidR="00BA239C" w:rsidRPr="00BA239C" w:rsidRDefault="00BA239C" w:rsidP="00BA239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239C">
        <w:rPr>
          <w:rFonts w:ascii="Times New Roman" w:hAnsi="Times New Roman" w:cs="Times New Roman"/>
          <w:sz w:val="24"/>
          <w:szCs w:val="24"/>
        </w:rPr>
        <w:t>Harvey, D. (2009) el Derecho a la Ciudad como alternativa al neoliberalismo. Foro Social Mundial, Belém do Pará (Brasil). Disponible en  file:///C:/Users/Carmen/Downloads/HIC-Article-3825-20190225-1154.pdf</w:t>
      </w:r>
    </w:p>
    <w:p w:rsidR="00BA239C" w:rsidRPr="00BA239C" w:rsidRDefault="00BA239C" w:rsidP="00BA239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239C">
        <w:rPr>
          <w:rFonts w:ascii="Times New Roman" w:hAnsi="Times New Roman" w:cs="Times New Roman"/>
          <w:sz w:val="24"/>
          <w:szCs w:val="24"/>
        </w:rPr>
        <w:t xml:space="preserve">Lefebvre, H (1968) El derecho a la ciudad. Barcelona. España. Ediciones Península. </w:t>
      </w:r>
    </w:p>
    <w:p w:rsidR="00BA239C" w:rsidRPr="00BA239C" w:rsidRDefault="00BA239C" w:rsidP="00BA239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239C">
        <w:rPr>
          <w:rFonts w:ascii="Times New Roman" w:hAnsi="Times New Roman" w:cs="Times New Roman"/>
          <w:sz w:val="24"/>
          <w:szCs w:val="24"/>
        </w:rPr>
        <w:t xml:space="preserve">OMS (2007). Ciudades amigables con los mayores: Una guía. Recuperado de </w:t>
      </w:r>
      <w:hyperlink r:id="rId11" w:history="1">
        <w:r w:rsidRPr="00BA239C">
          <w:rPr>
            <w:rFonts w:ascii="Times New Roman" w:hAnsi="Times New Roman" w:cs="Times New Roman"/>
            <w:sz w:val="24"/>
            <w:szCs w:val="24"/>
          </w:rPr>
          <w:t>https://www.who.int/ageing/AFCSpanishfinal.pdf</w:t>
        </w:r>
      </w:hyperlink>
    </w:p>
    <w:p w:rsidR="00BA239C" w:rsidRPr="00BA239C" w:rsidRDefault="00BA239C" w:rsidP="00BA239C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239C">
        <w:rPr>
          <w:rFonts w:ascii="Times New Roman" w:hAnsi="Times New Roman" w:cs="Times New Roman"/>
          <w:sz w:val="24"/>
          <w:szCs w:val="24"/>
        </w:rPr>
        <w:t>OMS (2015). Informe Mundial Sobre el Envejecimiento y la Salud. Recuperado de https://es.scribd.com/doc/310493744/Informe-Mundial-Oms-Envejecimiento-y-La-Salud?cv=1</w:t>
      </w:r>
    </w:p>
    <w:p w:rsidR="00C23D6E" w:rsidRPr="00C23D6E" w:rsidRDefault="00C23D6E" w:rsidP="00C23D6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C23D6E" w:rsidRPr="00375D87" w:rsidRDefault="00C23D6E" w:rsidP="00375D87">
      <w:pPr>
        <w:spacing w:line="360" w:lineRule="auto"/>
        <w:jc w:val="both"/>
        <w:rPr>
          <w:sz w:val="24"/>
          <w:szCs w:val="24"/>
        </w:rPr>
      </w:pPr>
    </w:p>
    <w:sectPr w:rsidR="00C23D6E" w:rsidRPr="00375D87" w:rsidSect="00375D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0F" w:rsidRDefault="00B17D0F" w:rsidP="00375D87">
      <w:pPr>
        <w:spacing w:after="0" w:line="240" w:lineRule="auto"/>
      </w:pPr>
      <w:r>
        <w:separator/>
      </w:r>
    </w:p>
  </w:endnote>
  <w:endnote w:type="continuationSeparator" w:id="0">
    <w:p w:rsidR="00B17D0F" w:rsidRDefault="00B17D0F" w:rsidP="0037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0F" w:rsidRDefault="00B17D0F" w:rsidP="00375D87">
      <w:pPr>
        <w:spacing w:after="0" w:line="240" w:lineRule="auto"/>
      </w:pPr>
      <w:r>
        <w:separator/>
      </w:r>
    </w:p>
  </w:footnote>
  <w:footnote w:type="continuationSeparator" w:id="0">
    <w:p w:rsidR="00B17D0F" w:rsidRDefault="00B17D0F" w:rsidP="0037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0E3"/>
    <w:multiLevelType w:val="hybridMultilevel"/>
    <w:tmpl w:val="0E5E74C6"/>
    <w:lvl w:ilvl="0" w:tplc="1DE89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55818"/>
    <w:multiLevelType w:val="hybridMultilevel"/>
    <w:tmpl w:val="6A3869E8"/>
    <w:lvl w:ilvl="0" w:tplc="8CEE1986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87"/>
    <w:rsid w:val="00375D87"/>
    <w:rsid w:val="006148A4"/>
    <w:rsid w:val="00B17D0F"/>
    <w:rsid w:val="00B81F36"/>
    <w:rsid w:val="00BA239C"/>
    <w:rsid w:val="00C23D6E"/>
    <w:rsid w:val="00EB60C2"/>
    <w:rsid w:val="00F02FF6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uiPriority w:val="99"/>
    <w:unhideWhenUsed/>
    <w:rsid w:val="00375D87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5D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5D8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5D8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75D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23D6E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C23D6E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C23D6E"/>
    <w:rPr>
      <w:sz w:val="20"/>
      <w:szCs w:val="20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C23D6E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C23D6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D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239C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39C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BA23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uiPriority w:val="99"/>
    <w:unhideWhenUsed/>
    <w:rsid w:val="00375D87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5D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5D8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5D8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75D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23D6E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C23D6E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C23D6E"/>
    <w:rPr>
      <w:sz w:val="20"/>
      <w:szCs w:val="20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C23D6E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C23D6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D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239C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39C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BA23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ano@ujaen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ho.int/ageing/AFCSpanishfin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opez@der.une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cano@ujae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2019-03-12T08:12:00Z</dcterms:created>
  <dcterms:modified xsi:type="dcterms:W3CDTF">2019-03-12T08:12:00Z</dcterms:modified>
</cp:coreProperties>
</file>