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C8" w:rsidRPr="009F42BE" w:rsidRDefault="002554C8" w:rsidP="0093577E">
      <w:pPr>
        <w:jc w:val="center"/>
        <w:rPr>
          <w:b/>
          <w:sz w:val="28"/>
          <w:szCs w:val="28"/>
          <w:lang w:val="es-MX"/>
        </w:rPr>
      </w:pPr>
      <w:r w:rsidRPr="009F42BE">
        <w:rPr>
          <w:b/>
          <w:sz w:val="28"/>
          <w:szCs w:val="28"/>
          <w:lang w:val="es-MX"/>
        </w:rPr>
        <w:t>VII SIMPOSIO INTERNACIONAL DE QUÍMICA</w:t>
      </w:r>
    </w:p>
    <w:p w:rsidR="002554C8" w:rsidRPr="009F42BE" w:rsidRDefault="002554C8" w:rsidP="0093577E">
      <w:pPr>
        <w:jc w:val="center"/>
        <w:rPr>
          <w:b/>
          <w:sz w:val="28"/>
          <w:szCs w:val="28"/>
          <w:lang w:val="es-MX"/>
        </w:rPr>
      </w:pPr>
    </w:p>
    <w:p w:rsidR="0093577E" w:rsidRPr="009F42BE" w:rsidRDefault="00905A7E" w:rsidP="0093577E">
      <w:pPr>
        <w:jc w:val="center"/>
        <w:rPr>
          <w:b/>
          <w:sz w:val="28"/>
          <w:szCs w:val="28"/>
          <w:lang w:val="es-MX"/>
        </w:rPr>
      </w:pPr>
      <w:r w:rsidRPr="009F42BE">
        <w:rPr>
          <w:b/>
          <w:sz w:val="28"/>
          <w:szCs w:val="28"/>
          <w:lang w:val="es-MX"/>
        </w:rPr>
        <w:t>DETERMINACIÓN SIMULTÁNEA DE METANOL, ÁCIDO FÓRMICO Y ÁCIDO ACÉTICO EN MEZCLAS DE H</w:t>
      </w:r>
      <w:r w:rsidRPr="009F42BE">
        <w:rPr>
          <w:b/>
          <w:sz w:val="28"/>
          <w:szCs w:val="28"/>
          <w:vertAlign w:val="subscript"/>
          <w:lang w:val="es-MX"/>
        </w:rPr>
        <w:t>2</w:t>
      </w:r>
      <w:r w:rsidRPr="009F42BE">
        <w:rPr>
          <w:b/>
          <w:sz w:val="28"/>
          <w:szCs w:val="28"/>
          <w:lang w:val="es-MX"/>
        </w:rPr>
        <w:t>O</w:t>
      </w:r>
      <w:r w:rsidRPr="009F42BE">
        <w:rPr>
          <w:b/>
          <w:sz w:val="28"/>
          <w:szCs w:val="28"/>
          <w:vertAlign w:val="subscript"/>
          <w:lang w:val="es-MX"/>
        </w:rPr>
        <w:t>2</w:t>
      </w:r>
      <w:r w:rsidRPr="009F42BE">
        <w:rPr>
          <w:b/>
          <w:sz w:val="28"/>
          <w:szCs w:val="28"/>
          <w:lang w:val="es-MX"/>
        </w:rPr>
        <w:t>/H</w:t>
      </w:r>
      <w:r w:rsidRPr="009F42BE">
        <w:rPr>
          <w:b/>
          <w:sz w:val="28"/>
          <w:szCs w:val="28"/>
          <w:vertAlign w:val="subscript"/>
          <w:lang w:val="es-MX"/>
        </w:rPr>
        <w:t>2</w:t>
      </w:r>
      <w:r w:rsidRPr="009F42BE">
        <w:rPr>
          <w:b/>
          <w:sz w:val="28"/>
          <w:szCs w:val="28"/>
          <w:lang w:val="es-MX"/>
        </w:rPr>
        <w:t>O POR RESONANCIA MAGNÉTICA NUCLEAR</w:t>
      </w:r>
    </w:p>
    <w:p w:rsidR="002554C8" w:rsidRPr="009F42BE" w:rsidRDefault="002554C8" w:rsidP="0093577E">
      <w:pPr>
        <w:jc w:val="center"/>
        <w:rPr>
          <w:b/>
          <w:sz w:val="28"/>
          <w:szCs w:val="28"/>
          <w:lang w:val="es-MX"/>
        </w:rPr>
      </w:pPr>
    </w:p>
    <w:p w:rsidR="002554C8" w:rsidRPr="009F42BE" w:rsidRDefault="002554C8" w:rsidP="0093577E">
      <w:pPr>
        <w:jc w:val="center"/>
        <w:rPr>
          <w:b/>
          <w:i/>
          <w:sz w:val="28"/>
          <w:szCs w:val="28"/>
          <w:lang w:val="es-MX"/>
        </w:rPr>
      </w:pPr>
      <w:r w:rsidRPr="009F42BE">
        <w:rPr>
          <w:b/>
          <w:i/>
          <w:sz w:val="28"/>
          <w:szCs w:val="28"/>
          <w:lang w:val="es-MX"/>
        </w:rPr>
        <w:t>SIMULTANEOUS DETERMINATION OF METHANOL, FORMIC ACID AND ACETIC ACID</w:t>
      </w:r>
      <w:r w:rsidR="005C2D50">
        <w:rPr>
          <w:b/>
          <w:i/>
          <w:sz w:val="28"/>
          <w:szCs w:val="28"/>
          <w:lang w:val="es-MX"/>
        </w:rPr>
        <w:t xml:space="preserve"> IN H</w:t>
      </w:r>
      <w:r w:rsidR="005C2D50" w:rsidRPr="005C2D50">
        <w:rPr>
          <w:b/>
          <w:i/>
          <w:sz w:val="28"/>
          <w:szCs w:val="28"/>
          <w:vertAlign w:val="subscript"/>
          <w:lang w:val="es-MX"/>
        </w:rPr>
        <w:t>2</w:t>
      </w:r>
      <w:r w:rsidR="005C2D50">
        <w:rPr>
          <w:b/>
          <w:i/>
          <w:sz w:val="28"/>
          <w:szCs w:val="28"/>
          <w:lang w:val="es-MX"/>
        </w:rPr>
        <w:t>O</w:t>
      </w:r>
      <w:r w:rsidR="005C2D50" w:rsidRPr="005C2D50">
        <w:rPr>
          <w:b/>
          <w:i/>
          <w:sz w:val="28"/>
          <w:szCs w:val="28"/>
          <w:vertAlign w:val="subscript"/>
          <w:lang w:val="es-MX"/>
        </w:rPr>
        <w:t>2</w:t>
      </w:r>
      <w:r w:rsidR="005C2D50">
        <w:rPr>
          <w:b/>
          <w:i/>
          <w:sz w:val="28"/>
          <w:szCs w:val="28"/>
          <w:lang w:val="es-MX"/>
        </w:rPr>
        <w:t>/H</w:t>
      </w:r>
      <w:r w:rsidR="005C2D50" w:rsidRPr="005C2D50">
        <w:rPr>
          <w:b/>
          <w:i/>
          <w:sz w:val="28"/>
          <w:szCs w:val="28"/>
          <w:vertAlign w:val="subscript"/>
          <w:lang w:val="es-MX"/>
        </w:rPr>
        <w:t>2</w:t>
      </w:r>
      <w:r w:rsidR="005C2D50">
        <w:rPr>
          <w:b/>
          <w:i/>
          <w:sz w:val="28"/>
          <w:szCs w:val="28"/>
          <w:lang w:val="es-MX"/>
        </w:rPr>
        <w:t>O MIXTURES</w:t>
      </w:r>
      <w:r w:rsidRPr="009F42BE">
        <w:rPr>
          <w:b/>
          <w:i/>
          <w:sz w:val="28"/>
          <w:szCs w:val="28"/>
          <w:lang w:val="es-MX"/>
        </w:rPr>
        <w:t xml:space="preserve"> BY NUCLEAR MAGNETIC RESONANCE</w:t>
      </w:r>
    </w:p>
    <w:p w:rsidR="002554C8" w:rsidRPr="009F42BE" w:rsidRDefault="002554C8" w:rsidP="005A7F46">
      <w:pPr>
        <w:jc w:val="both"/>
        <w:rPr>
          <w:sz w:val="28"/>
          <w:szCs w:val="28"/>
          <w:lang w:val="es-MX"/>
        </w:rPr>
      </w:pPr>
    </w:p>
    <w:p w:rsidR="006A75D4" w:rsidRPr="009F42BE" w:rsidRDefault="00595A88" w:rsidP="003E3A75">
      <w:pPr>
        <w:spacing w:line="360" w:lineRule="auto"/>
        <w:jc w:val="center"/>
        <w:rPr>
          <w:lang w:val="es-MX"/>
        </w:rPr>
      </w:pPr>
      <w:r w:rsidRPr="009F42BE">
        <w:rPr>
          <w:u w:val="single"/>
          <w:lang w:val="es-MX"/>
        </w:rPr>
        <w:t>Jorge A</w:t>
      </w:r>
      <w:r w:rsidR="00B328FC" w:rsidRPr="009F42BE">
        <w:rPr>
          <w:u w:val="single"/>
          <w:lang w:val="es-MX"/>
        </w:rPr>
        <w:t>lberto</w:t>
      </w:r>
      <w:r w:rsidRPr="009F42BE">
        <w:rPr>
          <w:u w:val="single"/>
          <w:lang w:val="es-MX"/>
        </w:rPr>
        <w:t xml:space="preserve"> García Martínez</w:t>
      </w:r>
      <w:r w:rsidR="00E67EE1" w:rsidRPr="009F42BE">
        <w:rPr>
          <w:u w:val="single"/>
          <w:lang w:val="es-MX"/>
        </w:rPr>
        <w:t>*</w:t>
      </w:r>
      <w:r w:rsidRPr="009F42BE">
        <w:rPr>
          <w:lang w:val="es-MX"/>
        </w:rPr>
        <w:t xml:space="preserve">, </w:t>
      </w:r>
      <w:r w:rsidR="002554C8" w:rsidRPr="009F42BE">
        <w:rPr>
          <w:lang w:val="es-MX"/>
        </w:rPr>
        <w:t>Héctor Armendáriz Herrera</w:t>
      </w:r>
      <w:r w:rsidRPr="009F42BE">
        <w:rPr>
          <w:lang w:val="es-MX"/>
        </w:rPr>
        <w:t xml:space="preserve">, </w:t>
      </w:r>
      <w:r w:rsidR="002554C8" w:rsidRPr="009F42BE">
        <w:rPr>
          <w:lang w:val="es-MX"/>
        </w:rPr>
        <w:t>Roberto Quintana Solórzano</w:t>
      </w:r>
    </w:p>
    <w:p w:rsidR="006A75D4" w:rsidRPr="009F42BE" w:rsidRDefault="006A75D4" w:rsidP="00A560F6">
      <w:pPr>
        <w:spacing w:line="360" w:lineRule="auto"/>
        <w:rPr>
          <w:lang w:val="es-MX"/>
        </w:rPr>
      </w:pPr>
    </w:p>
    <w:p w:rsidR="006A75D4" w:rsidRPr="009F42BE" w:rsidRDefault="006A75D4" w:rsidP="00A560F6">
      <w:pPr>
        <w:spacing w:line="360" w:lineRule="auto"/>
        <w:jc w:val="both"/>
      </w:pPr>
      <w:r w:rsidRPr="009F42BE">
        <w:rPr>
          <w:lang w:val="es-MX"/>
        </w:rPr>
        <w:t>Instituto Mexicano del Petróleo. Eje Central Lázaro Cárdenas Norte 152; Col. San</w:t>
      </w:r>
      <w:r w:rsidR="002554C8" w:rsidRPr="009F42BE">
        <w:rPr>
          <w:lang w:val="es-MX"/>
        </w:rPr>
        <w:t xml:space="preserve"> </w:t>
      </w:r>
      <w:r w:rsidRPr="009F42BE">
        <w:rPr>
          <w:lang w:val="es-MX"/>
        </w:rPr>
        <w:t xml:space="preserve">Bartolo </w:t>
      </w:r>
      <w:proofErr w:type="spellStart"/>
      <w:r w:rsidRPr="009F42BE">
        <w:rPr>
          <w:lang w:val="es-MX"/>
        </w:rPr>
        <w:t>Atepehuacan</w:t>
      </w:r>
      <w:proofErr w:type="spellEnd"/>
      <w:r w:rsidRPr="009F42BE">
        <w:rPr>
          <w:lang w:val="es-MX"/>
        </w:rPr>
        <w:t xml:space="preserve">, </w:t>
      </w:r>
      <w:r w:rsidR="009F42BE" w:rsidRPr="009F42BE">
        <w:rPr>
          <w:lang w:val="es-MX"/>
        </w:rPr>
        <w:t xml:space="preserve">Ciudad de México, </w:t>
      </w:r>
      <w:r w:rsidRPr="009F42BE">
        <w:rPr>
          <w:lang w:val="es-MX"/>
        </w:rPr>
        <w:t>C.P. 07730.</w:t>
      </w:r>
      <w:r w:rsidR="009F42BE" w:rsidRPr="009F42BE">
        <w:rPr>
          <w:lang w:val="es-MX"/>
        </w:rPr>
        <w:t xml:space="preserve"> México.</w:t>
      </w:r>
      <w:r w:rsidRPr="009F42BE">
        <w:rPr>
          <w:lang w:val="es-MX"/>
        </w:rPr>
        <w:t xml:space="preserve"> </w:t>
      </w:r>
      <w:r w:rsidRPr="009F42BE">
        <w:t>Tel.: + 52 (55) 9175-8269. e-mail:</w:t>
      </w:r>
      <w:r w:rsidR="002554C8" w:rsidRPr="009F42BE">
        <w:t xml:space="preserve"> </w:t>
      </w:r>
      <w:hyperlink r:id="rId8" w:history="1">
        <w:r w:rsidRPr="009F42BE">
          <w:rPr>
            <w:rStyle w:val="Hipervnculo"/>
            <w:color w:val="auto"/>
          </w:rPr>
          <w:t>jgarcia@imp.mx</w:t>
        </w:r>
      </w:hyperlink>
      <w:r w:rsidRPr="009F42BE">
        <w:t>.</w:t>
      </w:r>
    </w:p>
    <w:p w:rsidR="002554C8" w:rsidRPr="009F42BE" w:rsidRDefault="002554C8" w:rsidP="00A560F6">
      <w:pPr>
        <w:spacing w:line="360" w:lineRule="auto"/>
        <w:jc w:val="both"/>
      </w:pPr>
    </w:p>
    <w:p w:rsidR="002554C8" w:rsidRPr="00B912AF" w:rsidRDefault="005A7F46" w:rsidP="00A560F6">
      <w:pPr>
        <w:spacing w:line="360" w:lineRule="auto"/>
        <w:jc w:val="both"/>
        <w:rPr>
          <w:b/>
        </w:rPr>
      </w:pPr>
      <w:r w:rsidRPr="00B912AF">
        <w:rPr>
          <w:b/>
        </w:rPr>
        <w:t>Resumen</w:t>
      </w:r>
    </w:p>
    <w:p w:rsidR="002554C8" w:rsidRDefault="002554C8" w:rsidP="00A560F6">
      <w:pPr>
        <w:spacing w:line="360" w:lineRule="auto"/>
        <w:jc w:val="both"/>
      </w:pPr>
      <w:r w:rsidRPr="002554C8">
        <w:t xml:space="preserve">En el Instituto Mexicano del Petróleo </w:t>
      </w:r>
      <w:r w:rsidR="00E373EC">
        <w:t xml:space="preserve">(IMP) </w:t>
      </w:r>
      <w:r w:rsidRPr="002554C8">
        <w:t>está en curso un proyecto dirigido a efectuar la oxidación catalítica de metano a metanol (ML), en presencia de peróxido de hidrógeno (H</w:t>
      </w:r>
      <w:r w:rsidRPr="004D628C">
        <w:rPr>
          <w:vertAlign w:val="subscript"/>
        </w:rPr>
        <w:t>2</w:t>
      </w:r>
      <w:r w:rsidRPr="002554C8">
        <w:t>O</w:t>
      </w:r>
      <w:r w:rsidRPr="004D628C">
        <w:rPr>
          <w:vertAlign w:val="subscript"/>
        </w:rPr>
        <w:t>2</w:t>
      </w:r>
      <w:r w:rsidRPr="002554C8">
        <w:t>) disuelto en agua (H</w:t>
      </w:r>
      <w:r w:rsidRPr="004D628C">
        <w:rPr>
          <w:vertAlign w:val="subscript"/>
        </w:rPr>
        <w:t>2</w:t>
      </w:r>
      <w:r w:rsidRPr="002554C8">
        <w:t>O), bajo diferentes condiciones experimentales. En el producto líquido resultante se detecta</w:t>
      </w:r>
      <w:r w:rsidR="009B47E6">
        <w:t>ron</w:t>
      </w:r>
      <w:r w:rsidR="00FF6747">
        <w:t xml:space="preserve"> </w:t>
      </w:r>
      <w:r w:rsidRPr="002554C8">
        <w:t>ácido fórmico (AF) y ácido acético (A</w:t>
      </w:r>
      <w:r w:rsidR="001864B3">
        <w:t>A</w:t>
      </w:r>
      <w:r w:rsidRPr="002554C8">
        <w:t>)</w:t>
      </w:r>
      <w:r w:rsidR="00FF6747">
        <w:t xml:space="preserve"> además del alcohol</w:t>
      </w:r>
      <w:r w:rsidRPr="002554C8">
        <w:t xml:space="preserve">. Para evaluar la eficiencia de las reacciones fue necesario desarrollar un método analítico capaz de cuantificar estos compuestos orgánicos oxigenados en la matriz acuosa. En esta comunicación se presenta la aplicación de la Resonancia Magnética Nuclear (RMN) para determinar simultáneamente </w:t>
      </w:r>
      <w:r w:rsidR="00B912AF" w:rsidRPr="005F7B55">
        <w:t xml:space="preserve">esos </w:t>
      </w:r>
      <w:r w:rsidR="00B912AF" w:rsidRPr="00D50E17">
        <w:t>org</w:t>
      </w:r>
      <w:r w:rsidR="005F7B55" w:rsidRPr="00D50E17">
        <w:t>ánicos oxigenados</w:t>
      </w:r>
      <w:r w:rsidR="00B912AF">
        <w:t xml:space="preserve"> </w:t>
      </w:r>
      <w:r w:rsidRPr="002554C8">
        <w:t>en la mezcla de H</w:t>
      </w:r>
      <w:r w:rsidRPr="004D628C">
        <w:rPr>
          <w:vertAlign w:val="subscript"/>
        </w:rPr>
        <w:t>2</w:t>
      </w:r>
      <w:r w:rsidRPr="002554C8">
        <w:t>O</w:t>
      </w:r>
      <w:r w:rsidRPr="007816FC">
        <w:rPr>
          <w:vertAlign w:val="subscript"/>
        </w:rPr>
        <w:t>2</w:t>
      </w:r>
      <w:r w:rsidRPr="002554C8">
        <w:t>/H</w:t>
      </w:r>
      <w:r w:rsidRPr="004D628C">
        <w:rPr>
          <w:vertAlign w:val="subscript"/>
        </w:rPr>
        <w:t>2</w:t>
      </w:r>
      <w:r w:rsidRPr="002554C8">
        <w:t>O. El análisis cuantitativo se basa en la determinación de la relación de integración de una señal característica de los oxigenados a determinar y la señal de los metilos de la sal sódica del ácido 3-(</w:t>
      </w:r>
      <w:proofErr w:type="spellStart"/>
      <w:r w:rsidRPr="002554C8">
        <w:t>trimetilsilil</w:t>
      </w:r>
      <w:proofErr w:type="spellEnd"/>
      <w:proofErr w:type="gramStart"/>
      <w:r w:rsidRPr="002554C8">
        <w:t>)propiónico</w:t>
      </w:r>
      <w:proofErr w:type="gramEnd"/>
      <w:r w:rsidR="0019156B">
        <w:t>-2,2,3,3</w:t>
      </w:r>
      <w:r w:rsidRPr="002554C8">
        <w:t>-d</w:t>
      </w:r>
      <w:r w:rsidRPr="006E26B7">
        <w:rPr>
          <w:vertAlign w:val="subscript"/>
        </w:rPr>
        <w:t>4</w:t>
      </w:r>
      <w:r w:rsidRPr="002554C8">
        <w:t xml:space="preserve"> (TSP) que se empleó como estándar interno</w:t>
      </w:r>
      <w:r w:rsidR="003A3129">
        <w:t xml:space="preserve"> (EI)</w:t>
      </w:r>
      <w:r w:rsidRPr="002554C8">
        <w:t>. Las señales</w:t>
      </w:r>
      <w:r w:rsidR="00110CC6">
        <w:t xml:space="preserve"> </w:t>
      </w:r>
      <w:r w:rsidRPr="002554C8">
        <w:t xml:space="preserve">que se utilizaron fueron las de los protones metílicos del ML y del AA así como la del protón </w:t>
      </w:r>
      <w:proofErr w:type="spellStart"/>
      <w:r w:rsidRPr="002554C8">
        <w:t>carbonílico</w:t>
      </w:r>
      <w:proofErr w:type="spellEnd"/>
      <w:r w:rsidRPr="002554C8">
        <w:t xml:space="preserve"> del AF; éstas y la del TSP aparecen como </w:t>
      </w:r>
      <w:proofErr w:type="spellStart"/>
      <w:r w:rsidRPr="002554C8">
        <w:t>singuletes</w:t>
      </w:r>
      <w:proofErr w:type="spellEnd"/>
      <w:r w:rsidRPr="002554C8">
        <w:t xml:space="preserve"> en el espectro de RMN de</w:t>
      </w:r>
      <w:r w:rsidR="00DA530F">
        <w:t xml:space="preserve"> protones (RMN</w:t>
      </w:r>
      <w:r w:rsidR="007C1A75">
        <w:t xml:space="preserve"> </w:t>
      </w:r>
      <w:r w:rsidR="00DA530F" w:rsidRPr="00DA530F">
        <w:rPr>
          <w:vertAlign w:val="superscript"/>
        </w:rPr>
        <w:t>1</w:t>
      </w:r>
      <w:r w:rsidR="00DA530F">
        <w:t>H)</w:t>
      </w:r>
      <w:r w:rsidR="000968A0">
        <w:t>.</w:t>
      </w:r>
      <w:r w:rsidRPr="002554C8">
        <w:t xml:space="preserve"> Puesto que la concentración del TSP se mantiene constante, el valor de la relación de integración está en función de la concentración del </w:t>
      </w:r>
      <w:proofErr w:type="spellStart"/>
      <w:r w:rsidRPr="002554C8">
        <w:t>analito</w:t>
      </w:r>
      <w:proofErr w:type="spellEnd"/>
      <w:r w:rsidRPr="002554C8">
        <w:t>. Se obtu</w:t>
      </w:r>
      <w:r w:rsidR="00332367">
        <w:t>vieron curvas de calibración, a</w:t>
      </w:r>
      <w:r w:rsidRPr="002554C8">
        <w:t xml:space="preserve"> nivel de </w:t>
      </w:r>
      <w:r w:rsidRPr="00410A8A">
        <w:rPr>
          <w:rFonts w:ascii="Symbol" w:hAnsi="Symbol"/>
        </w:rPr>
        <w:t></w:t>
      </w:r>
      <w:r w:rsidRPr="002554C8">
        <w:t xml:space="preserve">moles/L, en el intervalo de </w:t>
      </w:r>
      <w:r w:rsidR="00410A8A">
        <w:t>120-2,450</w:t>
      </w:r>
      <w:r w:rsidRPr="002554C8">
        <w:t xml:space="preserve">, </w:t>
      </w:r>
      <w:r w:rsidR="00410A8A">
        <w:t>1,000-20,000</w:t>
      </w:r>
      <w:r w:rsidRPr="002554C8">
        <w:t xml:space="preserve"> y </w:t>
      </w:r>
      <w:r w:rsidR="00410A8A">
        <w:t>100-2,000</w:t>
      </w:r>
      <w:r w:rsidRPr="002554C8">
        <w:t xml:space="preserve"> para ML, AF y AA, respectivamente. Para </w:t>
      </w:r>
      <w:r w:rsidRPr="002554C8">
        <w:lastRenderedPageBreak/>
        <w:t xml:space="preserve">alcanzar el nivel de sensibilidad requerido para detectar y cuantificar estos orgánicos oxigenados fue necesario efectuar los experimentos de RMN bajo la condición de supresión de la señal de agua y acumulación de un considerable número de </w:t>
      </w:r>
      <w:proofErr w:type="spellStart"/>
      <w:r w:rsidRPr="002554C8">
        <w:t>transientes</w:t>
      </w:r>
      <w:proofErr w:type="spellEnd"/>
      <w:r w:rsidRPr="002554C8">
        <w:t>.</w:t>
      </w:r>
      <w:r w:rsidR="005D5D29">
        <w:t xml:space="preserve"> </w:t>
      </w:r>
      <w:r w:rsidR="005D5D29" w:rsidRPr="005F7B55">
        <w:t>El método analítico que se presenta es simple, rápido y confiable.</w:t>
      </w:r>
    </w:p>
    <w:p w:rsidR="00B912AF" w:rsidRDefault="00B912AF" w:rsidP="00A560F6">
      <w:pPr>
        <w:spacing w:line="360" w:lineRule="auto"/>
        <w:jc w:val="both"/>
      </w:pPr>
    </w:p>
    <w:p w:rsidR="00B912AF" w:rsidRDefault="00B912AF" w:rsidP="00A560F6">
      <w:pPr>
        <w:spacing w:line="360" w:lineRule="auto"/>
        <w:jc w:val="both"/>
        <w:rPr>
          <w:b/>
          <w:i/>
        </w:rPr>
      </w:pPr>
      <w:proofErr w:type="spellStart"/>
      <w:r w:rsidRPr="007A7DC4">
        <w:rPr>
          <w:b/>
          <w:i/>
        </w:rPr>
        <w:t>Abstract</w:t>
      </w:r>
      <w:proofErr w:type="spellEnd"/>
    </w:p>
    <w:p w:rsidR="007E2DB2" w:rsidRPr="007E2DB2" w:rsidRDefault="00E86A05" w:rsidP="00A560F6">
      <w:pPr>
        <w:spacing w:line="360" w:lineRule="auto"/>
        <w:jc w:val="both"/>
        <w:rPr>
          <w:i/>
        </w:rPr>
      </w:pPr>
      <w:r>
        <w:rPr>
          <w:i/>
        </w:rPr>
        <w:t>A</w:t>
      </w:r>
      <w:r w:rsidR="007E2DB2">
        <w:rPr>
          <w:i/>
        </w:rPr>
        <w:t xml:space="preserve"> </w:t>
      </w:r>
      <w:proofErr w:type="spellStart"/>
      <w:r w:rsidR="007E2DB2">
        <w:rPr>
          <w:i/>
        </w:rPr>
        <w:t>project</w:t>
      </w:r>
      <w:proofErr w:type="spellEnd"/>
      <w:r w:rsidR="007E2DB2">
        <w:rPr>
          <w:i/>
        </w:rPr>
        <w:t xml:space="preserve"> to </w:t>
      </w:r>
      <w:proofErr w:type="spellStart"/>
      <w:r w:rsidR="007E2DB2" w:rsidRPr="00CF3E32">
        <w:rPr>
          <w:i/>
        </w:rPr>
        <w:t>carry</w:t>
      </w:r>
      <w:proofErr w:type="spellEnd"/>
      <w:r w:rsidR="007E2DB2" w:rsidRPr="00CF3E32">
        <w:rPr>
          <w:i/>
        </w:rPr>
        <w:t xml:space="preserve"> </w:t>
      </w:r>
      <w:proofErr w:type="spellStart"/>
      <w:r w:rsidR="00CF3E32">
        <w:rPr>
          <w:i/>
        </w:rPr>
        <w:t>out</w:t>
      </w:r>
      <w:proofErr w:type="spellEnd"/>
      <w:r w:rsidR="007E2DB2">
        <w:rPr>
          <w:i/>
        </w:rPr>
        <w:t xml:space="preserve"> </w:t>
      </w:r>
      <w:proofErr w:type="spellStart"/>
      <w:r w:rsidR="007E2DB2">
        <w:rPr>
          <w:i/>
        </w:rPr>
        <w:t>the</w:t>
      </w:r>
      <w:proofErr w:type="spellEnd"/>
      <w:r w:rsidR="007E2DB2">
        <w:rPr>
          <w:i/>
        </w:rPr>
        <w:t xml:space="preserve"> </w:t>
      </w:r>
      <w:proofErr w:type="spellStart"/>
      <w:r w:rsidR="007E2DB2">
        <w:rPr>
          <w:i/>
        </w:rPr>
        <w:t>catalytic</w:t>
      </w:r>
      <w:proofErr w:type="spellEnd"/>
      <w:r w:rsidR="007E2DB2">
        <w:rPr>
          <w:i/>
        </w:rPr>
        <w:t xml:space="preserve"> </w:t>
      </w:r>
      <w:proofErr w:type="spellStart"/>
      <w:r w:rsidR="007E2DB2">
        <w:rPr>
          <w:i/>
        </w:rPr>
        <w:t>oxidation</w:t>
      </w:r>
      <w:proofErr w:type="spellEnd"/>
      <w:r w:rsidR="007E2DB2">
        <w:rPr>
          <w:i/>
        </w:rPr>
        <w:t xml:space="preserve"> </w:t>
      </w:r>
      <w:r w:rsidR="00E50ABA">
        <w:rPr>
          <w:i/>
        </w:rPr>
        <w:t>of</w:t>
      </w:r>
      <w:r w:rsidR="007E2DB2">
        <w:rPr>
          <w:i/>
        </w:rPr>
        <w:t xml:space="preserve"> </w:t>
      </w:r>
      <w:proofErr w:type="spellStart"/>
      <w:r w:rsidR="007E2DB2">
        <w:rPr>
          <w:i/>
        </w:rPr>
        <w:t>methane</w:t>
      </w:r>
      <w:proofErr w:type="spellEnd"/>
      <w:r w:rsidR="007E2DB2">
        <w:rPr>
          <w:i/>
        </w:rPr>
        <w:t xml:space="preserve"> to</w:t>
      </w:r>
      <w:r w:rsidR="00E50ABA">
        <w:rPr>
          <w:i/>
        </w:rPr>
        <w:t xml:space="preserve"> </w:t>
      </w:r>
      <w:proofErr w:type="spellStart"/>
      <w:r w:rsidR="00E50ABA">
        <w:rPr>
          <w:i/>
        </w:rPr>
        <w:t>obtain</w:t>
      </w:r>
      <w:proofErr w:type="spellEnd"/>
      <w:r w:rsidR="007E2DB2">
        <w:rPr>
          <w:i/>
        </w:rPr>
        <w:t xml:space="preserve"> </w:t>
      </w:r>
      <w:proofErr w:type="spellStart"/>
      <w:r w:rsidR="007E2DB2">
        <w:rPr>
          <w:i/>
        </w:rPr>
        <w:t>met</w:t>
      </w:r>
      <w:r w:rsidR="00B57BB5">
        <w:rPr>
          <w:i/>
        </w:rPr>
        <w:t>h</w:t>
      </w:r>
      <w:r w:rsidR="007E2DB2">
        <w:rPr>
          <w:i/>
        </w:rPr>
        <w:t>anol</w:t>
      </w:r>
      <w:proofErr w:type="spellEnd"/>
      <w:r w:rsidR="007E2DB2">
        <w:rPr>
          <w:i/>
        </w:rPr>
        <w:t xml:space="preserve"> (ML</w:t>
      </w:r>
      <w:r>
        <w:rPr>
          <w:i/>
        </w:rPr>
        <w:t>)</w:t>
      </w:r>
      <w:r w:rsidR="007E2DB2">
        <w:rPr>
          <w:i/>
        </w:rPr>
        <w:t xml:space="preserve">, </w:t>
      </w:r>
      <w:proofErr w:type="spellStart"/>
      <w:r w:rsidR="00C8547A">
        <w:rPr>
          <w:i/>
        </w:rPr>
        <w:t>using</w:t>
      </w:r>
      <w:proofErr w:type="spellEnd"/>
      <w:r w:rsidR="007E2DB2">
        <w:rPr>
          <w:i/>
        </w:rPr>
        <w:t xml:space="preserve"> </w:t>
      </w:r>
      <w:proofErr w:type="spellStart"/>
      <w:r w:rsidR="007E2DB2">
        <w:rPr>
          <w:i/>
        </w:rPr>
        <w:t>hydrogen</w:t>
      </w:r>
      <w:proofErr w:type="spellEnd"/>
      <w:r w:rsidR="007E2DB2">
        <w:rPr>
          <w:i/>
        </w:rPr>
        <w:t xml:space="preserve"> </w:t>
      </w:r>
      <w:proofErr w:type="spellStart"/>
      <w:r w:rsidR="007E2DB2">
        <w:rPr>
          <w:i/>
        </w:rPr>
        <w:t>peroxide</w:t>
      </w:r>
      <w:proofErr w:type="spellEnd"/>
      <w:r w:rsidR="007E2DB2">
        <w:rPr>
          <w:i/>
        </w:rPr>
        <w:t xml:space="preserve"> (H</w:t>
      </w:r>
      <w:r w:rsidR="007E2DB2" w:rsidRPr="00B57BB5">
        <w:rPr>
          <w:i/>
          <w:vertAlign w:val="subscript"/>
        </w:rPr>
        <w:t>2</w:t>
      </w:r>
      <w:r w:rsidR="007E2DB2">
        <w:rPr>
          <w:i/>
        </w:rPr>
        <w:t>O</w:t>
      </w:r>
      <w:r w:rsidR="007E2DB2" w:rsidRPr="00B57BB5">
        <w:rPr>
          <w:i/>
          <w:vertAlign w:val="subscript"/>
        </w:rPr>
        <w:t>2</w:t>
      </w:r>
      <w:r>
        <w:rPr>
          <w:i/>
        </w:rPr>
        <w:t xml:space="preserve">) </w:t>
      </w:r>
      <w:proofErr w:type="spellStart"/>
      <w:r w:rsidR="0079221A">
        <w:rPr>
          <w:i/>
        </w:rPr>
        <w:t>mixed</w:t>
      </w:r>
      <w:proofErr w:type="spellEnd"/>
      <w:r>
        <w:rPr>
          <w:i/>
        </w:rPr>
        <w:t xml:space="preserve"> </w:t>
      </w:r>
      <w:proofErr w:type="spellStart"/>
      <w:r w:rsidR="0079221A">
        <w:rPr>
          <w:i/>
        </w:rPr>
        <w:t>with</w:t>
      </w:r>
      <w:proofErr w:type="spellEnd"/>
      <w:r>
        <w:rPr>
          <w:i/>
        </w:rPr>
        <w:t xml:space="preserve"> </w:t>
      </w:r>
      <w:proofErr w:type="spellStart"/>
      <w:r>
        <w:rPr>
          <w:i/>
        </w:rPr>
        <w:t>wa</w:t>
      </w:r>
      <w:r w:rsidR="007E2DB2">
        <w:rPr>
          <w:i/>
        </w:rPr>
        <w:t>ter</w:t>
      </w:r>
      <w:proofErr w:type="spellEnd"/>
      <w:r w:rsidR="007E2DB2">
        <w:rPr>
          <w:i/>
        </w:rPr>
        <w:t xml:space="preserve"> (H</w:t>
      </w:r>
      <w:r w:rsidR="007E2DB2" w:rsidRPr="00B57BB5">
        <w:rPr>
          <w:i/>
          <w:vertAlign w:val="subscript"/>
        </w:rPr>
        <w:t>2</w:t>
      </w:r>
      <w:r w:rsidR="007E2DB2">
        <w:rPr>
          <w:i/>
        </w:rPr>
        <w:t xml:space="preserve">O), </w:t>
      </w:r>
      <w:proofErr w:type="spellStart"/>
      <w:r w:rsidR="007E2DB2">
        <w:rPr>
          <w:i/>
        </w:rPr>
        <w:t>under</w:t>
      </w:r>
      <w:proofErr w:type="spellEnd"/>
      <w:r w:rsidR="007E2DB2">
        <w:rPr>
          <w:i/>
        </w:rPr>
        <w:t xml:space="preserve"> </w:t>
      </w:r>
      <w:proofErr w:type="spellStart"/>
      <w:r w:rsidR="007E2DB2">
        <w:rPr>
          <w:i/>
        </w:rPr>
        <w:t>different</w:t>
      </w:r>
      <w:proofErr w:type="spellEnd"/>
      <w:r w:rsidR="007E2DB2">
        <w:rPr>
          <w:i/>
        </w:rPr>
        <w:t xml:space="preserve"> experimental </w:t>
      </w:r>
      <w:proofErr w:type="spellStart"/>
      <w:r w:rsidR="007E2DB2">
        <w:rPr>
          <w:i/>
        </w:rPr>
        <w:t>conditions</w:t>
      </w:r>
      <w:proofErr w:type="spellEnd"/>
      <w:r w:rsidR="007E2DB2">
        <w:rPr>
          <w:i/>
        </w:rPr>
        <w:t xml:space="preserve">, </w:t>
      </w:r>
      <w:proofErr w:type="spellStart"/>
      <w:r w:rsidR="007E2DB2">
        <w:rPr>
          <w:i/>
        </w:rPr>
        <w:t>is</w:t>
      </w:r>
      <w:proofErr w:type="spellEnd"/>
      <w:r w:rsidR="007E2DB2">
        <w:rPr>
          <w:i/>
        </w:rPr>
        <w:t xml:space="preserve"> in </w:t>
      </w:r>
      <w:proofErr w:type="spellStart"/>
      <w:r w:rsidR="00CA0B51">
        <w:rPr>
          <w:i/>
        </w:rPr>
        <w:t>progress</w:t>
      </w:r>
      <w:proofErr w:type="spellEnd"/>
      <w:r>
        <w:rPr>
          <w:i/>
        </w:rPr>
        <w:t xml:space="preserve"> a</w:t>
      </w:r>
      <w:r w:rsidRPr="007E2DB2">
        <w:rPr>
          <w:i/>
        </w:rPr>
        <w:t>t Instituto Mexicano del Petróleo</w:t>
      </w:r>
      <w:r>
        <w:rPr>
          <w:i/>
        </w:rPr>
        <w:t xml:space="preserve"> (IMP)</w:t>
      </w:r>
      <w:r w:rsidR="007E2DB2">
        <w:rPr>
          <w:i/>
        </w:rPr>
        <w:t xml:space="preserve">. </w:t>
      </w:r>
      <w:proofErr w:type="spellStart"/>
      <w:r w:rsidR="006074C9">
        <w:rPr>
          <w:i/>
        </w:rPr>
        <w:t>F</w:t>
      </w:r>
      <w:r w:rsidR="006074C9">
        <w:rPr>
          <w:i/>
        </w:rPr>
        <w:t>ormic</w:t>
      </w:r>
      <w:proofErr w:type="spellEnd"/>
      <w:r w:rsidR="006074C9">
        <w:rPr>
          <w:i/>
        </w:rPr>
        <w:t xml:space="preserve"> </w:t>
      </w:r>
      <w:proofErr w:type="spellStart"/>
      <w:r w:rsidR="006074C9">
        <w:rPr>
          <w:i/>
        </w:rPr>
        <w:t>acid</w:t>
      </w:r>
      <w:proofErr w:type="spellEnd"/>
      <w:r w:rsidR="006074C9">
        <w:rPr>
          <w:i/>
        </w:rPr>
        <w:t xml:space="preserve"> (AF) and </w:t>
      </w:r>
      <w:proofErr w:type="spellStart"/>
      <w:r w:rsidR="006074C9">
        <w:rPr>
          <w:i/>
        </w:rPr>
        <w:t>acetic</w:t>
      </w:r>
      <w:proofErr w:type="spellEnd"/>
      <w:r w:rsidR="006074C9">
        <w:rPr>
          <w:i/>
        </w:rPr>
        <w:t xml:space="preserve"> </w:t>
      </w:r>
      <w:proofErr w:type="spellStart"/>
      <w:r w:rsidR="006074C9">
        <w:rPr>
          <w:i/>
        </w:rPr>
        <w:t>acid</w:t>
      </w:r>
      <w:proofErr w:type="spellEnd"/>
      <w:r w:rsidR="006074C9">
        <w:rPr>
          <w:i/>
        </w:rPr>
        <w:t xml:space="preserve"> (AA)</w:t>
      </w:r>
      <w:r w:rsidR="006074C9">
        <w:rPr>
          <w:i/>
        </w:rPr>
        <w:t xml:space="preserve"> </w:t>
      </w:r>
      <w:proofErr w:type="spellStart"/>
      <w:r w:rsidR="006074C9">
        <w:rPr>
          <w:i/>
        </w:rPr>
        <w:t>were</w:t>
      </w:r>
      <w:proofErr w:type="spellEnd"/>
      <w:r w:rsidR="006074C9">
        <w:rPr>
          <w:i/>
        </w:rPr>
        <w:t xml:space="preserve"> </w:t>
      </w:r>
      <w:proofErr w:type="spellStart"/>
      <w:r w:rsidR="006074C9">
        <w:rPr>
          <w:i/>
        </w:rPr>
        <w:t>also</w:t>
      </w:r>
      <w:proofErr w:type="spellEnd"/>
      <w:r w:rsidR="006074C9">
        <w:rPr>
          <w:i/>
        </w:rPr>
        <w:t xml:space="preserve"> </w:t>
      </w:r>
      <w:proofErr w:type="spellStart"/>
      <w:r w:rsidR="006074C9">
        <w:rPr>
          <w:i/>
        </w:rPr>
        <w:t>detected</w:t>
      </w:r>
      <w:proofErr w:type="spellEnd"/>
      <w:r w:rsidR="006074C9">
        <w:rPr>
          <w:i/>
        </w:rPr>
        <w:t xml:space="preserve"> </w:t>
      </w:r>
      <w:r w:rsidR="006074C9">
        <w:rPr>
          <w:i/>
        </w:rPr>
        <w:t xml:space="preserve">in </w:t>
      </w:r>
      <w:proofErr w:type="spellStart"/>
      <w:r w:rsidR="006074C9">
        <w:rPr>
          <w:i/>
        </w:rPr>
        <w:t>the</w:t>
      </w:r>
      <w:proofErr w:type="spellEnd"/>
      <w:r w:rsidR="006074C9">
        <w:rPr>
          <w:i/>
        </w:rPr>
        <w:t xml:space="preserve"> </w:t>
      </w:r>
      <w:proofErr w:type="spellStart"/>
      <w:r w:rsidR="006074C9">
        <w:rPr>
          <w:i/>
        </w:rPr>
        <w:t>liquid</w:t>
      </w:r>
      <w:proofErr w:type="spellEnd"/>
      <w:r w:rsidR="006074C9">
        <w:rPr>
          <w:i/>
        </w:rPr>
        <w:t xml:space="preserve"> </w:t>
      </w:r>
      <w:proofErr w:type="spellStart"/>
      <w:r w:rsidR="006074C9">
        <w:rPr>
          <w:i/>
        </w:rPr>
        <w:t>product</w:t>
      </w:r>
      <w:proofErr w:type="spellEnd"/>
      <w:r w:rsidR="006074C9">
        <w:rPr>
          <w:i/>
        </w:rPr>
        <w:t xml:space="preserve"> of </w:t>
      </w:r>
      <w:proofErr w:type="spellStart"/>
      <w:r w:rsidR="006074C9">
        <w:rPr>
          <w:i/>
        </w:rPr>
        <w:t>the</w:t>
      </w:r>
      <w:proofErr w:type="spellEnd"/>
      <w:r w:rsidR="006074C9">
        <w:rPr>
          <w:i/>
        </w:rPr>
        <w:t xml:space="preserve"> </w:t>
      </w:r>
      <w:proofErr w:type="spellStart"/>
      <w:r w:rsidR="006074C9">
        <w:rPr>
          <w:i/>
        </w:rPr>
        <w:t>reaction</w:t>
      </w:r>
      <w:proofErr w:type="spellEnd"/>
      <w:r w:rsidR="006074C9">
        <w:rPr>
          <w:i/>
        </w:rPr>
        <w:t xml:space="preserve"> </w:t>
      </w:r>
      <w:proofErr w:type="spellStart"/>
      <w:r w:rsidR="006074C9">
        <w:rPr>
          <w:i/>
        </w:rPr>
        <w:t>b</w:t>
      </w:r>
      <w:r w:rsidR="007E2DB2">
        <w:rPr>
          <w:i/>
        </w:rPr>
        <w:t>esides</w:t>
      </w:r>
      <w:proofErr w:type="spellEnd"/>
      <w:r w:rsidR="007E2DB2">
        <w:rPr>
          <w:i/>
        </w:rPr>
        <w:t xml:space="preserve"> </w:t>
      </w:r>
      <w:proofErr w:type="spellStart"/>
      <w:r w:rsidR="007E2DB2">
        <w:rPr>
          <w:i/>
        </w:rPr>
        <w:t>the</w:t>
      </w:r>
      <w:proofErr w:type="spellEnd"/>
      <w:r w:rsidR="007E2DB2">
        <w:rPr>
          <w:i/>
        </w:rPr>
        <w:t xml:space="preserve"> alcohol. In </w:t>
      </w:r>
      <w:proofErr w:type="spellStart"/>
      <w:r w:rsidR="007E2DB2">
        <w:rPr>
          <w:i/>
        </w:rPr>
        <w:t>order</w:t>
      </w:r>
      <w:proofErr w:type="spellEnd"/>
      <w:r w:rsidR="007E2DB2">
        <w:rPr>
          <w:i/>
        </w:rPr>
        <w:t xml:space="preserve"> to </w:t>
      </w:r>
      <w:proofErr w:type="spellStart"/>
      <w:r w:rsidR="007E2DB2">
        <w:rPr>
          <w:i/>
        </w:rPr>
        <w:t>evaluate</w:t>
      </w:r>
      <w:proofErr w:type="spellEnd"/>
      <w:r w:rsidR="007E2DB2">
        <w:rPr>
          <w:i/>
        </w:rPr>
        <w:t xml:space="preserve"> </w:t>
      </w:r>
      <w:proofErr w:type="spellStart"/>
      <w:r w:rsidR="007E2DB2">
        <w:rPr>
          <w:i/>
        </w:rPr>
        <w:t>the</w:t>
      </w:r>
      <w:proofErr w:type="spellEnd"/>
      <w:r w:rsidR="007E2DB2">
        <w:rPr>
          <w:i/>
        </w:rPr>
        <w:t xml:space="preserve"> </w:t>
      </w:r>
      <w:proofErr w:type="spellStart"/>
      <w:r w:rsidR="007E2DB2">
        <w:rPr>
          <w:i/>
        </w:rPr>
        <w:t>efficiency</w:t>
      </w:r>
      <w:proofErr w:type="spellEnd"/>
      <w:r w:rsidR="007E2DB2">
        <w:rPr>
          <w:i/>
        </w:rPr>
        <w:t xml:space="preserve"> of </w:t>
      </w:r>
      <w:proofErr w:type="spellStart"/>
      <w:r w:rsidR="007E2DB2">
        <w:rPr>
          <w:i/>
        </w:rPr>
        <w:t>reactions</w:t>
      </w:r>
      <w:proofErr w:type="spellEnd"/>
      <w:r w:rsidR="007E2DB2">
        <w:rPr>
          <w:i/>
        </w:rPr>
        <w:t xml:space="preserve"> </w:t>
      </w:r>
      <w:proofErr w:type="spellStart"/>
      <w:r w:rsidR="007E2DB2">
        <w:rPr>
          <w:i/>
        </w:rPr>
        <w:t>it</w:t>
      </w:r>
      <w:proofErr w:type="spellEnd"/>
      <w:r w:rsidR="007E2DB2">
        <w:rPr>
          <w:i/>
        </w:rPr>
        <w:t xml:space="preserve"> </w:t>
      </w:r>
      <w:proofErr w:type="spellStart"/>
      <w:r w:rsidR="007E2DB2">
        <w:rPr>
          <w:i/>
        </w:rPr>
        <w:t>was</w:t>
      </w:r>
      <w:proofErr w:type="spellEnd"/>
      <w:r w:rsidR="007E2DB2">
        <w:rPr>
          <w:i/>
        </w:rPr>
        <w:t xml:space="preserve"> </w:t>
      </w:r>
      <w:proofErr w:type="spellStart"/>
      <w:r w:rsidR="007E2DB2">
        <w:rPr>
          <w:i/>
        </w:rPr>
        <w:t>necessary</w:t>
      </w:r>
      <w:proofErr w:type="spellEnd"/>
      <w:r w:rsidR="007E2DB2">
        <w:rPr>
          <w:i/>
        </w:rPr>
        <w:t xml:space="preserve"> to </w:t>
      </w:r>
      <w:proofErr w:type="spellStart"/>
      <w:r w:rsidR="007E2DB2">
        <w:rPr>
          <w:i/>
        </w:rPr>
        <w:t>develope</w:t>
      </w:r>
      <w:proofErr w:type="spellEnd"/>
      <w:r w:rsidR="007E2DB2">
        <w:rPr>
          <w:i/>
        </w:rPr>
        <w:t xml:space="preserve"> </w:t>
      </w:r>
      <w:proofErr w:type="spellStart"/>
      <w:r w:rsidR="007E2DB2">
        <w:rPr>
          <w:i/>
        </w:rPr>
        <w:t>an</w:t>
      </w:r>
      <w:proofErr w:type="spellEnd"/>
      <w:r w:rsidR="007E2DB2">
        <w:rPr>
          <w:i/>
        </w:rPr>
        <w:t xml:space="preserve"> </w:t>
      </w:r>
      <w:proofErr w:type="spellStart"/>
      <w:r w:rsidR="007E2DB2">
        <w:rPr>
          <w:i/>
        </w:rPr>
        <w:t>analytical</w:t>
      </w:r>
      <w:proofErr w:type="spellEnd"/>
      <w:r w:rsidR="007E2DB2">
        <w:rPr>
          <w:i/>
        </w:rPr>
        <w:t xml:space="preserve"> </w:t>
      </w:r>
      <w:proofErr w:type="spellStart"/>
      <w:r w:rsidR="007E2DB2">
        <w:rPr>
          <w:i/>
        </w:rPr>
        <w:t>method</w:t>
      </w:r>
      <w:proofErr w:type="spellEnd"/>
      <w:r w:rsidR="007E2DB2">
        <w:rPr>
          <w:i/>
        </w:rPr>
        <w:t xml:space="preserve"> to </w:t>
      </w:r>
      <w:proofErr w:type="spellStart"/>
      <w:r w:rsidR="007E2DB2">
        <w:rPr>
          <w:i/>
        </w:rPr>
        <w:t>quanti</w:t>
      </w:r>
      <w:r w:rsidR="00773927">
        <w:rPr>
          <w:i/>
        </w:rPr>
        <w:t>fy</w:t>
      </w:r>
      <w:proofErr w:type="spellEnd"/>
      <w:r w:rsidR="00773927">
        <w:rPr>
          <w:i/>
        </w:rPr>
        <w:t xml:space="preserve"> </w:t>
      </w:r>
      <w:proofErr w:type="spellStart"/>
      <w:r w:rsidR="00773927">
        <w:rPr>
          <w:i/>
        </w:rPr>
        <w:t>th</w:t>
      </w:r>
      <w:r w:rsidR="00551640">
        <w:rPr>
          <w:i/>
        </w:rPr>
        <w:t>o</w:t>
      </w:r>
      <w:r w:rsidR="00773927">
        <w:rPr>
          <w:i/>
        </w:rPr>
        <w:t>se</w:t>
      </w:r>
      <w:proofErr w:type="spellEnd"/>
      <w:r w:rsidR="00773927">
        <w:rPr>
          <w:i/>
        </w:rPr>
        <w:t xml:space="preserve"> </w:t>
      </w:r>
      <w:proofErr w:type="spellStart"/>
      <w:r w:rsidR="00773927">
        <w:rPr>
          <w:i/>
        </w:rPr>
        <w:t>organic</w:t>
      </w:r>
      <w:proofErr w:type="spellEnd"/>
      <w:r w:rsidR="00773927">
        <w:rPr>
          <w:i/>
        </w:rPr>
        <w:t xml:space="preserve"> </w:t>
      </w:r>
      <w:proofErr w:type="spellStart"/>
      <w:r w:rsidR="00773927">
        <w:rPr>
          <w:i/>
        </w:rPr>
        <w:t>compounds</w:t>
      </w:r>
      <w:proofErr w:type="spellEnd"/>
      <w:r w:rsidR="00773927">
        <w:rPr>
          <w:i/>
        </w:rPr>
        <w:t xml:space="preserve"> in </w:t>
      </w:r>
      <w:proofErr w:type="spellStart"/>
      <w:r w:rsidR="00773927">
        <w:rPr>
          <w:i/>
        </w:rPr>
        <w:t>th</w:t>
      </w:r>
      <w:r w:rsidR="007E2DB2">
        <w:rPr>
          <w:i/>
        </w:rPr>
        <w:t>e</w:t>
      </w:r>
      <w:proofErr w:type="spellEnd"/>
      <w:r w:rsidR="007E2DB2">
        <w:rPr>
          <w:i/>
        </w:rPr>
        <w:t xml:space="preserve"> </w:t>
      </w:r>
      <w:proofErr w:type="spellStart"/>
      <w:r w:rsidR="007E2DB2">
        <w:rPr>
          <w:i/>
        </w:rPr>
        <w:t>aquous</w:t>
      </w:r>
      <w:proofErr w:type="spellEnd"/>
      <w:r w:rsidR="007E2DB2">
        <w:rPr>
          <w:i/>
        </w:rPr>
        <w:t xml:space="preserve"> </w:t>
      </w:r>
      <w:proofErr w:type="spellStart"/>
      <w:r w:rsidR="007E2DB2">
        <w:rPr>
          <w:i/>
        </w:rPr>
        <w:t>matrix</w:t>
      </w:r>
      <w:proofErr w:type="spellEnd"/>
      <w:r w:rsidR="007E2DB2">
        <w:rPr>
          <w:i/>
        </w:rPr>
        <w:t>.</w:t>
      </w:r>
      <w:r w:rsidR="00773927">
        <w:rPr>
          <w:i/>
        </w:rPr>
        <w:t xml:space="preserve"> </w:t>
      </w:r>
      <w:proofErr w:type="spellStart"/>
      <w:r w:rsidR="00B04F95" w:rsidRPr="00887513">
        <w:rPr>
          <w:i/>
        </w:rPr>
        <w:t>T</w:t>
      </w:r>
      <w:r w:rsidR="00773927" w:rsidRPr="00887513">
        <w:rPr>
          <w:i/>
        </w:rPr>
        <w:t>he</w:t>
      </w:r>
      <w:proofErr w:type="spellEnd"/>
      <w:r w:rsidR="00773927">
        <w:rPr>
          <w:i/>
        </w:rPr>
        <w:t xml:space="preserve"> </w:t>
      </w:r>
      <w:proofErr w:type="spellStart"/>
      <w:r w:rsidR="00773927">
        <w:rPr>
          <w:i/>
        </w:rPr>
        <w:t>application</w:t>
      </w:r>
      <w:proofErr w:type="spellEnd"/>
      <w:r w:rsidR="00773927">
        <w:rPr>
          <w:i/>
        </w:rPr>
        <w:t xml:space="preserve"> of </w:t>
      </w:r>
      <w:proofErr w:type="spellStart"/>
      <w:r w:rsidR="00773927">
        <w:rPr>
          <w:i/>
        </w:rPr>
        <w:t>the</w:t>
      </w:r>
      <w:proofErr w:type="spellEnd"/>
      <w:r w:rsidR="00773927">
        <w:rPr>
          <w:i/>
        </w:rPr>
        <w:t xml:space="preserve"> Nuclear </w:t>
      </w:r>
      <w:proofErr w:type="spellStart"/>
      <w:r w:rsidR="00773927">
        <w:rPr>
          <w:i/>
        </w:rPr>
        <w:t>Magnetic</w:t>
      </w:r>
      <w:proofErr w:type="spellEnd"/>
      <w:r w:rsidR="00773927">
        <w:rPr>
          <w:i/>
        </w:rPr>
        <w:t xml:space="preserve"> </w:t>
      </w:r>
      <w:proofErr w:type="spellStart"/>
      <w:r w:rsidR="00773927">
        <w:rPr>
          <w:i/>
        </w:rPr>
        <w:t>Resonance</w:t>
      </w:r>
      <w:proofErr w:type="spellEnd"/>
      <w:r w:rsidR="00773927">
        <w:rPr>
          <w:i/>
        </w:rPr>
        <w:t xml:space="preserve"> (NMR)</w:t>
      </w:r>
      <w:r w:rsidR="0094101E">
        <w:rPr>
          <w:i/>
        </w:rPr>
        <w:t xml:space="preserve"> </w:t>
      </w:r>
      <w:proofErr w:type="spellStart"/>
      <w:r w:rsidR="0094101E">
        <w:rPr>
          <w:i/>
        </w:rPr>
        <w:t>technique</w:t>
      </w:r>
      <w:proofErr w:type="spellEnd"/>
      <w:r w:rsidR="00773927">
        <w:rPr>
          <w:i/>
        </w:rPr>
        <w:t xml:space="preserve"> to determine </w:t>
      </w:r>
      <w:proofErr w:type="spellStart"/>
      <w:r w:rsidR="00773927">
        <w:rPr>
          <w:i/>
        </w:rPr>
        <w:t>simultaneously</w:t>
      </w:r>
      <w:proofErr w:type="spellEnd"/>
      <w:r w:rsidR="00773927">
        <w:rPr>
          <w:i/>
        </w:rPr>
        <w:t xml:space="preserve"> </w:t>
      </w:r>
      <w:proofErr w:type="spellStart"/>
      <w:r w:rsidR="0094101E">
        <w:rPr>
          <w:i/>
        </w:rPr>
        <w:t>those</w:t>
      </w:r>
      <w:proofErr w:type="spellEnd"/>
      <w:r w:rsidR="00773927">
        <w:rPr>
          <w:i/>
        </w:rPr>
        <w:t xml:space="preserve"> </w:t>
      </w:r>
      <w:proofErr w:type="spellStart"/>
      <w:r w:rsidR="00773927">
        <w:rPr>
          <w:i/>
        </w:rPr>
        <w:t>oxygenated</w:t>
      </w:r>
      <w:proofErr w:type="spellEnd"/>
      <w:r w:rsidR="00773927">
        <w:rPr>
          <w:i/>
        </w:rPr>
        <w:t xml:space="preserve"> </w:t>
      </w:r>
      <w:proofErr w:type="spellStart"/>
      <w:r w:rsidR="00773927">
        <w:rPr>
          <w:i/>
        </w:rPr>
        <w:t>organic</w:t>
      </w:r>
      <w:proofErr w:type="spellEnd"/>
      <w:r w:rsidR="00773927">
        <w:rPr>
          <w:i/>
        </w:rPr>
        <w:t xml:space="preserve"> </w:t>
      </w:r>
      <w:proofErr w:type="spellStart"/>
      <w:r w:rsidR="00773927">
        <w:rPr>
          <w:i/>
        </w:rPr>
        <w:t>compounds</w:t>
      </w:r>
      <w:proofErr w:type="spellEnd"/>
      <w:r w:rsidR="00773927">
        <w:rPr>
          <w:i/>
        </w:rPr>
        <w:t xml:space="preserve"> in </w:t>
      </w:r>
      <w:proofErr w:type="spellStart"/>
      <w:r w:rsidR="00773927">
        <w:rPr>
          <w:i/>
        </w:rPr>
        <w:t>the</w:t>
      </w:r>
      <w:proofErr w:type="spellEnd"/>
      <w:r w:rsidR="00773927">
        <w:rPr>
          <w:i/>
        </w:rPr>
        <w:t xml:space="preserve"> H</w:t>
      </w:r>
      <w:r w:rsidR="00773927" w:rsidRPr="00551640">
        <w:rPr>
          <w:i/>
          <w:vertAlign w:val="subscript"/>
        </w:rPr>
        <w:t>2</w:t>
      </w:r>
      <w:r w:rsidR="00773927">
        <w:rPr>
          <w:i/>
        </w:rPr>
        <w:t>O</w:t>
      </w:r>
      <w:r w:rsidR="00773927" w:rsidRPr="00551640">
        <w:rPr>
          <w:i/>
          <w:vertAlign w:val="subscript"/>
        </w:rPr>
        <w:t>2</w:t>
      </w:r>
      <w:r w:rsidR="00773927">
        <w:rPr>
          <w:i/>
        </w:rPr>
        <w:t>/H</w:t>
      </w:r>
      <w:r w:rsidR="00773927" w:rsidRPr="00551640">
        <w:rPr>
          <w:i/>
          <w:vertAlign w:val="subscript"/>
        </w:rPr>
        <w:t>2</w:t>
      </w:r>
      <w:r w:rsidR="00773927">
        <w:rPr>
          <w:i/>
        </w:rPr>
        <w:t>O mixture</w:t>
      </w:r>
      <w:r w:rsidR="00B04F95">
        <w:rPr>
          <w:i/>
        </w:rPr>
        <w:t xml:space="preserve"> </w:t>
      </w:r>
      <w:proofErr w:type="spellStart"/>
      <w:r w:rsidR="00B04F95">
        <w:rPr>
          <w:i/>
        </w:rPr>
        <w:t>is</w:t>
      </w:r>
      <w:proofErr w:type="spellEnd"/>
      <w:r w:rsidR="00B04F95">
        <w:rPr>
          <w:i/>
        </w:rPr>
        <w:t xml:space="preserve"> </w:t>
      </w:r>
      <w:proofErr w:type="spellStart"/>
      <w:r w:rsidR="00B04F95">
        <w:rPr>
          <w:i/>
        </w:rPr>
        <w:t>presented</w:t>
      </w:r>
      <w:proofErr w:type="spellEnd"/>
      <w:r w:rsidR="00B04F95">
        <w:rPr>
          <w:i/>
        </w:rPr>
        <w:t xml:space="preserve"> in </w:t>
      </w:r>
      <w:proofErr w:type="spellStart"/>
      <w:r w:rsidR="00B04F95">
        <w:rPr>
          <w:i/>
        </w:rPr>
        <w:t>this</w:t>
      </w:r>
      <w:proofErr w:type="spellEnd"/>
      <w:r w:rsidR="00B04F95">
        <w:rPr>
          <w:i/>
        </w:rPr>
        <w:t xml:space="preserve"> </w:t>
      </w:r>
      <w:proofErr w:type="spellStart"/>
      <w:r w:rsidR="00B04F95">
        <w:rPr>
          <w:i/>
        </w:rPr>
        <w:t>communication</w:t>
      </w:r>
      <w:proofErr w:type="spellEnd"/>
      <w:r w:rsidR="00773927">
        <w:rPr>
          <w:i/>
        </w:rPr>
        <w:t xml:space="preserve">. </w:t>
      </w:r>
      <w:proofErr w:type="spellStart"/>
      <w:r w:rsidR="00773927">
        <w:rPr>
          <w:i/>
        </w:rPr>
        <w:t>The</w:t>
      </w:r>
      <w:proofErr w:type="spellEnd"/>
      <w:r w:rsidR="00773927">
        <w:rPr>
          <w:i/>
        </w:rPr>
        <w:t xml:space="preserve"> </w:t>
      </w:r>
      <w:proofErr w:type="spellStart"/>
      <w:r w:rsidR="00773927">
        <w:rPr>
          <w:i/>
        </w:rPr>
        <w:t>quantitative</w:t>
      </w:r>
      <w:proofErr w:type="spellEnd"/>
      <w:r w:rsidR="00773927">
        <w:rPr>
          <w:i/>
        </w:rPr>
        <w:t xml:space="preserve"> </w:t>
      </w:r>
      <w:proofErr w:type="spellStart"/>
      <w:r w:rsidR="00773927">
        <w:rPr>
          <w:i/>
        </w:rPr>
        <w:t>analysis</w:t>
      </w:r>
      <w:proofErr w:type="spellEnd"/>
      <w:r w:rsidR="00773927">
        <w:rPr>
          <w:i/>
        </w:rPr>
        <w:t xml:space="preserve"> </w:t>
      </w:r>
      <w:proofErr w:type="spellStart"/>
      <w:r w:rsidR="00773927">
        <w:rPr>
          <w:i/>
        </w:rPr>
        <w:t>is</w:t>
      </w:r>
      <w:proofErr w:type="spellEnd"/>
      <w:r w:rsidR="00773927">
        <w:rPr>
          <w:i/>
        </w:rPr>
        <w:t xml:space="preserve"> </w:t>
      </w:r>
      <w:proofErr w:type="spellStart"/>
      <w:r w:rsidR="00773927">
        <w:rPr>
          <w:i/>
        </w:rPr>
        <w:t>base</w:t>
      </w:r>
      <w:r w:rsidR="00440DAD">
        <w:rPr>
          <w:i/>
        </w:rPr>
        <w:t>d</w:t>
      </w:r>
      <w:proofErr w:type="spellEnd"/>
      <w:r w:rsidR="00773927">
        <w:rPr>
          <w:i/>
        </w:rPr>
        <w:t xml:space="preserve"> </w:t>
      </w:r>
      <w:proofErr w:type="spellStart"/>
      <w:r w:rsidR="00773927">
        <w:rPr>
          <w:i/>
        </w:rPr>
        <w:t>on</w:t>
      </w:r>
      <w:proofErr w:type="spellEnd"/>
      <w:r w:rsidR="00773927">
        <w:rPr>
          <w:i/>
        </w:rPr>
        <w:t xml:space="preserve"> </w:t>
      </w:r>
      <w:proofErr w:type="spellStart"/>
      <w:r w:rsidR="00773927">
        <w:rPr>
          <w:i/>
        </w:rPr>
        <w:t>the</w:t>
      </w:r>
      <w:proofErr w:type="spellEnd"/>
      <w:r w:rsidR="00773927">
        <w:rPr>
          <w:i/>
        </w:rPr>
        <w:t xml:space="preserve"> </w:t>
      </w:r>
      <w:proofErr w:type="spellStart"/>
      <w:r w:rsidR="00773927">
        <w:rPr>
          <w:i/>
        </w:rPr>
        <w:t>determination</w:t>
      </w:r>
      <w:proofErr w:type="spellEnd"/>
      <w:r w:rsidR="00773927">
        <w:rPr>
          <w:i/>
        </w:rPr>
        <w:t xml:space="preserve"> of </w:t>
      </w:r>
      <w:proofErr w:type="spellStart"/>
      <w:r w:rsidR="00773927">
        <w:rPr>
          <w:i/>
        </w:rPr>
        <w:t>the</w:t>
      </w:r>
      <w:proofErr w:type="spellEnd"/>
      <w:r w:rsidR="00773927">
        <w:rPr>
          <w:i/>
        </w:rPr>
        <w:t xml:space="preserve"> </w:t>
      </w:r>
      <w:proofErr w:type="spellStart"/>
      <w:r w:rsidR="00773927">
        <w:rPr>
          <w:i/>
        </w:rPr>
        <w:t>integration</w:t>
      </w:r>
      <w:proofErr w:type="spellEnd"/>
      <w:r w:rsidR="00773927">
        <w:rPr>
          <w:i/>
        </w:rPr>
        <w:t xml:space="preserve"> ratio</w:t>
      </w:r>
      <w:r w:rsidR="00440DAD">
        <w:rPr>
          <w:i/>
        </w:rPr>
        <w:t xml:space="preserve"> </w:t>
      </w:r>
      <w:r w:rsidR="00773927">
        <w:rPr>
          <w:i/>
        </w:rPr>
        <w:t xml:space="preserve">of a </w:t>
      </w:r>
      <w:proofErr w:type="spellStart"/>
      <w:r w:rsidR="00773927">
        <w:rPr>
          <w:i/>
        </w:rPr>
        <w:t>characteristic</w:t>
      </w:r>
      <w:proofErr w:type="spellEnd"/>
      <w:r w:rsidR="00440DAD">
        <w:rPr>
          <w:i/>
        </w:rPr>
        <w:t xml:space="preserve"> </w:t>
      </w:r>
      <w:proofErr w:type="spellStart"/>
      <w:r w:rsidR="00440DAD">
        <w:rPr>
          <w:i/>
        </w:rPr>
        <w:t>signal</w:t>
      </w:r>
      <w:proofErr w:type="spellEnd"/>
      <w:r w:rsidR="00551640">
        <w:rPr>
          <w:i/>
        </w:rPr>
        <w:t xml:space="preserve"> </w:t>
      </w:r>
      <w:r w:rsidR="00440DAD">
        <w:rPr>
          <w:i/>
        </w:rPr>
        <w:t>of</w:t>
      </w:r>
      <w:r w:rsidR="00773927">
        <w:rPr>
          <w:i/>
        </w:rPr>
        <w:t xml:space="preserve"> </w:t>
      </w:r>
      <w:proofErr w:type="spellStart"/>
      <w:r w:rsidR="00773927">
        <w:rPr>
          <w:i/>
        </w:rPr>
        <w:t>the</w:t>
      </w:r>
      <w:proofErr w:type="spellEnd"/>
      <w:r w:rsidR="00773927">
        <w:rPr>
          <w:i/>
        </w:rPr>
        <w:t xml:space="preserve"> </w:t>
      </w:r>
      <w:proofErr w:type="spellStart"/>
      <w:r w:rsidR="00773927">
        <w:rPr>
          <w:i/>
        </w:rPr>
        <w:t>oxygenated</w:t>
      </w:r>
      <w:proofErr w:type="spellEnd"/>
      <w:r w:rsidR="00551640">
        <w:rPr>
          <w:i/>
        </w:rPr>
        <w:t xml:space="preserve"> </w:t>
      </w:r>
      <w:proofErr w:type="spellStart"/>
      <w:r w:rsidR="00551640">
        <w:rPr>
          <w:i/>
        </w:rPr>
        <w:t>analyte</w:t>
      </w:r>
      <w:r w:rsidR="002550C3">
        <w:rPr>
          <w:i/>
        </w:rPr>
        <w:t>s</w:t>
      </w:r>
      <w:proofErr w:type="spellEnd"/>
      <w:r w:rsidR="00773927">
        <w:rPr>
          <w:i/>
        </w:rPr>
        <w:t xml:space="preserve"> to </w:t>
      </w:r>
      <w:r w:rsidR="002550C3">
        <w:rPr>
          <w:i/>
        </w:rPr>
        <w:t xml:space="preserve">be </w:t>
      </w:r>
      <w:proofErr w:type="spellStart"/>
      <w:r w:rsidR="00773927">
        <w:rPr>
          <w:i/>
        </w:rPr>
        <w:t>determine</w:t>
      </w:r>
      <w:r w:rsidR="002550C3">
        <w:rPr>
          <w:i/>
        </w:rPr>
        <w:t>d</w:t>
      </w:r>
      <w:proofErr w:type="spellEnd"/>
      <w:r w:rsidR="00773927">
        <w:rPr>
          <w:i/>
        </w:rPr>
        <w:t xml:space="preserve"> as </w:t>
      </w:r>
      <w:proofErr w:type="spellStart"/>
      <w:r w:rsidR="00773927">
        <w:rPr>
          <w:i/>
        </w:rPr>
        <w:t>well</w:t>
      </w:r>
      <w:proofErr w:type="spellEnd"/>
      <w:r w:rsidR="00773927">
        <w:rPr>
          <w:i/>
        </w:rPr>
        <w:t xml:space="preserve"> as </w:t>
      </w:r>
      <w:proofErr w:type="spellStart"/>
      <w:r w:rsidR="00773927">
        <w:rPr>
          <w:i/>
        </w:rPr>
        <w:t>the</w:t>
      </w:r>
      <w:proofErr w:type="spellEnd"/>
      <w:r w:rsidR="00773927">
        <w:rPr>
          <w:i/>
        </w:rPr>
        <w:t xml:space="preserve"> </w:t>
      </w:r>
      <w:proofErr w:type="spellStart"/>
      <w:r w:rsidR="00773927">
        <w:rPr>
          <w:i/>
        </w:rPr>
        <w:t>signal</w:t>
      </w:r>
      <w:proofErr w:type="spellEnd"/>
      <w:r w:rsidR="00773927">
        <w:rPr>
          <w:i/>
        </w:rPr>
        <w:t xml:space="preserve"> of </w:t>
      </w:r>
      <w:proofErr w:type="spellStart"/>
      <w:r w:rsidR="0019156B">
        <w:rPr>
          <w:i/>
        </w:rPr>
        <w:t>the</w:t>
      </w:r>
      <w:proofErr w:type="spellEnd"/>
      <w:r w:rsidR="0019156B">
        <w:rPr>
          <w:i/>
        </w:rPr>
        <w:t xml:space="preserve"> </w:t>
      </w:r>
      <w:proofErr w:type="spellStart"/>
      <w:r w:rsidR="00773927">
        <w:rPr>
          <w:i/>
        </w:rPr>
        <w:t>methyls</w:t>
      </w:r>
      <w:proofErr w:type="spellEnd"/>
      <w:r w:rsidR="00773927">
        <w:rPr>
          <w:i/>
        </w:rPr>
        <w:t xml:space="preserve"> </w:t>
      </w:r>
      <w:proofErr w:type="spellStart"/>
      <w:r w:rsidR="00773927">
        <w:rPr>
          <w:i/>
        </w:rPr>
        <w:t>belonging</w:t>
      </w:r>
      <w:proofErr w:type="spellEnd"/>
      <w:r w:rsidR="00773927">
        <w:rPr>
          <w:i/>
        </w:rPr>
        <w:t xml:space="preserve"> to </w:t>
      </w:r>
      <w:proofErr w:type="spellStart"/>
      <w:r w:rsidR="00C46E04">
        <w:rPr>
          <w:i/>
        </w:rPr>
        <w:t>the</w:t>
      </w:r>
      <w:proofErr w:type="spellEnd"/>
      <w:r w:rsidR="00C46E04">
        <w:rPr>
          <w:i/>
        </w:rPr>
        <w:t xml:space="preserve"> 3-(</w:t>
      </w:r>
      <w:proofErr w:type="spellStart"/>
      <w:r w:rsidR="00C46E04">
        <w:rPr>
          <w:i/>
        </w:rPr>
        <w:t>trimethylsilyl</w:t>
      </w:r>
      <w:proofErr w:type="spellEnd"/>
      <w:proofErr w:type="gramStart"/>
      <w:r w:rsidR="00C46E04">
        <w:rPr>
          <w:i/>
        </w:rPr>
        <w:t>)propionic</w:t>
      </w:r>
      <w:proofErr w:type="gramEnd"/>
      <w:r w:rsidR="00C46E04">
        <w:rPr>
          <w:i/>
        </w:rPr>
        <w:t>-2,2,3,3-d</w:t>
      </w:r>
      <w:r w:rsidR="00C46E04" w:rsidRPr="00551640">
        <w:rPr>
          <w:i/>
          <w:vertAlign w:val="subscript"/>
        </w:rPr>
        <w:t>4</w:t>
      </w:r>
      <w:r w:rsidR="00C46E04">
        <w:rPr>
          <w:i/>
        </w:rPr>
        <w:t xml:space="preserve"> </w:t>
      </w:r>
      <w:proofErr w:type="spellStart"/>
      <w:r w:rsidR="00C46E04">
        <w:rPr>
          <w:i/>
        </w:rPr>
        <w:t>acid</w:t>
      </w:r>
      <w:proofErr w:type="spellEnd"/>
      <w:r w:rsidR="00C46E04">
        <w:rPr>
          <w:i/>
        </w:rPr>
        <w:t xml:space="preserve"> </w:t>
      </w:r>
      <w:proofErr w:type="spellStart"/>
      <w:r w:rsidR="00C46E04">
        <w:rPr>
          <w:i/>
        </w:rPr>
        <w:t>sodium</w:t>
      </w:r>
      <w:proofErr w:type="spellEnd"/>
      <w:r w:rsidR="00C46E04">
        <w:rPr>
          <w:i/>
        </w:rPr>
        <w:t xml:space="preserve"> </w:t>
      </w:r>
      <w:proofErr w:type="spellStart"/>
      <w:r w:rsidR="00C46E04">
        <w:rPr>
          <w:i/>
        </w:rPr>
        <w:t>salt</w:t>
      </w:r>
      <w:proofErr w:type="spellEnd"/>
      <w:r w:rsidR="00C46E04">
        <w:rPr>
          <w:i/>
        </w:rPr>
        <w:t xml:space="preserve"> (TSP)</w:t>
      </w:r>
      <w:r w:rsidR="00EF37D7">
        <w:rPr>
          <w:i/>
        </w:rPr>
        <w:t xml:space="preserve"> </w:t>
      </w:r>
      <w:proofErr w:type="spellStart"/>
      <w:r w:rsidR="004711CC" w:rsidRPr="00887513">
        <w:rPr>
          <w:i/>
        </w:rPr>
        <w:t>used</w:t>
      </w:r>
      <w:proofErr w:type="spellEnd"/>
      <w:r w:rsidR="004711CC">
        <w:rPr>
          <w:i/>
        </w:rPr>
        <w:t xml:space="preserve"> as </w:t>
      </w:r>
      <w:proofErr w:type="spellStart"/>
      <w:r w:rsidR="004711CC">
        <w:rPr>
          <w:i/>
        </w:rPr>
        <w:t>internal</w:t>
      </w:r>
      <w:proofErr w:type="spellEnd"/>
      <w:r w:rsidR="004711CC">
        <w:rPr>
          <w:i/>
        </w:rPr>
        <w:t xml:space="preserve"> standard. </w:t>
      </w:r>
      <w:proofErr w:type="spellStart"/>
      <w:r w:rsidR="004711CC">
        <w:rPr>
          <w:i/>
        </w:rPr>
        <w:t>The</w:t>
      </w:r>
      <w:proofErr w:type="spellEnd"/>
      <w:r w:rsidR="004711CC">
        <w:rPr>
          <w:i/>
        </w:rPr>
        <w:t xml:space="preserve"> </w:t>
      </w:r>
      <w:proofErr w:type="spellStart"/>
      <w:r w:rsidR="004711CC">
        <w:rPr>
          <w:i/>
        </w:rPr>
        <w:t>signals</w:t>
      </w:r>
      <w:proofErr w:type="spellEnd"/>
      <w:r w:rsidR="004711CC">
        <w:rPr>
          <w:i/>
        </w:rPr>
        <w:t xml:space="preserve"> </w:t>
      </w:r>
      <w:proofErr w:type="spellStart"/>
      <w:r w:rsidR="00B22C54" w:rsidRPr="00887513">
        <w:rPr>
          <w:i/>
        </w:rPr>
        <w:t>taken</w:t>
      </w:r>
      <w:proofErr w:type="spellEnd"/>
      <w:r w:rsidR="00B22C54" w:rsidRPr="00887513">
        <w:rPr>
          <w:i/>
        </w:rPr>
        <w:t xml:space="preserve"> </w:t>
      </w:r>
      <w:proofErr w:type="spellStart"/>
      <w:r w:rsidR="00B22C54" w:rsidRPr="00887513">
        <w:rPr>
          <w:i/>
        </w:rPr>
        <w:t>into</w:t>
      </w:r>
      <w:proofErr w:type="spellEnd"/>
      <w:r w:rsidR="00B22C54" w:rsidRPr="00887513">
        <w:rPr>
          <w:i/>
        </w:rPr>
        <w:t xml:space="preserve"> </w:t>
      </w:r>
      <w:proofErr w:type="spellStart"/>
      <w:r w:rsidR="00B22C54" w:rsidRPr="00887513">
        <w:rPr>
          <w:i/>
        </w:rPr>
        <w:t>account</w:t>
      </w:r>
      <w:proofErr w:type="spellEnd"/>
      <w:r w:rsidR="004711CC">
        <w:rPr>
          <w:i/>
        </w:rPr>
        <w:t xml:space="preserve"> </w:t>
      </w:r>
      <w:proofErr w:type="spellStart"/>
      <w:r w:rsidR="004711CC">
        <w:rPr>
          <w:i/>
        </w:rPr>
        <w:t>were</w:t>
      </w:r>
      <w:proofErr w:type="spellEnd"/>
      <w:r w:rsidR="004711CC">
        <w:rPr>
          <w:i/>
        </w:rPr>
        <w:t xml:space="preserve"> </w:t>
      </w:r>
      <w:proofErr w:type="spellStart"/>
      <w:r w:rsidR="004711CC">
        <w:rPr>
          <w:i/>
        </w:rPr>
        <w:t>those</w:t>
      </w:r>
      <w:proofErr w:type="spellEnd"/>
      <w:r w:rsidR="004711CC">
        <w:rPr>
          <w:i/>
        </w:rPr>
        <w:t xml:space="preserve"> of </w:t>
      </w:r>
      <w:proofErr w:type="spellStart"/>
      <w:r w:rsidR="002550C3">
        <w:rPr>
          <w:i/>
        </w:rPr>
        <w:t>the</w:t>
      </w:r>
      <w:proofErr w:type="spellEnd"/>
      <w:r w:rsidR="002550C3">
        <w:rPr>
          <w:i/>
        </w:rPr>
        <w:t xml:space="preserve"> </w:t>
      </w:r>
      <w:proofErr w:type="spellStart"/>
      <w:r w:rsidR="004711CC">
        <w:rPr>
          <w:i/>
        </w:rPr>
        <w:t>methylic</w:t>
      </w:r>
      <w:proofErr w:type="spellEnd"/>
      <w:r w:rsidR="004711CC">
        <w:rPr>
          <w:i/>
        </w:rPr>
        <w:t xml:space="preserve"> </w:t>
      </w:r>
      <w:proofErr w:type="spellStart"/>
      <w:r w:rsidR="004711CC">
        <w:rPr>
          <w:i/>
        </w:rPr>
        <w:t>protons</w:t>
      </w:r>
      <w:proofErr w:type="spellEnd"/>
      <w:r w:rsidR="004711CC">
        <w:rPr>
          <w:i/>
        </w:rPr>
        <w:t xml:space="preserve"> of ML and AA</w:t>
      </w:r>
      <w:r w:rsidR="006F7C39">
        <w:rPr>
          <w:i/>
        </w:rPr>
        <w:t xml:space="preserve"> as </w:t>
      </w:r>
      <w:proofErr w:type="spellStart"/>
      <w:r w:rsidR="006F7C39">
        <w:rPr>
          <w:i/>
        </w:rPr>
        <w:t>well</w:t>
      </w:r>
      <w:proofErr w:type="spellEnd"/>
      <w:r w:rsidR="006F7C39">
        <w:rPr>
          <w:i/>
        </w:rPr>
        <w:t xml:space="preserve"> as </w:t>
      </w:r>
      <w:proofErr w:type="spellStart"/>
      <w:r w:rsidR="006F7C39">
        <w:rPr>
          <w:i/>
        </w:rPr>
        <w:t>the</w:t>
      </w:r>
      <w:proofErr w:type="spellEnd"/>
      <w:r w:rsidR="006F7C39">
        <w:rPr>
          <w:i/>
        </w:rPr>
        <w:t xml:space="preserve"> </w:t>
      </w:r>
      <w:proofErr w:type="spellStart"/>
      <w:r w:rsidR="006F7C39">
        <w:rPr>
          <w:i/>
        </w:rPr>
        <w:t>carbonylic</w:t>
      </w:r>
      <w:proofErr w:type="spellEnd"/>
      <w:r w:rsidR="006F7C39">
        <w:rPr>
          <w:i/>
        </w:rPr>
        <w:t xml:space="preserve"> </w:t>
      </w:r>
      <w:proofErr w:type="spellStart"/>
      <w:r w:rsidR="006F7C39">
        <w:rPr>
          <w:i/>
        </w:rPr>
        <w:t>proton</w:t>
      </w:r>
      <w:proofErr w:type="spellEnd"/>
      <w:r w:rsidR="006F7C39">
        <w:rPr>
          <w:i/>
        </w:rPr>
        <w:t xml:space="preserve"> of AF; </w:t>
      </w:r>
      <w:proofErr w:type="spellStart"/>
      <w:r w:rsidR="006F7C39">
        <w:rPr>
          <w:i/>
        </w:rPr>
        <w:t>all</w:t>
      </w:r>
      <w:proofErr w:type="spellEnd"/>
      <w:r w:rsidR="006F7C39">
        <w:rPr>
          <w:i/>
        </w:rPr>
        <w:t xml:space="preserve"> of </w:t>
      </w:r>
      <w:proofErr w:type="spellStart"/>
      <w:r w:rsidR="006F7C39">
        <w:rPr>
          <w:i/>
        </w:rPr>
        <w:t>these</w:t>
      </w:r>
      <w:proofErr w:type="spellEnd"/>
      <w:r w:rsidR="006F7C39">
        <w:rPr>
          <w:i/>
        </w:rPr>
        <w:t xml:space="preserve"> </w:t>
      </w:r>
      <w:proofErr w:type="spellStart"/>
      <w:r w:rsidR="006F7C39">
        <w:rPr>
          <w:i/>
        </w:rPr>
        <w:t>signals</w:t>
      </w:r>
      <w:proofErr w:type="spellEnd"/>
      <w:r w:rsidR="006F7C39">
        <w:rPr>
          <w:i/>
        </w:rPr>
        <w:t xml:space="preserve"> </w:t>
      </w:r>
      <w:proofErr w:type="spellStart"/>
      <w:r w:rsidR="006F7C39">
        <w:rPr>
          <w:i/>
        </w:rPr>
        <w:t>appear</w:t>
      </w:r>
      <w:proofErr w:type="spellEnd"/>
      <w:r w:rsidR="006F7C39">
        <w:rPr>
          <w:i/>
        </w:rPr>
        <w:t xml:space="preserve"> as </w:t>
      </w:r>
      <w:proofErr w:type="spellStart"/>
      <w:r w:rsidR="00804E8A">
        <w:rPr>
          <w:i/>
        </w:rPr>
        <w:t>singlets</w:t>
      </w:r>
      <w:proofErr w:type="spellEnd"/>
      <w:r w:rsidR="006F7C39">
        <w:rPr>
          <w:i/>
        </w:rPr>
        <w:t xml:space="preserve"> in </w:t>
      </w:r>
      <w:proofErr w:type="spellStart"/>
      <w:r w:rsidR="006F7C39">
        <w:rPr>
          <w:i/>
        </w:rPr>
        <w:t>the</w:t>
      </w:r>
      <w:proofErr w:type="spellEnd"/>
      <w:r w:rsidR="006F7C39">
        <w:rPr>
          <w:i/>
        </w:rPr>
        <w:t xml:space="preserve"> </w:t>
      </w:r>
      <w:r w:rsidR="006F7C39" w:rsidRPr="00B57BB5">
        <w:rPr>
          <w:i/>
          <w:vertAlign w:val="superscript"/>
        </w:rPr>
        <w:t>1</w:t>
      </w:r>
      <w:r w:rsidR="00B57BB5">
        <w:rPr>
          <w:i/>
        </w:rPr>
        <w:t>H</w:t>
      </w:r>
      <w:r w:rsidR="006F7C39">
        <w:rPr>
          <w:i/>
        </w:rPr>
        <w:t xml:space="preserve"> NMR </w:t>
      </w:r>
      <w:proofErr w:type="spellStart"/>
      <w:r w:rsidR="00B02FF4">
        <w:rPr>
          <w:i/>
        </w:rPr>
        <w:t>spectrum</w:t>
      </w:r>
      <w:proofErr w:type="spellEnd"/>
      <w:r w:rsidR="006F7C39">
        <w:rPr>
          <w:i/>
        </w:rPr>
        <w:t xml:space="preserve"> (</w:t>
      </w:r>
      <w:r w:rsidR="006F7C39" w:rsidRPr="00B57BB5">
        <w:rPr>
          <w:i/>
          <w:vertAlign w:val="superscript"/>
        </w:rPr>
        <w:t>1</w:t>
      </w:r>
      <w:r w:rsidR="006F7C39">
        <w:rPr>
          <w:i/>
        </w:rPr>
        <w:t xml:space="preserve">H NMR). </w:t>
      </w:r>
      <w:proofErr w:type="spellStart"/>
      <w:r w:rsidR="006F7C39">
        <w:rPr>
          <w:i/>
        </w:rPr>
        <w:t>Because</w:t>
      </w:r>
      <w:proofErr w:type="spellEnd"/>
      <w:r w:rsidR="006F7C39">
        <w:rPr>
          <w:i/>
        </w:rPr>
        <w:t xml:space="preserve"> of </w:t>
      </w:r>
      <w:proofErr w:type="spellStart"/>
      <w:r w:rsidR="006F7C39">
        <w:rPr>
          <w:i/>
        </w:rPr>
        <w:t>the</w:t>
      </w:r>
      <w:proofErr w:type="spellEnd"/>
      <w:r w:rsidR="006F7C39">
        <w:rPr>
          <w:i/>
        </w:rPr>
        <w:t xml:space="preserve"> TSP </w:t>
      </w:r>
      <w:proofErr w:type="spellStart"/>
      <w:r w:rsidR="006F7C39">
        <w:rPr>
          <w:i/>
        </w:rPr>
        <w:t>concentration</w:t>
      </w:r>
      <w:proofErr w:type="spellEnd"/>
      <w:r w:rsidR="006F7C39">
        <w:rPr>
          <w:i/>
        </w:rPr>
        <w:t xml:space="preserve"> </w:t>
      </w:r>
      <w:proofErr w:type="spellStart"/>
      <w:r w:rsidR="006F7C39">
        <w:rPr>
          <w:i/>
        </w:rPr>
        <w:t>is</w:t>
      </w:r>
      <w:proofErr w:type="spellEnd"/>
      <w:r w:rsidR="006F7C39">
        <w:rPr>
          <w:i/>
        </w:rPr>
        <w:t xml:space="preserve"> </w:t>
      </w:r>
      <w:proofErr w:type="spellStart"/>
      <w:r w:rsidR="006F7C39">
        <w:rPr>
          <w:i/>
        </w:rPr>
        <w:t>constant</w:t>
      </w:r>
      <w:proofErr w:type="spellEnd"/>
      <w:r w:rsidR="006F7C39">
        <w:rPr>
          <w:i/>
        </w:rPr>
        <w:t xml:space="preserve">, </w:t>
      </w:r>
      <w:proofErr w:type="spellStart"/>
      <w:r w:rsidR="006F7C39">
        <w:rPr>
          <w:i/>
        </w:rPr>
        <w:t>the</w:t>
      </w:r>
      <w:proofErr w:type="spellEnd"/>
      <w:r w:rsidR="006F7C39">
        <w:rPr>
          <w:i/>
        </w:rPr>
        <w:t xml:space="preserve"> </w:t>
      </w:r>
      <w:proofErr w:type="spellStart"/>
      <w:r w:rsidR="006F7C39">
        <w:rPr>
          <w:i/>
        </w:rPr>
        <w:t>integration</w:t>
      </w:r>
      <w:proofErr w:type="spellEnd"/>
      <w:r w:rsidR="006F7C39">
        <w:rPr>
          <w:i/>
        </w:rPr>
        <w:t xml:space="preserve"> ratio </w:t>
      </w:r>
      <w:proofErr w:type="spellStart"/>
      <w:r w:rsidR="006F7C39">
        <w:rPr>
          <w:i/>
        </w:rPr>
        <w:t>value</w:t>
      </w:r>
      <w:proofErr w:type="spellEnd"/>
      <w:r w:rsidR="006F7C39">
        <w:rPr>
          <w:i/>
        </w:rPr>
        <w:t xml:space="preserve"> </w:t>
      </w:r>
      <w:proofErr w:type="spellStart"/>
      <w:r w:rsidR="006F7C39">
        <w:rPr>
          <w:i/>
        </w:rPr>
        <w:t>depends</w:t>
      </w:r>
      <w:proofErr w:type="spellEnd"/>
      <w:r w:rsidR="006F7C39">
        <w:rPr>
          <w:i/>
        </w:rPr>
        <w:t xml:space="preserve"> </w:t>
      </w:r>
      <w:proofErr w:type="spellStart"/>
      <w:r w:rsidR="006F7C39">
        <w:rPr>
          <w:i/>
        </w:rPr>
        <w:t>on</w:t>
      </w:r>
      <w:proofErr w:type="spellEnd"/>
      <w:r w:rsidR="006F7C39">
        <w:rPr>
          <w:i/>
        </w:rPr>
        <w:t xml:space="preserve"> </w:t>
      </w:r>
      <w:proofErr w:type="spellStart"/>
      <w:r w:rsidR="006F7C39">
        <w:rPr>
          <w:i/>
        </w:rPr>
        <w:t>the</w:t>
      </w:r>
      <w:proofErr w:type="spellEnd"/>
      <w:r w:rsidR="006F7C39">
        <w:rPr>
          <w:i/>
        </w:rPr>
        <w:t xml:space="preserve"> </w:t>
      </w:r>
      <w:proofErr w:type="spellStart"/>
      <w:r w:rsidR="006F7C39">
        <w:rPr>
          <w:i/>
        </w:rPr>
        <w:t>anayte</w:t>
      </w:r>
      <w:proofErr w:type="spellEnd"/>
      <w:r w:rsidR="006F7C39">
        <w:rPr>
          <w:i/>
        </w:rPr>
        <w:t xml:space="preserve"> </w:t>
      </w:r>
      <w:proofErr w:type="spellStart"/>
      <w:r w:rsidR="006F7C39">
        <w:rPr>
          <w:i/>
        </w:rPr>
        <w:t>concentration</w:t>
      </w:r>
      <w:proofErr w:type="spellEnd"/>
      <w:r w:rsidR="006F7C39">
        <w:rPr>
          <w:i/>
        </w:rPr>
        <w:t xml:space="preserve">. </w:t>
      </w:r>
      <w:proofErr w:type="spellStart"/>
      <w:r w:rsidR="006F7C39">
        <w:rPr>
          <w:i/>
        </w:rPr>
        <w:t>Calibration</w:t>
      </w:r>
      <w:proofErr w:type="spellEnd"/>
      <w:r w:rsidR="006F7C39">
        <w:rPr>
          <w:i/>
        </w:rPr>
        <w:t xml:space="preserve"> curves </w:t>
      </w:r>
      <w:proofErr w:type="spellStart"/>
      <w:r w:rsidR="006F7C39">
        <w:rPr>
          <w:i/>
        </w:rPr>
        <w:t>were</w:t>
      </w:r>
      <w:proofErr w:type="spellEnd"/>
      <w:r w:rsidR="00EF37D7">
        <w:rPr>
          <w:i/>
        </w:rPr>
        <w:t xml:space="preserve"> </w:t>
      </w:r>
      <w:proofErr w:type="spellStart"/>
      <w:r w:rsidR="006F7C39">
        <w:rPr>
          <w:i/>
        </w:rPr>
        <w:t>obtained</w:t>
      </w:r>
      <w:proofErr w:type="spellEnd"/>
      <w:r w:rsidR="00551640">
        <w:rPr>
          <w:i/>
        </w:rPr>
        <w:t xml:space="preserve"> in</w:t>
      </w:r>
      <w:r w:rsidR="006F7C39">
        <w:rPr>
          <w:i/>
        </w:rPr>
        <w:t xml:space="preserve"> </w:t>
      </w:r>
      <w:proofErr w:type="spellStart"/>
      <w:r w:rsidR="006F7C39">
        <w:rPr>
          <w:i/>
        </w:rPr>
        <w:t>the</w:t>
      </w:r>
      <w:proofErr w:type="spellEnd"/>
      <w:r w:rsidR="006F7C39">
        <w:rPr>
          <w:i/>
        </w:rPr>
        <w:t xml:space="preserve"> </w:t>
      </w:r>
      <w:proofErr w:type="spellStart"/>
      <w:r w:rsidR="006F7C39">
        <w:rPr>
          <w:i/>
        </w:rPr>
        <w:t>range</w:t>
      </w:r>
      <w:proofErr w:type="spellEnd"/>
      <w:r w:rsidR="006F7C39">
        <w:rPr>
          <w:i/>
        </w:rPr>
        <w:t xml:space="preserve"> of 120-2,450, 1,000-20,000 y 100-2,000</w:t>
      </w:r>
      <w:r w:rsidR="00551640">
        <w:rPr>
          <w:i/>
        </w:rPr>
        <w:t xml:space="preserve"> </w:t>
      </w:r>
      <w:r w:rsidR="00551640" w:rsidRPr="00EF37D7">
        <w:rPr>
          <w:rFonts w:ascii="Symbol" w:hAnsi="Symbol"/>
          <w:i/>
        </w:rPr>
        <w:t></w:t>
      </w:r>
      <w:r w:rsidR="002550C3">
        <w:rPr>
          <w:i/>
        </w:rPr>
        <w:t>moles/L</w:t>
      </w:r>
      <w:r w:rsidR="006F7C39">
        <w:rPr>
          <w:i/>
        </w:rPr>
        <w:t xml:space="preserve"> </w:t>
      </w:r>
      <w:proofErr w:type="spellStart"/>
      <w:r w:rsidR="006F7C39">
        <w:rPr>
          <w:i/>
        </w:rPr>
        <w:t>for</w:t>
      </w:r>
      <w:proofErr w:type="spellEnd"/>
      <w:r w:rsidR="006F7C39">
        <w:rPr>
          <w:i/>
        </w:rPr>
        <w:t xml:space="preserve"> ML, AF and AA, </w:t>
      </w:r>
      <w:proofErr w:type="spellStart"/>
      <w:r w:rsidR="006F7C39">
        <w:rPr>
          <w:i/>
        </w:rPr>
        <w:t>respectively</w:t>
      </w:r>
      <w:proofErr w:type="spellEnd"/>
      <w:r w:rsidR="006F7C39">
        <w:rPr>
          <w:i/>
        </w:rPr>
        <w:t xml:space="preserve">. In </w:t>
      </w:r>
      <w:proofErr w:type="spellStart"/>
      <w:r w:rsidR="006F7C39">
        <w:rPr>
          <w:i/>
        </w:rPr>
        <w:t>order</w:t>
      </w:r>
      <w:proofErr w:type="spellEnd"/>
      <w:r w:rsidR="006F7C39">
        <w:rPr>
          <w:i/>
        </w:rPr>
        <w:t xml:space="preserve"> to </w:t>
      </w:r>
      <w:proofErr w:type="spellStart"/>
      <w:r w:rsidR="006F7C39">
        <w:rPr>
          <w:i/>
        </w:rPr>
        <w:t>reach</w:t>
      </w:r>
      <w:proofErr w:type="spellEnd"/>
      <w:r w:rsidR="006F7C39">
        <w:rPr>
          <w:i/>
        </w:rPr>
        <w:t xml:space="preserve"> </w:t>
      </w:r>
      <w:proofErr w:type="spellStart"/>
      <w:r w:rsidR="006F7C39">
        <w:rPr>
          <w:i/>
        </w:rPr>
        <w:t>the</w:t>
      </w:r>
      <w:proofErr w:type="spellEnd"/>
      <w:r w:rsidR="006F7C39">
        <w:rPr>
          <w:i/>
        </w:rPr>
        <w:t xml:space="preserve"> </w:t>
      </w:r>
      <w:proofErr w:type="spellStart"/>
      <w:r w:rsidR="00551640">
        <w:rPr>
          <w:i/>
        </w:rPr>
        <w:t>sensitivity</w:t>
      </w:r>
      <w:proofErr w:type="spellEnd"/>
      <w:r w:rsidR="006F7C39">
        <w:rPr>
          <w:i/>
        </w:rPr>
        <w:t xml:space="preserve"> </w:t>
      </w:r>
      <w:proofErr w:type="spellStart"/>
      <w:r w:rsidR="006F7C39">
        <w:rPr>
          <w:i/>
        </w:rPr>
        <w:t>requir</w:t>
      </w:r>
      <w:r w:rsidR="00EF37D7">
        <w:rPr>
          <w:i/>
        </w:rPr>
        <w:t>e</w:t>
      </w:r>
      <w:r w:rsidR="006F7C39">
        <w:rPr>
          <w:i/>
        </w:rPr>
        <w:t>d</w:t>
      </w:r>
      <w:proofErr w:type="spellEnd"/>
      <w:r w:rsidR="006F7C39">
        <w:rPr>
          <w:i/>
        </w:rPr>
        <w:t xml:space="preserve"> to </w:t>
      </w:r>
      <w:proofErr w:type="spellStart"/>
      <w:r w:rsidR="006F7C39">
        <w:rPr>
          <w:i/>
        </w:rPr>
        <w:t>detect</w:t>
      </w:r>
      <w:proofErr w:type="spellEnd"/>
      <w:r w:rsidR="006F7C39">
        <w:rPr>
          <w:i/>
        </w:rPr>
        <w:t xml:space="preserve"> and </w:t>
      </w:r>
      <w:proofErr w:type="spellStart"/>
      <w:r w:rsidR="006F7C39">
        <w:rPr>
          <w:i/>
        </w:rPr>
        <w:t>quantify</w:t>
      </w:r>
      <w:proofErr w:type="spellEnd"/>
      <w:r w:rsidR="006F7C39">
        <w:rPr>
          <w:i/>
        </w:rPr>
        <w:t xml:space="preserve"> </w:t>
      </w:r>
      <w:proofErr w:type="spellStart"/>
      <w:r w:rsidR="006F7C39">
        <w:rPr>
          <w:i/>
        </w:rPr>
        <w:t>the</w:t>
      </w:r>
      <w:proofErr w:type="spellEnd"/>
      <w:r w:rsidR="006F7C39">
        <w:rPr>
          <w:i/>
        </w:rPr>
        <w:t xml:space="preserve"> </w:t>
      </w:r>
      <w:proofErr w:type="spellStart"/>
      <w:r w:rsidR="006F7C39">
        <w:rPr>
          <w:i/>
        </w:rPr>
        <w:t>oxygenated</w:t>
      </w:r>
      <w:proofErr w:type="spellEnd"/>
      <w:r w:rsidR="006F7C39">
        <w:rPr>
          <w:i/>
        </w:rPr>
        <w:t xml:space="preserve"> </w:t>
      </w:r>
      <w:proofErr w:type="spellStart"/>
      <w:r w:rsidR="006F7C39">
        <w:rPr>
          <w:i/>
        </w:rPr>
        <w:t>organics</w:t>
      </w:r>
      <w:proofErr w:type="spellEnd"/>
      <w:r w:rsidR="006F7C39">
        <w:rPr>
          <w:i/>
        </w:rPr>
        <w:t xml:space="preserve"> </w:t>
      </w:r>
      <w:proofErr w:type="spellStart"/>
      <w:r w:rsidR="006F7C39">
        <w:rPr>
          <w:i/>
        </w:rPr>
        <w:t>compounds</w:t>
      </w:r>
      <w:proofErr w:type="spellEnd"/>
      <w:r w:rsidR="006F7C39">
        <w:rPr>
          <w:i/>
        </w:rPr>
        <w:t xml:space="preserve"> </w:t>
      </w:r>
      <w:proofErr w:type="spellStart"/>
      <w:r w:rsidR="006F7C39">
        <w:rPr>
          <w:i/>
        </w:rPr>
        <w:t>it</w:t>
      </w:r>
      <w:proofErr w:type="spellEnd"/>
      <w:r w:rsidR="006F7C39">
        <w:rPr>
          <w:i/>
        </w:rPr>
        <w:t xml:space="preserve"> </w:t>
      </w:r>
      <w:proofErr w:type="spellStart"/>
      <w:r w:rsidR="006F7C39">
        <w:rPr>
          <w:i/>
        </w:rPr>
        <w:t>was</w:t>
      </w:r>
      <w:proofErr w:type="spellEnd"/>
      <w:r w:rsidR="006F7C39">
        <w:rPr>
          <w:i/>
        </w:rPr>
        <w:t xml:space="preserve"> </w:t>
      </w:r>
      <w:proofErr w:type="spellStart"/>
      <w:r w:rsidR="006F7C39">
        <w:rPr>
          <w:i/>
        </w:rPr>
        <w:t>necessary</w:t>
      </w:r>
      <w:proofErr w:type="spellEnd"/>
      <w:r w:rsidR="006F7C39">
        <w:rPr>
          <w:i/>
        </w:rPr>
        <w:t xml:space="preserve"> to </w:t>
      </w:r>
      <w:r w:rsidR="008F3204" w:rsidRPr="00D50C13">
        <w:rPr>
          <w:i/>
        </w:rPr>
        <w:t>run</w:t>
      </w:r>
      <w:r w:rsidR="006F7C39">
        <w:rPr>
          <w:i/>
        </w:rPr>
        <w:t xml:space="preserve"> </w:t>
      </w:r>
      <w:proofErr w:type="spellStart"/>
      <w:r w:rsidR="006F7C39">
        <w:rPr>
          <w:i/>
        </w:rPr>
        <w:t>the</w:t>
      </w:r>
      <w:proofErr w:type="spellEnd"/>
      <w:r w:rsidR="006F7C39">
        <w:rPr>
          <w:i/>
        </w:rPr>
        <w:t xml:space="preserve"> </w:t>
      </w:r>
      <w:proofErr w:type="spellStart"/>
      <w:r w:rsidR="006F7C39">
        <w:rPr>
          <w:i/>
        </w:rPr>
        <w:t>experiments</w:t>
      </w:r>
      <w:proofErr w:type="spellEnd"/>
      <w:r w:rsidR="006F7C39">
        <w:rPr>
          <w:i/>
        </w:rPr>
        <w:t xml:space="preserve"> </w:t>
      </w:r>
      <w:proofErr w:type="spellStart"/>
      <w:r w:rsidR="00EF37D7">
        <w:rPr>
          <w:i/>
        </w:rPr>
        <w:t>under</w:t>
      </w:r>
      <w:proofErr w:type="spellEnd"/>
      <w:r w:rsidR="006F7C39">
        <w:rPr>
          <w:i/>
        </w:rPr>
        <w:t xml:space="preserve"> </w:t>
      </w:r>
      <w:proofErr w:type="spellStart"/>
      <w:r w:rsidR="006F7C39">
        <w:rPr>
          <w:i/>
        </w:rPr>
        <w:t>the</w:t>
      </w:r>
      <w:proofErr w:type="spellEnd"/>
      <w:r w:rsidR="006F7C39">
        <w:rPr>
          <w:i/>
        </w:rPr>
        <w:t xml:space="preserve"> </w:t>
      </w:r>
      <w:proofErr w:type="spellStart"/>
      <w:r w:rsidR="006F7C39">
        <w:rPr>
          <w:i/>
        </w:rPr>
        <w:t>w</w:t>
      </w:r>
      <w:r w:rsidR="00EF37D7">
        <w:rPr>
          <w:i/>
        </w:rPr>
        <w:t>a</w:t>
      </w:r>
      <w:r w:rsidR="006F7C39">
        <w:rPr>
          <w:i/>
        </w:rPr>
        <w:t>ter</w:t>
      </w:r>
      <w:proofErr w:type="spellEnd"/>
      <w:r w:rsidR="006F7C39">
        <w:rPr>
          <w:i/>
        </w:rPr>
        <w:t xml:space="preserve"> supresión </w:t>
      </w:r>
      <w:proofErr w:type="spellStart"/>
      <w:r w:rsidR="006F7C39">
        <w:rPr>
          <w:i/>
        </w:rPr>
        <w:t>condition</w:t>
      </w:r>
      <w:proofErr w:type="spellEnd"/>
      <w:r w:rsidR="006F7C39">
        <w:rPr>
          <w:i/>
        </w:rPr>
        <w:t xml:space="preserve"> and</w:t>
      </w:r>
      <w:r w:rsidR="00EF37D7">
        <w:rPr>
          <w:i/>
        </w:rPr>
        <w:t xml:space="preserve"> </w:t>
      </w:r>
      <w:proofErr w:type="spellStart"/>
      <w:r w:rsidR="008A0975">
        <w:rPr>
          <w:i/>
        </w:rPr>
        <w:t>also</w:t>
      </w:r>
      <w:proofErr w:type="spellEnd"/>
      <w:r w:rsidR="008A0975">
        <w:rPr>
          <w:i/>
        </w:rPr>
        <w:t xml:space="preserve"> </w:t>
      </w:r>
      <w:r w:rsidR="006F7C39">
        <w:rPr>
          <w:i/>
        </w:rPr>
        <w:t xml:space="preserve">to </w:t>
      </w:r>
      <w:proofErr w:type="spellStart"/>
      <w:r w:rsidR="006F7C39">
        <w:rPr>
          <w:i/>
        </w:rPr>
        <w:t>collect</w:t>
      </w:r>
      <w:proofErr w:type="spellEnd"/>
      <w:r w:rsidR="006F7C39">
        <w:rPr>
          <w:i/>
        </w:rPr>
        <w:t xml:space="preserve"> a </w:t>
      </w:r>
      <w:proofErr w:type="spellStart"/>
      <w:r w:rsidR="002550C3">
        <w:rPr>
          <w:i/>
        </w:rPr>
        <w:t>large</w:t>
      </w:r>
      <w:proofErr w:type="spellEnd"/>
      <w:r w:rsidR="006F7C39">
        <w:rPr>
          <w:i/>
        </w:rPr>
        <w:t xml:space="preserve"> </w:t>
      </w:r>
      <w:proofErr w:type="spellStart"/>
      <w:r w:rsidR="006F7C39">
        <w:rPr>
          <w:i/>
        </w:rPr>
        <w:t>number</w:t>
      </w:r>
      <w:proofErr w:type="spellEnd"/>
      <w:r w:rsidR="006F7C39">
        <w:rPr>
          <w:i/>
        </w:rPr>
        <w:t xml:space="preserve"> of </w:t>
      </w:r>
      <w:proofErr w:type="spellStart"/>
      <w:r w:rsidR="006F7C39">
        <w:rPr>
          <w:i/>
        </w:rPr>
        <w:t>transients</w:t>
      </w:r>
      <w:proofErr w:type="spellEnd"/>
      <w:r w:rsidR="006F7C39">
        <w:rPr>
          <w:i/>
        </w:rPr>
        <w:t xml:space="preserve">. </w:t>
      </w:r>
      <w:proofErr w:type="spellStart"/>
      <w:r w:rsidR="006F7C39">
        <w:rPr>
          <w:i/>
        </w:rPr>
        <w:t>The</w:t>
      </w:r>
      <w:proofErr w:type="spellEnd"/>
      <w:r w:rsidR="006F7C39">
        <w:rPr>
          <w:i/>
        </w:rPr>
        <w:t xml:space="preserve"> </w:t>
      </w:r>
      <w:proofErr w:type="spellStart"/>
      <w:r w:rsidR="006F7C39">
        <w:rPr>
          <w:i/>
        </w:rPr>
        <w:t>analytical</w:t>
      </w:r>
      <w:proofErr w:type="spellEnd"/>
      <w:r w:rsidR="006F7C39">
        <w:rPr>
          <w:i/>
        </w:rPr>
        <w:t xml:space="preserve"> </w:t>
      </w:r>
      <w:proofErr w:type="spellStart"/>
      <w:r w:rsidR="006F7C39">
        <w:rPr>
          <w:i/>
        </w:rPr>
        <w:t>method</w:t>
      </w:r>
      <w:proofErr w:type="spellEnd"/>
      <w:r w:rsidR="006F7C39">
        <w:rPr>
          <w:i/>
        </w:rPr>
        <w:t xml:space="preserve"> </w:t>
      </w:r>
      <w:proofErr w:type="spellStart"/>
      <w:r w:rsidR="006F7C39">
        <w:rPr>
          <w:i/>
        </w:rPr>
        <w:t>presented</w:t>
      </w:r>
      <w:proofErr w:type="spellEnd"/>
      <w:r w:rsidR="006F7C39">
        <w:rPr>
          <w:i/>
        </w:rPr>
        <w:t xml:space="preserve"> </w:t>
      </w:r>
      <w:proofErr w:type="spellStart"/>
      <w:r w:rsidR="006F7C39">
        <w:rPr>
          <w:i/>
        </w:rPr>
        <w:t>is</w:t>
      </w:r>
      <w:proofErr w:type="spellEnd"/>
      <w:r w:rsidR="006F7C39">
        <w:rPr>
          <w:i/>
        </w:rPr>
        <w:t xml:space="preserve"> s</w:t>
      </w:r>
      <w:r w:rsidR="00551640">
        <w:rPr>
          <w:i/>
        </w:rPr>
        <w:t>i</w:t>
      </w:r>
      <w:r w:rsidR="006F7C39">
        <w:rPr>
          <w:i/>
        </w:rPr>
        <w:t xml:space="preserve">mple, </w:t>
      </w:r>
      <w:proofErr w:type="spellStart"/>
      <w:r w:rsidR="006F7C39">
        <w:rPr>
          <w:i/>
        </w:rPr>
        <w:t>fast</w:t>
      </w:r>
      <w:proofErr w:type="spellEnd"/>
      <w:r w:rsidR="006F7C39">
        <w:rPr>
          <w:i/>
        </w:rPr>
        <w:t xml:space="preserve"> and </w:t>
      </w:r>
      <w:proofErr w:type="spellStart"/>
      <w:r w:rsidR="006F7C39">
        <w:rPr>
          <w:i/>
        </w:rPr>
        <w:t>reliable</w:t>
      </w:r>
      <w:proofErr w:type="spellEnd"/>
      <w:r w:rsidR="006F7C39">
        <w:rPr>
          <w:i/>
        </w:rPr>
        <w:t>.</w:t>
      </w:r>
    </w:p>
    <w:p w:rsidR="00B912AF" w:rsidRPr="007E2DB2" w:rsidRDefault="00B912AF" w:rsidP="00A560F6">
      <w:pPr>
        <w:spacing w:line="360" w:lineRule="auto"/>
        <w:jc w:val="both"/>
      </w:pPr>
    </w:p>
    <w:p w:rsidR="005A7F46" w:rsidRDefault="005A7F46" w:rsidP="00A560F6">
      <w:pPr>
        <w:spacing w:line="360" w:lineRule="auto"/>
        <w:jc w:val="both"/>
      </w:pPr>
      <w:r>
        <w:t xml:space="preserve">Palabras clave: </w:t>
      </w:r>
      <w:r w:rsidR="00377D3B">
        <w:t>RMN</w:t>
      </w:r>
      <w:r w:rsidR="003B0F45">
        <w:t xml:space="preserve">, </w:t>
      </w:r>
      <w:r w:rsidR="00C4431E">
        <w:t>Cuantitativo</w:t>
      </w:r>
      <w:r>
        <w:t>; Trazas; Estándar interno; Concentración; Oxigenados.</w:t>
      </w:r>
    </w:p>
    <w:p w:rsidR="005A7F46" w:rsidRPr="007A7DC4" w:rsidRDefault="005A7F46" w:rsidP="00A560F6">
      <w:pPr>
        <w:spacing w:line="360" w:lineRule="auto"/>
        <w:jc w:val="both"/>
        <w:rPr>
          <w:i/>
        </w:rPr>
      </w:pPr>
      <w:proofErr w:type="spellStart"/>
      <w:r w:rsidRPr="007A7DC4">
        <w:rPr>
          <w:i/>
        </w:rPr>
        <w:t>Keywords</w:t>
      </w:r>
      <w:proofErr w:type="spellEnd"/>
      <w:r w:rsidRPr="007A7DC4">
        <w:rPr>
          <w:i/>
        </w:rPr>
        <w:t xml:space="preserve">: </w:t>
      </w:r>
      <w:r w:rsidR="003B0F45">
        <w:rPr>
          <w:i/>
        </w:rPr>
        <w:t xml:space="preserve">NMR, </w:t>
      </w:r>
      <w:proofErr w:type="spellStart"/>
      <w:r w:rsidRPr="007A7DC4">
        <w:rPr>
          <w:i/>
        </w:rPr>
        <w:t>Quantitati</w:t>
      </w:r>
      <w:r w:rsidR="00C4431E">
        <w:rPr>
          <w:i/>
        </w:rPr>
        <w:t>ve</w:t>
      </w:r>
      <w:bookmarkStart w:id="0" w:name="_GoBack"/>
      <w:bookmarkEnd w:id="0"/>
      <w:proofErr w:type="spellEnd"/>
      <w:r w:rsidRPr="007A7DC4">
        <w:rPr>
          <w:i/>
        </w:rPr>
        <w:t xml:space="preserve">; Traces; </w:t>
      </w:r>
      <w:proofErr w:type="spellStart"/>
      <w:r w:rsidRPr="007A7DC4">
        <w:rPr>
          <w:i/>
        </w:rPr>
        <w:t>Internal</w:t>
      </w:r>
      <w:proofErr w:type="spellEnd"/>
      <w:r w:rsidRPr="007A7DC4">
        <w:rPr>
          <w:i/>
        </w:rPr>
        <w:t xml:space="preserve"> standard; </w:t>
      </w:r>
      <w:proofErr w:type="spellStart"/>
      <w:r w:rsidRPr="007A7DC4">
        <w:rPr>
          <w:i/>
        </w:rPr>
        <w:t>Concentration</w:t>
      </w:r>
      <w:proofErr w:type="spellEnd"/>
      <w:r w:rsidRPr="007A7DC4">
        <w:rPr>
          <w:i/>
        </w:rPr>
        <w:t xml:space="preserve">; </w:t>
      </w:r>
      <w:proofErr w:type="spellStart"/>
      <w:r w:rsidRPr="007A7DC4">
        <w:rPr>
          <w:i/>
        </w:rPr>
        <w:t>Oxigenated</w:t>
      </w:r>
      <w:proofErr w:type="spellEnd"/>
      <w:r w:rsidRPr="007A7DC4">
        <w:rPr>
          <w:i/>
        </w:rPr>
        <w:t>.</w:t>
      </w:r>
    </w:p>
    <w:p w:rsidR="005A7F46" w:rsidRPr="002554C8" w:rsidRDefault="005A7F46" w:rsidP="00A560F6">
      <w:pPr>
        <w:spacing w:line="360" w:lineRule="auto"/>
        <w:jc w:val="both"/>
      </w:pPr>
    </w:p>
    <w:p w:rsidR="00260F8F" w:rsidRDefault="00106971" w:rsidP="00A560F6">
      <w:pPr>
        <w:spacing w:line="360" w:lineRule="auto"/>
        <w:jc w:val="both"/>
        <w:rPr>
          <w:b/>
        </w:rPr>
      </w:pPr>
      <w:r>
        <w:rPr>
          <w:b/>
        </w:rPr>
        <w:t>1. Introducción</w:t>
      </w:r>
    </w:p>
    <w:p w:rsidR="0019179F" w:rsidRPr="002554C8" w:rsidRDefault="0019179F" w:rsidP="00A560F6">
      <w:pPr>
        <w:spacing w:line="360" w:lineRule="auto"/>
        <w:jc w:val="both"/>
      </w:pPr>
      <w:r w:rsidRPr="002554C8">
        <w:t xml:space="preserve">Mientras </w:t>
      </w:r>
      <w:r w:rsidR="00AD7113" w:rsidRPr="002554C8">
        <w:t>que el número de</w:t>
      </w:r>
      <w:r w:rsidRPr="002554C8">
        <w:t xml:space="preserve"> artículos relacionados con la </w:t>
      </w:r>
      <w:r w:rsidR="008531BC" w:rsidRPr="002554C8">
        <w:t>elucidación</w:t>
      </w:r>
      <w:r w:rsidRPr="002554C8">
        <w:t xml:space="preserve"> estructural de compuestos químicos por RMN</w:t>
      </w:r>
      <w:r w:rsidR="00AD7113" w:rsidRPr="002554C8">
        <w:t xml:space="preserve"> es </w:t>
      </w:r>
      <w:r w:rsidR="00410A8A">
        <w:t>abundante</w:t>
      </w:r>
      <w:r w:rsidRPr="002554C8">
        <w:t xml:space="preserve">, </w:t>
      </w:r>
      <w:r w:rsidR="00D121E8">
        <w:t>los que</w:t>
      </w:r>
      <w:r w:rsidRPr="002554C8">
        <w:t xml:space="preserve"> presentan estudios de aplicación de esta técnica </w:t>
      </w:r>
      <w:r w:rsidRPr="002554C8">
        <w:lastRenderedPageBreak/>
        <w:t>espectroscópic</w:t>
      </w:r>
      <w:r w:rsidR="00AD7113" w:rsidRPr="002554C8">
        <w:t>a</w:t>
      </w:r>
      <w:r w:rsidRPr="002554C8">
        <w:t xml:space="preserve"> en el análisis cuantitativo</w:t>
      </w:r>
      <w:r w:rsidR="00AD7113" w:rsidRPr="002554C8">
        <w:t xml:space="preserve"> de compuestos químicos</w:t>
      </w:r>
      <w:r w:rsidR="00E4372E">
        <w:t xml:space="preserve"> </w:t>
      </w:r>
      <w:r w:rsidR="00D121E8">
        <w:t xml:space="preserve">se encuentran en menor proporción </w:t>
      </w:r>
      <w:r w:rsidR="000A4807" w:rsidRPr="00E9273D">
        <w:t>[1-6]</w:t>
      </w:r>
      <w:r w:rsidRPr="00E9273D">
        <w:t>.</w:t>
      </w:r>
      <w:r w:rsidR="00665E02" w:rsidRPr="00E9273D">
        <w:t xml:space="preserve"> </w:t>
      </w:r>
      <w:r w:rsidR="005E49EE" w:rsidRPr="00E9273D">
        <w:t xml:space="preserve">Los primeros reportes del uso de la RMN </w:t>
      </w:r>
      <w:r w:rsidR="005E49EE" w:rsidRPr="00E9273D">
        <w:rPr>
          <w:vertAlign w:val="superscript"/>
        </w:rPr>
        <w:t>1</w:t>
      </w:r>
      <w:r w:rsidR="005E49EE" w:rsidRPr="00E9273D">
        <w:t xml:space="preserve">H como herramienta cuantitativa aparecieron en 1963 </w:t>
      </w:r>
      <w:r w:rsidR="00E9273D" w:rsidRPr="00E9273D">
        <w:t>[7-8]</w:t>
      </w:r>
      <w:r w:rsidR="005E49EE" w:rsidRPr="00E9273D">
        <w:t>.</w:t>
      </w:r>
      <w:r w:rsidR="005E49EE">
        <w:t xml:space="preserve"> </w:t>
      </w:r>
      <w:r w:rsidR="00AD7113" w:rsidRPr="002554C8">
        <w:t>De acuerdo con Pauli</w:t>
      </w:r>
      <w:r w:rsidR="00375F23" w:rsidRPr="002554C8">
        <w:t xml:space="preserve"> </w:t>
      </w:r>
      <w:r w:rsidR="00375F23" w:rsidRPr="002554C8">
        <w:rPr>
          <w:i/>
        </w:rPr>
        <w:t>et al.</w:t>
      </w:r>
      <w:r w:rsidR="00801F61" w:rsidRPr="002554C8">
        <w:t xml:space="preserve"> [1]</w:t>
      </w:r>
      <w:r w:rsidR="00AD7113" w:rsidRPr="002554C8">
        <w:t xml:space="preserve">, </w:t>
      </w:r>
      <w:r w:rsidR="003B40A3">
        <w:t>en el período de</w:t>
      </w:r>
      <w:r w:rsidR="003B40A3" w:rsidRPr="002554C8">
        <w:t xml:space="preserve"> 1954 </w:t>
      </w:r>
      <w:r w:rsidR="003B40A3">
        <w:t xml:space="preserve">a 2012 se publicaron </w:t>
      </w:r>
      <w:r w:rsidR="00AD7113" w:rsidRPr="002554C8">
        <w:t>alrededor de 13</w:t>
      </w:r>
      <w:r w:rsidR="007F7598">
        <w:t>,</w:t>
      </w:r>
      <w:r w:rsidR="00AD7113" w:rsidRPr="002554C8">
        <w:t>000 artículos</w:t>
      </w:r>
      <w:r w:rsidR="00790BE5" w:rsidRPr="002554C8">
        <w:t xml:space="preserve"> relacionados con la RMN cuantitativa (</w:t>
      </w:r>
      <w:proofErr w:type="spellStart"/>
      <w:r w:rsidR="00790BE5" w:rsidRPr="002554C8">
        <w:t>RMNc</w:t>
      </w:r>
      <w:proofErr w:type="spellEnd"/>
      <w:r w:rsidR="003B40A3">
        <w:t>)</w:t>
      </w:r>
      <w:r w:rsidR="00AD7113" w:rsidRPr="002554C8">
        <w:t>.</w:t>
      </w:r>
      <w:r w:rsidRPr="002554C8">
        <w:t xml:space="preserve"> </w:t>
      </w:r>
    </w:p>
    <w:p w:rsidR="0019179F" w:rsidRPr="002554C8" w:rsidRDefault="0019179F" w:rsidP="00A560F6">
      <w:pPr>
        <w:spacing w:line="360" w:lineRule="auto"/>
        <w:jc w:val="both"/>
      </w:pPr>
    </w:p>
    <w:p w:rsidR="00A45F0F" w:rsidRDefault="0093577E" w:rsidP="00A560F6">
      <w:pPr>
        <w:spacing w:line="360" w:lineRule="auto"/>
        <w:jc w:val="both"/>
      </w:pPr>
      <w:r w:rsidRPr="002554C8">
        <w:t xml:space="preserve">La </w:t>
      </w:r>
      <w:proofErr w:type="spellStart"/>
      <w:r w:rsidRPr="002554C8">
        <w:t>espectroscopía</w:t>
      </w:r>
      <w:proofErr w:type="spellEnd"/>
      <w:r w:rsidRPr="002554C8">
        <w:t xml:space="preserve"> de RMN </w:t>
      </w:r>
      <w:r w:rsidR="00215CB0">
        <w:t xml:space="preserve">es una herramienta analítica poderosa que </w:t>
      </w:r>
      <w:r w:rsidRPr="002554C8">
        <w:t>posee ventajas importantes en el análisis químico cuantitativo</w:t>
      </w:r>
      <w:r w:rsidR="00215CB0">
        <w:t>:</w:t>
      </w:r>
      <w:r w:rsidRPr="002554C8">
        <w:t xml:space="preserve"> su naturaleza no destructiva y</w:t>
      </w:r>
      <w:r w:rsidR="006B4EAA">
        <w:t xml:space="preserve"> la posibilidad de analizar cuantitativamente, de manera simultánea</w:t>
      </w:r>
      <w:r w:rsidR="005E32A0">
        <w:t>,</w:t>
      </w:r>
      <w:r w:rsidR="006B4EAA">
        <w:t xml:space="preserve"> diversos </w:t>
      </w:r>
      <w:proofErr w:type="spellStart"/>
      <w:r w:rsidR="006B4EAA">
        <w:t>analitos</w:t>
      </w:r>
      <w:proofErr w:type="spellEnd"/>
      <w:r w:rsidR="006B4EAA">
        <w:t xml:space="preserve"> en mezcla</w:t>
      </w:r>
      <w:r w:rsidR="003B0F45">
        <w:t>s</w:t>
      </w:r>
      <w:r w:rsidR="005E32A0">
        <w:t xml:space="preserve"> </w:t>
      </w:r>
      <w:r w:rsidR="006B4EAA">
        <w:t>[</w:t>
      </w:r>
      <w:r w:rsidR="00E73C8D">
        <w:t>9</w:t>
      </w:r>
      <w:r w:rsidR="006B4EAA">
        <w:t>].</w:t>
      </w:r>
      <w:r w:rsidRPr="002554C8">
        <w:t xml:space="preserve"> </w:t>
      </w:r>
      <w:r w:rsidR="002268DE">
        <w:t>A</w:t>
      </w:r>
      <w:r w:rsidR="0097271E" w:rsidRPr="002554C8">
        <w:t xml:space="preserve">ntes del advenimiento de los espectrómetros con magnetos superconductores y excitación pulsada, </w:t>
      </w:r>
      <w:r w:rsidR="008345CF" w:rsidRPr="002554C8">
        <w:t xml:space="preserve">la </w:t>
      </w:r>
      <w:r w:rsidR="004D53DB" w:rsidRPr="002554C8">
        <w:t>baja sensibilidad</w:t>
      </w:r>
      <w:r w:rsidR="008345CF" w:rsidRPr="002554C8">
        <w:t xml:space="preserve"> inherente</w:t>
      </w:r>
      <w:r w:rsidR="004D53DB" w:rsidRPr="002554C8">
        <w:t xml:space="preserve"> de la RMN constituía una desventaja relativa a otras técnicas </w:t>
      </w:r>
      <w:r w:rsidR="008345CF" w:rsidRPr="002554C8">
        <w:t>analíticas</w:t>
      </w:r>
      <w:r w:rsidR="004D53DB" w:rsidRPr="002554C8">
        <w:t xml:space="preserve">. Sin embargo, </w:t>
      </w:r>
      <w:r w:rsidR="002055BF">
        <w:t xml:space="preserve">con el uso de espectrómetros de RMN </w:t>
      </w:r>
      <w:r w:rsidR="006711AF" w:rsidRPr="006711AF">
        <w:t>en</w:t>
      </w:r>
      <w:r w:rsidR="00B22C54" w:rsidRPr="006711AF">
        <w:t xml:space="preserve"> vanguardia</w:t>
      </w:r>
      <w:r w:rsidR="002055BF">
        <w:t xml:space="preserve">, </w:t>
      </w:r>
      <w:r w:rsidR="004D53DB" w:rsidRPr="002554C8">
        <w:t xml:space="preserve">la sensibilidad de </w:t>
      </w:r>
      <w:r w:rsidR="006711AF">
        <w:t>esta</w:t>
      </w:r>
      <w:r w:rsidR="00D87FD9">
        <w:t xml:space="preserve"> </w:t>
      </w:r>
      <w:proofErr w:type="spellStart"/>
      <w:r w:rsidR="00D87FD9">
        <w:t>espectrosc</w:t>
      </w:r>
      <w:r w:rsidR="00041CDD">
        <w:t>o</w:t>
      </w:r>
      <w:r w:rsidR="00D87FD9">
        <w:t>pía</w:t>
      </w:r>
      <w:proofErr w:type="spellEnd"/>
      <w:r w:rsidR="004D53DB" w:rsidRPr="002554C8">
        <w:t xml:space="preserve"> se ha incrementado </w:t>
      </w:r>
      <w:r w:rsidR="00465611" w:rsidRPr="002554C8">
        <w:t>considerablemente</w:t>
      </w:r>
      <w:r w:rsidR="004D53DB" w:rsidRPr="002554C8">
        <w:t xml:space="preserve"> de tal manera que, actualmente, es posible obtener espectros de </w:t>
      </w:r>
      <w:r w:rsidR="00E9611B" w:rsidRPr="002554C8">
        <w:rPr>
          <w:vertAlign w:val="superscript"/>
        </w:rPr>
        <w:t>1</w:t>
      </w:r>
      <w:r w:rsidR="00E9611B" w:rsidRPr="002554C8">
        <w:t xml:space="preserve">H y </w:t>
      </w:r>
      <w:r w:rsidR="00465611" w:rsidRPr="002554C8">
        <w:t xml:space="preserve">de </w:t>
      </w:r>
      <w:r w:rsidR="004D53DB" w:rsidRPr="002554C8">
        <w:t>núcleos de baja abundancia natural</w:t>
      </w:r>
      <w:r w:rsidR="00DC7FC1" w:rsidRPr="002554C8">
        <w:t>,</w:t>
      </w:r>
      <w:r w:rsidR="004D53DB" w:rsidRPr="002554C8">
        <w:t xml:space="preserve"> como el</w:t>
      </w:r>
      <w:r w:rsidR="00DC7FC1" w:rsidRPr="002554C8">
        <w:t xml:space="preserve"> de</w:t>
      </w:r>
      <w:r w:rsidR="004D53DB" w:rsidRPr="002554C8">
        <w:t xml:space="preserve"> </w:t>
      </w:r>
      <w:r w:rsidR="004D53DB" w:rsidRPr="002554C8">
        <w:rPr>
          <w:vertAlign w:val="superscript"/>
        </w:rPr>
        <w:t>13</w:t>
      </w:r>
      <w:r w:rsidR="004D53DB" w:rsidRPr="002554C8">
        <w:t>C</w:t>
      </w:r>
      <w:r w:rsidR="008345CF" w:rsidRPr="002554C8">
        <w:t>,</w:t>
      </w:r>
      <w:r w:rsidR="004D53DB" w:rsidRPr="002554C8">
        <w:t xml:space="preserve"> con </w:t>
      </w:r>
      <w:proofErr w:type="spellStart"/>
      <w:r w:rsidR="004D53DB" w:rsidRPr="002554C8">
        <w:t>nmoles</w:t>
      </w:r>
      <w:proofErr w:type="spellEnd"/>
      <w:r w:rsidR="004D53DB" w:rsidRPr="002554C8">
        <w:t xml:space="preserve"> o </w:t>
      </w:r>
      <w:r w:rsidR="002268DE" w:rsidRPr="002268DE">
        <w:rPr>
          <w:rFonts w:ascii="Symbol" w:hAnsi="Symbol"/>
        </w:rPr>
        <w:t></w:t>
      </w:r>
      <w:r w:rsidR="004D53DB" w:rsidRPr="002554C8">
        <w:t>moles de material</w:t>
      </w:r>
      <w:r w:rsidR="00E9611B" w:rsidRPr="002554C8">
        <w:t xml:space="preserve">, respectivamente </w:t>
      </w:r>
      <w:r w:rsidR="00465611" w:rsidRPr="002554C8">
        <w:t>[</w:t>
      </w:r>
      <w:r w:rsidR="00BC2647" w:rsidRPr="002554C8">
        <w:t>3</w:t>
      </w:r>
      <w:r w:rsidR="00465611" w:rsidRPr="002554C8">
        <w:t>]</w:t>
      </w:r>
      <w:r w:rsidR="00E9611B" w:rsidRPr="002554C8">
        <w:t>.</w:t>
      </w:r>
      <w:r w:rsidR="006F0819" w:rsidRPr="002554C8">
        <w:t xml:space="preserve"> </w:t>
      </w:r>
      <w:r w:rsidR="00E947BC" w:rsidRPr="002554C8">
        <w:t>El uso de c</w:t>
      </w:r>
      <w:r w:rsidR="006F0819" w:rsidRPr="002554C8">
        <w:t>ampos magnéticos intensos</w:t>
      </w:r>
      <w:r w:rsidR="00E947BC" w:rsidRPr="002554C8">
        <w:t xml:space="preserve"> y estables</w:t>
      </w:r>
      <w:r w:rsidR="006F0819" w:rsidRPr="002554C8">
        <w:t xml:space="preserve"> favorece la dispersión de señales</w:t>
      </w:r>
      <w:r w:rsidR="00215CB0">
        <w:t>; esto trae consigo un</w:t>
      </w:r>
      <w:r w:rsidR="009608DD" w:rsidRPr="002554C8">
        <w:t xml:space="preserve"> </w:t>
      </w:r>
      <w:r w:rsidR="006F0819" w:rsidRPr="002554C8">
        <w:t>aument</w:t>
      </w:r>
      <w:r w:rsidR="00215CB0">
        <w:t>o en</w:t>
      </w:r>
      <w:r w:rsidR="006F0819" w:rsidRPr="002554C8">
        <w:t xml:space="preserve"> la resolución espectral</w:t>
      </w:r>
      <w:r w:rsidR="00465611" w:rsidRPr="002554C8">
        <w:t xml:space="preserve"> </w:t>
      </w:r>
      <w:r w:rsidR="009608DD" w:rsidRPr="002554C8">
        <w:t>y</w:t>
      </w:r>
      <w:r w:rsidR="006F0B22" w:rsidRPr="002554C8">
        <w:t>,</w:t>
      </w:r>
      <w:r w:rsidR="009608DD" w:rsidRPr="002554C8">
        <w:t xml:space="preserve"> por </w:t>
      </w:r>
      <w:r w:rsidR="004D628C">
        <w:t>consiguiente</w:t>
      </w:r>
      <w:r w:rsidR="00215CB0">
        <w:t>,</w:t>
      </w:r>
      <w:r w:rsidR="006F0819" w:rsidRPr="002554C8">
        <w:t xml:space="preserve"> se incrementa la especificidad de la técnica</w:t>
      </w:r>
      <w:r w:rsidR="001535E1" w:rsidRPr="002554C8">
        <w:t xml:space="preserve"> </w:t>
      </w:r>
      <w:r w:rsidR="000A2FAE" w:rsidRPr="002554C8">
        <w:t>[</w:t>
      </w:r>
      <w:r w:rsidR="00E73C8D">
        <w:t>10</w:t>
      </w:r>
      <w:r w:rsidR="000A2FAE" w:rsidRPr="00BF2171">
        <w:t>]</w:t>
      </w:r>
      <w:r w:rsidR="00E947BC" w:rsidRPr="00BF2171">
        <w:t>. Los avances en computación también han contribuido al desarrollo</w:t>
      </w:r>
      <w:r w:rsidR="002055BF" w:rsidRPr="00BF2171">
        <w:t xml:space="preserve"> y confiabilidad</w:t>
      </w:r>
      <w:r w:rsidR="00E947BC" w:rsidRPr="00BF2171">
        <w:t xml:space="preserve"> de la </w:t>
      </w:r>
      <w:proofErr w:type="spellStart"/>
      <w:r w:rsidR="00E947BC" w:rsidRPr="00BF2171">
        <w:t>RMNc</w:t>
      </w:r>
      <w:proofErr w:type="spellEnd"/>
      <w:r w:rsidR="00E947BC" w:rsidRPr="00BF2171">
        <w:t xml:space="preserve"> ya que el uso de paquetes de c</w:t>
      </w:r>
      <w:r w:rsidR="008345CF" w:rsidRPr="00BF2171">
        <w:t>ó</w:t>
      </w:r>
      <w:r w:rsidR="00E947BC" w:rsidRPr="00BF2171">
        <w:t>mputo modernos pe</w:t>
      </w:r>
      <w:r w:rsidR="008345CF" w:rsidRPr="00BF2171">
        <w:t>r</w:t>
      </w:r>
      <w:r w:rsidR="00E947BC" w:rsidRPr="00BF2171">
        <w:t xml:space="preserve">mite la adquisición y procesamiento de datos de manera </w:t>
      </w:r>
      <w:r w:rsidR="000A2FAE" w:rsidRPr="00BF2171">
        <w:t>exacta</w:t>
      </w:r>
      <w:r w:rsidR="00E947BC" w:rsidRPr="00BF2171">
        <w:t xml:space="preserve"> y precisa</w:t>
      </w:r>
      <w:r w:rsidR="004A0FC9" w:rsidRPr="00BF2171">
        <w:t xml:space="preserve"> </w:t>
      </w:r>
      <w:r w:rsidR="000A2FAE" w:rsidRPr="00BF2171">
        <w:rPr>
          <w:lang w:val="es-MX"/>
        </w:rPr>
        <w:t>[6]</w:t>
      </w:r>
      <w:r w:rsidR="00E947BC" w:rsidRPr="00BF2171">
        <w:t>.</w:t>
      </w:r>
    </w:p>
    <w:p w:rsidR="007A78A7" w:rsidRDefault="007A78A7" w:rsidP="00A560F6">
      <w:pPr>
        <w:spacing w:line="360" w:lineRule="auto"/>
        <w:jc w:val="both"/>
      </w:pPr>
    </w:p>
    <w:p w:rsidR="007A78A7" w:rsidRPr="002554C8" w:rsidRDefault="007A78A7" w:rsidP="00A560F6">
      <w:pPr>
        <w:spacing w:line="360" w:lineRule="auto"/>
        <w:jc w:val="both"/>
      </w:pPr>
      <w:r>
        <w:t xml:space="preserve">El metano, principal componente del gas natural, es abundante, </w:t>
      </w:r>
      <w:r w:rsidR="009745D5">
        <w:t>de bajo costo</w:t>
      </w:r>
      <w:r>
        <w:t xml:space="preserve"> y usado ampliamente como materia prima para la producción de compuestos químicos oxigenados como ML, </w:t>
      </w:r>
      <w:r w:rsidR="00BB6DDD">
        <w:t>AF y formaldehído</w:t>
      </w:r>
      <w:r w:rsidR="002C03E4">
        <w:t xml:space="preserve">, </w:t>
      </w:r>
      <w:r>
        <w:t>principalmente</w:t>
      </w:r>
      <w:r w:rsidR="00B22C54">
        <w:t>.</w:t>
      </w:r>
      <w:r>
        <w:t xml:space="preserve"> </w:t>
      </w:r>
      <w:r w:rsidR="00B22C54">
        <w:t>Estos compuestos oxigenados</w:t>
      </w:r>
      <w:r>
        <w:t xml:space="preserve"> se utilizan</w:t>
      </w:r>
      <w:r w:rsidR="00BB6DDD">
        <w:t xml:space="preserve"> ampliamente</w:t>
      </w:r>
      <w:r>
        <w:t xml:space="preserve"> en la industria química y farmacéutica, entre otras. La oxidación de metano a </w:t>
      </w:r>
      <w:r w:rsidR="002C03E4">
        <w:t>ML</w:t>
      </w:r>
      <w:r>
        <w:t xml:space="preserve"> es una reacción química desafiante debido a que este gas es relativamente inerte, tiene baja afinidad por protones y electrones, alta fuerza de enlace (439 kJmol</w:t>
      </w:r>
      <w:r w:rsidRPr="007C5721">
        <w:rPr>
          <w:vertAlign w:val="superscript"/>
        </w:rPr>
        <w:t>-1</w:t>
      </w:r>
      <w:r>
        <w:t>), energía de ionización</w:t>
      </w:r>
      <w:r w:rsidR="00181214">
        <w:t xml:space="preserve"> elevada</w:t>
      </w:r>
      <w:r>
        <w:t xml:space="preserve"> y acidez  débil </w:t>
      </w:r>
      <w:r w:rsidR="000C108A">
        <w:t>[11-12]</w:t>
      </w:r>
      <w:r>
        <w:t xml:space="preserve">. La alta energía de disociación de enlace de la molécula de metano impide las reacciones de ruptura de enlace C-H por ruta </w:t>
      </w:r>
      <w:proofErr w:type="spellStart"/>
      <w:r>
        <w:t>homolítica</w:t>
      </w:r>
      <w:proofErr w:type="spellEnd"/>
      <w:r>
        <w:t xml:space="preserve"> </w:t>
      </w:r>
      <w:r w:rsidR="00FA15D4">
        <w:t>o</w:t>
      </w:r>
      <w:r>
        <w:t xml:space="preserve"> </w:t>
      </w:r>
      <w:proofErr w:type="spellStart"/>
      <w:r>
        <w:t>heterolítica</w:t>
      </w:r>
      <w:proofErr w:type="spellEnd"/>
      <w:r>
        <w:t xml:space="preserve"> </w:t>
      </w:r>
      <w:r w:rsidR="000C108A">
        <w:t>[13]</w:t>
      </w:r>
      <w:r>
        <w:t xml:space="preserve">. El </w:t>
      </w:r>
      <w:r w:rsidR="00181214">
        <w:t>ML</w:t>
      </w:r>
      <w:r>
        <w:t xml:space="preserve"> es normalmente producido a partir de metano en un proceso de </w:t>
      </w:r>
      <w:proofErr w:type="spellStart"/>
      <w:r>
        <w:t>multipasos</w:t>
      </w:r>
      <w:proofErr w:type="spellEnd"/>
      <w:r>
        <w:t xml:space="preserve"> con alto consumo de energía. La transformación de metano a </w:t>
      </w:r>
      <w:r w:rsidR="00181214">
        <w:t>ML</w:t>
      </w:r>
      <w:r w:rsidR="00FE47FF">
        <w:t xml:space="preserve"> a nivel industrial,</w:t>
      </w:r>
      <w:r>
        <w:t xml:space="preserve"> </w:t>
      </w:r>
      <w:r w:rsidR="00FE47FF">
        <w:t>por medio</w:t>
      </w:r>
      <w:r>
        <w:t xml:space="preserve"> de una ruta de un paso, a temperatura relativamente baja, reduciría drásticamente</w:t>
      </w:r>
      <w:r w:rsidR="004A2E07">
        <w:t xml:space="preserve"> </w:t>
      </w:r>
      <w:r>
        <w:t>los costos del proceso</w:t>
      </w:r>
      <w:r w:rsidR="009745D5">
        <w:t xml:space="preserve"> para la producción de metanol. </w:t>
      </w:r>
      <w:r>
        <w:t xml:space="preserve">En el IMP se </w:t>
      </w:r>
      <w:r>
        <w:lastRenderedPageBreak/>
        <w:t>está desarrollando, actualmente un proyecto de investigación enfocado a la transformación</w:t>
      </w:r>
      <w:r w:rsidR="00181214">
        <w:t xml:space="preserve"> directa</w:t>
      </w:r>
      <w:r>
        <w:t xml:space="preserve"> de metano a ML por vía catalítica, con el empleo de H</w:t>
      </w:r>
      <w:r w:rsidRPr="006B4EAA">
        <w:rPr>
          <w:vertAlign w:val="subscript"/>
        </w:rPr>
        <w:t>2</w:t>
      </w:r>
      <w:r>
        <w:t>O</w:t>
      </w:r>
      <w:r w:rsidRPr="006B4EAA">
        <w:rPr>
          <w:vertAlign w:val="subscript"/>
        </w:rPr>
        <w:t>2</w:t>
      </w:r>
      <w:r>
        <w:t xml:space="preserve"> como fuente de oxígeno.</w:t>
      </w:r>
    </w:p>
    <w:p w:rsidR="00A45F0F" w:rsidRPr="002554C8" w:rsidRDefault="00A45F0F" w:rsidP="00A560F6">
      <w:pPr>
        <w:spacing w:line="360" w:lineRule="auto"/>
        <w:jc w:val="both"/>
      </w:pPr>
    </w:p>
    <w:p w:rsidR="00715782" w:rsidRPr="002554C8" w:rsidRDefault="00A86FBC" w:rsidP="00A560F6">
      <w:pPr>
        <w:spacing w:line="360" w:lineRule="auto"/>
        <w:jc w:val="both"/>
      </w:pPr>
      <w:r w:rsidRPr="002554C8">
        <w:t xml:space="preserve">En este trabajo se presenta la aplicación de la </w:t>
      </w:r>
      <w:proofErr w:type="spellStart"/>
      <w:r w:rsidRPr="002554C8">
        <w:t>RMNc</w:t>
      </w:r>
      <w:proofErr w:type="spellEnd"/>
      <w:r w:rsidR="00DC7FC1" w:rsidRPr="002554C8">
        <w:t xml:space="preserve"> de protones</w:t>
      </w:r>
      <w:r w:rsidRPr="002554C8">
        <w:t xml:space="preserve"> p</w:t>
      </w:r>
      <w:r w:rsidR="00A45F0F" w:rsidRPr="002554C8">
        <w:t xml:space="preserve">ara </w:t>
      </w:r>
      <w:r w:rsidR="005C0D53">
        <w:t>determinar simultáneamente concentraci</w:t>
      </w:r>
      <w:r w:rsidR="007F1685">
        <w:t xml:space="preserve">ones </w:t>
      </w:r>
      <w:r w:rsidR="007F1685" w:rsidRPr="000B0D7F">
        <w:t xml:space="preserve">bajas, en el orden de </w:t>
      </w:r>
      <w:proofErr w:type="spellStart"/>
      <w:r w:rsidR="007F1685" w:rsidRPr="000B0D7F">
        <w:rPr>
          <w:rFonts w:ascii="Symbol" w:hAnsi="Symbol"/>
        </w:rPr>
        <w:t></w:t>
      </w:r>
      <w:r w:rsidR="007F1685" w:rsidRPr="000B0D7F">
        <w:t>moles</w:t>
      </w:r>
      <w:proofErr w:type="spellEnd"/>
      <w:r w:rsidR="007F1685" w:rsidRPr="000B0D7F">
        <w:t>/L,</w:t>
      </w:r>
      <w:r w:rsidR="005C0D53">
        <w:t xml:space="preserve"> de ML, AF y AA</w:t>
      </w:r>
      <w:r w:rsidR="004D628C">
        <w:t xml:space="preserve"> </w:t>
      </w:r>
      <w:r w:rsidR="005C0D53">
        <w:t>en productos líquidos generados en la reacción de oxidación catalítica de metano a ML</w:t>
      </w:r>
      <w:r w:rsidR="00E53616">
        <w:t xml:space="preserve"> en presencia de </w:t>
      </w:r>
      <w:r w:rsidR="004D628C">
        <w:t>H</w:t>
      </w:r>
      <w:r w:rsidR="004D628C" w:rsidRPr="00E53616">
        <w:rPr>
          <w:vertAlign w:val="subscript"/>
        </w:rPr>
        <w:t>2</w:t>
      </w:r>
      <w:r w:rsidR="004D628C">
        <w:t>O</w:t>
      </w:r>
      <w:r w:rsidR="004D628C" w:rsidRPr="00E53616">
        <w:rPr>
          <w:vertAlign w:val="subscript"/>
        </w:rPr>
        <w:t>2</w:t>
      </w:r>
      <w:r w:rsidR="00D2231E">
        <w:t>.</w:t>
      </w:r>
      <w:r w:rsidR="00410A8A">
        <w:t xml:space="preserve"> </w:t>
      </w:r>
      <w:r w:rsidRPr="002554C8">
        <w:t xml:space="preserve">Para la determinación cuantitativa </w:t>
      </w:r>
      <w:r w:rsidR="000A2FAE" w:rsidRPr="002554C8">
        <w:t xml:space="preserve">de </w:t>
      </w:r>
      <w:r w:rsidR="00E53616">
        <w:t xml:space="preserve">estos </w:t>
      </w:r>
      <w:r w:rsidR="00DA0469">
        <w:t>compuestos</w:t>
      </w:r>
      <w:r w:rsidRPr="002554C8">
        <w:t xml:space="preserve"> en </w:t>
      </w:r>
      <w:r w:rsidR="00E53616">
        <w:t>los productos líquidos de reacción</w:t>
      </w:r>
      <w:r w:rsidRPr="002554C8">
        <w:t xml:space="preserve"> se </w:t>
      </w:r>
      <w:r w:rsidR="00E53616">
        <w:t>construyeron</w:t>
      </w:r>
      <w:r w:rsidRPr="002554C8">
        <w:t xml:space="preserve"> curva</w:t>
      </w:r>
      <w:r w:rsidR="00E53616">
        <w:t>s</w:t>
      </w:r>
      <w:r w:rsidRPr="002554C8">
        <w:t xml:space="preserve"> de calibración</w:t>
      </w:r>
      <w:r w:rsidR="00DC7FC1" w:rsidRPr="002554C8">
        <w:t xml:space="preserve"> de</w:t>
      </w:r>
      <w:r w:rsidR="00E53616">
        <w:t xml:space="preserve"> </w:t>
      </w:r>
      <w:r w:rsidR="00DC7FC1" w:rsidRPr="002554C8">
        <w:t>l</w:t>
      </w:r>
      <w:r w:rsidR="00E53616">
        <w:t>os</w:t>
      </w:r>
      <w:r w:rsidR="00DC7FC1" w:rsidRPr="002554C8">
        <w:t xml:space="preserve"> </w:t>
      </w:r>
      <w:proofErr w:type="spellStart"/>
      <w:r w:rsidR="00DC7FC1" w:rsidRPr="002554C8">
        <w:t>analito</w:t>
      </w:r>
      <w:r w:rsidR="00E53616">
        <w:t>s</w:t>
      </w:r>
      <w:proofErr w:type="spellEnd"/>
      <w:r w:rsidR="00DC7FC1" w:rsidRPr="002554C8">
        <w:t xml:space="preserve"> disuelto</w:t>
      </w:r>
      <w:r w:rsidR="00E53616">
        <w:t>s</w:t>
      </w:r>
      <w:r w:rsidR="00DC7FC1" w:rsidRPr="002554C8">
        <w:t xml:space="preserve"> en </w:t>
      </w:r>
      <w:r w:rsidR="00E53616">
        <w:t>la matriz de H</w:t>
      </w:r>
      <w:r w:rsidR="00E53616" w:rsidRPr="00E53616">
        <w:rPr>
          <w:vertAlign w:val="subscript"/>
        </w:rPr>
        <w:t>2</w:t>
      </w:r>
      <w:r w:rsidR="00E53616">
        <w:t>O</w:t>
      </w:r>
      <w:r w:rsidR="00E53616" w:rsidRPr="00E53616">
        <w:rPr>
          <w:vertAlign w:val="subscript"/>
        </w:rPr>
        <w:t>2</w:t>
      </w:r>
      <w:r w:rsidR="00E53616">
        <w:t>/H</w:t>
      </w:r>
      <w:r w:rsidR="00E53616" w:rsidRPr="00E53616">
        <w:rPr>
          <w:vertAlign w:val="subscript"/>
        </w:rPr>
        <w:t>2</w:t>
      </w:r>
      <w:r w:rsidR="00E53616">
        <w:t>O</w:t>
      </w:r>
      <w:r w:rsidR="004D628C">
        <w:t xml:space="preserve"> </w:t>
      </w:r>
      <w:r w:rsidR="00DA0469">
        <w:t xml:space="preserve">que se emplea como medio de reacción. Las curvas de calibración cubren el </w:t>
      </w:r>
      <w:r w:rsidRPr="002554C8">
        <w:t>intervalo de 1</w:t>
      </w:r>
      <w:r w:rsidR="00410A8A">
        <w:t>20-2,450, 1,000-20,000</w:t>
      </w:r>
      <w:r w:rsidRPr="002554C8">
        <w:t xml:space="preserve"> y</w:t>
      </w:r>
      <w:r w:rsidR="00410A8A">
        <w:t xml:space="preserve"> 100-2,000 </w:t>
      </w:r>
      <w:r w:rsidR="00410A8A" w:rsidRPr="00410A8A">
        <w:rPr>
          <w:rFonts w:ascii="Symbol" w:hAnsi="Symbol"/>
        </w:rPr>
        <w:t></w:t>
      </w:r>
      <w:r w:rsidR="00410A8A">
        <w:t>moles</w:t>
      </w:r>
      <w:r w:rsidR="00410A8A" w:rsidRPr="002554C8">
        <w:t>/L</w:t>
      </w:r>
      <w:r w:rsidR="00DA0469">
        <w:t xml:space="preserve"> </w:t>
      </w:r>
      <w:r w:rsidR="00410A8A">
        <w:t>para ML, AF y AA, respectivamente. S</w:t>
      </w:r>
      <w:r w:rsidRPr="002554C8">
        <w:t xml:space="preserve">e empleó </w:t>
      </w:r>
      <w:r w:rsidR="00410A8A">
        <w:t xml:space="preserve">TSP disuelto en </w:t>
      </w:r>
      <w:r w:rsidR="003A3129">
        <w:t xml:space="preserve">agua </w:t>
      </w:r>
      <w:proofErr w:type="spellStart"/>
      <w:r w:rsidR="003A3129">
        <w:t>deuterada</w:t>
      </w:r>
      <w:proofErr w:type="spellEnd"/>
      <w:r w:rsidR="003A3129">
        <w:t xml:space="preserve"> (</w:t>
      </w:r>
      <w:r w:rsidR="00410A8A">
        <w:t>D</w:t>
      </w:r>
      <w:r w:rsidR="00410A8A" w:rsidRPr="00410A8A">
        <w:rPr>
          <w:vertAlign w:val="subscript"/>
        </w:rPr>
        <w:t>2</w:t>
      </w:r>
      <w:r w:rsidR="00410A8A">
        <w:t>O</w:t>
      </w:r>
      <w:r w:rsidR="003A3129">
        <w:t>)</w:t>
      </w:r>
      <w:r w:rsidRPr="002554C8">
        <w:t xml:space="preserve"> como estándar interno</w:t>
      </w:r>
      <w:r w:rsidR="00EF4C5D" w:rsidRPr="002554C8">
        <w:t>.</w:t>
      </w:r>
      <w:r w:rsidR="00DC7FC1" w:rsidRPr="002554C8">
        <w:t xml:space="preserve"> </w:t>
      </w:r>
      <w:r w:rsidR="00B43836">
        <w:t xml:space="preserve">Dada la baja concentración de los </w:t>
      </w:r>
      <w:proofErr w:type="spellStart"/>
      <w:r w:rsidR="00B43836">
        <w:t>analitos</w:t>
      </w:r>
      <w:proofErr w:type="spellEnd"/>
      <w:r w:rsidR="00B43836">
        <w:t xml:space="preserve"> en la matriz acuosa fue necesario realizar los experimentos de detección de </w:t>
      </w:r>
      <w:r w:rsidR="00B43836" w:rsidRPr="00B43836">
        <w:rPr>
          <w:vertAlign w:val="superscript"/>
        </w:rPr>
        <w:t>1</w:t>
      </w:r>
      <w:r w:rsidR="00B43836">
        <w:t xml:space="preserve">H con supresión de la señal de agua para obtener señales fuertes y definidas de </w:t>
      </w:r>
      <w:r w:rsidR="00E224B3">
        <w:t>ellos</w:t>
      </w:r>
      <w:r w:rsidR="00B43836">
        <w:t xml:space="preserve">.  </w:t>
      </w:r>
    </w:p>
    <w:p w:rsidR="00715782" w:rsidRPr="002554C8" w:rsidRDefault="00715782" w:rsidP="00A560F6">
      <w:pPr>
        <w:spacing w:line="360" w:lineRule="auto"/>
        <w:jc w:val="both"/>
      </w:pPr>
    </w:p>
    <w:p w:rsidR="00574BF6" w:rsidRDefault="00106971" w:rsidP="004A2E07">
      <w:pPr>
        <w:spacing w:line="360" w:lineRule="auto"/>
        <w:jc w:val="both"/>
        <w:rPr>
          <w:b/>
        </w:rPr>
      </w:pPr>
      <w:r>
        <w:rPr>
          <w:b/>
        </w:rPr>
        <w:t>2. Metodología</w:t>
      </w:r>
    </w:p>
    <w:p w:rsidR="00BD2D54" w:rsidRDefault="00BD2D54" w:rsidP="00A560F6">
      <w:pPr>
        <w:pStyle w:val="Textoindependiente2"/>
        <w:spacing w:after="0" w:line="360" w:lineRule="auto"/>
        <w:jc w:val="both"/>
      </w:pPr>
      <w:r w:rsidRPr="002554C8">
        <w:t xml:space="preserve">Los experimentos de RMN se efectuaron en un espectrómetro marca </w:t>
      </w:r>
      <w:proofErr w:type="spellStart"/>
      <w:r w:rsidR="00B43836">
        <w:t>Bruker</w:t>
      </w:r>
      <w:proofErr w:type="spellEnd"/>
      <w:r w:rsidRPr="002554C8">
        <w:t xml:space="preserve">, modelo </w:t>
      </w:r>
      <w:r w:rsidR="003A3129">
        <w:t>Avance III HD</w:t>
      </w:r>
      <w:r w:rsidR="00F00899" w:rsidRPr="002554C8">
        <w:t xml:space="preserve">, con un campo magnético de </w:t>
      </w:r>
      <w:r w:rsidR="003A3129">
        <w:t>7.05</w:t>
      </w:r>
      <w:r w:rsidR="00F00899" w:rsidRPr="002554C8">
        <w:t xml:space="preserve"> T,</w:t>
      </w:r>
      <w:r w:rsidR="005F231A" w:rsidRPr="002554C8">
        <w:t xml:space="preserve"> que permite efectuar experimentos pulsados y transformada de Fourier. La detección de </w:t>
      </w:r>
      <w:r w:rsidR="005F231A" w:rsidRPr="002554C8">
        <w:rPr>
          <w:vertAlign w:val="superscript"/>
        </w:rPr>
        <w:t>1</w:t>
      </w:r>
      <w:r w:rsidR="005F231A" w:rsidRPr="002554C8">
        <w:t>H se realizó</w:t>
      </w:r>
      <w:r w:rsidRPr="002554C8">
        <w:t xml:space="preserve"> en la frecuencia de </w:t>
      </w:r>
      <w:r w:rsidR="003A3129">
        <w:t>3</w:t>
      </w:r>
      <w:r w:rsidR="00F00899" w:rsidRPr="002554C8">
        <w:t>00 MHz.</w:t>
      </w:r>
      <w:r w:rsidRPr="002554C8">
        <w:t xml:space="preserve"> Se utilizó</w:t>
      </w:r>
      <w:r w:rsidR="000A154E">
        <w:t xml:space="preserve"> </w:t>
      </w:r>
      <w:r w:rsidR="003A3129">
        <w:t>D</w:t>
      </w:r>
      <w:r w:rsidR="003A3129" w:rsidRPr="00452EA8">
        <w:rPr>
          <w:vertAlign w:val="subscript"/>
        </w:rPr>
        <w:t>2</w:t>
      </w:r>
      <w:r w:rsidR="003A3129">
        <w:t>O como disolvente,</w:t>
      </w:r>
      <w:r w:rsidRPr="002554C8">
        <w:t xml:space="preserve"> en la cantidad mínima necesaria</w:t>
      </w:r>
      <w:r w:rsidR="003A3129">
        <w:t>,</w:t>
      </w:r>
      <w:r w:rsidRPr="002554C8">
        <w:t xml:space="preserve"> para anclar la señal campo/frecuencia. Los espectros se obtuvieron con</w:t>
      </w:r>
      <w:r w:rsidR="00430AB7">
        <w:t xml:space="preserve"> supr</w:t>
      </w:r>
      <w:r w:rsidR="00B5138E">
        <w:t>e</w:t>
      </w:r>
      <w:r w:rsidR="00430AB7">
        <w:t>s</w:t>
      </w:r>
      <w:r w:rsidR="00452EA8">
        <w:t>ión de agua por medio de</w:t>
      </w:r>
      <w:r w:rsidRPr="002554C8">
        <w:t xml:space="preserve"> </w:t>
      </w:r>
      <w:r w:rsidR="00F73BF3">
        <w:t xml:space="preserve">la secuencia de pulsos </w:t>
      </w:r>
      <w:proofErr w:type="spellStart"/>
      <w:r w:rsidR="00F73BF3">
        <w:t>zgesgp</w:t>
      </w:r>
      <w:proofErr w:type="spellEnd"/>
      <w:r w:rsidR="00F73BF3">
        <w:t xml:space="preserve"> de </w:t>
      </w:r>
      <w:proofErr w:type="spellStart"/>
      <w:r w:rsidR="00F73BF3">
        <w:t>Bruker</w:t>
      </w:r>
      <w:proofErr w:type="spellEnd"/>
      <w:r w:rsidR="00F73BF3">
        <w:t xml:space="preserve">; </w:t>
      </w:r>
      <w:r w:rsidRPr="002554C8">
        <w:t xml:space="preserve">ángulo de excitación de </w:t>
      </w:r>
      <w:r w:rsidR="003A3129">
        <w:t>90</w:t>
      </w:r>
      <w:r w:rsidRPr="002554C8">
        <w:rPr>
          <w:vertAlign w:val="superscript"/>
        </w:rPr>
        <w:t>o</w:t>
      </w:r>
      <w:r w:rsidRPr="002554C8">
        <w:t xml:space="preserve">; tiempo de retardo, </w:t>
      </w:r>
      <w:r w:rsidR="00C9506B" w:rsidRPr="002554C8">
        <w:t>1</w:t>
      </w:r>
      <w:r w:rsidRPr="002554C8">
        <w:t xml:space="preserve"> s;</w:t>
      </w:r>
      <w:r w:rsidR="001B5838" w:rsidRPr="002554C8">
        <w:t xml:space="preserve"> tiempo de adquisición de la señal inducida por decaimiento libre, </w:t>
      </w:r>
      <w:r w:rsidR="000A154E">
        <w:t>3.408</w:t>
      </w:r>
      <w:r w:rsidR="001B5838" w:rsidRPr="002554C8">
        <w:t xml:space="preserve"> s;</w:t>
      </w:r>
      <w:r w:rsidRPr="002554C8">
        <w:t xml:space="preserve"> amplitud espectral, </w:t>
      </w:r>
      <w:r w:rsidR="000A154E">
        <w:t>4,800 Hz</w:t>
      </w:r>
      <w:r w:rsidR="00452EA8">
        <w:t xml:space="preserve">; número de </w:t>
      </w:r>
      <w:proofErr w:type="spellStart"/>
      <w:r w:rsidR="00452EA8">
        <w:t>transientes</w:t>
      </w:r>
      <w:proofErr w:type="spellEnd"/>
      <w:r w:rsidR="00452EA8">
        <w:t xml:space="preserve">, </w:t>
      </w:r>
      <w:r w:rsidR="00F73BF3">
        <w:t>400</w:t>
      </w:r>
      <w:r w:rsidRPr="002554C8">
        <w:t>.</w:t>
      </w:r>
      <w:r w:rsidR="00C9506B" w:rsidRPr="002554C8">
        <w:t xml:space="preserve"> </w:t>
      </w:r>
      <w:r w:rsidR="005F231A" w:rsidRPr="002554C8">
        <w:t xml:space="preserve">El tiempo total de adquisición de cada espectro fue de </w:t>
      </w:r>
      <w:r w:rsidR="00F73BF3">
        <w:t>29.95</w:t>
      </w:r>
      <w:r w:rsidR="005F231A" w:rsidRPr="002554C8">
        <w:t xml:space="preserve"> min. </w:t>
      </w:r>
      <w:r w:rsidRPr="002554C8">
        <w:t xml:space="preserve">Se utilizó </w:t>
      </w:r>
      <w:r w:rsidR="003A3129">
        <w:t>TSP</w:t>
      </w:r>
      <w:r w:rsidR="00254ACD" w:rsidRPr="002554C8">
        <w:t xml:space="preserve"> </w:t>
      </w:r>
      <w:r w:rsidRPr="002554C8">
        <w:t xml:space="preserve">como referencia </w:t>
      </w:r>
      <w:r w:rsidR="00DD7C36">
        <w:t xml:space="preserve">del </w:t>
      </w:r>
      <w:r w:rsidRPr="002554C8">
        <w:t>desplazamiento químico</w:t>
      </w:r>
      <w:r w:rsidR="00DD7C36">
        <w:t xml:space="preserve"> (</w:t>
      </w:r>
      <w:r w:rsidR="00DD7C36" w:rsidRPr="00DD7C36">
        <w:rPr>
          <w:rFonts w:ascii="Symbol" w:hAnsi="Symbol"/>
        </w:rPr>
        <w:t></w:t>
      </w:r>
      <w:r w:rsidR="00DD7C36">
        <w:t>)</w:t>
      </w:r>
      <w:r w:rsidR="003A3129">
        <w:t xml:space="preserve"> y como EI </w:t>
      </w:r>
      <w:r w:rsidR="00BC70D3">
        <w:t>en</w:t>
      </w:r>
      <w:r w:rsidR="003A3129">
        <w:t xml:space="preserve"> la determinación</w:t>
      </w:r>
      <w:r w:rsidRPr="002554C8">
        <w:t>. Los experimentos se efectuaron a temperatura ambiente.</w:t>
      </w:r>
      <w:r w:rsidR="00C9506B" w:rsidRPr="002554C8">
        <w:t xml:space="preserve"> </w:t>
      </w:r>
      <w:r w:rsidR="001B5838" w:rsidRPr="002554C8">
        <w:t>Los estándares de calibración y las muestras</w:t>
      </w:r>
      <w:r w:rsidR="009C1660" w:rsidRPr="002554C8">
        <w:t xml:space="preserve">, preparadas en </w:t>
      </w:r>
      <w:r w:rsidR="003A3129">
        <w:t>mezcla de H</w:t>
      </w:r>
      <w:r w:rsidR="003A3129" w:rsidRPr="003A3129">
        <w:rPr>
          <w:vertAlign w:val="subscript"/>
        </w:rPr>
        <w:t>2</w:t>
      </w:r>
      <w:r w:rsidR="003A3129">
        <w:t>O</w:t>
      </w:r>
      <w:r w:rsidR="003A3129" w:rsidRPr="003A3129">
        <w:rPr>
          <w:vertAlign w:val="subscript"/>
        </w:rPr>
        <w:t>2</w:t>
      </w:r>
      <w:r w:rsidR="003A3129">
        <w:t>/H</w:t>
      </w:r>
      <w:r w:rsidR="003A3129" w:rsidRPr="003A3129">
        <w:rPr>
          <w:vertAlign w:val="subscript"/>
        </w:rPr>
        <w:t>2</w:t>
      </w:r>
      <w:r w:rsidR="003A3129">
        <w:t>O</w:t>
      </w:r>
      <w:r w:rsidR="00F73BF3">
        <w:t xml:space="preserve"> 0.55 M</w:t>
      </w:r>
      <w:r w:rsidR="009C1660" w:rsidRPr="002554C8">
        <w:t>,</w:t>
      </w:r>
      <w:r w:rsidR="001B5838" w:rsidRPr="002554C8">
        <w:t xml:space="preserve"> se analizaron como disoluciones</w:t>
      </w:r>
      <w:r w:rsidR="00FC57E7" w:rsidRPr="002554C8">
        <w:t xml:space="preserve"> al </w:t>
      </w:r>
      <w:r w:rsidR="003A3129">
        <w:t>95</w:t>
      </w:r>
      <w:r w:rsidR="00FC57E7" w:rsidRPr="002554C8">
        <w:t xml:space="preserve">% </w:t>
      </w:r>
      <w:proofErr w:type="spellStart"/>
      <w:r w:rsidR="00FC57E7" w:rsidRPr="002554C8">
        <w:t>vol</w:t>
      </w:r>
      <w:proofErr w:type="spellEnd"/>
      <w:r w:rsidR="00FC57E7" w:rsidRPr="002554C8">
        <w:t xml:space="preserve"> en </w:t>
      </w:r>
      <w:r w:rsidR="00F73BF3">
        <w:t>D</w:t>
      </w:r>
      <w:r w:rsidR="003A3129" w:rsidRPr="003A3129">
        <w:rPr>
          <w:vertAlign w:val="subscript"/>
        </w:rPr>
        <w:t>2</w:t>
      </w:r>
      <w:r w:rsidR="003A3129">
        <w:t>O</w:t>
      </w:r>
      <w:r w:rsidR="00D550E6">
        <w:t xml:space="preserve"> contenidas en tubos de vidrio de 5 mm de d</w:t>
      </w:r>
      <w:r w:rsidR="00845126">
        <w:t>i</w:t>
      </w:r>
      <w:r w:rsidR="00D550E6">
        <w:t xml:space="preserve">ámetro </w:t>
      </w:r>
      <w:r w:rsidR="00845126">
        <w:t>ex</w:t>
      </w:r>
      <w:r w:rsidR="00D550E6">
        <w:t>terno</w:t>
      </w:r>
      <w:r w:rsidR="00254ACD" w:rsidRPr="002554C8">
        <w:t xml:space="preserve">. </w:t>
      </w:r>
      <w:r w:rsidR="00417A00" w:rsidRPr="002554C8">
        <w:t>Se obtuvo el espectro de cada una de las disoluciones  que contienen</w:t>
      </w:r>
      <w:r w:rsidR="00845126">
        <w:t xml:space="preserve"> tanto</w:t>
      </w:r>
      <w:r w:rsidR="00417A00" w:rsidRPr="002554C8">
        <w:t xml:space="preserve"> el </w:t>
      </w:r>
      <w:proofErr w:type="spellStart"/>
      <w:r w:rsidR="00417A00" w:rsidRPr="002554C8">
        <w:t>analito</w:t>
      </w:r>
      <w:proofErr w:type="spellEnd"/>
      <w:r w:rsidR="00417A00" w:rsidRPr="002554C8">
        <w:t xml:space="preserve"> </w:t>
      </w:r>
      <w:r w:rsidR="00845126">
        <w:t>como</w:t>
      </w:r>
      <w:r w:rsidR="00417A00" w:rsidRPr="002554C8">
        <w:t xml:space="preserve"> el </w:t>
      </w:r>
      <w:r w:rsidR="003A3129">
        <w:t>EI</w:t>
      </w:r>
      <w:r w:rsidR="00417A00" w:rsidRPr="002554C8">
        <w:t xml:space="preserve"> y se integraron las señales de los protones </w:t>
      </w:r>
      <w:r w:rsidR="000A154E">
        <w:t xml:space="preserve">metílicos del ML, AA y TSP así como </w:t>
      </w:r>
      <w:r w:rsidR="00417A00" w:rsidRPr="002554C8">
        <w:t xml:space="preserve">del </w:t>
      </w:r>
      <w:r w:rsidR="000A154E">
        <w:t xml:space="preserve">protón </w:t>
      </w:r>
      <w:proofErr w:type="spellStart"/>
      <w:r w:rsidR="000A154E">
        <w:t>carbonílico</w:t>
      </w:r>
      <w:proofErr w:type="spellEnd"/>
      <w:r w:rsidR="000A154E">
        <w:t xml:space="preserve"> del AF</w:t>
      </w:r>
      <w:r w:rsidR="00254ACD" w:rsidRPr="002554C8">
        <w:t xml:space="preserve">. </w:t>
      </w:r>
      <w:r w:rsidR="00417A00" w:rsidRPr="002554C8">
        <w:t xml:space="preserve">Los valores obtenidos de la relación de integración entre </w:t>
      </w:r>
      <w:r w:rsidR="000A154E">
        <w:t>la</w:t>
      </w:r>
      <w:r w:rsidR="00417A00" w:rsidRPr="002554C8">
        <w:t xml:space="preserve"> señal</w:t>
      </w:r>
      <w:r w:rsidR="000A154E">
        <w:t xml:space="preserve"> de</w:t>
      </w:r>
      <w:r w:rsidR="002E0D01">
        <w:t xml:space="preserve"> cada</w:t>
      </w:r>
      <w:r w:rsidR="000A154E">
        <w:t xml:space="preserve"> </w:t>
      </w:r>
      <w:proofErr w:type="spellStart"/>
      <w:r w:rsidR="000A154E">
        <w:t>analito</w:t>
      </w:r>
      <w:proofErr w:type="spellEnd"/>
      <w:r w:rsidR="002E0D01">
        <w:t xml:space="preserve"> </w:t>
      </w:r>
      <w:r w:rsidR="000A154E">
        <w:t xml:space="preserve">y </w:t>
      </w:r>
      <w:r w:rsidR="002E0D01">
        <w:t>d</w:t>
      </w:r>
      <w:r w:rsidR="000A154E">
        <w:t>el TSP</w:t>
      </w:r>
      <w:r w:rsidR="00417A00" w:rsidRPr="002554C8">
        <w:t xml:space="preserve"> </w:t>
      </w:r>
      <w:r w:rsidR="002E0D01">
        <w:t>(</w:t>
      </w:r>
      <w:proofErr w:type="spellStart"/>
      <w:r w:rsidR="002E0D01">
        <w:t>I</w:t>
      </w:r>
      <w:r w:rsidR="002E0D01" w:rsidRPr="002E0D01">
        <w:rPr>
          <w:vertAlign w:val="subscript"/>
        </w:rPr>
        <w:t>analito</w:t>
      </w:r>
      <w:proofErr w:type="spellEnd"/>
      <w:r w:rsidR="002E0D01">
        <w:t>/I</w:t>
      </w:r>
      <w:r w:rsidR="002E0D01" w:rsidRPr="002E0D01">
        <w:rPr>
          <w:vertAlign w:val="subscript"/>
        </w:rPr>
        <w:t>TSP</w:t>
      </w:r>
      <w:r w:rsidR="002E0D01">
        <w:t>)</w:t>
      </w:r>
      <w:r w:rsidR="00B5138E">
        <w:t xml:space="preserve"> </w:t>
      </w:r>
      <w:r w:rsidR="00417A00" w:rsidRPr="002554C8">
        <w:t xml:space="preserve">se graficaron en función de la concentración del </w:t>
      </w:r>
      <w:proofErr w:type="spellStart"/>
      <w:r w:rsidR="003A3129">
        <w:t>analito</w:t>
      </w:r>
      <w:proofErr w:type="spellEnd"/>
      <w:r w:rsidR="00417A00" w:rsidRPr="002554C8">
        <w:t xml:space="preserve">, en </w:t>
      </w:r>
      <w:r w:rsidR="00417A00" w:rsidRPr="003A3129">
        <w:rPr>
          <w:rFonts w:ascii="Symbol" w:hAnsi="Symbol"/>
        </w:rPr>
        <w:t></w:t>
      </w:r>
      <w:r w:rsidR="003A3129">
        <w:t>moles</w:t>
      </w:r>
      <w:r w:rsidR="00417A00" w:rsidRPr="002554C8">
        <w:t>/L, para construir la</w:t>
      </w:r>
      <w:r w:rsidR="003A3129">
        <w:t>s</w:t>
      </w:r>
      <w:r w:rsidR="00417A00" w:rsidRPr="002554C8">
        <w:t xml:space="preserve"> curv</w:t>
      </w:r>
      <w:r w:rsidR="003A3129">
        <w:t xml:space="preserve">as </w:t>
      </w:r>
      <w:r w:rsidR="00417A00" w:rsidRPr="002554C8">
        <w:t>de calibración.</w:t>
      </w:r>
      <w:r w:rsidR="00845126">
        <w:t xml:space="preserve"> Los valores de </w:t>
      </w:r>
      <w:proofErr w:type="spellStart"/>
      <w:r w:rsidR="00845126">
        <w:lastRenderedPageBreak/>
        <w:t>I</w:t>
      </w:r>
      <w:r w:rsidR="00845126" w:rsidRPr="002E0D01">
        <w:rPr>
          <w:vertAlign w:val="subscript"/>
        </w:rPr>
        <w:t>analito</w:t>
      </w:r>
      <w:proofErr w:type="spellEnd"/>
      <w:r w:rsidR="00845126">
        <w:t>/I</w:t>
      </w:r>
      <w:r w:rsidR="00845126" w:rsidRPr="002E0D01">
        <w:rPr>
          <w:vertAlign w:val="subscript"/>
        </w:rPr>
        <w:t>TSP</w:t>
      </w:r>
      <w:r w:rsidR="00845126">
        <w:t xml:space="preserve"> se corrigieron con un blanco que consistió en H</w:t>
      </w:r>
      <w:r w:rsidR="00845126" w:rsidRPr="002E0D01">
        <w:rPr>
          <w:vertAlign w:val="subscript"/>
        </w:rPr>
        <w:t>2</w:t>
      </w:r>
      <w:r w:rsidR="00845126">
        <w:t>O</w:t>
      </w:r>
      <w:r w:rsidR="00845126" w:rsidRPr="002E0D01">
        <w:rPr>
          <w:vertAlign w:val="subscript"/>
        </w:rPr>
        <w:t>2</w:t>
      </w:r>
      <w:r w:rsidR="00845126">
        <w:t xml:space="preserve"> 0.55 M en H</w:t>
      </w:r>
      <w:r w:rsidR="00845126" w:rsidRPr="002E0D01">
        <w:rPr>
          <w:vertAlign w:val="subscript"/>
        </w:rPr>
        <w:t>2</w:t>
      </w:r>
      <w:r w:rsidR="00845126">
        <w:t>O libre de los oxigenados de interés.</w:t>
      </w:r>
      <w:r w:rsidR="00417A00" w:rsidRPr="002554C8">
        <w:t xml:space="preserve"> </w:t>
      </w:r>
      <w:r w:rsidR="00845126">
        <w:t>Las curvas de calibración</w:t>
      </w:r>
      <w:r w:rsidR="00417A00" w:rsidRPr="002554C8">
        <w:t xml:space="preserve"> se estableci</w:t>
      </w:r>
      <w:r w:rsidR="000A154E">
        <w:t>eron</w:t>
      </w:r>
      <w:r w:rsidR="00417A00" w:rsidRPr="002554C8">
        <w:t xml:space="preserve"> mediante el método de </w:t>
      </w:r>
      <w:r w:rsidR="00202F2C" w:rsidRPr="002554C8">
        <w:t>m</w:t>
      </w:r>
      <w:r w:rsidR="00417A00" w:rsidRPr="002554C8">
        <w:t>ínimos cuadrados. El análisis de las muestras se efectuó después de incorporar en ellas la cantidad apropiada del estándar interno.</w:t>
      </w:r>
    </w:p>
    <w:p w:rsidR="00D25F11" w:rsidRPr="002554C8" w:rsidRDefault="00D25F11" w:rsidP="00A560F6">
      <w:pPr>
        <w:pStyle w:val="Textoindependiente2"/>
        <w:spacing w:after="0" w:line="360" w:lineRule="auto"/>
        <w:jc w:val="both"/>
      </w:pPr>
    </w:p>
    <w:p w:rsidR="00574BF6" w:rsidRDefault="00574BF6" w:rsidP="00A560F6">
      <w:pPr>
        <w:pStyle w:val="Textoindependiente2"/>
        <w:spacing w:after="0" w:line="360" w:lineRule="auto"/>
        <w:jc w:val="both"/>
      </w:pPr>
      <w:r>
        <w:rPr>
          <w:b/>
        </w:rPr>
        <w:t xml:space="preserve">3. </w:t>
      </w:r>
      <w:r w:rsidR="00D5786C" w:rsidRPr="002554C8">
        <w:rPr>
          <w:b/>
        </w:rPr>
        <w:t xml:space="preserve">Resultados y </w:t>
      </w:r>
      <w:r w:rsidR="00106971">
        <w:rPr>
          <w:b/>
        </w:rPr>
        <w:t>Discusión</w:t>
      </w:r>
      <w:r w:rsidR="00083AD3" w:rsidRPr="002554C8">
        <w:t xml:space="preserve"> </w:t>
      </w:r>
    </w:p>
    <w:p w:rsidR="005470D0" w:rsidRDefault="005470D0" w:rsidP="00A560F6">
      <w:pPr>
        <w:pStyle w:val="Textoindependiente2"/>
        <w:spacing w:after="0" w:line="360" w:lineRule="auto"/>
        <w:jc w:val="both"/>
      </w:pPr>
      <w:r>
        <w:t>La estructura química</w:t>
      </w:r>
      <w:r w:rsidR="009F4D34">
        <w:t xml:space="preserve"> del alcohol y de los ácidos</w:t>
      </w:r>
      <w:r>
        <w:t xml:space="preserve"> de interés </w:t>
      </w:r>
      <w:r w:rsidR="009F4D34">
        <w:t xml:space="preserve">así como del </w:t>
      </w:r>
      <w:r>
        <w:t>estándar interno que</w:t>
      </w:r>
      <w:r w:rsidR="00487A5C">
        <w:t xml:space="preserve"> </w:t>
      </w:r>
      <w:r>
        <w:t>se empleó en la determinación se encuentra en la Figura 1.</w:t>
      </w:r>
    </w:p>
    <w:p w:rsidR="0040681C" w:rsidRDefault="0040681C" w:rsidP="00A560F6">
      <w:pPr>
        <w:spacing w:line="360" w:lineRule="auto"/>
        <w:jc w:val="both"/>
      </w:pPr>
    </w:p>
    <w:p w:rsidR="005470D0" w:rsidRDefault="005470D0" w:rsidP="00A560F6">
      <w:pPr>
        <w:spacing w:line="360" w:lineRule="auto"/>
        <w:jc w:val="both"/>
        <w:rPr>
          <w:sz w:val="28"/>
          <w:szCs w:val="28"/>
        </w:rPr>
      </w:pPr>
      <w:r>
        <w:t xml:space="preserve">                   C</w:t>
      </w:r>
      <w:r w:rsidRPr="00E16C0C">
        <w:rPr>
          <w:u w:val="single"/>
        </w:rPr>
        <w:t>H</w:t>
      </w:r>
      <w:r w:rsidRPr="00E16C0C">
        <w:rPr>
          <w:sz w:val="28"/>
          <w:szCs w:val="28"/>
          <w:u w:val="single"/>
          <w:vertAlign w:val="subscript"/>
        </w:rPr>
        <w:t>3</w:t>
      </w:r>
      <w:r>
        <w:t xml:space="preserve">OH         </w:t>
      </w:r>
      <w:r w:rsidRPr="00E16C0C">
        <w:rPr>
          <w:u w:val="single"/>
        </w:rPr>
        <w:t>H</w:t>
      </w:r>
      <w:r>
        <w:t>COOH        C</w:t>
      </w:r>
      <w:r w:rsidRPr="00E16C0C">
        <w:rPr>
          <w:u w:val="single"/>
        </w:rPr>
        <w:t>H</w:t>
      </w:r>
      <w:r w:rsidRPr="00E16C0C">
        <w:rPr>
          <w:sz w:val="28"/>
          <w:szCs w:val="28"/>
          <w:u w:val="single"/>
          <w:vertAlign w:val="subscript"/>
        </w:rPr>
        <w:t>3</w:t>
      </w:r>
      <w:r>
        <w:t>COOH          (C</w:t>
      </w:r>
      <w:r w:rsidRPr="00E16C0C">
        <w:rPr>
          <w:u w:val="single"/>
        </w:rPr>
        <w:t>H</w:t>
      </w:r>
      <w:r w:rsidRPr="00E16C0C">
        <w:rPr>
          <w:sz w:val="28"/>
          <w:szCs w:val="28"/>
          <w:u w:val="single"/>
          <w:vertAlign w:val="subscript"/>
        </w:rPr>
        <w:t>3</w:t>
      </w:r>
      <w:r>
        <w:t>)</w:t>
      </w:r>
      <w:r w:rsidRPr="000E4FE4">
        <w:rPr>
          <w:sz w:val="28"/>
          <w:szCs w:val="28"/>
          <w:vertAlign w:val="subscript"/>
        </w:rPr>
        <w:t>3</w:t>
      </w:r>
      <w:r>
        <w:t>SiCD</w:t>
      </w:r>
      <w:r w:rsidRPr="00E16C0C">
        <w:rPr>
          <w:sz w:val="28"/>
          <w:szCs w:val="28"/>
          <w:vertAlign w:val="subscript"/>
        </w:rPr>
        <w:t>2</w:t>
      </w:r>
      <w:r>
        <w:t>CD</w:t>
      </w:r>
      <w:r w:rsidRPr="00E16C0C">
        <w:rPr>
          <w:sz w:val="28"/>
          <w:szCs w:val="28"/>
          <w:vertAlign w:val="subscript"/>
        </w:rPr>
        <w:t>2</w:t>
      </w:r>
      <w:r>
        <w:t>COO</w:t>
      </w:r>
      <w:r w:rsidRPr="00E16C0C">
        <w:rPr>
          <w:sz w:val="28"/>
          <w:szCs w:val="28"/>
          <w:vertAlign w:val="superscript"/>
        </w:rPr>
        <w:t>-</w:t>
      </w:r>
      <w:r>
        <w:rPr>
          <w:sz w:val="28"/>
          <w:szCs w:val="28"/>
          <w:vertAlign w:val="superscript"/>
        </w:rPr>
        <w:t xml:space="preserve"> </w:t>
      </w:r>
      <w:proofErr w:type="spellStart"/>
      <w:r>
        <w:t>Na</w:t>
      </w:r>
      <w:proofErr w:type="spellEnd"/>
      <w:r w:rsidRPr="005470D0">
        <w:rPr>
          <w:sz w:val="28"/>
          <w:szCs w:val="28"/>
          <w:vertAlign w:val="superscript"/>
        </w:rPr>
        <w:t>+</w:t>
      </w:r>
    </w:p>
    <w:p w:rsidR="005470D0" w:rsidRPr="00E16C0C" w:rsidRDefault="005470D0" w:rsidP="00A560F6">
      <w:pPr>
        <w:pStyle w:val="Prrafodelista"/>
        <w:numPr>
          <w:ilvl w:val="0"/>
          <w:numId w:val="4"/>
        </w:numPr>
        <w:spacing w:line="360" w:lineRule="auto"/>
        <w:jc w:val="both"/>
        <w:rPr>
          <w:i/>
        </w:rPr>
      </w:pPr>
      <w:r w:rsidRPr="004B0390">
        <w:rPr>
          <w:sz w:val="20"/>
          <w:szCs w:val="20"/>
        </w:rPr>
        <w:t xml:space="preserve">                </w:t>
      </w:r>
      <w:r w:rsidRPr="004B0390">
        <w:rPr>
          <w:i/>
          <w:sz w:val="20"/>
          <w:szCs w:val="20"/>
        </w:rPr>
        <w:t>(b)                     (c)                                        (d</w:t>
      </w:r>
      <w:r w:rsidRPr="00E16C0C">
        <w:rPr>
          <w:i/>
        </w:rPr>
        <w:t>)</w:t>
      </w:r>
    </w:p>
    <w:p w:rsidR="005470D0" w:rsidRPr="00AA026B" w:rsidRDefault="005470D0" w:rsidP="00A560F6">
      <w:pPr>
        <w:pStyle w:val="Textoindependiente2"/>
        <w:spacing w:after="0" w:line="360" w:lineRule="auto"/>
        <w:jc w:val="both"/>
        <w:rPr>
          <w:sz w:val="20"/>
          <w:szCs w:val="20"/>
        </w:rPr>
      </w:pPr>
      <w:r w:rsidRPr="00AA026B">
        <w:rPr>
          <w:sz w:val="20"/>
          <w:szCs w:val="20"/>
        </w:rPr>
        <w:t>Figura 1. Estructura química de ML (</w:t>
      </w:r>
      <w:r w:rsidRPr="00AA026B">
        <w:rPr>
          <w:i/>
          <w:sz w:val="20"/>
          <w:szCs w:val="20"/>
        </w:rPr>
        <w:t>a</w:t>
      </w:r>
      <w:r w:rsidRPr="00AA026B">
        <w:rPr>
          <w:sz w:val="20"/>
          <w:szCs w:val="20"/>
        </w:rPr>
        <w:t>), AF (</w:t>
      </w:r>
      <w:r w:rsidRPr="00AA026B">
        <w:rPr>
          <w:i/>
          <w:sz w:val="20"/>
          <w:szCs w:val="20"/>
        </w:rPr>
        <w:t>b</w:t>
      </w:r>
      <w:r w:rsidRPr="00AA026B">
        <w:rPr>
          <w:sz w:val="20"/>
          <w:szCs w:val="20"/>
        </w:rPr>
        <w:t>), AA (</w:t>
      </w:r>
      <w:r w:rsidRPr="00AA026B">
        <w:rPr>
          <w:i/>
          <w:sz w:val="20"/>
          <w:szCs w:val="20"/>
        </w:rPr>
        <w:t>c</w:t>
      </w:r>
      <w:r w:rsidRPr="00AA026B">
        <w:rPr>
          <w:sz w:val="20"/>
          <w:szCs w:val="20"/>
        </w:rPr>
        <w:t>) y TSP (</w:t>
      </w:r>
      <w:r w:rsidRPr="00AA026B">
        <w:rPr>
          <w:i/>
          <w:sz w:val="20"/>
          <w:szCs w:val="20"/>
        </w:rPr>
        <w:t>d</w:t>
      </w:r>
      <w:r w:rsidRPr="00AA026B">
        <w:rPr>
          <w:sz w:val="20"/>
          <w:szCs w:val="20"/>
        </w:rPr>
        <w:t>). Las señales de los protones que se encuentran subrayados son l</w:t>
      </w:r>
      <w:r w:rsidR="0058584D" w:rsidRPr="00AA026B">
        <w:rPr>
          <w:sz w:val="20"/>
          <w:szCs w:val="20"/>
        </w:rPr>
        <w:t>a</w:t>
      </w:r>
      <w:r w:rsidRPr="00AA026B">
        <w:rPr>
          <w:sz w:val="20"/>
          <w:szCs w:val="20"/>
        </w:rPr>
        <w:t>s que se emplea</w:t>
      </w:r>
      <w:r w:rsidR="009F4D34">
        <w:rPr>
          <w:sz w:val="20"/>
          <w:szCs w:val="20"/>
        </w:rPr>
        <w:t>ron</w:t>
      </w:r>
      <w:r w:rsidRPr="00AA026B">
        <w:rPr>
          <w:sz w:val="20"/>
          <w:szCs w:val="20"/>
        </w:rPr>
        <w:t xml:space="preserve"> en la determinación</w:t>
      </w:r>
      <w:r w:rsidR="0058584D" w:rsidRPr="00AA026B">
        <w:rPr>
          <w:sz w:val="20"/>
          <w:szCs w:val="20"/>
        </w:rPr>
        <w:t>.</w:t>
      </w:r>
    </w:p>
    <w:p w:rsidR="00A560F6" w:rsidRDefault="00A560F6" w:rsidP="00A560F6">
      <w:pPr>
        <w:pStyle w:val="Textoindependiente2"/>
        <w:spacing w:after="0" w:line="360" w:lineRule="auto"/>
        <w:jc w:val="both"/>
      </w:pPr>
    </w:p>
    <w:p w:rsidR="005F6813" w:rsidRDefault="002A5043" w:rsidP="00A560F6">
      <w:pPr>
        <w:pStyle w:val="Textoindependiente2"/>
        <w:spacing w:after="0" w:line="360" w:lineRule="auto"/>
        <w:jc w:val="both"/>
      </w:pPr>
      <w:r>
        <w:t xml:space="preserve">En la Figura </w:t>
      </w:r>
      <w:r w:rsidR="00611CEC">
        <w:t>2</w:t>
      </w:r>
      <w:r>
        <w:t xml:space="preserve"> se muestra </w:t>
      </w:r>
      <w:r w:rsidR="00611CEC">
        <w:t>el espectro de RMN</w:t>
      </w:r>
      <w:r>
        <w:t xml:space="preserve"> </w:t>
      </w:r>
      <w:r w:rsidRPr="002A5043">
        <w:rPr>
          <w:vertAlign w:val="superscript"/>
        </w:rPr>
        <w:t>1</w:t>
      </w:r>
      <w:r>
        <w:t xml:space="preserve">H de una mezcla de </w:t>
      </w:r>
      <w:r w:rsidR="009228B9">
        <w:t>ML, AF y AA</w:t>
      </w:r>
      <w:r>
        <w:t xml:space="preserve"> </w:t>
      </w:r>
      <w:r w:rsidR="00465DE7">
        <w:t xml:space="preserve">disuelta </w:t>
      </w:r>
      <w:r>
        <w:t xml:space="preserve">en </w:t>
      </w:r>
      <w:r w:rsidR="009D2FB0">
        <w:t>peróxido de hidrógeno acuoso</w:t>
      </w:r>
      <w:r w:rsidR="009228B9">
        <w:t xml:space="preserve"> 0.55 M. La concentración del primero es de 1,200 </w:t>
      </w:r>
      <w:r w:rsidR="009228B9" w:rsidRPr="00465DE7">
        <w:rPr>
          <w:rFonts w:ascii="Symbol" w:hAnsi="Symbol"/>
        </w:rPr>
        <w:t></w:t>
      </w:r>
      <w:r w:rsidR="009228B9">
        <w:t xml:space="preserve">moles/L; la del segundo de 10,000 </w:t>
      </w:r>
      <w:r w:rsidR="00611CEC" w:rsidRPr="00611CEC">
        <w:rPr>
          <w:rFonts w:ascii="Symbol" w:hAnsi="Symbol"/>
        </w:rPr>
        <w:t></w:t>
      </w:r>
      <w:r w:rsidR="00611CEC">
        <w:t>moles/L</w:t>
      </w:r>
      <w:r w:rsidR="009228B9">
        <w:t xml:space="preserve"> y la del tercero, de </w:t>
      </w:r>
      <w:r w:rsidR="00465DE7">
        <w:t xml:space="preserve">1,000 </w:t>
      </w:r>
      <w:r w:rsidR="00465DE7" w:rsidRPr="00465DE7">
        <w:rPr>
          <w:rFonts w:ascii="Symbol" w:hAnsi="Symbol"/>
        </w:rPr>
        <w:t></w:t>
      </w:r>
      <w:r w:rsidR="00465DE7">
        <w:t>moles/L</w:t>
      </w:r>
      <w:r w:rsidR="0040681C">
        <w:t xml:space="preserve">. </w:t>
      </w:r>
      <w:r w:rsidR="00465DE7">
        <w:t xml:space="preserve">En estas concentraciones </w:t>
      </w:r>
      <w:r w:rsidR="006D2E14">
        <w:t>la</w:t>
      </w:r>
      <w:r w:rsidR="0040681C">
        <w:t>s</w:t>
      </w:r>
      <w:r w:rsidR="006D2E14">
        <w:t xml:space="preserve"> señal</w:t>
      </w:r>
      <w:r w:rsidR="0040681C">
        <w:t>es</w:t>
      </w:r>
      <w:r w:rsidR="006D2E14">
        <w:t xml:space="preserve"> </w:t>
      </w:r>
      <w:r w:rsidR="0040681C">
        <w:t xml:space="preserve">de interés </w:t>
      </w:r>
      <w:r w:rsidR="006D2E14">
        <w:t xml:space="preserve">de </w:t>
      </w:r>
      <w:r w:rsidR="00465DE7">
        <w:t xml:space="preserve">los </w:t>
      </w:r>
      <w:proofErr w:type="spellStart"/>
      <w:r w:rsidR="00465DE7">
        <w:t>analitos</w:t>
      </w:r>
      <w:proofErr w:type="spellEnd"/>
      <w:r>
        <w:t xml:space="preserve"> </w:t>
      </w:r>
      <w:r w:rsidR="0040681C">
        <w:t>son</w:t>
      </w:r>
      <w:r w:rsidR="006D2E14">
        <w:t xml:space="preserve"> definida</w:t>
      </w:r>
      <w:r w:rsidR="0040681C">
        <w:t>s</w:t>
      </w:r>
      <w:r w:rsidR="006D2E14">
        <w:t xml:space="preserve"> e intensa</w:t>
      </w:r>
      <w:r w:rsidR="0040681C">
        <w:t>s</w:t>
      </w:r>
      <w:r w:rsidR="00345CEF">
        <w:t xml:space="preserve">; </w:t>
      </w:r>
      <w:r w:rsidR="006D2E14">
        <w:t>se encuentran separadas</w:t>
      </w:r>
      <w:r w:rsidR="00465DE7">
        <w:t xml:space="preserve"> entre sí y </w:t>
      </w:r>
      <w:r w:rsidR="006D2E14">
        <w:t xml:space="preserve">de la señal </w:t>
      </w:r>
      <w:r w:rsidR="00465DE7">
        <w:t>residual del agua</w:t>
      </w:r>
      <w:r w:rsidR="006D2E14">
        <w:t>.</w:t>
      </w:r>
      <w:r w:rsidR="002340ED">
        <w:t xml:space="preserve"> </w:t>
      </w:r>
      <w:r w:rsidR="00726DC8">
        <w:t>P</w:t>
      </w:r>
      <w:r w:rsidR="002340ED">
        <w:t xml:space="preserve">or otra parte, se observa que con este experimento </w:t>
      </w:r>
      <w:r w:rsidR="00D37D5A">
        <w:t xml:space="preserve">se </w:t>
      </w:r>
      <w:r w:rsidR="00465DE7">
        <w:t>obtienen</w:t>
      </w:r>
      <w:r w:rsidR="00D37D5A">
        <w:t xml:space="preserve"> </w:t>
      </w:r>
      <w:r w:rsidR="002340ED">
        <w:t xml:space="preserve">señales </w:t>
      </w:r>
      <w:r w:rsidR="00465DE7">
        <w:t xml:space="preserve">simétricas y </w:t>
      </w:r>
      <w:r w:rsidR="00307371">
        <w:t xml:space="preserve">espectros con </w:t>
      </w:r>
      <w:r w:rsidR="00465DE7">
        <w:t>línea base apropiada</w:t>
      </w:r>
      <w:r w:rsidR="00307371">
        <w:t>; esto</w:t>
      </w:r>
      <w:r w:rsidR="00465DE7">
        <w:t xml:space="preserve"> </w:t>
      </w:r>
      <w:r w:rsidR="00307371">
        <w:t>permite integrar de manera confiable las señales y tener</w:t>
      </w:r>
      <w:r w:rsidR="002340ED">
        <w:t xml:space="preserve"> </w:t>
      </w:r>
      <w:r w:rsidR="00307371">
        <w:t>integraciones</w:t>
      </w:r>
      <w:r w:rsidR="00726DC8">
        <w:t xml:space="preserve"> </w:t>
      </w:r>
      <w:r w:rsidR="00307371">
        <w:t>de utilidad</w:t>
      </w:r>
      <w:r w:rsidR="002340ED">
        <w:t xml:space="preserve"> para su uso en análisis cuantitativo.</w:t>
      </w:r>
      <w:r w:rsidR="00AB44F5" w:rsidRPr="00AB44F5">
        <w:t xml:space="preserve"> </w:t>
      </w:r>
      <w:r w:rsidR="00AB44F5" w:rsidRPr="002554C8">
        <w:t>Est</w:t>
      </w:r>
      <w:r w:rsidR="00AB44F5">
        <w:t>os</w:t>
      </w:r>
      <w:r w:rsidR="00AB44F5" w:rsidRPr="002554C8">
        <w:t xml:space="preserve"> hecho</w:t>
      </w:r>
      <w:r w:rsidR="00AB44F5">
        <w:t>s</w:t>
      </w:r>
      <w:r w:rsidR="00AB44F5" w:rsidRPr="002554C8">
        <w:t xml:space="preserve"> se aprovech</w:t>
      </w:r>
      <w:r w:rsidR="00AB44F5">
        <w:t>aron</w:t>
      </w:r>
      <w:r w:rsidR="00AB44F5" w:rsidRPr="002554C8">
        <w:t xml:space="preserve"> para el desarrollo del método. </w:t>
      </w:r>
      <w:r w:rsidR="002340ED">
        <w:t>La señal que se encuentra en 0 ppm es la de los metilos del TSP</w:t>
      </w:r>
      <w:r w:rsidR="00D37D5A">
        <w:t>;</w:t>
      </w:r>
      <w:r w:rsidR="002340ED">
        <w:t xml:space="preserve"> </w:t>
      </w:r>
      <w:r w:rsidR="00D37D5A">
        <w:t>este compuesto se adicionó a los estándares de calibración y a las muestras para que</w:t>
      </w:r>
      <w:r w:rsidR="00AB44F5">
        <w:t xml:space="preserve"> actuara</w:t>
      </w:r>
      <w:r w:rsidR="00465DE7">
        <w:t xml:space="preserve">, </w:t>
      </w:r>
      <w:r w:rsidR="00D37D5A">
        <w:t>por una parte como referencia en</w:t>
      </w:r>
      <w:r w:rsidR="002340ED">
        <w:t xml:space="preserve"> la escala de </w:t>
      </w:r>
      <w:r w:rsidR="002340ED" w:rsidRPr="000B211D">
        <w:t>desplazamiento químico</w:t>
      </w:r>
      <w:r w:rsidR="002340ED">
        <w:t xml:space="preserve"> </w:t>
      </w:r>
      <w:r w:rsidR="00D37D5A">
        <w:t>y, por otra, como monitor en la variación de</w:t>
      </w:r>
      <w:r w:rsidR="00AB44F5">
        <w:t xml:space="preserve"> la integración de</w:t>
      </w:r>
      <w:r w:rsidR="00D37D5A">
        <w:t xml:space="preserve"> las señales de </w:t>
      </w:r>
      <w:r w:rsidR="007D32D5">
        <w:t>los oxigenados</w:t>
      </w:r>
      <w:r w:rsidR="00AB44F5">
        <w:t>.</w:t>
      </w:r>
    </w:p>
    <w:p w:rsidR="0057002A" w:rsidRDefault="0057002A" w:rsidP="00A560F6">
      <w:pPr>
        <w:pStyle w:val="Textoindependiente2"/>
        <w:spacing w:after="0" w:line="360" w:lineRule="auto"/>
        <w:jc w:val="both"/>
      </w:pPr>
    </w:p>
    <w:p w:rsidR="0057002A" w:rsidRDefault="0057002A" w:rsidP="0057002A">
      <w:pPr>
        <w:pStyle w:val="Textoindependiente2"/>
        <w:spacing w:after="0" w:line="360" w:lineRule="auto"/>
        <w:jc w:val="both"/>
      </w:pPr>
      <w:r w:rsidRPr="002554C8">
        <w:t>La</w:t>
      </w:r>
      <w:r>
        <w:t>s</w:t>
      </w:r>
      <w:r w:rsidRPr="002554C8">
        <w:t xml:space="preserve"> curva</w:t>
      </w:r>
      <w:r>
        <w:t>s</w:t>
      </w:r>
      <w:r w:rsidRPr="002554C8">
        <w:t xml:space="preserve"> de calibración se </w:t>
      </w:r>
      <w:r>
        <w:t>construyeron</w:t>
      </w:r>
      <w:r w:rsidRPr="002554C8">
        <w:t xml:space="preserve"> al graficar los valores experimentales de la relación </w:t>
      </w:r>
      <w:proofErr w:type="spellStart"/>
      <w:r>
        <w:t>I</w:t>
      </w:r>
      <w:r w:rsidRPr="002E0D01">
        <w:rPr>
          <w:vertAlign w:val="subscript"/>
        </w:rPr>
        <w:t>analito</w:t>
      </w:r>
      <w:proofErr w:type="spellEnd"/>
      <w:r>
        <w:t>/I</w:t>
      </w:r>
      <w:r w:rsidRPr="002E0D01">
        <w:rPr>
          <w:vertAlign w:val="subscript"/>
        </w:rPr>
        <w:t>TSP</w:t>
      </w:r>
      <w:r w:rsidRPr="002554C8">
        <w:t xml:space="preserve"> en función de la concentración del </w:t>
      </w:r>
      <w:proofErr w:type="spellStart"/>
      <w:r>
        <w:t>analito</w:t>
      </w:r>
      <w:proofErr w:type="spellEnd"/>
      <w:r w:rsidRPr="002554C8">
        <w:t xml:space="preserve">. </w:t>
      </w:r>
      <w:r>
        <w:t>Curvas de calibración típicas de los orgánicos oxigenados obtenidas con el método analítico desarrollado se encuentran en la Figura 3.</w:t>
      </w:r>
    </w:p>
    <w:p w:rsidR="006B4EAA" w:rsidRDefault="006B4EAA" w:rsidP="00A560F6">
      <w:pPr>
        <w:pStyle w:val="Textoindependiente2"/>
        <w:spacing w:after="0" w:line="360" w:lineRule="auto"/>
        <w:jc w:val="both"/>
      </w:pPr>
    </w:p>
    <w:p w:rsidR="006D2E14" w:rsidRDefault="00514D49" w:rsidP="00A560F6">
      <w:pPr>
        <w:pStyle w:val="Textoindependiente2"/>
        <w:spacing w:after="0" w:line="360" w:lineRule="auto"/>
        <w:jc w:val="both"/>
      </w:pPr>
      <w:r>
        <w:lastRenderedPageBreak/>
        <w:t xml:space="preserve">   </w:t>
      </w:r>
      <w:r w:rsidR="009B78A7">
        <w:t xml:space="preserve">  </w:t>
      </w:r>
      <w:r>
        <w:t xml:space="preserve"> </w:t>
      </w:r>
      <w:r>
        <w:rPr>
          <w:noProof/>
          <w:lang w:val="es-MX" w:eastAsia="es-MX"/>
        </w:rPr>
        <w:drawing>
          <wp:inline distT="0" distB="0" distL="0" distR="0" wp14:anchorId="7C60FBE6">
            <wp:extent cx="5492750" cy="3462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750" cy="3462655"/>
                    </a:xfrm>
                    <a:prstGeom prst="rect">
                      <a:avLst/>
                    </a:prstGeom>
                    <a:noFill/>
                  </pic:spPr>
                </pic:pic>
              </a:graphicData>
            </a:graphic>
          </wp:inline>
        </w:drawing>
      </w:r>
    </w:p>
    <w:p w:rsidR="00514D49" w:rsidRDefault="00514D49" w:rsidP="00486879">
      <w:pPr>
        <w:pStyle w:val="Textoindependiente2"/>
        <w:spacing w:after="0" w:line="240" w:lineRule="auto"/>
        <w:jc w:val="both"/>
        <w:rPr>
          <w:sz w:val="20"/>
          <w:szCs w:val="20"/>
        </w:rPr>
      </w:pPr>
      <w:r w:rsidRPr="000E0DAB">
        <w:rPr>
          <w:sz w:val="20"/>
          <w:szCs w:val="20"/>
        </w:rPr>
        <w:t xml:space="preserve">Figura 2. Espectro de RMN </w:t>
      </w:r>
      <w:r w:rsidRPr="007C27C7">
        <w:rPr>
          <w:sz w:val="20"/>
          <w:szCs w:val="20"/>
          <w:vertAlign w:val="superscript"/>
        </w:rPr>
        <w:t>1</w:t>
      </w:r>
      <w:r w:rsidRPr="000E0DAB">
        <w:rPr>
          <w:sz w:val="20"/>
          <w:szCs w:val="20"/>
        </w:rPr>
        <w:t>H de una mezcla de AF, ML y AA,</w:t>
      </w:r>
      <w:r w:rsidR="009B78A7">
        <w:rPr>
          <w:sz w:val="20"/>
          <w:szCs w:val="20"/>
        </w:rPr>
        <w:t xml:space="preserve"> </w:t>
      </w:r>
      <w:r w:rsidRPr="000E0DAB">
        <w:rPr>
          <w:sz w:val="20"/>
          <w:szCs w:val="20"/>
        </w:rPr>
        <w:t xml:space="preserve">a nivel de </w:t>
      </w:r>
      <w:r w:rsidR="00486879" w:rsidRPr="00486879">
        <w:rPr>
          <w:rFonts w:ascii="Symbol" w:hAnsi="Symbol"/>
          <w:sz w:val="20"/>
          <w:szCs w:val="20"/>
        </w:rPr>
        <w:t></w:t>
      </w:r>
      <w:r w:rsidRPr="000E0DAB">
        <w:rPr>
          <w:sz w:val="20"/>
          <w:szCs w:val="20"/>
        </w:rPr>
        <w:t xml:space="preserve">moles/L, en </w:t>
      </w:r>
      <w:r w:rsidR="00F479C4">
        <w:rPr>
          <w:sz w:val="20"/>
          <w:szCs w:val="20"/>
        </w:rPr>
        <w:t>H</w:t>
      </w:r>
      <w:r w:rsidR="00F479C4" w:rsidRPr="00F479C4">
        <w:rPr>
          <w:sz w:val="20"/>
          <w:szCs w:val="20"/>
          <w:vertAlign w:val="subscript"/>
        </w:rPr>
        <w:t>2</w:t>
      </w:r>
      <w:r w:rsidR="00F479C4">
        <w:rPr>
          <w:sz w:val="20"/>
          <w:szCs w:val="20"/>
        </w:rPr>
        <w:t>O</w:t>
      </w:r>
      <w:r w:rsidR="00F479C4" w:rsidRPr="00F479C4">
        <w:rPr>
          <w:sz w:val="20"/>
          <w:szCs w:val="20"/>
          <w:vertAlign w:val="subscript"/>
        </w:rPr>
        <w:t>2</w:t>
      </w:r>
      <w:r w:rsidRPr="000E0DAB">
        <w:rPr>
          <w:sz w:val="20"/>
          <w:szCs w:val="20"/>
        </w:rPr>
        <w:t xml:space="preserve"> acuoso 0.55 M</w:t>
      </w:r>
      <w:r w:rsidR="00F479C4">
        <w:rPr>
          <w:sz w:val="20"/>
          <w:szCs w:val="20"/>
        </w:rPr>
        <w:t xml:space="preserve"> obtenido con el experimento de supresión d</w:t>
      </w:r>
      <w:r w:rsidR="009B301D">
        <w:rPr>
          <w:sz w:val="20"/>
          <w:szCs w:val="20"/>
        </w:rPr>
        <w:t>e</w:t>
      </w:r>
      <w:r w:rsidR="00F479C4">
        <w:rPr>
          <w:sz w:val="20"/>
          <w:szCs w:val="20"/>
        </w:rPr>
        <w:t xml:space="preserve"> agua </w:t>
      </w:r>
      <w:proofErr w:type="spellStart"/>
      <w:r w:rsidR="00F479C4">
        <w:rPr>
          <w:sz w:val="20"/>
          <w:szCs w:val="20"/>
        </w:rPr>
        <w:t>zg</w:t>
      </w:r>
      <w:r w:rsidR="009B301D">
        <w:rPr>
          <w:sz w:val="20"/>
          <w:szCs w:val="20"/>
        </w:rPr>
        <w:t>esgp</w:t>
      </w:r>
      <w:proofErr w:type="spellEnd"/>
      <w:r w:rsidR="00F479C4">
        <w:rPr>
          <w:sz w:val="20"/>
          <w:szCs w:val="20"/>
        </w:rPr>
        <w:t xml:space="preserve"> de </w:t>
      </w:r>
      <w:proofErr w:type="spellStart"/>
      <w:r w:rsidR="00F479C4">
        <w:rPr>
          <w:sz w:val="20"/>
          <w:szCs w:val="20"/>
        </w:rPr>
        <w:t>Bruker</w:t>
      </w:r>
      <w:proofErr w:type="spellEnd"/>
      <w:r w:rsidRPr="000E0DAB">
        <w:rPr>
          <w:sz w:val="20"/>
          <w:szCs w:val="20"/>
        </w:rPr>
        <w:t xml:space="preserve">. El protón </w:t>
      </w:r>
      <w:proofErr w:type="spellStart"/>
      <w:r w:rsidRPr="000E0DAB">
        <w:rPr>
          <w:sz w:val="20"/>
          <w:szCs w:val="20"/>
        </w:rPr>
        <w:t>carbonílico</w:t>
      </w:r>
      <w:proofErr w:type="spellEnd"/>
      <w:r w:rsidRPr="000E0DAB">
        <w:rPr>
          <w:sz w:val="20"/>
          <w:szCs w:val="20"/>
        </w:rPr>
        <w:t xml:space="preserve"> del AF aparece en 8.29 ppm; los protones metílicos de alcohol en 3.35 ppm</w:t>
      </w:r>
      <w:r w:rsidR="00250566" w:rsidRPr="000E0DAB">
        <w:rPr>
          <w:sz w:val="20"/>
          <w:szCs w:val="20"/>
        </w:rPr>
        <w:t xml:space="preserve"> mientras que los protones de este tipo correspondientes al AA, en 2.08 ppm.</w:t>
      </w:r>
      <w:r w:rsidR="00C6100E">
        <w:rPr>
          <w:sz w:val="20"/>
          <w:szCs w:val="20"/>
        </w:rPr>
        <w:t xml:space="preserve"> La señal que se localiza en 4.9 ppm es debida a los protones del agua.</w:t>
      </w:r>
    </w:p>
    <w:p w:rsidR="00326835" w:rsidRDefault="00326835" w:rsidP="0057002A">
      <w:pPr>
        <w:pStyle w:val="Textoindependiente2"/>
        <w:spacing w:after="0" w:line="360" w:lineRule="auto"/>
        <w:jc w:val="both"/>
        <w:rPr>
          <w:sz w:val="20"/>
          <w:szCs w:val="20"/>
        </w:rPr>
      </w:pPr>
    </w:p>
    <w:p w:rsidR="0057002A" w:rsidRDefault="0057002A" w:rsidP="0057002A">
      <w:pPr>
        <w:pStyle w:val="Textoindependiente2"/>
        <w:spacing w:after="0" w:line="360" w:lineRule="auto"/>
        <w:jc w:val="both"/>
      </w:pPr>
      <w:r w:rsidRPr="002554C8">
        <w:t xml:space="preserve">La Tabla 1 presenta los parámetros de validación del método. </w:t>
      </w:r>
      <w:r>
        <w:t xml:space="preserve">El límite de detección se determinó por diluciones sucesivas de una mezcla de los </w:t>
      </w:r>
      <w:proofErr w:type="spellStart"/>
      <w:r>
        <w:t>analitos</w:t>
      </w:r>
      <w:proofErr w:type="spellEnd"/>
      <w:r>
        <w:t xml:space="preserve"> con concentraci</w:t>
      </w:r>
      <w:r w:rsidR="00096396">
        <w:t>ón</w:t>
      </w:r>
      <w:r>
        <w:t xml:space="preserve"> conocida de </w:t>
      </w:r>
      <w:r w:rsidR="0040681C">
        <w:t>ellos</w:t>
      </w:r>
      <w:r>
        <w:t>. La desviación estándar relativa se estableció por medio del análisis de una misma muestra sintética de ML, AF y AA en H</w:t>
      </w:r>
      <w:r w:rsidRPr="00C274CA">
        <w:rPr>
          <w:vertAlign w:val="subscript"/>
        </w:rPr>
        <w:t>2</w:t>
      </w:r>
      <w:r>
        <w:t>O</w:t>
      </w:r>
      <w:r w:rsidRPr="00C274CA">
        <w:rPr>
          <w:vertAlign w:val="subscript"/>
        </w:rPr>
        <w:t>2</w:t>
      </w:r>
      <w:r>
        <w:t>/H</w:t>
      </w:r>
      <w:r w:rsidRPr="00C274CA">
        <w:rPr>
          <w:vertAlign w:val="subscript"/>
        </w:rPr>
        <w:t>2</w:t>
      </w:r>
      <w:r>
        <w:t xml:space="preserve">O cuya concentración fue de 1,003 </w:t>
      </w:r>
      <w:r w:rsidRPr="00BC56A4">
        <w:rPr>
          <w:rFonts w:ascii="Symbol" w:hAnsi="Symbol"/>
        </w:rPr>
        <w:t></w:t>
      </w:r>
      <w:r>
        <w:t xml:space="preserve">moles/L de ML, 10,069 </w:t>
      </w:r>
      <w:r w:rsidRPr="00BC56A4">
        <w:rPr>
          <w:rFonts w:ascii="Symbol" w:hAnsi="Symbol"/>
        </w:rPr>
        <w:t></w:t>
      </w:r>
      <w:r>
        <w:t xml:space="preserve">moles de AF y 1,236 </w:t>
      </w:r>
      <w:r w:rsidRPr="00BC56A4">
        <w:rPr>
          <w:rFonts w:ascii="Symbol" w:hAnsi="Symbol"/>
        </w:rPr>
        <w:t></w:t>
      </w:r>
      <w:r>
        <w:t>moles/L de AA.</w:t>
      </w:r>
      <w:r w:rsidR="00F96FA0">
        <w:t xml:space="preserve"> </w:t>
      </w:r>
      <w:r>
        <w:t xml:space="preserve">La recuperación, expresada en %, se determinó al analizar diez diferentes mezclas sintéticas de los </w:t>
      </w:r>
      <w:proofErr w:type="spellStart"/>
      <w:r>
        <w:t>analitos</w:t>
      </w:r>
      <w:proofErr w:type="spellEnd"/>
      <w:r>
        <w:t xml:space="preserve"> en la matriz de H</w:t>
      </w:r>
      <w:r w:rsidRPr="00C274CA">
        <w:rPr>
          <w:vertAlign w:val="subscript"/>
        </w:rPr>
        <w:t>2</w:t>
      </w:r>
      <w:r>
        <w:t>O</w:t>
      </w:r>
      <w:r w:rsidRPr="00C274CA">
        <w:rPr>
          <w:vertAlign w:val="subscript"/>
        </w:rPr>
        <w:t>2</w:t>
      </w:r>
      <w:r>
        <w:t>/H</w:t>
      </w:r>
      <w:r w:rsidRPr="00C274CA">
        <w:rPr>
          <w:vertAlign w:val="subscript"/>
        </w:rPr>
        <w:t>2</w:t>
      </w:r>
      <w:r>
        <w:t xml:space="preserve">O con concentraciones iguales a la de la mezcla sintética que se utilizó en el experimento de precisión. </w:t>
      </w:r>
      <w:r w:rsidRPr="002554C8">
        <w:t xml:space="preserve">La aplicación </w:t>
      </w:r>
      <w:r>
        <w:t xml:space="preserve">del método analítico </w:t>
      </w:r>
      <w:r w:rsidRPr="002554C8">
        <w:t>al análisis de mezclas sintéticas</w:t>
      </w:r>
      <w:r>
        <w:t xml:space="preserve"> de</w:t>
      </w:r>
      <w:r w:rsidRPr="002554C8">
        <w:t xml:space="preserve"> </w:t>
      </w:r>
      <w:r>
        <w:t>los orgánicos oxigenados</w:t>
      </w:r>
      <w:r w:rsidRPr="002554C8">
        <w:t xml:space="preserve"> con concentraciones conocidas de </w:t>
      </w:r>
      <w:r>
        <w:t>éstos</w:t>
      </w:r>
      <w:r w:rsidRPr="002554C8">
        <w:t xml:space="preserve"> produjo los resultados que se muestran en la Tabla 2.</w:t>
      </w:r>
    </w:p>
    <w:p w:rsidR="00661428" w:rsidRDefault="00661428" w:rsidP="0057002A">
      <w:pPr>
        <w:pStyle w:val="Textoindependiente2"/>
        <w:spacing w:after="0" w:line="360" w:lineRule="auto"/>
        <w:jc w:val="both"/>
      </w:pPr>
    </w:p>
    <w:p w:rsidR="0057002A" w:rsidRDefault="0057002A" w:rsidP="00486879">
      <w:pPr>
        <w:pStyle w:val="Textoindependiente2"/>
        <w:spacing w:after="0" w:line="240" w:lineRule="auto"/>
        <w:jc w:val="both"/>
        <w:rPr>
          <w:sz w:val="20"/>
          <w:szCs w:val="20"/>
        </w:rPr>
      </w:pPr>
    </w:p>
    <w:p w:rsidR="00514D49" w:rsidRDefault="00384857" w:rsidP="00A560F6">
      <w:pPr>
        <w:pStyle w:val="Textoindependiente2"/>
        <w:spacing w:after="0" w:line="360" w:lineRule="auto"/>
        <w:jc w:val="both"/>
      </w:pPr>
      <w:r>
        <w:lastRenderedPageBreak/>
        <w:t xml:space="preserve">      </w:t>
      </w:r>
      <w:r w:rsidR="00E1347C">
        <w:t xml:space="preserve">    </w:t>
      </w:r>
      <w:r>
        <w:t xml:space="preserve">   </w:t>
      </w:r>
      <w:r>
        <w:rPr>
          <w:noProof/>
          <w:lang w:val="es-MX" w:eastAsia="es-MX"/>
        </w:rPr>
        <w:drawing>
          <wp:inline distT="0" distB="0" distL="0" distR="0" wp14:anchorId="0BC1D6F7">
            <wp:extent cx="4919980" cy="32372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980" cy="3237230"/>
                    </a:xfrm>
                    <a:prstGeom prst="rect">
                      <a:avLst/>
                    </a:prstGeom>
                    <a:noFill/>
                  </pic:spPr>
                </pic:pic>
              </a:graphicData>
            </a:graphic>
          </wp:inline>
        </w:drawing>
      </w:r>
    </w:p>
    <w:p w:rsidR="0057002A" w:rsidRDefault="0057002A" w:rsidP="00A560F6">
      <w:pPr>
        <w:pStyle w:val="Textoindependiente2"/>
        <w:spacing w:after="0" w:line="360" w:lineRule="auto"/>
        <w:jc w:val="both"/>
      </w:pPr>
    </w:p>
    <w:p w:rsidR="0057002A" w:rsidRDefault="0057002A" w:rsidP="00A560F6">
      <w:pPr>
        <w:pStyle w:val="Textoindependiente2"/>
        <w:spacing w:after="0" w:line="360" w:lineRule="auto"/>
        <w:jc w:val="both"/>
      </w:pPr>
    </w:p>
    <w:p w:rsidR="00514D49" w:rsidRDefault="00FB3BBB" w:rsidP="00A560F6">
      <w:pPr>
        <w:pStyle w:val="Textoindependiente2"/>
        <w:spacing w:after="0" w:line="360" w:lineRule="auto"/>
        <w:jc w:val="both"/>
      </w:pPr>
      <w:r>
        <w:t xml:space="preserve">        </w:t>
      </w:r>
      <w:r w:rsidR="00E1347C">
        <w:t xml:space="preserve">    </w:t>
      </w:r>
      <w:r>
        <w:t xml:space="preserve"> </w:t>
      </w:r>
      <w:r w:rsidR="00384857">
        <w:rPr>
          <w:noProof/>
          <w:lang w:val="es-MX" w:eastAsia="es-MX"/>
        </w:rPr>
        <w:drawing>
          <wp:inline distT="0" distB="0" distL="0" distR="0" wp14:anchorId="04DA8590">
            <wp:extent cx="4944110" cy="3267710"/>
            <wp:effectExtent l="0" t="0" r="889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4110" cy="3267710"/>
                    </a:xfrm>
                    <a:prstGeom prst="rect">
                      <a:avLst/>
                    </a:prstGeom>
                    <a:noFill/>
                  </pic:spPr>
                </pic:pic>
              </a:graphicData>
            </a:graphic>
          </wp:inline>
        </w:drawing>
      </w:r>
    </w:p>
    <w:p w:rsidR="00514D49" w:rsidRDefault="00FB3BBB" w:rsidP="00A560F6">
      <w:pPr>
        <w:pStyle w:val="Textoindependiente2"/>
        <w:spacing w:after="0" w:line="360" w:lineRule="auto"/>
        <w:jc w:val="both"/>
        <w:rPr>
          <w:sz w:val="20"/>
          <w:szCs w:val="20"/>
        </w:rPr>
      </w:pPr>
      <w:r>
        <w:t xml:space="preserve">   </w:t>
      </w:r>
      <w:r w:rsidR="00E1347C">
        <w:t xml:space="preserve">   F</w:t>
      </w:r>
      <w:r w:rsidRPr="00FB3BBB">
        <w:rPr>
          <w:sz w:val="20"/>
          <w:szCs w:val="20"/>
        </w:rPr>
        <w:t>i</w:t>
      </w:r>
      <w:r w:rsidR="007E2AF9">
        <w:rPr>
          <w:sz w:val="20"/>
          <w:szCs w:val="20"/>
        </w:rPr>
        <w:t xml:space="preserve">gura 3. Curvas de </w:t>
      </w:r>
      <w:proofErr w:type="gramStart"/>
      <w:r w:rsidR="007E2AF9">
        <w:rPr>
          <w:sz w:val="20"/>
          <w:szCs w:val="20"/>
        </w:rPr>
        <w:t>calibración tí</w:t>
      </w:r>
      <w:r w:rsidRPr="00FB3BBB">
        <w:rPr>
          <w:sz w:val="20"/>
          <w:szCs w:val="20"/>
        </w:rPr>
        <w:t>picas</w:t>
      </w:r>
      <w:proofErr w:type="gramEnd"/>
      <w:r w:rsidRPr="00FB3BBB">
        <w:rPr>
          <w:sz w:val="20"/>
          <w:szCs w:val="20"/>
        </w:rPr>
        <w:t xml:space="preserve"> de ML, AF y AA obtenidas con el uso de TSP como estándar interno.</w:t>
      </w:r>
    </w:p>
    <w:p w:rsidR="00864552" w:rsidRDefault="00864552" w:rsidP="00A560F6">
      <w:pPr>
        <w:pStyle w:val="Textoindependiente2"/>
        <w:spacing w:after="0" w:line="360" w:lineRule="auto"/>
        <w:jc w:val="both"/>
        <w:rPr>
          <w:sz w:val="20"/>
          <w:szCs w:val="20"/>
        </w:rPr>
      </w:pPr>
    </w:p>
    <w:p w:rsidR="00864552" w:rsidRDefault="00864552" w:rsidP="00A560F6">
      <w:pPr>
        <w:pStyle w:val="Textoindependiente2"/>
        <w:spacing w:after="0" w:line="360" w:lineRule="auto"/>
        <w:jc w:val="both"/>
        <w:rPr>
          <w:sz w:val="20"/>
          <w:szCs w:val="20"/>
        </w:rPr>
      </w:pPr>
    </w:p>
    <w:p w:rsidR="00864552" w:rsidRDefault="00864552" w:rsidP="00A560F6">
      <w:pPr>
        <w:pStyle w:val="Textoindependiente2"/>
        <w:spacing w:after="0" w:line="360" w:lineRule="auto"/>
        <w:jc w:val="both"/>
      </w:pPr>
    </w:p>
    <w:p w:rsidR="002C1DA3" w:rsidRDefault="006D023F" w:rsidP="00486879">
      <w:pPr>
        <w:jc w:val="both"/>
        <w:rPr>
          <w:sz w:val="20"/>
          <w:szCs w:val="20"/>
          <w:lang w:val="es-MX"/>
        </w:rPr>
      </w:pPr>
      <w:r w:rsidRPr="002554C8">
        <w:rPr>
          <w:lang w:val="es-MX"/>
        </w:rPr>
        <w:lastRenderedPageBreak/>
        <w:t xml:space="preserve">   </w:t>
      </w:r>
      <w:r w:rsidR="003C4E35" w:rsidRPr="00FB3BBB">
        <w:rPr>
          <w:sz w:val="20"/>
          <w:szCs w:val="20"/>
          <w:lang w:val="es-MX"/>
        </w:rPr>
        <w:t>Tabla 1. Parámetros de validación del método</w:t>
      </w:r>
      <w:r w:rsidR="002C1DA3">
        <w:rPr>
          <w:sz w:val="20"/>
          <w:szCs w:val="20"/>
          <w:lang w:val="es-MX"/>
        </w:rPr>
        <w:t xml:space="preserve"> desarrollado</w:t>
      </w:r>
      <w:r w:rsidR="003C4E35" w:rsidRPr="00FB3BBB">
        <w:rPr>
          <w:sz w:val="20"/>
          <w:szCs w:val="20"/>
          <w:lang w:val="es-MX"/>
        </w:rPr>
        <w:t xml:space="preserve"> para determinar la concentración</w:t>
      </w:r>
      <w:r w:rsidR="00FB3BBB">
        <w:rPr>
          <w:sz w:val="20"/>
          <w:szCs w:val="20"/>
          <w:lang w:val="es-MX"/>
        </w:rPr>
        <w:t xml:space="preserve"> </w:t>
      </w:r>
      <w:r w:rsidR="003C4E35" w:rsidRPr="00FB3BBB">
        <w:rPr>
          <w:sz w:val="20"/>
          <w:szCs w:val="20"/>
          <w:lang w:val="es-MX"/>
        </w:rPr>
        <w:t xml:space="preserve">de </w:t>
      </w:r>
      <w:r w:rsidR="001864B3" w:rsidRPr="00FB3BBB">
        <w:rPr>
          <w:sz w:val="20"/>
          <w:szCs w:val="20"/>
          <w:lang w:val="es-MX"/>
        </w:rPr>
        <w:t>ML, AF y A</w:t>
      </w:r>
      <w:r w:rsidR="00F6505A" w:rsidRPr="00FB3BBB">
        <w:rPr>
          <w:sz w:val="20"/>
          <w:szCs w:val="20"/>
          <w:lang w:val="es-MX"/>
        </w:rPr>
        <w:t>A</w:t>
      </w:r>
    </w:p>
    <w:p w:rsidR="002C1DA3" w:rsidRDefault="002C1DA3" w:rsidP="00486879">
      <w:pPr>
        <w:jc w:val="both"/>
        <w:rPr>
          <w:sz w:val="20"/>
          <w:szCs w:val="20"/>
          <w:lang w:val="es-MX"/>
        </w:rPr>
      </w:pPr>
      <w:r>
        <w:rPr>
          <w:sz w:val="20"/>
          <w:szCs w:val="20"/>
          <w:lang w:val="es-MX"/>
        </w:rPr>
        <w:t xml:space="preserve">   </w:t>
      </w:r>
      <w:r w:rsidR="001864B3" w:rsidRPr="00FB3BBB">
        <w:rPr>
          <w:sz w:val="20"/>
          <w:szCs w:val="20"/>
          <w:lang w:val="es-MX"/>
        </w:rPr>
        <w:t xml:space="preserve"> </w:t>
      </w:r>
      <w:proofErr w:type="gramStart"/>
      <w:r w:rsidR="001864B3" w:rsidRPr="00FB3BBB">
        <w:rPr>
          <w:sz w:val="20"/>
          <w:szCs w:val="20"/>
          <w:lang w:val="es-MX"/>
        </w:rPr>
        <w:t>en</w:t>
      </w:r>
      <w:proofErr w:type="gramEnd"/>
      <w:r w:rsidR="001864B3" w:rsidRPr="00FB3BBB">
        <w:rPr>
          <w:sz w:val="20"/>
          <w:szCs w:val="20"/>
          <w:lang w:val="es-MX"/>
        </w:rPr>
        <w:t xml:space="preserve"> mezcla</w:t>
      </w:r>
      <w:r w:rsidR="00AA416C">
        <w:rPr>
          <w:sz w:val="20"/>
          <w:szCs w:val="20"/>
          <w:lang w:val="es-MX"/>
        </w:rPr>
        <w:t xml:space="preserve"> </w:t>
      </w:r>
      <w:r w:rsidR="001864B3" w:rsidRPr="00FB3BBB">
        <w:rPr>
          <w:sz w:val="20"/>
          <w:szCs w:val="20"/>
          <w:lang w:val="es-MX"/>
        </w:rPr>
        <w:t>de H</w:t>
      </w:r>
      <w:r w:rsidR="001864B3" w:rsidRPr="00FB3BBB">
        <w:rPr>
          <w:sz w:val="20"/>
          <w:szCs w:val="20"/>
          <w:vertAlign w:val="subscript"/>
          <w:lang w:val="es-MX"/>
        </w:rPr>
        <w:t>2</w:t>
      </w:r>
      <w:r w:rsidR="001864B3" w:rsidRPr="00FB3BBB">
        <w:rPr>
          <w:sz w:val="20"/>
          <w:szCs w:val="20"/>
          <w:lang w:val="es-MX"/>
        </w:rPr>
        <w:t>O</w:t>
      </w:r>
      <w:r w:rsidR="001864B3" w:rsidRPr="00FB3BBB">
        <w:rPr>
          <w:sz w:val="20"/>
          <w:szCs w:val="20"/>
          <w:vertAlign w:val="subscript"/>
          <w:lang w:val="es-MX"/>
        </w:rPr>
        <w:t>2</w:t>
      </w:r>
      <w:r w:rsidR="001864B3" w:rsidRPr="00FB3BBB">
        <w:rPr>
          <w:sz w:val="20"/>
          <w:szCs w:val="20"/>
          <w:lang w:val="es-MX"/>
        </w:rPr>
        <w:t>/H</w:t>
      </w:r>
      <w:r w:rsidR="001864B3" w:rsidRPr="00FB3BBB">
        <w:rPr>
          <w:sz w:val="20"/>
          <w:szCs w:val="20"/>
          <w:vertAlign w:val="subscript"/>
          <w:lang w:val="es-MX"/>
        </w:rPr>
        <w:t>2</w:t>
      </w:r>
      <w:r w:rsidR="001864B3" w:rsidRPr="00FB3BBB">
        <w:rPr>
          <w:sz w:val="20"/>
          <w:szCs w:val="20"/>
          <w:lang w:val="es-MX"/>
        </w:rPr>
        <w:t>O,</w:t>
      </w:r>
      <w:r w:rsidR="00781297" w:rsidRPr="00FB3BBB">
        <w:rPr>
          <w:sz w:val="20"/>
          <w:szCs w:val="20"/>
          <w:lang w:val="es-MX"/>
        </w:rPr>
        <w:t xml:space="preserve"> en el</w:t>
      </w:r>
      <w:r w:rsidR="001864B3" w:rsidRPr="00FB3BBB">
        <w:rPr>
          <w:sz w:val="20"/>
          <w:szCs w:val="20"/>
          <w:lang w:val="es-MX"/>
        </w:rPr>
        <w:t xml:space="preserve"> intervalo de </w:t>
      </w:r>
      <w:r w:rsidR="001864B3" w:rsidRPr="00FB3BBB">
        <w:rPr>
          <w:sz w:val="20"/>
          <w:szCs w:val="20"/>
        </w:rPr>
        <w:t xml:space="preserve">120-2,450, 1,000-20,000 y 100-2,000 </w:t>
      </w:r>
      <w:r w:rsidR="001864B3" w:rsidRPr="00FB3BBB">
        <w:rPr>
          <w:rFonts w:ascii="Symbol" w:hAnsi="Symbol"/>
          <w:sz w:val="20"/>
          <w:szCs w:val="20"/>
        </w:rPr>
        <w:t></w:t>
      </w:r>
      <w:r w:rsidR="001864B3" w:rsidRPr="00FB3BBB">
        <w:rPr>
          <w:sz w:val="20"/>
          <w:szCs w:val="20"/>
        </w:rPr>
        <w:t>moles/L, respectivamente</w:t>
      </w:r>
      <w:r w:rsidR="00781297" w:rsidRPr="00FB3BBB">
        <w:rPr>
          <w:sz w:val="20"/>
          <w:szCs w:val="20"/>
          <w:lang w:val="es-MX"/>
        </w:rPr>
        <w:t>,</w:t>
      </w:r>
      <w:r w:rsidR="00AA416C">
        <w:rPr>
          <w:sz w:val="20"/>
          <w:szCs w:val="20"/>
          <w:lang w:val="es-MX"/>
        </w:rPr>
        <w:t xml:space="preserve"> </w:t>
      </w:r>
    </w:p>
    <w:p w:rsidR="00B515AF" w:rsidRDefault="002C1DA3" w:rsidP="00486879">
      <w:pPr>
        <w:jc w:val="both"/>
        <w:rPr>
          <w:sz w:val="20"/>
          <w:szCs w:val="20"/>
          <w:lang w:val="es-MX"/>
        </w:rPr>
      </w:pPr>
      <w:r>
        <w:rPr>
          <w:sz w:val="20"/>
          <w:szCs w:val="20"/>
          <w:lang w:val="es-MX"/>
        </w:rPr>
        <w:t xml:space="preserve">    </w:t>
      </w:r>
      <w:proofErr w:type="gramStart"/>
      <w:r w:rsidR="003C4E35" w:rsidRPr="00FB3BBB">
        <w:rPr>
          <w:sz w:val="20"/>
          <w:szCs w:val="20"/>
          <w:lang w:val="es-MX"/>
        </w:rPr>
        <w:t>por</w:t>
      </w:r>
      <w:proofErr w:type="gramEnd"/>
      <w:r w:rsidR="00B83EEC">
        <w:rPr>
          <w:sz w:val="20"/>
          <w:szCs w:val="20"/>
          <w:lang w:val="es-MX"/>
        </w:rPr>
        <w:t xml:space="preserve"> </w:t>
      </w:r>
      <w:r w:rsidR="00781297" w:rsidRPr="00FB3BBB">
        <w:rPr>
          <w:sz w:val="20"/>
          <w:szCs w:val="20"/>
          <w:lang w:val="es-MX"/>
        </w:rPr>
        <w:t>RMN</w:t>
      </w:r>
      <w:r w:rsidR="00781297" w:rsidRPr="00FB3BBB">
        <w:rPr>
          <w:sz w:val="20"/>
          <w:szCs w:val="20"/>
          <w:vertAlign w:val="superscript"/>
          <w:lang w:val="es-MX"/>
        </w:rPr>
        <w:t>1</w:t>
      </w:r>
      <w:r w:rsidR="00781297" w:rsidRPr="00FB3BBB">
        <w:rPr>
          <w:sz w:val="20"/>
          <w:szCs w:val="20"/>
          <w:lang w:val="es-MX"/>
        </w:rPr>
        <w:t>H</w:t>
      </w:r>
      <w:r w:rsidR="003C4E35" w:rsidRPr="00FB3BBB">
        <w:rPr>
          <w:sz w:val="20"/>
          <w:szCs w:val="20"/>
          <w:lang w:val="es-MX"/>
        </w:rPr>
        <w:t>.</w:t>
      </w:r>
    </w:p>
    <w:p w:rsidR="003C4E35" w:rsidRPr="00FB3BBB" w:rsidRDefault="009F39CC" w:rsidP="00486879">
      <w:pPr>
        <w:jc w:val="both"/>
        <w:rPr>
          <w:sz w:val="20"/>
          <w:szCs w:val="20"/>
          <w:lang w:val="es-MX"/>
        </w:rPr>
      </w:pPr>
      <w:r w:rsidRPr="00FB3BBB">
        <w:rPr>
          <w:sz w:val="20"/>
          <w:szCs w:val="20"/>
          <w:lang w:val="es-MX"/>
        </w:rPr>
        <w:t xml:space="preserve"> </w:t>
      </w:r>
    </w:p>
    <w:tbl>
      <w:tblPr>
        <w:tblStyle w:val="Tablaconcuadrcula"/>
        <w:tblW w:w="0" w:type="auto"/>
        <w:jc w:val="center"/>
        <w:tblLook w:val="01E0" w:firstRow="1" w:lastRow="1" w:firstColumn="1" w:lastColumn="1" w:noHBand="0" w:noVBand="0"/>
      </w:tblPr>
      <w:tblGrid>
        <w:gridCol w:w="2263"/>
        <w:gridCol w:w="2024"/>
        <w:gridCol w:w="2145"/>
        <w:gridCol w:w="2145"/>
      </w:tblGrid>
      <w:tr w:rsidR="000405D5" w:rsidRPr="002554C8" w:rsidTr="00EB140A">
        <w:trPr>
          <w:trHeight w:val="419"/>
          <w:jc w:val="center"/>
        </w:trPr>
        <w:tc>
          <w:tcPr>
            <w:tcW w:w="2263" w:type="dxa"/>
            <w:vMerge w:val="restart"/>
            <w:vAlign w:val="center"/>
          </w:tcPr>
          <w:p w:rsidR="000405D5" w:rsidRPr="00D269E7" w:rsidRDefault="000405D5" w:rsidP="00486879">
            <w:pPr>
              <w:jc w:val="center"/>
              <w:rPr>
                <w:sz w:val="20"/>
                <w:szCs w:val="20"/>
                <w:lang w:val="es-MX"/>
              </w:rPr>
            </w:pPr>
            <w:r w:rsidRPr="00D269E7">
              <w:rPr>
                <w:sz w:val="20"/>
                <w:szCs w:val="20"/>
                <w:lang w:val="es-MX"/>
              </w:rPr>
              <w:t>Parámetro de validación</w:t>
            </w:r>
          </w:p>
        </w:tc>
        <w:tc>
          <w:tcPr>
            <w:tcW w:w="6314" w:type="dxa"/>
            <w:gridSpan w:val="3"/>
            <w:vAlign w:val="center"/>
          </w:tcPr>
          <w:p w:rsidR="000405D5" w:rsidRPr="00D269E7" w:rsidRDefault="000405D5" w:rsidP="00486879">
            <w:pPr>
              <w:jc w:val="center"/>
              <w:rPr>
                <w:sz w:val="20"/>
                <w:szCs w:val="20"/>
                <w:lang w:val="es-MX"/>
              </w:rPr>
            </w:pPr>
            <w:proofErr w:type="spellStart"/>
            <w:r w:rsidRPr="00D269E7">
              <w:rPr>
                <w:sz w:val="20"/>
                <w:szCs w:val="20"/>
                <w:lang w:val="es-MX"/>
              </w:rPr>
              <w:t>Analito</w:t>
            </w:r>
            <w:proofErr w:type="spellEnd"/>
          </w:p>
        </w:tc>
      </w:tr>
      <w:tr w:rsidR="00FE19C9" w:rsidRPr="002554C8" w:rsidTr="00FE19C9">
        <w:trPr>
          <w:trHeight w:val="417"/>
          <w:jc w:val="center"/>
        </w:trPr>
        <w:tc>
          <w:tcPr>
            <w:tcW w:w="2263" w:type="dxa"/>
            <w:vMerge/>
            <w:vAlign w:val="center"/>
          </w:tcPr>
          <w:p w:rsidR="00FE19C9" w:rsidRPr="00D269E7" w:rsidRDefault="00FE19C9" w:rsidP="00486879">
            <w:pPr>
              <w:jc w:val="center"/>
              <w:rPr>
                <w:sz w:val="20"/>
                <w:szCs w:val="20"/>
                <w:lang w:val="es-MX"/>
              </w:rPr>
            </w:pPr>
          </w:p>
        </w:tc>
        <w:tc>
          <w:tcPr>
            <w:tcW w:w="2024" w:type="dxa"/>
            <w:vAlign w:val="center"/>
          </w:tcPr>
          <w:p w:rsidR="00FE19C9" w:rsidRPr="00D269E7" w:rsidRDefault="00FE19C9" w:rsidP="00486879">
            <w:pPr>
              <w:jc w:val="center"/>
              <w:rPr>
                <w:sz w:val="20"/>
                <w:szCs w:val="20"/>
                <w:highlight w:val="yellow"/>
                <w:lang w:val="es-MX"/>
              </w:rPr>
            </w:pPr>
            <w:r w:rsidRPr="00D269E7">
              <w:rPr>
                <w:sz w:val="20"/>
                <w:szCs w:val="20"/>
                <w:lang w:val="es-MX"/>
              </w:rPr>
              <w:t>ML</w:t>
            </w:r>
          </w:p>
        </w:tc>
        <w:tc>
          <w:tcPr>
            <w:tcW w:w="2145" w:type="dxa"/>
            <w:vAlign w:val="center"/>
          </w:tcPr>
          <w:p w:rsidR="00FE19C9" w:rsidRPr="00D269E7" w:rsidRDefault="00FE19C9" w:rsidP="00486879">
            <w:pPr>
              <w:jc w:val="center"/>
              <w:rPr>
                <w:sz w:val="20"/>
                <w:szCs w:val="20"/>
                <w:lang w:val="es-MX"/>
              </w:rPr>
            </w:pPr>
            <w:r w:rsidRPr="00D269E7">
              <w:rPr>
                <w:sz w:val="20"/>
                <w:szCs w:val="20"/>
                <w:lang w:val="es-MX"/>
              </w:rPr>
              <w:t>AF</w:t>
            </w:r>
          </w:p>
        </w:tc>
        <w:tc>
          <w:tcPr>
            <w:tcW w:w="2145" w:type="dxa"/>
            <w:vAlign w:val="center"/>
          </w:tcPr>
          <w:p w:rsidR="00FE19C9" w:rsidRPr="00D269E7" w:rsidRDefault="00FE19C9" w:rsidP="00486879">
            <w:pPr>
              <w:jc w:val="center"/>
              <w:rPr>
                <w:sz w:val="20"/>
                <w:szCs w:val="20"/>
                <w:lang w:val="es-MX"/>
              </w:rPr>
            </w:pPr>
            <w:r w:rsidRPr="00D269E7">
              <w:rPr>
                <w:sz w:val="20"/>
                <w:szCs w:val="20"/>
                <w:lang w:val="es-MX"/>
              </w:rPr>
              <w:t>AC</w:t>
            </w:r>
          </w:p>
        </w:tc>
      </w:tr>
      <w:tr w:rsidR="001864B3" w:rsidRPr="002554C8" w:rsidTr="00FE19C9">
        <w:trPr>
          <w:trHeight w:val="401"/>
          <w:jc w:val="center"/>
        </w:trPr>
        <w:tc>
          <w:tcPr>
            <w:tcW w:w="2263" w:type="dxa"/>
            <w:vAlign w:val="center"/>
          </w:tcPr>
          <w:p w:rsidR="001864B3" w:rsidRPr="00D269E7" w:rsidRDefault="001864B3" w:rsidP="00486879">
            <w:pPr>
              <w:rPr>
                <w:sz w:val="20"/>
                <w:szCs w:val="20"/>
                <w:lang w:val="es-MX"/>
              </w:rPr>
            </w:pPr>
            <w:proofErr w:type="spellStart"/>
            <w:r w:rsidRPr="00D269E7">
              <w:rPr>
                <w:sz w:val="20"/>
                <w:szCs w:val="20"/>
                <w:lang w:val="es-MX"/>
              </w:rPr>
              <w:t>Linealidad</w:t>
            </w:r>
            <w:r w:rsidR="005372DC" w:rsidRPr="00D269E7">
              <w:rPr>
                <w:sz w:val="20"/>
                <w:szCs w:val="20"/>
                <w:vertAlign w:val="superscript"/>
                <w:lang w:val="es-MX"/>
              </w:rPr>
              <w:t>a</w:t>
            </w:r>
            <w:proofErr w:type="spellEnd"/>
            <w:r w:rsidRPr="00D269E7">
              <w:rPr>
                <w:sz w:val="20"/>
                <w:szCs w:val="20"/>
                <w:lang w:val="es-MX"/>
              </w:rPr>
              <w:t xml:space="preserve"> </w:t>
            </w:r>
          </w:p>
        </w:tc>
        <w:tc>
          <w:tcPr>
            <w:tcW w:w="2024" w:type="dxa"/>
            <w:vAlign w:val="center"/>
          </w:tcPr>
          <w:p w:rsidR="001864B3" w:rsidRPr="00D269E7" w:rsidRDefault="00D85898" w:rsidP="00486879">
            <w:pPr>
              <w:jc w:val="center"/>
              <w:rPr>
                <w:sz w:val="20"/>
                <w:szCs w:val="20"/>
                <w:lang w:val="es-MX"/>
              </w:rPr>
            </w:pPr>
            <w:r w:rsidRPr="00D269E7">
              <w:rPr>
                <w:sz w:val="20"/>
                <w:szCs w:val="20"/>
                <w:lang w:val="es-MX"/>
              </w:rPr>
              <w:t>0.999</w:t>
            </w:r>
            <w:r w:rsidR="00C91384" w:rsidRPr="00D269E7">
              <w:rPr>
                <w:sz w:val="20"/>
                <w:szCs w:val="20"/>
                <w:lang w:val="es-MX"/>
              </w:rPr>
              <w:t>5</w:t>
            </w:r>
          </w:p>
        </w:tc>
        <w:tc>
          <w:tcPr>
            <w:tcW w:w="2145" w:type="dxa"/>
            <w:vAlign w:val="center"/>
          </w:tcPr>
          <w:p w:rsidR="001864B3" w:rsidRPr="00D269E7" w:rsidRDefault="00D85898" w:rsidP="00486879">
            <w:pPr>
              <w:jc w:val="center"/>
              <w:rPr>
                <w:sz w:val="20"/>
                <w:szCs w:val="20"/>
                <w:lang w:val="es-MX"/>
              </w:rPr>
            </w:pPr>
            <w:r w:rsidRPr="00D269E7">
              <w:rPr>
                <w:sz w:val="20"/>
                <w:szCs w:val="20"/>
                <w:lang w:val="es-MX"/>
              </w:rPr>
              <w:t>0.99</w:t>
            </w:r>
            <w:r w:rsidR="00F34AC8" w:rsidRPr="00D269E7">
              <w:rPr>
                <w:sz w:val="20"/>
                <w:szCs w:val="20"/>
                <w:lang w:val="es-MX"/>
              </w:rPr>
              <w:t>87</w:t>
            </w:r>
          </w:p>
        </w:tc>
        <w:tc>
          <w:tcPr>
            <w:tcW w:w="2145" w:type="dxa"/>
            <w:vAlign w:val="center"/>
          </w:tcPr>
          <w:p w:rsidR="001864B3" w:rsidRPr="00D269E7" w:rsidRDefault="00C91384" w:rsidP="00486879">
            <w:pPr>
              <w:jc w:val="center"/>
              <w:rPr>
                <w:sz w:val="20"/>
                <w:szCs w:val="20"/>
                <w:lang w:val="es-MX"/>
              </w:rPr>
            </w:pPr>
            <w:r w:rsidRPr="00D269E7">
              <w:rPr>
                <w:sz w:val="20"/>
                <w:szCs w:val="20"/>
                <w:lang w:val="es-MX"/>
              </w:rPr>
              <w:t>0.99</w:t>
            </w:r>
            <w:r w:rsidR="00F34AC8" w:rsidRPr="00D269E7">
              <w:rPr>
                <w:sz w:val="20"/>
                <w:szCs w:val="20"/>
                <w:lang w:val="es-MX"/>
              </w:rPr>
              <w:t>93</w:t>
            </w:r>
          </w:p>
        </w:tc>
      </w:tr>
      <w:tr w:rsidR="001864B3" w:rsidRPr="002554C8" w:rsidTr="00FE19C9">
        <w:trPr>
          <w:trHeight w:val="407"/>
          <w:jc w:val="center"/>
        </w:trPr>
        <w:tc>
          <w:tcPr>
            <w:tcW w:w="2263" w:type="dxa"/>
            <w:vAlign w:val="center"/>
          </w:tcPr>
          <w:p w:rsidR="001864B3" w:rsidRPr="00D269E7" w:rsidRDefault="001864B3" w:rsidP="00486879">
            <w:pPr>
              <w:rPr>
                <w:sz w:val="20"/>
                <w:szCs w:val="20"/>
                <w:lang w:val="es-MX"/>
              </w:rPr>
            </w:pPr>
            <w:proofErr w:type="spellStart"/>
            <w:r w:rsidRPr="00D269E7">
              <w:rPr>
                <w:sz w:val="20"/>
                <w:szCs w:val="20"/>
                <w:lang w:val="es-MX"/>
              </w:rPr>
              <w:t>Precisión</w:t>
            </w:r>
            <w:r w:rsidR="005372DC" w:rsidRPr="00D269E7">
              <w:rPr>
                <w:sz w:val="20"/>
                <w:szCs w:val="20"/>
                <w:vertAlign w:val="superscript"/>
                <w:lang w:val="es-MX"/>
              </w:rPr>
              <w:t>b</w:t>
            </w:r>
            <w:r w:rsidRPr="00D269E7">
              <w:rPr>
                <w:sz w:val="20"/>
                <w:szCs w:val="20"/>
                <w:vertAlign w:val="superscript"/>
                <w:lang w:val="es-MX"/>
              </w:rPr>
              <w:t>,</w:t>
            </w:r>
            <w:r w:rsidR="005372DC" w:rsidRPr="00D269E7">
              <w:rPr>
                <w:sz w:val="20"/>
                <w:szCs w:val="20"/>
                <w:vertAlign w:val="superscript"/>
                <w:lang w:val="es-MX"/>
              </w:rPr>
              <w:t>c</w:t>
            </w:r>
            <w:proofErr w:type="spellEnd"/>
            <w:r w:rsidRPr="00D269E7">
              <w:rPr>
                <w:sz w:val="20"/>
                <w:szCs w:val="20"/>
                <w:lang w:val="es-MX"/>
              </w:rPr>
              <w:t xml:space="preserve"> </w:t>
            </w:r>
          </w:p>
        </w:tc>
        <w:tc>
          <w:tcPr>
            <w:tcW w:w="2024" w:type="dxa"/>
            <w:vAlign w:val="center"/>
          </w:tcPr>
          <w:p w:rsidR="001864B3" w:rsidRPr="00D269E7" w:rsidRDefault="001864B3" w:rsidP="00486879">
            <w:pPr>
              <w:jc w:val="center"/>
              <w:rPr>
                <w:color w:val="000000"/>
                <w:sz w:val="20"/>
                <w:szCs w:val="20"/>
                <w:lang w:val="es-MX"/>
              </w:rPr>
            </w:pPr>
            <w:r w:rsidRPr="00D269E7">
              <w:rPr>
                <w:color w:val="000000"/>
                <w:sz w:val="20"/>
                <w:szCs w:val="20"/>
                <w:lang w:val="es-MX"/>
              </w:rPr>
              <w:t>±</w:t>
            </w:r>
            <w:r w:rsidR="00D85898" w:rsidRPr="00D269E7">
              <w:rPr>
                <w:color w:val="000000"/>
                <w:sz w:val="20"/>
                <w:szCs w:val="20"/>
                <w:lang w:val="es-MX"/>
              </w:rPr>
              <w:t>1.66</w:t>
            </w:r>
          </w:p>
        </w:tc>
        <w:tc>
          <w:tcPr>
            <w:tcW w:w="2145" w:type="dxa"/>
            <w:vAlign w:val="center"/>
          </w:tcPr>
          <w:p w:rsidR="001864B3" w:rsidRPr="00D269E7" w:rsidRDefault="00D85898" w:rsidP="00486879">
            <w:pPr>
              <w:jc w:val="center"/>
              <w:rPr>
                <w:color w:val="000000"/>
                <w:sz w:val="20"/>
                <w:szCs w:val="20"/>
                <w:lang w:val="es-MX"/>
              </w:rPr>
            </w:pPr>
            <w:r w:rsidRPr="00D269E7">
              <w:rPr>
                <w:color w:val="000000"/>
                <w:sz w:val="20"/>
                <w:szCs w:val="20"/>
                <w:lang w:val="es-MX"/>
              </w:rPr>
              <w:t>±3.06</w:t>
            </w:r>
          </w:p>
        </w:tc>
        <w:tc>
          <w:tcPr>
            <w:tcW w:w="2145" w:type="dxa"/>
            <w:vAlign w:val="center"/>
          </w:tcPr>
          <w:p w:rsidR="001864B3" w:rsidRPr="00D269E7" w:rsidRDefault="00D85898" w:rsidP="00486879">
            <w:pPr>
              <w:jc w:val="center"/>
              <w:rPr>
                <w:color w:val="000000"/>
                <w:sz w:val="20"/>
                <w:szCs w:val="20"/>
                <w:lang w:val="es-MX"/>
              </w:rPr>
            </w:pPr>
            <w:r w:rsidRPr="00D269E7">
              <w:rPr>
                <w:color w:val="000000"/>
                <w:sz w:val="20"/>
                <w:szCs w:val="20"/>
                <w:lang w:val="es-MX"/>
              </w:rPr>
              <w:t>±1.58</w:t>
            </w:r>
          </w:p>
        </w:tc>
      </w:tr>
      <w:tr w:rsidR="001864B3" w:rsidRPr="002554C8" w:rsidTr="00887235">
        <w:trPr>
          <w:trHeight w:val="570"/>
          <w:jc w:val="center"/>
        </w:trPr>
        <w:tc>
          <w:tcPr>
            <w:tcW w:w="2263" w:type="dxa"/>
            <w:vAlign w:val="center"/>
          </w:tcPr>
          <w:p w:rsidR="001864B3" w:rsidRPr="00D269E7" w:rsidRDefault="001864B3" w:rsidP="00486879">
            <w:pPr>
              <w:rPr>
                <w:sz w:val="20"/>
                <w:szCs w:val="20"/>
                <w:lang w:val="es-MX"/>
              </w:rPr>
            </w:pPr>
            <w:r w:rsidRPr="00D269E7">
              <w:rPr>
                <w:sz w:val="20"/>
                <w:szCs w:val="20"/>
                <w:lang w:val="es-MX"/>
              </w:rPr>
              <w:t>Límite de detección [</w:t>
            </w:r>
            <w:r w:rsidR="00D85898" w:rsidRPr="00D269E7">
              <w:rPr>
                <w:rFonts w:ascii="Symbol" w:hAnsi="Symbol"/>
                <w:sz w:val="20"/>
                <w:szCs w:val="20"/>
                <w:lang w:val="es-MX"/>
              </w:rPr>
              <w:t></w:t>
            </w:r>
            <w:r w:rsidR="00D85898" w:rsidRPr="00D269E7">
              <w:rPr>
                <w:sz w:val="20"/>
                <w:szCs w:val="20"/>
                <w:lang w:val="es-MX"/>
              </w:rPr>
              <w:t>moles/</w:t>
            </w:r>
            <w:r w:rsidRPr="00D269E7">
              <w:rPr>
                <w:sz w:val="20"/>
                <w:szCs w:val="20"/>
                <w:lang w:val="es-MX"/>
              </w:rPr>
              <w:t>/L]</w:t>
            </w:r>
            <w:r w:rsidR="005372DC" w:rsidRPr="00D269E7">
              <w:rPr>
                <w:sz w:val="20"/>
                <w:szCs w:val="20"/>
                <w:vertAlign w:val="superscript"/>
                <w:lang w:val="es-MX"/>
              </w:rPr>
              <w:t>d</w:t>
            </w:r>
          </w:p>
        </w:tc>
        <w:tc>
          <w:tcPr>
            <w:tcW w:w="2024" w:type="dxa"/>
            <w:vAlign w:val="center"/>
          </w:tcPr>
          <w:p w:rsidR="001864B3" w:rsidRPr="00D269E7" w:rsidRDefault="00D85898" w:rsidP="00486879">
            <w:pPr>
              <w:jc w:val="center"/>
              <w:rPr>
                <w:sz w:val="20"/>
                <w:szCs w:val="20"/>
                <w:lang w:val="es-MX"/>
              </w:rPr>
            </w:pPr>
            <w:r w:rsidRPr="00D269E7">
              <w:rPr>
                <w:sz w:val="20"/>
                <w:szCs w:val="20"/>
                <w:lang w:val="es-MX"/>
              </w:rPr>
              <w:t>20</w:t>
            </w:r>
          </w:p>
        </w:tc>
        <w:tc>
          <w:tcPr>
            <w:tcW w:w="2145" w:type="dxa"/>
            <w:vAlign w:val="center"/>
          </w:tcPr>
          <w:p w:rsidR="001864B3" w:rsidRPr="00D269E7" w:rsidRDefault="00D85898" w:rsidP="00486879">
            <w:pPr>
              <w:jc w:val="center"/>
              <w:rPr>
                <w:sz w:val="20"/>
                <w:szCs w:val="20"/>
                <w:lang w:val="es-MX"/>
              </w:rPr>
            </w:pPr>
            <w:r w:rsidRPr="00D269E7">
              <w:rPr>
                <w:sz w:val="20"/>
                <w:szCs w:val="20"/>
                <w:lang w:val="es-MX"/>
              </w:rPr>
              <w:t>500</w:t>
            </w:r>
          </w:p>
        </w:tc>
        <w:tc>
          <w:tcPr>
            <w:tcW w:w="2145" w:type="dxa"/>
            <w:vAlign w:val="center"/>
          </w:tcPr>
          <w:p w:rsidR="001864B3" w:rsidRPr="00D269E7" w:rsidRDefault="00D85898" w:rsidP="00486879">
            <w:pPr>
              <w:jc w:val="center"/>
              <w:rPr>
                <w:sz w:val="20"/>
                <w:szCs w:val="20"/>
                <w:lang w:val="es-MX"/>
              </w:rPr>
            </w:pPr>
            <w:r w:rsidRPr="00D269E7">
              <w:rPr>
                <w:sz w:val="20"/>
                <w:szCs w:val="20"/>
                <w:lang w:val="es-MX"/>
              </w:rPr>
              <w:t>5</w:t>
            </w:r>
          </w:p>
        </w:tc>
      </w:tr>
    </w:tbl>
    <w:p w:rsidR="00FD2F46" w:rsidRPr="005C5B2A" w:rsidRDefault="003C4E35" w:rsidP="00486879">
      <w:pPr>
        <w:jc w:val="both"/>
        <w:rPr>
          <w:sz w:val="20"/>
          <w:szCs w:val="20"/>
          <w:lang w:val="es-MX"/>
        </w:rPr>
      </w:pPr>
      <w:r w:rsidRPr="002554C8">
        <w:rPr>
          <w:lang w:val="es-MX"/>
        </w:rPr>
        <w:t xml:space="preserve">       </w:t>
      </w:r>
      <w:proofErr w:type="spellStart"/>
      <w:proofErr w:type="gramStart"/>
      <w:r w:rsidR="005372DC" w:rsidRPr="00FD2F46">
        <w:rPr>
          <w:sz w:val="20"/>
          <w:szCs w:val="20"/>
          <w:vertAlign w:val="superscript"/>
          <w:lang w:val="es-MX"/>
        </w:rPr>
        <w:t>a</w:t>
      </w:r>
      <w:r w:rsidR="005372DC" w:rsidRPr="00FD2F46">
        <w:rPr>
          <w:sz w:val="20"/>
          <w:szCs w:val="20"/>
          <w:lang w:val="es-MX"/>
        </w:rPr>
        <w:t>índice</w:t>
      </w:r>
      <w:proofErr w:type="spellEnd"/>
      <w:proofErr w:type="gramEnd"/>
      <w:r w:rsidR="005372DC" w:rsidRPr="00FD2F46">
        <w:rPr>
          <w:sz w:val="20"/>
          <w:szCs w:val="20"/>
          <w:lang w:val="es-MX"/>
        </w:rPr>
        <w:t xml:space="preserve"> de </w:t>
      </w:r>
      <w:r w:rsidR="005372DC" w:rsidRPr="005C5B2A">
        <w:rPr>
          <w:sz w:val="20"/>
          <w:szCs w:val="20"/>
          <w:lang w:val="es-MX"/>
        </w:rPr>
        <w:t>correlación</w:t>
      </w:r>
      <w:r w:rsidR="003A369E" w:rsidRPr="005C5B2A">
        <w:rPr>
          <w:sz w:val="20"/>
          <w:szCs w:val="20"/>
          <w:lang w:val="es-MX"/>
        </w:rPr>
        <w:t>, r</w:t>
      </w:r>
      <w:r w:rsidR="005372DC" w:rsidRPr="005C5B2A">
        <w:rPr>
          <w:sz w:val="20"/>
          <w:szCs w:val="20"/>
          <w:lang w:val="es-MX"/>
        </w:rPr>
        <w:t>.</w:t>
      </w:r>
      <w:r w:rsidR="00FD2F46" w:rsidRPr="005C5B2A">
        <w:rPr>
          <w:sz w:val="20"/>
          <w:szCs w:val="20"/>
          <w:lang w:val="es-MX"/>
        </w:rPr>
        <w:t xml:space="preserve"> </w:t>
      </w:r>
      <w:proofErr w:type="spellStart"/>
      <w:r w:rsidR="005372DC" w:rsidRPr="005C5B2A">
        <w:rPr>
          <w:sz w:val="20"/>
          <w:szCs w:val="20"/>
          <w:vertAlign w:val="superscript"/>
          <w:lang w:val="es-MX"/>
        </w:rPr>
        <w:t>b</w:t>
      </w:r>
      <w:r w:rsidR="003A369E" w:rsidRPr="005C5B2A">
        <w:rPr>
          <w:sz w:val="20"/>
          <w:szCs w:val="20"/>
          <w:lang w:val="es-MX"/>
        </w:rPr>
        <w:t>como</w:t>
      </w:r>
      <w:proofErr w:type="spellEnd"/>
      <w:r w:rsidR="003A369E" w:rsidRPr="005C5B2A">
        <w:rPr>
          <w:sz w:val="20"/>
          <w:szCs w:val="20"/>
          <w:lang w:val="es-MX"/>
        </w:rPr>
        <w:t xml:space="preserve"> desviación estándar relativa, en experimento de </w:t>
      </w:r>
      <w:proofErr w:type="spellStart"/>
      <w:r w:rsidR="003A369E" w:rsidRPr="005C5B2A">
        <w:rPr>
          <w:sz w:val="20"/>
          <w:szCs w:val="20"/>
          <w:lang w:val="es-MX"/>
        </w:rPr>
        <w:t>repetibilidad</w:t>
      </w:r>
      <w:proofErr w:type="spellEnd"/>
      <w:r w:rsidR="003A369E" w:rsidRPr="005C5B2A">
        <w:rPr>
          <w:sz w:val="20"/>
          <w:szCs w:val="20"/>
          <w:lang w:val="es-MX"/>
        </w:rPr>
        <w:t>,</w:t>
      </w:r>
      <w:r w:rsidR="00FD2F46" w:rsidRPr="005C5B2A">
        <w:rPr>
          <w:sz w:val="20"/>
          <w:szCs w:val="20"/>
          <w:lang w:val="es-MX"/>
        </w:rPr>
        <w:t xml:space="preserve"> </w:t>
      </w:r>
      <w:r w:rsidR="003A369E" w:rsidRPr="005C5B2A">
        <w:rPr>
          <w:sz w:val="20"/>
          <w:szCs w:val="20"/>
          <w:lang w:val="es-MX"/>
        </w:rPr>
        <w:t>e</w:t>
      </w:r>
      <w:r w:rsidRPr="005C5B2A">
        <w:rPr>
          <w:sz w:val="20"/>
          <w:szCs w:val="20"/>
          <w:lang w:val="es-MX"/>
        </w:rPr>
        <w:t>n el nivel de</w:t>
      </w:r>
    </w:p>
    <w:p w:rsidR="00FD2F46" w:rsidRPr="005C5B2A" w:rsidRDefault="00FD2F46" w:rsidP="00486879">
      <w:pPr>
        <w:jc w:val="both"/>
        <w:rPr>
          <w:sz w:val="20"/>
          <w:szCs w:val="20"/>
          <w:lang w:val="es-MX"/>
        </w:rPr>
      </w:pPr>
      <w:r w:rsidRPr="005C5B2A">
        <w:rPr>
          <w:sz w:val="20"/>
          <w:szCs w:val="20"/>
          <w:lang w:val="es-MX"/>
        </w:rPr>
        <w:t xml:space="preserve">       </w:t>
      </w:r>
      <w:r w:rsidR="003C4E35" w:rsidRPr="005C5B2A">
        <w:rPr>
          <w:sz w:val="20"/>
          <w:szCs w:val="20"/>
          <w:lang w:val="es-MX"/>
        </w:rPr>
        <w:t xml:space="preserve"> </w:t>
      </w:r>
      <w:proofErr w:type="gramStart"/>
      <w:r w:rsidR="003C4E35" w:rsidRPr="005C5B2A">
        <w:rPr>
          <w:sz w:val="20"/>
          <w:szCs w:val="20"/>
          <w:lang w:val="es-MX"/>
        </w:rPr>
        <w:t>confianza</w:t>
      </w:r>
      <w:proofErr w:type="gramEnd"/>
      <w:r w:rsidR="003C4E35" w:rsidRPr="005C5B2A">
        <w:rPr>
          <w:sz w:val="20"/>
          <w:szCs w:val="20"/>
          <w:lang w:val="es-MX"/>
        </w:rPr>
        <w:t xml:space="preserve"> del 95%.</w:t>
      </w:r>
      <w:r w:rsidRPr="005C5B2A">
        <w:rPr>
          <w:sz w:val="20"/>
          <w:szCs w:val="20"/>
          <w:lang w:val="es-MX"/>
        </w:rPr>
        <w:t xml:space="preserve"> </w:t>
      </w:r>
      <w:proofErr w:type="spellStart"/>
      <w:proofErr w:type="gramStart"/>
      <w:r w:rsidR="005372DC" w:rsidRPr="005C5B2A">
        <w:rPr>
          <w:sz w:val="20"/>
          <w:szCs w:val="20"/>
          <w:vertAlign w:val="superscript"/>
          <w:lang w:val="es-MX"/>
        </w:rPr>
        <w:t>c</w:t>
      </w:r>
      <w:r w:rsidR="00902714" w:rsidRPr="005C5B2A">
        <w:rPr>
          <w:sz w:val="20"/>
          <w:szCs w:val="20"/>
          <w:lang w:val="es-MX"/>
        </w:rPr>
        <w:t>Evaluada</w:t>
      </w:r>
      <w:proofErr w:type="spellEnd"/>
      <w:proofErr w:type="gramEnd"/>
      <w:r w:rsidR="00902714" w:rsidRPr="005C5B2A">
        <w:rPr>
          <w:sz w:val="20"/>
          <w:szCs w:val="20"/>
          <w:lang w:val="es-MX"/>
        </w:rPr>
        <w:t xml:space="preserve"> en el nivel de concentración de</w:t>
      </w:r>
      <w:r w:rsidR="005372DC" w:rsidRPr="005C5B2A">
        <w:rPr>
          <w:sz w:val="20"/>
          <w:szCs w:val="20"/>
          <w:lang w:val="es-MX"/>
        </w:rPr>
        <w:t xml:space="preserve"> </w:t>
      </w:r>
      <w:r w:rsidR="003A369E" w:rsidRPr="005C5B2A">
        <w:rPr>
          <w:sz w:val="20"/>
          <w:szCs w:val="20"/>
          <w:lang w:val="es-MX"/>
        </w:rPr>
        <w:t xml:space="preserve">1,235, </w:t>
      </w:r>
      <w:r w:rsidRPr="005C5B2A">
        <w:rPr>
          <w:sz w:val="20"/>
          <w:szCs w:val="20"/>
          <w:lang w:val="es-MX"/>
        </w:rPr>
        <w:t xml:space="preserve">10,069 y 1,003 </w:t>
      </w:r>
      <w:r w:rsidR="003A369E" w:rsidRPr="005C5B2A">
        <w:rPr>
          <w:rFonts w:ascii="Symbol" w:hAnsi="Symbol"/>
          <w:sz w:val="20"/>
          <w:szCs w:val="20"/>
          <w:lang w:val="es-MX"/>
        </w:rPr>
        <w:t></w:t>
      </w:r>
      <w:r w:rsidR="003A369E" w:rsidRPr="005C5B2A">
        <w:rPr>
          <w:sz w:val="20"/>
          <w:szCs w:val="20"/>
          <w:lang w:val="es-MX"/>
        </w:rPr>
        <w:t>moles/L</w:t>
      </w:r>
      <w:r w:rsidR="00902714" w:rsidRPr="005C5B2A">
        <w:rPr>
          <w:sz w:val="20"/>
          <w:szCs w:val="20"/>
          <w:lang w:val="es-MX"/>
        </w:rPr>
        <w:t xml:space="preserve"> </w:t>
      </w:r>
      <w:r w:rsidRPr="005C5B2A">
        <w:rPr>
          <w:sz w:val="20"/>
          <w:szCs w:val="20"/>
          <w:lang w:val="es-MX"/>
        </w:rPr>
        <w:t>para ML, AF</w:t>
      </w:r>
    </w:p>
    <w:p w:rsidR="003C4E35" w:rsidRPr="00FD2F46" w:rsidRDefault="00FD2F46" w:rsidP="00486879">
      <w:pPr>
        <w:jc w:val="both"/>
        <w:rPr>
          <w:sz w:val="20"/>
          <w:szCs w:val="20"/>
          <w:lang w:val="es-MX"/>
        </w:rPr>
      </w:pPr>
      <w:r w:rsidRPr="005C5B2A">
        <w:rPr>
          <w:sz w:val="20"/>
          <w:szCs w:val="20"/>
          <w:lang w:val="es-MX"/>
        </w:rPr>
        <w:t xml:space="preserve">        </w:t>
      </w:r>
      <w:proofErr w:type="gramStart"/>
      <w:r w:rsidRPr="005C5B2A">
        <w:rPr>
          <w:sz w:val="20"/>
          <w:szCs w:val="20"/>
          <w:lang w:val="es-MX"/>
        </w:rPr>
        <w:t>y</w:t>
      </w:r>
      <w:proofErr w:type="gramEnd"/>
      <w:r w:rsidRPr="005C5B2A">
        <w:rPr>
          <w:sz w:val="20"/>
          <w:szCs w:val="20"/>
          <w:lang w:val="es-MX"/>
        </w:rPr>
        <w:t xml:space="preserve"> AA, respectivamente</w:t>
      </w:r>
      <w:r w:rsidR="00F35477" w:rsidRPr="005C5B2A">
        <w:rPr>
          <w:sz w:val="20"/>
          <w:szCs w:val="20"/>
          <w:lang w:val="es-MX"/>
        </w:rPr>
        <w:t>.</w:t>
      </w:r>
      <w:r w:rsidRPr="005C5B2A">
        <w:rPr>
          <w:sz w:val="20"/>
          <w:szCs w:val="20"/>
          <w:lang w:val="es-MX"/>
        </w:rPr>
        <w:t xml:space="preserve"> </w:t>
      </w:r>
      <w:proofErr w:type="spellStart"/>
      <w:proofErr w:type="gramStart"/>
      <w:r w:rsidR="005372DC" w:rsidRPr="005C5B2A">
        <w:rPr>
          <w:sz w:val="20"/>
          <w:szCs w:val="20"/>
          <w:vertAlign w:val="superscript"/>
          <w:lang w:val="es-MX"/>
        </w:rPr>
        <w:t>d</w:t>
      </w:r>
      <w:r w:rsidR="00B83EEC" w:rsidRPr="005C5B2A">
        <w:rPr>
          <w:sz w:val="20"/>
          <w:szCs w:val="20"/>
          <w:lang w:val="es-MX"/>
        </w:rPr>
        <w:t>s</w:t>
      </w:r>
      <w:r w:rsidR="00F35477" w:rsidRPr="005C5B2A">
        <w:rPr>
          <w:sz w:val="20"/>
          <w:szCs w:val="20"/>
          <w:lang w:val="es-MX"/>
        </w:rPr>
        <w:t>eñal</w:t>
      </w:r>
      <w:proofErr w:type="spellEnd"/>
      <w:r w:rsidR="00F35477" w:rsidRPr="005C5B2A">
        <w:rPr>
          <w:sz w:val="20"/>
          <w:szCs w:val="20"/>
          <w:lang w:val="es-MX"/>
        </w:rPr>
        <w:t>/ruido</w:t>
      </w:r>
      <w:proofErr w:type="gramEnd"/>
      <w:r w:rsidR="00B83EEC" w:rsidRPr="005C5B2A">
        <w:rPr>
          <w:sz w:val="20"/>
          <w:szCs w:val="20"/>
          <w:lang w:val="es-MX"/>
        </w:rPr>
        <w:t xml:space="preserve"> </w:t>
      </w:r>
      <w:r w:rsidR="00F35477" w:rsidRPr="005C5B2A">
        <w:rPr>
          <w:sz w:val="20"/>
          <w:szCs w:val="20"/>
          <w:lang w:val="es-MX"/>
        </w:rPr>
        <w:t>=</w:t>
      </w:r>
      <w:r w:rsidR="00B83EEC" w:rsidRPr="005C5B2A">
        <w:rPr>
          <w:sz w:val="20"/>
          <w:szCs w:val="20"/>
          <w:lang w:val="es-MX"/>
        </w:rPr>
        <w:t xml:space="preserve"> </w:t>
      </w:r>
      <w:r w:rsidR="00F35477" w:rsidRPr="005C5B2A">
        <w:rPr>
          <w:sz w:val="20"/>
          <w:szCs w:val="20"/>
          <w:lang w:val="es-MX"/>
        </w:rPr>
        <w:t>2</w:t>
      </w:r>
      <w:r w:rsidR="00323D11" w:rsidRPr="005C5B2A">
        <w:rPr>
          <w:sz w:val="20"/>
          <w:szCs w:val="20"/>
          <w:lang w:val="es-MX"/>
        </w:rPr>
        <w:t>.</w:t>
      </w:r>
    </w:p>
    <w:p w:rsidR="004A0DCC" w:rsidRDefault="004A0DCC" w:rsidP="00A560F6">
      <w:pPr>
        <w:spacing w:line="360" w:lineRule="auto"/>
        <w:jc w:val="both"/>
        <w:rPr>
          <w:lang w:val="es-MX"/>
        </w:rPr>
      </w:pPr>
    </w:p>
    <w:p w:rsidR="00644BAB" w:rsidRPr="002554C8" w:rsidRDefault="00644BAB" w:rsidP="00A560F6">
      <w:pPr>
        <w:spacing w:line="360" w:lineRule="auto"/>
        <w:jc w:val="both"/>
        <w:rPr>
          <w:lang w:val="es-MX"/>
        </w:rPr>
      </w:pPr>
    </w:p>
    <w:p w:rsidR="003C4E35" w:rsidRPr="003B287A" w:rsidRDefault="00F548A2" w:rsidP="00A560F6">
      <w:pPr>
        <w:spacing w:line="360" w:lineRule="auto"/>
        <w:jc w:val="both"/>
        <w:rPr>
          <w:sz w:val="20"/>
          <w:szCs w:val="20"/>
          <w:lang w:val="es-MX"/>
        </w:rPr>
      </w:pPr>
      <w:r>
        <w:rPr>
          <w:sz w:val="20"/>
          <w:szCs w:val="20"/>
          <w:lang w:val="es-MX"/>
        </w:rPr>
        <w:t xml:space="preserve"> </w:t>
      </w:r>
      <w:r w:rsidR="00F34AC8">
        <w:rPr>
          <w:sz w:val="20"/>
          <w:szCs w:val="20"/>
          <w:lang w:val="es-MX"/>
        </w:rPr>
        <w:t xml:space="preserve">    </w:t>
      </w:r>
      <w:r w:rsidR="006E2EA9">
        <w:rPr>
          <w:sz w:val="20"/>
          <w:szCs w:val="20"/>
          <w:lang w:val="es-MX"/>
        </w:rPr>
        <w:t xml:space="preserve"> </w:t>
      </w:r>
      <w:r>
        <w:rPr>
          <w:sz w:val="20"/>
          <w:szCs w:val="20"/>
          <w:lang w:val="es-MX"/>
        </w:rPr>
        <w:t>T</w:t>
      </w:r>
      <w:r w:rsidR="00323D11" w:rsidRPr="003B287A">
        <w:rPr>
          <w:sz w:val="20"/>
          <w:szCs w:val="20"/>
          <w:lang w:val="es-MX"/>
        </w:rPr>
        <w:t>abla 2.</w:t>
      </w:r>
      <w:r w:rsidR="003C4E35" w:rsidRPr="003B287A">
        <w:rPr>
          <w:sz w:val="20"/>
          <w:szCs w:val="20"/>
          <w:lang w:val="es-MX"/>
        </w:rPr>
        <w:t xml:space="preserve"> Resultados del análisis de mezclas sintéticas </w:t>
      </w:r>
      <w:r w:rsidR="001864B3" w:rsidRPr="003B287A">
        <w:rPr>
          <w:sz w:val="20"/>
          <w:szCs w:val="20"/>
          <w:lang w:val="es-MX"/>
        </w:rPr>
        <w:t>de ML AF y A</w:t>
      </w:r>
      <w:r w:rsidR="00D37DE2">
        <w:rPr>
          <w:sz w:val="20"/>
          <w:szCs w:val="20"/>
          <w:lang w:val="es-MX"/>
        </w:rPr>
        <w:t>A</w:t>
      </w:r>
      <w:r w:rsidR="001864B3" w:rsidRPr="003B287A">
        <w:rPr>
          <w:sz w:val="20"/>
          <w:szCs w:val="20"/>
          <w:lang w:val="es-MX"/>
        </w:rPr>
        <w:t xml:space="preserve"> en mezcla de H</w:t>
      </w:r>
      <w:r w:rsidR="001864B3" w:rsidRPr="003B287A">
        <w:rPr>
          <w:sz w:val="20"/>
          <w:szCs w:val="20"/>
          <w:vertAlign w:val="subscript"/>
          <w:lang w:val="es-MX"/>
        </w:rPr>
        <w:t>2</w:t>
      </w:r>
      <w:r w:rsidR="001864B3" w:rsidRPr="003B287A">
        <w:rPr>
          <w:sz w:val="20"/>
          <w:szCs w:val="20"/>
          <w:lang w:val="es-MX"/>
        </w:rPr>
        <w:t>O</w:t>
      </w:r>
      <w:r w:rsidR="001864B3" w:rsidRPr="003B287A">
        <w:rPr>
          <w:sz w:val="20"/>
          <w:szCs w:val="20"/>
          <w:vertAlign w:val="subscript"/>
          <w:lang w:val="es-MX"/>
        </w:rPr>
        <w:t>2</w:t>
      </w:r>
      <w:r w:rsidR="001864B3" w:rsidRPr="003B287A">
        <w:rPr>
          <w:sz w:val="20"/>
          <w:szCs w:val="20"/>
          <w:lang w:val="es-MX"/>
        </w:rPr>
        <w:t>/H</w:t>
      </w:r>
      <w:r w:rsidR="001864B3" w:rsidRPr="003B287A">
        <w:rPr>
          <w:sz w:val="20"/>
          <w:szCs w:val="20"/>
          <w:vertAlign w:val="subscript"/>
          <w:lang w:val="es-MX"/>
        </w:rPr>
        <w:t>2</w:t>
      </w:r>
      <w:r w:rsidR="001864B3" w:rsidRPr="003B287A">
        <w:rPr>
          <w:sz w:val="20"/>
          <w:szCs w:val="20"/>
          <w:lang w:val="es-MX"/>
        </w:rPr>
        <w:t>O</w:t>
      </w:r>
      <w:r w:rsidR="002E6064" w:rsidRPr="003B287A">
        <w:rPr>
          <w:sz w:val="20"/>
          <w:szCs w:val="20"/>
          <w:lang w:val="es-MX"/>
        </w:rPr>
        <w:t>, por RMN</w:t>
      </w:r>
      <w:r w:rsidR="00FB3BBB" w:rsidRPr="003B287A">
        <w:rPr>
          <w:sz w:val="20"/>
          <w:szCs w:val="20"/>
          <w:lang w:val="es-MX"/>
        </w:rPr>
        <w:t xml:space="preserve"> </w:t>
      </w:r>
      <w:r w:rsidR="002E6064" w:rsidRPr="003B287A">
        <w:rPr>
          <w:sz w:val="20"/>
          <w:szCs w:val="20"/>
          <w:vertAlign w:val="superscript"/>
          <w:lang w:val="es-MX"/>
        </w:rPr>
        <w:t>1</w:t>
      </w:r>
      <w:r w:rsidR="002E6064" w:rsidRPr="003B287A">
        <w:rPr>
          <w:sz w:val="20"/>
          <w:szCs w:val="20"/>
          <w:lang w:val="es-MX"/>
        </w:rPr>
        <w:t>H</w:t>
      </w:r>
      <w:r w:rsidR="003C4E35" w:rsidRPr="003B287A">
        <w:rPr>
          <w:sz w:val="20"/>
          <w:szCs w:val="20"/>
          <w:lang w:val="es-MX"/>
        </w:rPr>
        <w:t>.</w:t>
      </w:r>
    </w:p>
    <w:tbl>
      <w:tblPr>
        <w:tblStyle w:val="Tablaconcuadrcula"/>
        <w:tblW w:w="8646" w:type="dxa"/>
        <w:jc w:val="center"/>
        <w:tblLayout w:type="fixed"/>
        <w:tblLook w:val="01E0" w:firstRow="1" w:lastRow="1" w:firstColumn="1" w:lastColumn="1" w:noHBand="0" w:noVBand="0"/>
      </w:tblPr>
      <w:tblGrid>
        <w:gridCol w:w="2409"/>
        <w:gridCol w:w="2127"/>
        <w:gridCol w:w="1559"/>
        <w:gridCol w:w="2551"/>
      </w:tblGrid>
      <w:tr w:rsidR="00432A13" w:rsidRPr="002554C8" w:rsidTr="00D269E7">
        <w:trPr>
          <w:trHeight w:val="429"/>
          <w:jc w:val="center"/>
        </w:trPr>
        <w:tc>
          <w:tcPr>
            <w:tcW w:w="2409" w:type="dxa"/>
            <w:vMerge w:val="restart"/>
            <w:vAlign w:val="center"/>
          </w:tcPr>
          <w:p w:rsidR="00432A13" w:rsidRPr="00D269E7" w:rsidRDefault="00432A13" w:rsidP="00486879">
            <w:pPr>
              <w:jc w:val="center"/>
              <w:rPr>
                <w:sz w:val="20"/>
                <w:szCs w:val="20"/>
                <w:lang w:val="es-MX"/>
              </w:rPr>
            </w:pPr>
            <w:r w:rsidRPr="00D269E7">
              <w:rPr>
                <w:sz w:val="20"/>
                <w:szCs w:val="20"/>
                <w:lang w:val="es-MX"/>
              </w:rPr>
              <w:t>Concentración Real</w:t>
            </w:r>
          </w:p>
          <w:p w:rsidR="00432A13" w:rsidRPr="00D269E7" w:rsidRDefault="00432A13" w:rsidP="00486879">
            <w:pPr>
              <w:jc w:val="center"/>
              <w:rPr>
                <w:sz w:val="20"/>
                <w:szCs w:val="20"/>
                <w:lang w:val="es-MX"/>
              </w:rPr>
            </w:pPr>
            <w:r w:rsidRPr="00D269E7">
              <w:rPr>
                <w:sz w:val="20"/>
                <w:szCs w:val="20"/>
                <w:lang w:val="es-MX"/>
              </w:rPr>
              <w:t>[</w:t>
            </w:r>
            <w:r w:rsidRPr="00D269E7">
              <w:rPr>
                <w:rFonts w:ascii="Symbol" w:hAnsi="Symbol"/>
                <w:sz w:val="20"/>
                <w:szCs w:val="20"/>
                <w:lang w:val="es-MX"/>
              </w:rPr>
              <w:t></w:t>
            </w:r>
            <w:r w:rsidRPr="00D269E7">
              <w:rPr>
                <w:sz w:val="20"/>
                <w:szCs w:val="20"/>
                <w:lang w:val="es-MX"/>
              </w:rPr>
              <w:t>moles/L]</w:t>
            </w:r>
          </w:p>
          <w:p w:rsidR="00432A13" w:rsidRPr="00D269E7" w:rsidRDefault="00432A13" w:rsidP="00486879">
            <w:pPr>
              <w:jc w:val="center"/>
              <w:rPr>
                <w:sz w:val="20"/>
                <w:szCs w:val="20"/>
                <w:lang w:val="es-MX"/>
              </w:rPr>
            </w:pPr>
            <w:r w:rsidRPr="00D269E7">
              <w:rPr>
                <w:sz w:val="20"/>
                <w:szCs w:val="20"/>
                <w:lang w:val="es-MX"/>
              </w:rPr>
              <w:t>ML/AF/AA</w:t>
            </w:r>
          </w:p>
        </w:tc>
        <w:tc>
          <w:tcPr>
            <w:tcW w:w="6237" w:type="dxa"/>
            <w:gridSpan w:val="3"/>
            <w:vAlign w:val="center"/>
          </w:tcPr>
          <w:p w:rsidR="00432A13" w:rsidRPr="00D269E7" w:rsidRDefault="00432A13" w:rsidP="00486879">
            <w:pPr>
              <w:jc w:val="center"/>
              <w:rPr>
                <w:sz w:val="20"/>
                <w:szCs w:val="20"/>
                <w:lang w:val="es-MX"/>
              </w:rPr>
            </w:pPr>
            <w:r w:rsidRPr="00D269E7">
              <w:rPr>
                <w:sz w:val="20"/>
                <w:szCs w:val="20"/>
                <w:lang w:val="es-MX"/>
              </w:rPr>
              <w:t>Concentración Calculada [</w:t>
            </w:r>
            <w:r w:rsidRPr="00D269E7">
              <w:rPr>
                <w:rFonts w:ascii="Symbol" w:hAnsi="Symbol"/>
                <w:sz w:val="20"/>
                <w:szCs w:val="20"/>
                <w:lang w:val="es-MX"/>
              </w:rPr>
              <w:t></w:t>
            </w:r>
            <w:r w:rsidRPr="00D269E7">
              <w:rPr>
                <w:sz w:val="20"/>
                <w:szCs w:val="20"/>
                <w:lang w:val="es-MX"/>
              </w:rPr>
              <w:t>moles/L] /</w:t>
            </w:r>
            <w:r w:rsidR="00D37DE2">
              <w:rPr>
                <w:sz w:val="20"/>
                <w:szCs w:val="20"/>
                <w:lang w:val="es-MX"/>
              </w:rPr>
              <w:t xml:space="preserve"> </w:t>
            </w:r>
            <w:r w:rsidRPr="00D269E7">
              <w:rPr>
                <w:sz w:val="20"/>
                <w:szCs w:val="20"/>
                <w:lang w:val="es-MX"/>
              </w:rPr>
              <w:t>Recuperación [%]</w:t>
            </w:r>
          </w:p>
        </w:tc>
      </w:tr>
      <w:tr w:rsidR="00432A13" w:rsidRPr="002554C8" w:rsidTr="008751AA">
        <w:trPr>
          <w:trHeight w:val="351"/>
          <w:jc w:val="center"/>
        </w:trPr>
        <w:tc>
          <w:tcPr>
            <w:tcW w:w="2409" w:type="dxa"/>
            <w:vMerge/>
            <w:vAlign w:val="center"/>
          </w:tcPr>
          <w:p w:rsidR="00432A13" w:rsidRPr="00D269E7" w:rsidRDefault="00432A13" w:rsidP="00486879">
            <w:pPr>
              <w:rPr>
                <w:sz w:val="20"/>
                <w:szCs w:val="20"/>
                <w:lang w:val="es-MX"/>
              </w:rPr>
            </w:pPr>
          </w:p>
        </w:tc>
        <w:tc>
          <w:tcPr>
            <w:tcW w:w="2127" w:type="dxa"/>
            <w:vAlign w:val="center"/>
          </w:tcPr>
          <w:p w:rsidR="00432A13" w:rsidRPr="00D269E7" w:rsidRDefault="00432A13" w:rsidP="00486879">
            <w:pPr>
              <w:jc w:val="center"/>
              <w:rPr>
                <w:sz w:val="20"/>
                <w:szCs w:val="20"/>
                <w:lang w:val="es-MX"/>
              </w:rPr>
            </w:pPr>
            <w:r w:rsidRPr="00D269E7">
              <w:rPr>
                <w:sz w:val="20"/>
                <w:szCs w:val="20"/>
                <w:lang w:val="es-MX"/>
              </w:rPr>
              <w:t>ML</w:t>
            </w:r>
          </w:p>
        </w:tc>
        <w:tc>
          <w:tcPr>
            <w:tcW w:w="1559" w:type="dxa"/>
            <w:vAlign w:val="center"/>
          </w:tcPr>
          <w:p w:rsidR="00432A13" w:rsidRPr="00D269E7" w:rsidRDefault="00432A13" w:rsidP="00486879">
            <w:pPr>
              <w:jc w:val="center"/>
              <w:rPr>
                <w:sz w:val="20"/>
                <w:szCs w:val="20"/>
                <w:lang w:val="es-MX"/>
              </w:rPr>
            </w:pPr>
            <w:r w:rsidRPr="00D269E7">
              <w:rPr>
                <w:sz w:val="20"/>
                <w:szCs w:val="20"/>
                <w:lang w:val="es-MX"/>
              </w:rPr>
              <w:t>AF</w:t>
            </w:r>
          </w:p>
        </w:tc>
        <w:tc>
          <w:tcPr>
            <w:tcW w:w="2551" w:type="dxa"/>
            <w:vAlign w:val="center"/>
          </w:tcPr>
          <w:p w:rsidR="00432A13" w:rsidRPr="00D269E7" w:rsidRDefault="00432A13" w:rsidP="00486879">
            <w:pPr>
              <w:jc w:val="center"/>
              <w:rPr>
                <w:sz w:val="20"/>
                <w:szCs w:val="20"/>
                <w:lang w:val="es-MX"/>
              </w:rPr>
            </w:pPr>
            <w:r w:rsidRPr="00D269E7">
              <w:rPr>
                <w:sz w:val="20"/>
                <w:szCs w:val="20"/>
                <w:lang w:val="es-MX"/>
              </w:rPr>
              <w:t>AA</w:t>
            </w:r>
          </w:p>
        </w:tc>
      </w:tr>
      <w:tr w:rsidR="003B287A" w:rsidRPr="002554C8" w:rsidTr="00432A13">
        <w:trPr>
          <w:trHeight w:val="455"/>
          <w:jc w:val="center"/>
        </w:trPr>
        <w:tc>
          <w:tcPr>
            <w:tcW w:w="2409" w:type="dxa"/>
            <w:vAlign w:val="center"/>
          </w:tcPr>
          <w:p w:rsidR="003B287A" w:rsidRPr="00D269E7" w:rsidRDefault="003B287A" w:rsidP="00486879">
            <w:pPr>
              <w:jc w:val="center"/>
              <w:rPr>
                <w:sz w:val="20"/>
                <w:szCs w:val="20"/>
                <w:lang w:val="es-MX"/>
              </w:rPr>
            </w:pPr>
            <w:r w:rsidRPr="00D269E7">
              <w:rPr>
                <w:sz w:val="20"/>
                <w:szCs w:val="20"/>
                <w:lang w:val="es-MX"/>
              </w:rPr>
              <w:t>1,235/10,069/1,003</w:t>
            </w:r>
          </w:p>
        </w:tc>
        <w:tc>
          <w:tcPr>
            <w:tcW w:w="2127" w:type="dxa"/>
            <w:vAlign w:val="center"/>
          </w:tcPr>
          <w:p w:rsidR="003B287A" w:rsidRPr="00D269E7" w:rsidRDefault="003B287A" w:rsidP="00486879">
            <w:pPr>
              <w:jc w:val="center"/>
              <w:rPr>
                <w:sz w:val="20"/>
                <w:szCs w:val="20"/>
                <w:lang w:val="es-MX"/>
              </w:rPr>
            </w:pPr>
            <w:r w:rsidRPr="00D269E7">
              <w:rPr>
                <w:sz w:val="20"/>
                <w:szCs w:val="20"/>
                <w:lang w:val="es-MX"/>
              </w:rPr>
              <w:t>1,153/93.36</w:t>
            </w:r>
          </w:p>
        </w:tc>
        <w:tc>
          <w:tcPr>
            <w:tcW w:w="1559" w:type="dxa"/>
            <w:vAlign w:val="center"/>
          </w:tcPr>
          <w:p w:rsidR="003B287A" w:rsidRPr="00D269E7" w:rsidRDefault="003B287A" w:rsidP="00486879">
            <w:pPr>
              <w:jc w:val="center"/>
              <w:rPr>
                <w:sz w:val="20"/>
                <w:szCs w:val="20"/>
                <w:lang w:val="es-MX"/>
              </w:rPr>
            </w:pPr>
            <w:r w:rsidRPr="00D269E7">
              <w:rPr>
                <w:sz w:val="20"/>
                <w:szCs w:val="20"/>
                <w:lang w:val="es-MX"/>
              </w:rPr>
              <w:t>9,696/96.29</w:t>
            </w:r>
          </w:p>
        </w:tc>
        <w:tc>
          <w:tcPr>
            <w:tcW w:w="2551" w:type="dxa"/>
            <w:vAlign w:val="center"/>
          </w:tcPr>
          <w:p w:rsidR="003B287A" w:rsidRPr="00D269E7" w:rsidRDefault="003B287A" w:rsidP="00486879">
            <w:pPr>
              <w:jc w:val="center"/>
              <w:rPr>
                <w:sz w:val="20"/>
                <w:szCs w:val="20"/>
                <w:lang w:val="es-MX"/>
              </w:rPr>
            </w:pPr>
            <w:r w:rsidRPr="00D269E7">
              <w:rPr>
                <w:sz w:val="20"/>
                <w:szCs w:val="20"/>
                <w:lang w:val="es-MX"/>
              </w:rPr>
              <w:t>1,011/100.80</w:t>
            </w:r>
          </w:p>
        </w:tc>
      </w:tr>
      <w:tr w:rsidR="003B287A" w:rsidRPr="002554C8" w:rsidTr="00432A13">
        <w:trPr>
          <w:trHeight w:val="419"/>
          <w:jc w:val="center"/>
        </w:trPr>
        <w:tc>
          <w:tcPr>
            <w:tcW w:w="2409" w:type="dxa"/>
            <w:vAlign w:val="center"/>
          </w:tcPr>
          <w:p w:rsidR="003B287A" w:rsidRPr="00D269E7" w:rsidRDefault="003B287A" w:rsidP="00486879">
            <w:pPr>
              <w:jc w:val="center"/>
              <w:rPr>
                <w:color w:val="000000"/>
                <w:sz w:val="20"/>
                <w:szCs w:val="20"/>
                <w:lang w:val="es-MX"/>
              </w:rPr>
            </w:pPr>
            <w:r w:rsidRPr="00D269E7">
              <w:rPr>
                <w:color w:val="000000"/>
                <w:sz w:val="20"/>
                <w:szCs w:val="20"/>
                <w:lang w:val="es-MX"/>
              </w:rPr>
              <w:t>1,527/15,021/1,502</w:t>
            </w:r>
          </w:p>
        </w:tc>
        <w:tc>
          <w:tcPr>
            <w:tcW w:w="2127" w:type="dxa"/>
            <w:vAlign w:val="center"/>
          </w:tcPr>
          <w:p w:rsidR="003B287A" w:rsidRPr="00D269E7" w:rsidRDefault="003B287A" w:rsidP="00486879">
            <w:pPr>
              <w:jc w:val="center"/>
              <w:rPr>
                <w:color w:val="000000"/>
                <w:sz w:val="20"/>
                <w:szCs w:val="20"/>
                <w:lang w:val="es-MX"/>
              </w:rPr>
            </w:pPr>
            <w:r w:rsidRPr="00D269E7">
              <w:rPr>
                <w:color w:val="000000"/>
                <w:sz w:val="20"/>
                <w:szCs w:val="20"/>
                <w:lang w:val="es-MX"/>
              </w:rPr>
              <w:t>1,542/100.98</w:t>
            </w:r>
          </w:p>
        </w:tc>
        <w:tc>
          <w:tcPr>
            <w:tcW w:w="1559" w:type="dxa"/>
            <w:vAlign w:val="center"/>
          </w:tcPr>
          <w:p w:rsidR="003B287A" w:rsidRPr="00D269E7" w:rsidRDefault="003B287A" w:rsidP="00486879">
            <w:pPr>
              <w:jc w:val="center"/>
              <w:rPr>
                <w:color w:val="000000"/>
                <w:sz w:val="20"/>
                <w:szCs w:val="20"/>
                <w:lang w:val="es-MX"/>
              </w:rPr>
            </w:pPr>
            <w:r w:rsidRPr="00D269E7">
              <w:rPr>
                <w:color w:val="000000"/>
                <w:sz w:val="20"/>
                <w:szCs w:val="20"/>
                <w:lang w:val="es-MX"/>
              </w:rPr>
              <w:t>14,811/98.60</w:t>
            </w:r>
          </w:p>
        </w:tc>
        <w:tc>
          <w:tcPr>
            <w:tcW w:w="2551" w:type="dxa"/>
            <w:vAlign w:val="center"/>
          </w:tcPr>
          <w:p w:rsidR="003B287A" w:rsidRPr="00D269E7" w:rsidRDefault="003B287A" w:rsidP="00486879">
            <w:pPr>
              <w:jc w:val="center"/>
              <w:rPr>
                <w:color w:val="000000"/>
                <w:sz w:val="20"/>
                <w:szCs w:val="20"/>
                <w:lang w:val="es-MX"/>
              </w:rPr>
            </w:pPr>
            <w:r w:rsidRPr="00D269E7">
              <w:rPr>
                <w:color w:val="000000"/>
                <w:sz w:val="20"/>
                <w:szCs w:val="20"/>
                <w:lang w:val="es-MX"/>
              </w:rPr>
              <w:t>1,514/100.80</w:t>
            </w:r>
          </w:p>
        </w:tc>
      </w:tr>
    </w:tbl>
    <w:p w:rsidR="00272BE4" w:rsidRPr="002554C8" w:rsidRDefault="00272BE4" w:rsidP="00A560F6">
      <w:pPr>
        <w:spacing w:line="360" w:lineRule="auto"/>
        <w:jc w:val="both"/>
      </w:pPr>
    </w:p>
    <w:p w:rsidR="00EA1411" w:rsidRDefault="00864552" w:rsidP="00864552">
      <w:pPr>
        <w:pStyle w:val="Textoindependiente2"/>
        <w:spacing w:after="0" w:line="360" w:lineRule="auto"/>
        <w:jc w:val="both"/>
      </w:pPr>
      <w:r w:rsidRPr="00D55F6F">
        <w:t>Los resultados del análisis de algunos productos líquidos (</w:t>
      </w:r>
      <w:proofErr w:type="spellStart"/>
      <w:r w:rsidRPr="00D55F6F">
        <w:t>PL´s</w:t>
      </w:r>
      <w:proofErr w:type="spellEnd"/>
      <w:r w:rsidRPr="00D55F6F">
        <w:t xml:space="preserve">) obtenidos </w:t>
      </w:r>
      <w:r w:rsidR="00592745">
        <w:t>por conversión</w:t>
      </w:r>
      <w:r w:rsidRPr="00D55F6F">
        <w:t xml:space="preserve"> </w:t>
      </w:r>
      <w:r w:rsidR="002F1C1F" w:rsidRPr="00D55F6F">
        <w:t xml:space="preserve">de metano a ML </w:t>
      </w:r>
      <w:r w:rsidRPr="00D55F6F">
        <w:t>bajo las mismas condiciones de reacción</w:t>
      </w:r>
      <w:r w:rsidR="00BB2A6F">
        <w:t>,</w:t>
      </w:r>
      <w:r w:rsidR="002F1C1F" w:rsidRPr="00D55F6F">
        <w:t xml:space="preserve"> </w:t>
      </w:r>
      <w:r w:rsidR="002F1C1F" w:rsidRPr="00D55F6F">
        <w:t xml:space="preserve">por medio del </w:t>
      </w:r>
      <w:r w:rsidR="005237BE" w:rsidRPr="00D55F6F">
        <w:t>empleo</w:t>
      </w:r>
      <w:r w:rsidR="002F1C1F" w:rsidRPr="00D55F6F">
        <w:t xml:space="preserve"> de diversos catalizadores, </w:t>
      </w:r>
      <w:r w:rsidRPr="00D55F6F">
        <w:t xml:space="preserve">se muestran en la Tabla 3. </w:t>
      </w:r>
      <w:r w:rsidR="007E000C">
        <w:t xml:space="preserve">Los datos indican </w:t>
      </w:r>
      <w:r w:rsidR="007E000C" w:rsidRPr="00D55F6F">
        <w:t>diferencias significativas</w:t>
      </w:r>
      <w:r w:rsidR="007E000C">
        <w:t xml:space="preserve"> en la </w:t>
      </w:r>
      <w:r w:rsidR="007E000C" w:rsidRPr="00D55F6F">
        <w:t>distribución de los orgánicos oxigenados</w:t>
      </w:r>
      <w:r w:rsidR="007E000C">
        <w:t xml:space="preserve"> en </w:t>
      </w:r>
      <w:r w:rsidR="007E000C" w:rsidRPr="00D55F6F">
        <w:t>función de la composición del catalizador</w:t>
      </w:r>
      <w:r w:rsidR="007E000C">
        <w:t>.</w:t>
      </w:r>
      <w:r w:rsidR="00211BC0" w:rsidRPr="00D55F6F">
        <w:t xml:space="preserve"> Si bien,</w:t>
      </w:r>
      <w:r w:rsidR="00592745">
        <w:t xml:space="preserve"> con el catalizador A </w:t>
      </w:r>
      <w:r w:rsidR="00592745" w:rsidRPr="00D55F6F">
        <w:t xml:space="preserve">se </w:t>
      </w:r>
      <w:r w:rsidR="00592745">
        <w:t>obtuvo</w:t>
      </w:r>
      <w:r w:rsidR="00592745" w:rsidRPr="00D55F6F">
        <w:t xml:space="preserve"> </w:t>
      </w:r>
      <w:r w:rsidR="00592745">
        <w:t>la mayor concentración</w:t>
      </w:r>
      <w:r w:rsidR="00592745" w:rsidRPr="00D55F6F">
        <w:t xml:space="preserve"> de ML</w:t>
      </w:r>
      <w:r w:rsidR="00592745">
        <w:t>,</w:t>
      </w:r>
      <w:r w:rsidR="00592745" w:rsidRPr="00D55F6F">
        <w:t xml:space="preserve"> el catalizador B </w:t>
      </w:r>
      <w:r w:rsidR="00592745">
        <w:t>fue</w:t>
      </w:r>
      <w:r w:rsidR="00592745" w:rsidRPr="00D55F6F">
        <w:t xml:space="preserve"> más selectivo ya que </w:t>
      </w:r>
      <w:r w:rsidR="00592745">
        <w:t>cuando éste se empleó</w:t>
      </w:r>
      <w:r w:rsidR="00592745" w:rsidRPr="00D55F6F">
        <w:t xml:space="preserve"> no se detectó la presencia de AF </w:t>
      </w:r>
      <w:r w:rsidR="00592745" w:rsidRPr="00592745">
        <w:t>en el correspondiente PL</w:t>
      </w:r>
      <w:r w:rsidR="00592745">
        <w:t xml:space="preserve">. </w:t>
      </w:r>
      <w:r w:rsidR="003A53CE">
        <w:t>La concentración de ML producida en presencia del catalizador A fue 18</w:t>
      </w:r>
      <w:r w:rsidR="00331C18">
        <w:t xml:space="preserve"> </w:t>
      </w:r>
      <w:r w:rsidR="003A53CE">
        <w:t>% mayor que en el caso del catalizador B</w:t>
      </w:r>
      <w:r w:rsidR="00211BC0" w:rsidRPr="00D55F6F">
        <w:t xml:space="preserve">. </w:t>
      </w:r>
      <w:r w:rsidR="002611CE">
        <w:t>En presencia de los</w:t>
      </w:r>
      <w:r w:rsidR="00211BC0" w:rsidRPr="00D55F6F">
        <w:t xml:space="preserve"> catalizadores </w:t>
      </w:r>
      <w:r w:rsidR="00D2040E">
        <w:t>C</w:t>
      </w:r>
      <w:r w:rsidR="00211BC0" w:rsidRPr="00D55F6F">
        <w:t xml:space="preserve"> y </w:t>
      </w:r>
      <w:r w:rsidR="00D2040E">
        <w:t>D</w:t>
      </w:r>
      <w:r w:rsidR="00211BC0" w:rsidRPr="00D55F6F">
        <w:t xml:space="preserve"> </w:t>
      </w:r>
      <w:r w:rsidR="002611CE">
        <w:t xml:space="preserve">se </w:t>
      </w:r>
      <w:r w:rsidR="00074BF1">
        <w:t>generaron</w:t>
      </w:r>
      <w:r w:rsidR="00211BC0" w:rsidRPr="00D55F6F">
        <w:t xml:space="preserve"> concentraciones </w:t>
      </w:r>
      <w:r w:rsidR="00074BF1">
        <w:t>semejantes</w:t>
      </w:r>
      <w:r w:rsidR="00211BC0" w:rsidRPr="00D55F6F">
        <w:t xml:space="preserve"> de ML</w:t>
      </w:r>
      <w:r w:rsidR="00F078EE" w:rsidRPr="00D55F6F">
        <w:t xml:space="preserve"> aunque </w:t>
      </w:r>
      <w:r w:rsidR="00074BF1">
        <w:t>menores</w:t>
      </w:r>
      <w:r w:rsidR="005D7BF9">
        <w:t>,</w:t>
      </w:r>
      <w:r w:rsidR="00074BF1">
        <w:t xml:space="preserve"> en alrededor del </w:t>
      </w:r>
      <w:r w:rsidR="003A53CE">
        <w:t>37</w:t>
      </w:r>
      <w:r w:rsidR="00F078EE" w:rsidRPr="00D55F6F">
        <w:t xml:space="preserve"> %</w:t>
      </w:r>
      <w:r w:rsidR="00074BF1">
        <w:t>,</w:t>
      </w:r>
      <w:r w:rsidR="00F078EE" w:rsidRPr="00D55F6F">
        <w:t xml:space="preserve"> </w:t>
      </w:r>
      <w:r w:rsidR="00074BF1">
        <w:t xml:space="preserve">en </w:t>
      </w:r>
      <w:r w:rsidR="00F078EE" w:rsidRPr="00D55F6F">
        <w:t xml:space="preserve">comparación con los catalizadores A y B. </w:t>
      </w:r>
      <w:r w:rsidR="002611CE">
        <w:t>Por otra parte</w:t>
      </w:r>
      <w:r w:rsidR="00F078EE" w:rsidRPr="00D55F6F">
        <w:t xml:space="preserve">, </w:t>
      </w:r>
      <w:r w:rsidR="005237BE" w:rsidRPr="00D55F6F">
        <w:t xml:space="preserve">la selectividad </w:t>
      </w:r>
      <w:r w:rsidR="002611CE">
        <w:t>del primer par</w:t>
      </w:r>
      <w:r w:rsidR="005237BE" w:rsidRPr="00D55F6F">
        <w:t xml:space="preserve"> </w:t>
      </w:r>
      <w:r w:rsidR="00074BF1">
        <w:t>fue</w:t>
      </w:r>
      <w:r w:rsidR="00F078EE" w:rsidRPr="00D55F6F">
        <w:t xml:space="preserve"> considerablemente menor ya que se </w:t>
      </w:r>
      <w:r w:rsidR="00074BF1">
        <w:t>encontraron</w:t>
      </w:r>
      <w:r w:rsidR="00F078EE" w:rsidRPr="00D55F6F">
        <w:t xml:space="preserve"> </w:t>
      </w:r>
      <w:r w:rsidR="005237BE" w:rsidRPr="00D55F6F">
        <w:t>concentraciones</w:t>
      </w:r>
      <w:r w:rsidR="00F078EE" w:rsidRPr="00D55F6F">
        <w:t xml:space="preserve"> </w:t>
      </w:r>
      <w:r w:rsidR="000E520E" w:rsidRPr="00426C33">
        <w:t>notablemente</w:t>
      </w:r>
      <w:r w:rsidR="000E520E">
        <w:t xml:space="preserve"> </w:t>
      </w:r>
      <w:r w:rsidR="00F078EE" w:rsidRPr="00D55F6F">
        <w:t>elevadas de AF</w:t>
      </w:r>
      <w:r w:rsidR="00074BF1">
        <w:t xml:space="preserve"> en </w:t>
      </w:r>
      <w:r w:rsidR="0010635A">
        <w:t>sus</w:t>
      </w:r>
      <w:r w:rsidR="00074BF1">
        <w:t xml:space="preserve"> </w:t>
      </w:r>
      <w:proofErr w:type="spellStart"/>
      <w:r w:rsidR="00074BF1">
        <w:t>PL</w:t>
      </w:r>
      <w:r w:rsidR="0010635A">
        <w:t>´s</w:t>
      </w:r>
      <w:proofErr w:type="spellEnd"/>
      <w:r w:rsidR="000E520E">
        <w:t>;</w:t>
      </w:r>
      <w:r w:rsidR="005237BE" w:rsidRPr="00D55F6F">
        <w:t xml:space="preserve"> esto </w:t>
      </w:r>
      <w:r w:rsidR="000E520E">
        <w:t>fue</w:t>
      </w:r>
      <w:r w:rsidR="005237BE" w:rsidRPr="00D55F6F">
        <w:t xml:space="preserve"> más notorio con </w:t>
      </w:r>
      <w:r w:rsidR="00F63858" w:rsidRPr="00D55F6F">
        <w:t>el</w:t>
      </w:r>
      <w:r w:rsidR="005237BE" w:rsidRPr="00D55F6F">
        <w:t xml:space="preserve"> catalizador </w:t>
      </w:r>
      <w:r w:rsidR="00D2040E">
        <w:t>C</w:t>
      </w:r>
      <w:r w:rsidR="005237BE" w:rsidRPr="00D55F6F">
        <w:t>.</w:t>
      </w:r>
      <w:r w:rsidR="005237BE">
        <w:t xml:space="preserve"> Los catalizadores </w:t>
      </w:r>
      <w:r w:rsidR="00D2040E">
        <w:t>E</w:t>
      </w:r>
      <w:r w:rsidR="005237BE">
        <w:t xml:space="preserve"> y F fueron los menos eficientes en la producción de ML. En todos los casos se encontró que el AA es el </w:t>
      </w:r>
      <w:proofErr w:type="spellStart"/>
      <w:r w:rsidR="005237BE">
        <w:t>analito</w:t>
      </w:r>
      <w:proofErr w:type="spellEnd"/>
      <w:r w:rsidR="005237BE">
        <w:t xml:space="preserve"> que se encuentra en menor concentración.</w:t>
      </w:r>
    </w:p>
    <w:p w:rsidR="006928E9" w:rsidRDefault="006928E9" w:rsidP="00864552">
      <w:pPr>
        <w:pStyle w:val="Textoindependiente2"/>
        <w:spacing w:after="0" w:line="360" w:lineRule="auto"/>
        <w:jc w:val="both"/>
      </w:pPr>
    </w:p>
    <w:p w:rsidR="00C648B9" w:rsidRDefault="00864552" w:rsidP="0042713C">
      <w:pPr>
        <w:pStyle w:val="Textoindependiente2"/>
        <w:spacing w:after="0" w:line="240" w:lineRule="auto"/>
        <w:jc w:val="both"/>
        <w:rPr>
          <w:sz w:val="20"/>
          <w:szCs w:val="20"/>
        </w:rPr>
      </w:pPr>
      <w:r w:rsidRPr="0042713C">
        <w:rPr>
          <w:sz w:val="20"/>
          <w:szCs w:val="20"/>
        </w:rPr>
        <w:lastRenderedPageBreak/>
        <w:t xml:space="preserve">Tabla 3. Concentración de ML, AF y AA determinada en diversos </w:t>
      </w:r>
      <w:proofErr w:type="spellStart"/>
      <w:r w:rsidRPr="0042713C">
        <w:rPr>
          <w:sz w:val="20"/>
          <w:szCs w:val="20"/>
        </w:rPr>
        <w:t>PL´s</w:t>
      </w:r>
      <w:proofErr w:type="spellEnd"/>
      <w:r w:rsidRPr="0042713C">
        <w:rPr>
          <w:sz w:val="20"/>
          <w:szCs w:val="20"/>
        </w:rPr>
        <w:t xml:space="preserve"> generados en la reacción </w:t>
      </w:r>
      <w:r w:rsidR="00C648B9" w:rsidRPr="0042713C">
        <w:rPr>
          <w:sz w:val="20"/>
          <w:szCs w:val="20"/>
        </w:rPr>
        <w:t xml:space="preserve">catalítica </w:t>
      </w:r>
      <w:r w:rsidRPr="0042713C">
        <w:rPr>
          <w:sz w:val="20"/>
          <w:szCs w:val="20"/>
        </w:rPr>
        <w:t>para producir M</w:t>
      </w:r>
      <w:r w:rsidR="00DF3A95">
        <w:rPr>
          <w:sz w:val="20"/>
          <w:szCs w:val="20"/>
        </w:rPr>
        <w:t>L</w:t>
      </w:r>
      <w:r w:rsidRPr="0042713C">
        <w:rPr>
          <w:sz w:val="20"/>
          <w:szCs w:val="20"/>
        </w:rPr>
        <w:t xml:space="preserve"> a partir de metano</w:t>
      </w:r>
      <w:r w:rsidR="00C648B9" w:rsidRPr="0042713C">
        <w:rPr>
          <w:sz w:val="20"/>
          <w:szCs w:val="20"/>
        </w:rPr>
        <w:t xml:space="preserve">, por RMN </w:t>
      </w:r>
      <w:r w:rsidR="00C648B9" w:rsidRPr="0042713C">
        <w:rPr>
          <w:sz w:val="20"/>
          <w:szCs w:val="20"/>
          <w:vertAlign w:val="superscript"/>
        </w:rPr>
        <w:t>1</w:t>
      </w:r>
      <w:r w:rsidR="00C648B9" w:rsidRPr="0042713C">
        <w:rPr>
          <w:sz w:val="20"/>
          <w:szCs w:val="20"/>
        </w:rPr>
        <w:t>H.</w:t>
      </w:r>
      <w:r w:rsidR="00EA1411">
        <w:rPr>
          <w:sz w:val="20"/>
          <w:szCs w:val="20"/>
        </w:rPr>
        <w:t xml:space="preserve"> Los </w:t>
      </w:r>
      <w:proofErr w:type="spellStart"/>
      <w:r w:rsidR="00EA1411">
        <w:rPr>
          <w:sz w:val="20"/>
          <w:szCs w:val="20"/>
        </w:rPr>
        <w:t>PL´s</w:t>
      </w:r>
      <w:proofErr w:type="spellEnd"/>
      <w:r w:rsidR="00EA1411">
        <w:rPr>
          <w:sz w:val="20"/>
          <w:szCs w:val="20"/>
        </w:rPr>
        <w:t xml:space="preserve"> fueron </w:t>
      </w:r>
      <w:r w:rsidR="006D3887">
        <w:rPr>
          <w:sz w:val="20"/>
          <w:szCs w:val="20"/>
        </w:rPr>
        <w:t>generados</w:t>
      </w:r>
      <w:r w:rsidR="00EA1411">
        <w:rPr>
          <w:sz w:val="20"/>
          <w:szCs w:val="20"/>
        </w:rPr>
        <w:t xml:space="preserve"> bajo las mismas condiciones de reacción excepto el catalizador. </w:t>
      </w:r>
    </w:p>
    <w:p w:rsidR="006D3887" w:rsidRDefault="006D3887" w:rsidP="0042713C">
      <w:pPr>
        <w:pStyle w:val="Textoindependiente2"/>
        <w:spacing w:after="0" w:line="240" w:lineRule="auto"/>
        <w:jc w:val="both"/>
        <w:rPr>
          <w:sz w:val="20"/>
          <w:szCs w:val="20"/>
        </w:rPr>
      </w:pPr>
    </w:p>
    <w:tbl>
      <w:tblPr>
        <w:tblStyle w:val="Tablaconcuadrcula"/>
        <w:tblW w:w="0" w:type="auto"/>
        <w:jc w:val="center"/>
        <w:tblLook w:val="04A0" w:firstRow="1" w:lastRow="0" w:firstColumn="1" w:lastColumn="0" w:noHBand="0" w:noVBand="1"/>
      </w:tblPr>
      <w:tblGrid>
        <w:gridCol w:w="1927"/>
        <w:gridCol w:w="2348"/>
        <w:gridCol w:w="2349"/>
        <w:gridCol w:w="2022"/>
      </w:tblGrid>
      <w:tr w:rsidR="003A421A" w:rsidTr="00DF3A95">
        <w:trPr>
          <w:jc w:val="center"/>
        </w:trPr>
        <w:tc>
          <w:tcPr>
            <w:tcW w:w="1927" w:type="dxa"/>
            <w:vMerge w:val="restart"/>
            <w:vAlign w:val="center"/>
          </w:tcPr>
          <w:p w:rsidR="003A421A" w:rsidRPr="006D3887" w:rsidRDefault="003A421A" w:rsidP="003A421A">
            <w:pPr>
              <w:pStyle w:val="Textoindependiente2"/>
              <w:spacing w:after="0" w:line="360" w:lineRule="auto"/>
              <w:jc w:val="center"/>
              <w:rPr>
                <w:sz w:val="20"/>
                <w:szCs w:val="20"/>
              </w:rPr>
            </w:pPr>
            <w:r w:rsidRPr="006D3887">
              <w:rPr>
                <w:sz w:val="20"/>
                <w:szCs w:val="20"/>
              </w:rPr>
              <w:t>Catalizador</w:t>
            </w:r>
          </w:p>
        </w:tc>
        <w:tc>
          <w:tcPr>
            <w:tcW w:w="6719" w:type="dxa"/>
            <w:gridSpan w:val="3"/>
            <w:vAlign w:val="center"/>
          </w:tcPr>
          <w:p w:rsidR="003A421A" w:rsidRPr="006D3887" w:rsidRDefault="003A421A" w:rsidP="003A421A">
            <w:pPr>
              <w:pStyle w:val="Textoindependiente2"/>
              <w:spacing w:after="0" w:line="360" w:lineRule="auto"/>
              <w:jc w:val="center"/>
              <w:rPr>
                <w:sz w:val="20"/>
                <w:szCs w:val="20"/>
              </w:rPr>
            </w:pPr>
            <w:r w:rsidRPr="006D3887">
              <w:rPr>
                <w:sz w:val="20"/>
                <w:szCs w:val="20"/>
              </w:rPr>
              <w:t>Concentración [</w:t>
            </w:r>
            <w:r w:rsidRPr="006D3887">
              <w:rPr>
                <w:rFonts w:ascii="Symbol" w:hAnsi="Symbol"/>
                <w:sz w:val="20"/>
                <w:szCs w:val="20"/>
              </w:rPr>
              <w:t></w:t>
            </w:r>
            <w:r w:rsidRPr="006D3887">
              <w:rPr>
                <w:sz w:val="20"/>
                <w:szCs w:val="20"/>
              </w:rPr>
              <w:t>moles/L]</w:t>
            </w:r>
          </w:p>
        </w:tc>
      </w:tr>
      <w:tr w:rsidR="003A421A" w:rsidTr="00DF3A95">
        <w:trPr>
          <w:jc w:val="center"/>
        </w:trPr>
        <w:tc>
          <w:tcPr>
            <w:tcW w:w="1927" w:type="dxa"/>
            <w:vMerge/>
          </w:tcPr>
          <w:p w:rsidR="003A421A" w:rsidRPr="006D3887" w:rsidRDefault="003A421A" w:rsidP="00864552">
            <w:pPr>
              <w:pStyle w:val="Textoindependiente2"/>
              <w:spacing w:after="0" w:line="360" w:lineRule="auto"/>
              <w:jc w:val="both"/>
              <w:rPr>
                <w:sz w:val="20"/>
                <w:szCs w:val="20"/>
              </w:rPr>
            </w:pPr>
          </w:p>
        </w:tc>
        <w:tc>
          <w:tcPr>
            <w:tcW w:w="2348" w:type="dxa"/>
            <w:vAlign w:val="center"/>
          </w:tcPr>
          <w:p w:rsidR="003A421A" w:rsidRPr="006D3887" w:rsidRDefault="003A421A" w:rsidP="003A421A">
            <w:pPr>
              <w:pStyle w:val="Textoindependiente2"/>
              <w:spacing w:after="0" w:line="360" w:lineRule="auto"/>
              <w:jc w:val="center"/>
              <w:rPr>
                <w:sz w:val="20"/>
                <w:szCs w:val="20"/>
              </w:rPr>
            </w:pPr>
            <w:r w:rsidRPr="006D3887">
              <w:rPr>
                <w:sz w:val="20"/>
                <w:szCs w:val="20"/>
              </w:rPr>
              <w:t>ML</w:t>
            </w:r>
          </w:p>
        </w:tc>
        <w:tc>
          <w:tcPr>
            <w:tcW w:w="2349" w:type="dxa"/>
            <w:vAlign w:val="center"/>
          </w:tcPr>
          <w:p w:rsidR="003A421A" w:rsidRPr="006D3887" w:rsidRDefault="003A421A" w:rsidP="003A421A">
            <w:pPr>
              <w:pStyle w:val="Textoindependiente2"/>
              <w:spacing w:after="0" w:line="360" w:lineRule="auto"/>
              <w:jc w:val="center"/>
              <w:rPr>
                <w:sz w:val="20"/>
                <w:szCs w:val="20"/>
              </w:rPr>
            </w:pPr>
            <w:r w:rsidRPr="006D3887">
              <w:rPr>
                <w:sz w:val="20"/>
                <w:szCs w:val="20"/>
              </w:rPr>
              <w:t>AF</w:t>
            </w:r>
          </w:p>
        </w:tc>
        <w:tc>
          <w:tcPr>
            <w:tcW w:w="2022" w:type="dxa"/>
            <w:vAlign w:val="center"/>
          </w:tcPr>
          <w:p w:rsidR="003A421A" w:rsidRPr="006D3887" w:rsidRDefault="003A421A" w:rsidP="003A421A">
            <w:pPr>
              <w:pStyle w:val="Textoindependiente2"/>
              <w:spacing w:after="0" w:line="360" w:lineRule="auto"/>
              <w:jc w:val="center"/>
              <w:rPr>
                <w:sz w:val="20"/>
                <w:szCs w:val="20"/>
              </w:rPr>
            </w:pPr>
            <w:r w:rsidRPr="006D3887">
              <w:rPr>
                <w:sz w:val="20"/>
                <w:szCs w:val="20"/>
              </w:rPr>
              <w:t>AA</w:t>
            </w:r>
          </w:p>
        </w:tc>
      </w:tr>
      <w:tr w:rsidR="00C648B9" w:rsidTr="00DF3A95">
        <w:trPr>
          <w:jc w:val="center"/>
        </w:trPr>
        <w:tc>
          <w:tcPr>
            <w:tcW w:w="1927" w:type="dxa"/>
          </w:tcPr>
          <w:p w:rsidR="00C648B9" w:rsidRPr="006D3887" w:rsidRDefault="00C648B9" w:rsidP="003A421A">
            <w:pPr>
              <w:pStyle w:val="Textoindependiente2"/>
              <w:spacing w:after="0" w:line="360" w:lineRule="auto"/>
              <w:jc w:val="center"/>
              <w:rPr>
                <w:sz w:val="20"/>
                <w:szCs w:val="20"/>
              </w:rPr>
            </w:pPr>
            <w:r w:rsidRPr="006D3887">
              <w:rPr>
                <w:sz w:val="20"/>
                <w:szCs w:val="20"/>
              </w:rPr>
              <w:t>A</w:t>
            </w:r>
          </w:p>
        </w:tc>
        <w:tc>
          <w:tcPr>
            <w:tcW w:w="2348" w:type="dxa"/>
            <w:vAlign w:val="center"/>
          </w:tcPr>
          <w:p w:rsidR="00C648B9" w:rsidRPr="006D3887" w:rsidRDefault="00A20F58" w:rsidP="00DF3A95">
            <w:pPr>
              <w:pStyle w:val="Textoindependiente2"/>
              <w:spacing w:after="0" w:line="360" w:lineRule="auto"/>
              <w:jc w:val="center"/>
              <w:rPr>
                <w:sz w:val="20"/>
                <w:szCs w:val="20"/>
              </w:rPr>
            </w:pPr>
            <w:r w:rsidRPr="006D3887">
              <w:rPr>
                <w:sz w:val="20"/>
                <w:szCs w:val="20"/>
              </w:rPr>
              <w:t>2,766</w:t>
            </w:r>
          </w:p>
        </w:tc>
        <w:tc>
          <w:tcPr>
            <w:tcW w:w="2349" w:type="dxa"/>
            <w:vAlign w:val="center"/>
          </w:tcPr>
          <w:p w:rsidR="00C648B9" w:rsidRPr="006D3887" w:rsidRDefault="007E2AF9" w:rsidP="00DF3A95">
            <w:pPr>
              <w:pStyle w:val="Textoindependiente2"/>
              <w:spacing w:after="0" w:line="360" w:lineRule="auto"/>
              <w:jc w:val="center"/>
              <w:rPr>
                <w:sz w:val="20"/>
                <w:szCs w:val="20"/>
              </w:rPr>
            </w:pPr>
            <w:r w:rsidRPr="006D3887">
              <w:rPr>
                <w:sz w:val="20"/>
                <w:szCs w:val="20"/>
              </w:rPr>
              <w:t>1,512</w:t>
            </w:r>
          </w:p>
        </w:tc>
        <w:tc>
          <w:tcPr>
            <w:tcW w:w="2022" w:type="dxa"/>
            <w:vAlign w:val="center"/>
          </w:tcPr>
          <w:p w:rsidR="00C648B9" w:rsidRPr="006D3887" w:rsidRDefault="007E2AF9" w:rsidP="00DF3A95">
            <w:pPr>
              <w:pStyle w:val="Textoindependiente2"/>
              <w:spacing w:after="0" w:line="360" w:lineRule="auto"/>
              <w:jc w:val="center"/>
              <w:rPr>
                <w:sz w:val="20"/>
                <w:szCs w:val="20"/>
              </w:rPr>
            </w:pPr>
            <w:r w:rsidRPr="006D3887">
              <w:rPr>
                <w:sz w:val="20"/>
                <w:szCs w:val="20"/>
              </w:rPr>
              <w:t>&lt;100</w:t>
            </w:r>
          </w:p>
        </w:tc>
      </w:tr>
      <w:tr w:rsidR="00C648B9" w:rsidTr="00DF3A95">
        <w:trPr>
          <w:jc w:val="center"/>
        </w:trPr>
        <w:tc>
          <w:tcPr>
            <w:tcW w:w="1927" w:type="dxa"/>
          </w:tcPr>
          <w:p w:rsidR="00C648B9" w:rsidRPr="006D3887" w:rsidRDefault="00C648B9" w:rsidP="003A421A">
            <w:pPr>
              <w:pStyle w:val="Textoindependiente2"/>
              <w:spacing w:after="0" w:line="360" w:lineRule="auto"/>
              <w:jc w:val="center"/>
              <w:rPr>
                <w:sz w:val="20"/>
                <w:szCs w:val="20"/>
              </w:rPr>
            </w:pPr>
            <w:r w:rsidRPr="006D3887">
              <w:rPr>
                <w:sz w:val="20"/>
                <w:szCs w:val="20"/>
              </w:rPr>
              <w:t>B</w:t>
            </w:r>
          </w:p>
        </w:tc>
        <w:tc>
          <w:tcPr>
            <w:tcW w:w="2348" w:type="dxa"/>
            <w:vAlign w:val="center"/>
          </w:tcPr>
          <w:p w:rsidR="00C648B9" w:rsidRPr="006D3887" w:rsidRDefault="007E2AF9" w:rsidP="00DF3A95">
            <w:pPr>
              <w:pStyle w:val="Textoindependiente2"/>
              <w:spacing w:after="0" w:line="360" w:lineRule="auto"/>
              <w:jc w:val="center"/>
              <w:rPr>
                <w:sz w:val="20"/>
                <w:szCs w:val="20"/>
              </w:rPr>
            </w:pPr>
            <w:r w:rsidRPr="006D3887">
              <w:rPr>
                <w:sz w:val="20"/>
                <w:szCs w:val="20"/>
              </w:rPr>
              <w:t>2,262</w:t>
            </w:r>
          </w:p>
        </w:tc>
        <w:tc>
          <w:tcPr>
            <w:tcW w:w="2349" w:type="dxa"/>
            <w:vAlign w:val="center"/>
          </w:tcPr>
          <w:p w:rsidR="00C648B9" w:rsidRPr="006D3887" w:rsidRDefault="007E2AF9" w:rsidP="00DF3A95">
            <w:pPr>
              <w:pStyle w:val="Textoindependiente2"/>
              <w:spacing w:after="0" w:line="360" w:lineRule="auto"/>
              <w:jc w:val="center"/>
              <w:rPr>
                <w:sz w:val="20"/>
                <w:szCs w:val="20"/>
              </w:rPr>
            </w:pPr>
            <w:r w:rsidRPr="006D3887">
              <w:rPr>
                <w:sz w:val="20"/>
                <w:szCs w:val="20"/>
              </w:rPr>
              <w:t>ND</w:t>
            </w:r>
          </w:p>
        </w:tc>
        <w:tc>
          <w:tcPr>
            <w:tcW w:w="2022" w:type="dxa"/>
            <w:vAlign w:val="center"/>
          </w:tcPr>
          <w:p w:rsidR="00C648B9" w:rsidRPr="006D3887" w:rsidRDefault="007E2AF9" w:rsidP="00DF3A95">
            <w:pPr>
              <w:pStyle w:val="Textoindependiente2"/>
              <w:spacing w:after="0" w:line="360" w:lineRule="auto"/>
              <w:jc w:val="center"/>
              <w:rPr>
                <w:sz w:val="20"/>
                <w:szCs w:val="20"/>
              </w:rPr>
            </w:pPr>
            <w:r w:rsidRPr="006D3887">
              <w:rPr>
                <w:sz w:val="20"/>
                <w:szCs w:val="20"/>
              </w:rPr>
              <w:t>&lt;100</w:t>
            </w:r>
          </w:p>
        </w:tc>
      </w:tr>
      <w:tr w:rsidR="00D2040E" w:rsidTr="00DF3A95">
        <w:trPr>
          <w:jc w:val="center"/>
        </w:trPr>
        <w:tc>
          <w:tcPr>
            <w:tcW w:w="1927" w:type="dxa"/>
          </w:tcPr>
          <w:p w:rsidR="00D2040E" w:rsidRPr="006D3887" w:rsidRDefault="00D2040E" w:rsidP="00D2040E">
            <w:pPr>
              <w:pStyle w:val="Textoindependiente2"/>
              <w:spacing w:after="0" w:line="360" w:lineRule="auto"/>
              <w:jc w:val="center"/>
              <w:rPr>
                <w:sz w:val="20"/>
                <w:szCs w:val="20"/>
              </w:rPr>
            </w:pPr>
            <w:r>
              <w:rPr>
                <w:sz w:val="20"/>
                <w:szCs w:val="20"/>
              </w:rPr>
              <w:t>C</w:t>
            </w:r>
          </w:p>
        </w:tc>
        <w:tc>
          <w:tcPr>
            <w:tcW w:w="2348"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1,625</w:t>
            </w:r>
          </w:p>
        </w:tc>
        <w:tc>
          <w:tcPr>
            <w:tcW w:w="2349"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47,045</w:t>
            </w:r>
          </w:p>
        </w:tc>
        <w:tc>
          <w:tcPr>
            <w:tcW w:w="2022"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117</w:t>
            </w:r>
          </w:p>
        </w:tc>
      </w:tr>
      <w:tr w:rsidR="00D2040E" w:rsidTr="00DF3A95">
        <w:trPr>
          <w:jc w:val="center"/>
        </w:trPr>
        <w:tc>
          <w:tcPr>
            <w:tcW w:w="1927" w:type="dxa"/>
          </w:tcPr>
          <w:p w:rsidR="00D2040E" w:rsidRPr="006D3887" w:rsidRDefault="00D2040E" w:rsidP="00D2040E">
            <w:pPr>
              <w:pStyle w:val="Textoindependiente2"/>
              <w:spacing w:after="0" w:line="360" w:lineRule="auto"/>
              <w:jc w:val="center"/>
              <w:rPr>
                <w:sz w:val="20"/>
                <w:szCs w:val="20"/>
              </w:rPr>
            </w:pPr>
            <w:r>
              <w:rPr>
                <w:sz w:val="20"/>
                <w:szCs w:val="20"/>
              </w:rPr>
              <w:t>D</w:t>
            </w:r>
          </w:p>
        </w:tc>
        <w:tc>
          <w:tcPr>
            <w:tcW w:w="2348" w:type="dxa"/>
            <w:vAlign w:val="center"/>
          </w:tcPr>
          <w:p w:rsidR="00D2040E" w:rsidRPr="006D3887" w:rsidRDefault="00D2040E" w:rsidP="00DF3A95">
            <w:pPr>
              <w:pStyle w:val="Textoindependiente2"/>
              <w:spacing w:after="0" w:line="360" w:lineRule="auto"/>
              <w:jc w:val="center"/>
              <w:rPr>
                <w:sz w:val="20"/>
                <w:szCs w:val="20"/>
              </w:rPr>
            </w:pPr>
            <w:r>
              <w:rPr>
                <w:sz w:val="20"/>
                <w:szCs w:val="20"/>
              </w:rPr>
              <w:t>1,583</w:t>
            </w:r>
          </w:p>
        </w:tc>
        <w:tc>
          <w:tcPr>
            <w:tcW w:w="2349" w:type="dxa"/>
            <w:vAlign w:val="center"/>
          </w:tcPr>
          <w:p w:rsidR="00D2040E" w:rsidRPr="006D3887" w:rsidRDefault="00D2040E" w:rsidP="00DF3A95">
            <w:pPr>
              <w:pStyle w:val="Textoindependiente2"/>
              <w:spacing w:after="0" w:line="360" w:lineRule="auto"/>
              <w:jc w:val="center"/>
              <w:rPr>
                <w:sz w:val="20"/>
                <w:szCs w:val="20"/>
              </w:rPr>
            </w:pPr>
            <w:r>
              <w:rPr>
                <w:sz w:val="20"/>
                <w:szCs w:val="20"/>
              </w:rPr>
              <w:t>5,774</w:t>
            </w:r>
          </w:p>
        </w:tc>
        <w:tc>
          <w:tcPr>
            <w:tcW w:w="2022" w:type="dxa"/>
            <w:vAlign w:val="center"/>
          </w:tcPr>
          <w:p w:rsidR="00D2040E" w:rsidRPr="006D3887" w:rsidRDefault="00D2040E" w:rsidP="00DF3A95">
            <w:pPr>
              <w:pStyle w:val="Textoindependiente2"/>
              <w:spacing w:after="0" w:line="360" w:lineRule="auto"/>
              <w:jc w:val="center"/>
              <w:rPr>
                <w:sz w:val="20"/>
                <w:szCs w:val="20"/>
              </w:rPr>
            </w:pPr>
            <w:r>
              <w:rPr>
                <w:sz w:val="20"/>
                <w:szCs w:val="20"/>
              </w:rPr>
              <w:t>&lt;100</w:t>
            </w:r>
          </w:p>
        </w:tc>
      </w:tr>
      <w:tr w:rsidR="00D2040E" w:rsidTr="00DF3A95">
        <w:trPr>
          <w:jc w:val="center"/>
        </w:trPr>
        <w:tc>
          <w:tcPr>
            <w:tcW w:w="1927" w:type="dxa"/>
          </w:tcPr>
          <w:p w:rsidR="00D2040E" w:rsidRPr="006D3887" w:rsidRDefault="00D2040E" w:rsidP="00D2040E">
            <w:pPr>
              <w:pStyle w:val="Textoindependiente2"/>
              <w:spacing w:after="0" w:line="360" w:lineRule="auto"/>
              <w:jc w:val="center"/>
              <w:rPr>
                <w:sz w:val="20"/>
                <w:szCs w:val="20"/>
              </w:rPr>
            </w:pPr>
            <w:r>
              <w:rPr>
                <w:sz w:val="20"/>
                <w:szCs w:val="20"/>
              </w:rPr>
              <w:t>E</w:t>
            </w:r>
          </w:p>
        </w:tc>
        <w:tc>
          <w:tcPr>
            <w:tcW w:w="2348"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367</w:t>
            </w:r>
          </w:p>
        </w:tc>
        <w:tc>
          <w:tcPr>
            <w:tcW w:w="2349"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&lt;1,000</w:t>
            </w:r>
          </w:p>
        </w:tc>
        <w:tc>
          <w:tcPr>
            <w:tcW w:w="2022"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ND</w:t>
            </w:r>
          </w:p>
        </w:tc>
      </w:tr>
      <w:tr w:rsidR="00D2040E" w:rsidTr="00DF3A95">
        <w:trPr>
          <w:jc w:val="center"/>
        </w:trPr>
        <w:tc>
          <w:tcPr>
            <w:tcW w:w="1927" w:type="dxa"/>
          </w:tcPr>
          <w:p w:rsidR="00D2040E" w:rsidRPr="006D3887" w:rsidRDefault="00D2040E" w:rsidP="00D2040E">
            <w:pPr>
              <w:pStyle w:val="Textoindependiente2"/>
              <w:spacing w:after="0" w:line="360" w:lineRule="auto"/>
              <w:jc w:val="center"/>
              <w:rPr>
                <w:sz w:val="20"/>
                <w:szCs w:val="20"/>
              </w:rPr>
            </w:pPr>
            <w:r>
              <w:rPr>
                <w:sz w:val="20"/>
                <w:szCs w:val="20"/>
              </w:rPr>
              <w:t>F</w:t>
            </w:r>
          </w:p>
        </w:tc>
        <w:tc>
          <w:tcPr>
            <w:tcW w:w="2348"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&lt;120</w:t>
            </w:r>
          </w:p>
        </w:tc>
        <w:tc>
          <w:tcPr>
            <w:tcW w:w="2349"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&lt;1,000</w:t>
            </w:r>
          </w:p>
        </w:tc>
        <w:tc>
          <w:tcPr>
            <w:tcW w:w="2022" w:type="dxa"/>
            <w:vAlign w:val="center"/>
          </w:tcPr>
          <w:p w:rsidR="00D2040E" w:rsidRPr="006D3887" w:rsidRDefault="00D2040E" w:rsidP="00DF3A95">
            <w:pPr>
              <w:pStyle w:val="Textoindependiente2"/>
              <w:spacing w:after="0" w:line="360" w:lineRule="auto"/>
              <w:jc w:val="center"/>
              <w:rPr>
                <w:sz w:val="20"/>
                <w:szCs w:val="20"/>
              </w:rPr>
            </w:pPr>
            <w:r w:rsidRPr="006D3887">
              <w:rPr>
                <w:sz w:val="20"/>
                <w:szCs w:val="20"/>
              </w:rPr>
              <w:t>ND</w:t>
            </w:r>
          </w:p>
        </w:tc>
      </w:tr>
    </w:tbl>
    <w:p w:rsidR="00C648B9" w:rsidRPr="00EA1411" w:rsidRDefault="0042713C" w:rsidP="00864552">
      <w:pPr>
        <w:pStyle w:val="Textoindependiente2"/>
        <w:spacing w:after="0" w:line="360" w:lineRule="auto"/>
        <w:jc w:val="both"/>
        <w:rPr>
          <w:sz w:val="20"/>
          <w:szCs w:val="20"/>
        </w:rPr>
      </w:pPr>
      <w:r>
        <w:t xml:space="preserve">       </w:t>
      </w:r>
      <w:r w:rsidRPr="00EA1411">
        <w:rPr>
          <w:sz w:val="20"/>
          <w:szCs w:val="20"/>
        </w:rPr>
        <w:t>ND</w:t>
      </w:r>
      <w:r w:rsidR="00EA1411" w:rsidRPr="00EA1411">
        <w:rPr>
          <w:sz w:val="20"/>
          <w:szCs w:val="20"/>
        </w:rPr>
        <w:t xml:space="preserve"> = </w:t>
      </w:r>
      <w:r w:rsidRPr="00EA1411">
        <w:rPr>
          <w:sz w:val="20"/>
          <w:szCs w:val="20"/>
        </w:rPr>
        <w:t>No detectado.</w:t>
      </w:r>
    </w:p>
    <w:p w:rsidR="00BB54BF" w:rsidRDefault="00864552" w:rsidP="00BB54BF">
      <w:pPr>
        <w:pStyle w:val="Textoindependiente2"/>
        <w:spacing w:after="0" w:line="360" w:lineRule="auto"/>
        <w:jc w:val="both"/>
      </w:pPr>
      <w:r>
        <w:t xml:space="preserve"> </w:t>
      </w:r>
    </w:p>
    <w:p w:rsidR="00106971" w:rsidRDefault="00106971" w:rsidP="00BB54BF">
      <w:pPr>
        <w:pStyle w:val="Textoindependiente2"/>
        <w:spacing w:after="0" w:line="360" w:lineRule="auto"/>
        <w:jc w:val="both"/>
        <w:rPr>
          <w:b/>
        </w:rPr>
      </w:pPr>
      <w:r>
        <w:rPr>
          <w:b/>
        </w:rPr>
        <w:t xml:space="preserve">4. </w:t>
      </w:r>
      <w:r w:rsidR="00EB3B00" w:rsidRPr="002554C8">
        <w:rPr>
          <w:b/>
        </w:rPr>
        <w:t>Conclusiones</w:t>
      </w:r>
    </w:p>
    <w:p w:rsidR="00E302C6" w:rsidRDefault="0005587E" w:rsidP="00A560F6">
      <w:pPr>
        <w:spacing w:line="360" w:lineRule="auto"/>
        <w:jc w:val="both"/>
      </w:pPr>
      <w:r w:rsidRPr="002554C8">
        <w:t>La técnica de RMN se encontró apropiada para llevar a cabo la determinación</w:t>
      </w:r>
      <w:r>
        <w:t xml:space="preserve"> de ML, AF y AC</w:t>
      </w:r>
      <w:r w:rsidR="00B83EEC">
        <w:t xml:space="preserve"> en el nivel de </w:t>
      </w:r>
      <w:r w:rsidR="00B83EEC" w:rsidRPr="00B83EEC">
        <w:rPr>
          <w:rFonts w:ascii="Symbol" w:hAnsi="Symbol"/>
        </w:rPr>
        <w:t></w:t>
      </w:r>
      <w:r w:rsidR="00B83EEC">
        <w:t>moles/L</w:t>
      </w:r>
      <w:r>
        <w:t>.</w:t>
      </w:r>
      <w:r w:rsidRPr="002554C8">
        <w:t xml:space="preserve"> </w:t>
      </w:r>
      <w:r w:rsidR="002E5F59" w:rsidRPr="002554C8">
        <w:t>El método</w:t>
      </w:r>
      <w:r w:rsidR="007C1D7E">
        <w:t xml:space="preserve"> analítico</w:t>
      </w:r>
      <w:r w:rsidR="002E5F59" w:rsidRPr="002554C8">
        <w:t xml:space="preserve"> </w:t>
      </w:r>
      <w:r w:rsidR="007C1D7E">
        <w:t>desarrollado</w:t>
      </w:r>
      <w:r w:rsidR="002E5F59" w:rsidRPr="002554C8">
        <w:t xml:space="preserve"> para </w:t>
      </w:r>
      <w:r>
        <w:t>cuantificar</w:t>
      </w:r>
      <w:r w:rsidR="007C1D7E">
        <w:t xml:space="preserve"> </w:t>
      </w:r>
      <w:r>
        <w:t>estos compuestos orgánicos oxigenados</w:t>
      </w:r>
      <w:r w:rsidR="007C1D7E">
        <w:t xml:space="preserve"> en peróxido de hidrógeno acuoso</w:t>
      </w:r>
      <w:r w:rsidR="00F84FDA">
        <w:t xml:space="preserve"> por RMN </w:t>
      </w:r>
      <w:r w:rsidR="00F84FDA" w:rsidRPr="00AE4E46">
        <w:rPr>
          <w:vertAlign w:val="superscript"/>
        </w:rPr>
        <w:t>1</w:t>
      </w:r>
      <w:r w:rsidR="00F84FDA">
        <w:t>H</w:t>
      </w:r>
      <w:r w:rsidR="007C1D7E">
        <w:t xml:space="preserve"> </w:t>
      </w:r>
      <w:r w:rsidR="002E5F59" w:rsidRPr="002554C8">
        <w:t xml:space="preserve">es </w:t>
      </w:r>
      <w:r w:rsidR="007C1D7E">
        <w:t xml:space="preserve">simple, </w:t>
      </w:r>
      <w:r w:rsidR="002E5F59" w:rsidRPr="002554C8">
        <w:t>confiable</w:t>
      </w:r>
      <w:r w:rsidR="00F84FDA">
        <w:t>,</w:t>
      </w:r>
      <w:r w:rsidR="002E5F59" w:rsidRPr="002554C8">
        <w:t xml:space="preserve"> preciso</w:t>
      </w:r>
      <w:r w:rsidR="00F84FDA">
        <w:t xml:space="preserve"> y</w:t>
      </w:r>
      <w:r w:rsidR="004B0A4C" w:rsidRPr="002554C8">
        <w:t xml:space="preserve"> </w:t>
      </w:r>
      <w:r w:rsidR="00F84FDA">
        <w:t>requiere pequeña cantidad de muestra</w:t>
      </w:r>
      <w:r w:rsidR="004B0A4C" w:rsidRPr="002554C8">
        <w:t xml:space="preserve">. </w:t>
      </w:r>
      <w:r w:rsidR="00F84FDA">
        <w:t xml:space="preserve">Puesto que fue necesario adquirir 400 </w:t>
      </w:r>
      <w:proofErr w:type="spellStart"/>
      <w:r w:rsidR="00F84FDA">
        <w:t>transientes</w:t>
      </w:r>
      <w:proofErr w:type="spellEnd"/>
      <w:r w:rsidR="00F84FDA">
        <w:t xml:space="preserve"> para alcanzar en nivel de sensibilidad requerido para cuantificar los </w:t>
      </w:r>
      <w:proofErr w:type="spellStart"/>
      <w:r w:rsidR="00F84FDA">
        <w:t>analitos</w:t>
      </w:r>
      <w:proofErr w:type="spellEnd"/>
      <w:r w:rsidR="00F84FDA">
        <w:t xml:space="preserve"> al nivel de trazas o cercano a éste</w:t>
      </w:r>
      <w:r w:rsidR="004B0A4C" w:rsidRPr="002554C8">
        <w:t xml:space="preserve"> se recomienda utilizar espectrómetros cuyo campo magnético no sea meno</w:t>
      </w:r>
      <w:r w:rsidR="00023DA3" w:rsidRPr="002554C8">
        <w:t>r</w:t>
      </w:r>
      <w:r w:rsidR="004B0A4C" w:rsidRPr="002554C8">
        <w:t xml:space="preserve"> de 4.</w:t>
      </w:r>
      <w:r w:rsidR="00023DA3" w:rsidRPr="002554C8">
        <w:t>7</w:t>
      </w:r>
      <w:r w:rsidR="004B0A4C" w:rsidRPr="002554C8">
        <w:t xml:space="preserve"> T para garantizar </w:t>
      </w:r>
      <w:r w:rsidR="00F84FDA">
        <w:t xml:space="preserve">que la corrida analítica </w:t>
      </w:r>
      <w:r w:rsidR="00D35CDF">
        <w:t>se lleve a cabo en 30 min o menos</w:t>
      </w:r>
      <w:r w:rsidR="004B0A4C" w:rsidRPr="002554C8">
        <w:t xml:space="preserve">. </w:t>
      </w:r>
      <w:r w:rsidR="00D35CDF">
        <w:t>Los</w:t>
      </w:r>
      <w:r w:rsidR="002E5F59" w:rsidRPr="002554C8">
        <w:t xml:space="preserve"> datos obtenidos mediante el análisis por </w:t>
      </w:r>
      <w:proofErr w:type="spellStart"/>
      <w:r w:rsidR="002E5F59" w:rsidRPr="002554C8">
        <w:t>RMNc</w:t>
      </w:r>
      <w:proofErr w:type="spellEnd"/>
      <w:r w:rsidR="002E5F59" w:rsidRPr="002554C8">
        <w:t xml:space="preserve"> </w:t>
      </w:r>
      <w:r w:rsidR="00D35CDF">
        <w:t>permitieron evaluar la eficiencia de diversos catalizadores en cuanto a conversión y selectividad en la conversión de metano a ML.</w:t>
      </w:r>
      <w:r w:rsidR="004B0A4C" w:rsidRPr="002554C8">
        <w:t xml:space="preserve"> </w:t>
      </w:r>
    </w:p>
    <w:p w:rsidR="00F479C4" w:rsidRDefault="00F479C4" w:rsidP="00A560F6">
      <w:pPr>
        <w:spacing w:line="360" w:lineRule="auto"/>
        <w:jc w:val="both"/>
      </w:pPr>
    </w:p>
    <w:p w:rsidR="00357757" w:rsidRDefault="00106971" w:rsidP="00A560F6">
      <w:pPr>
        <w:spacing w:line="360" w:lineRule="auto"/>
        <w:jc w:val="both"/>
        <w:rPr>
          <w:b/>
        </w:rPr>
      </w:pPr>
      <w:r>
        <w:rPr>
          <w:b/>
        </w:rPr>
        <w:t xml:space="preserve">5. </w:t>
      </w:r>
      <w:r w:rsidR="00357757" w:rsidRPr="002554C8">
        <w:rPr>
          <w:b/>
        </w:rPr>
        <w:t>Referencias</w:t>
      </w:r>
      <w:r>
        <w:rPr>
          <w:b/>
        </w:rPr>
        <w:t xml:space="preserve"> bibliográficas</w:t>
      </w:r>
    </w:p>
    <w:p w:rsidR="00555D35" w:rsidRPr="00041CDD" w:rsidRDefault="008531BC" w:rsidP="00A560F6">
      <w:pPr>
        <w:pStyle w:val="Prrafodelista"/>
        <w:numPr>
          <w:ilvl w:val="0"/>
          <w:numId w:val="2"/>
        </w:numPr>
        <w:spacing w:line="360" w:lineRule="auto"/>
        <w:jc w:val="both"/>
      </w:pPr>
      <w:r w:rsidRPr="00041CDD">
        <w:t xml:space="preserve">Pauli, G.F.; </w:t>
      </w:r>
      <w:proofErr w:type="spellStart"/>
      <w:r w:rsidRPr="00041CDD">
        <w:t>Gödecke</w:t>
      </w:r>
      <w:proofErr w:type="spellEnd"/>
      <w:r w:rsidRPr="00041CDD">
        <w:t xml:space="preserve">, T.; </w:t>
      </w:r>
      <w:proofErr w:type="spellStart"/>
      <w:r w:rsidRPr="00041CDD">
        <w:t>Jaki</w:t>
      </w:r>
      <w:proofErr w:type="spellEnd"/>
      <w:r w:rsidRPr="00041CDD">
        <w:t xml:space="preserve">, B. U.; </w:t>
      </w:r>
      <w:proofErr w:type="spellStart"/>
      <w:r w:rsidRPr="00041CDD">
        <w:t>Lankin</w:t>
      </w:r>
      <w:proofErr w:type="spellEnd"/>
      <w:r w:rsidRPr="00041CDD">
        <w:t xml:space="preserve">, D.C. </w:t>
      </w:r>
      <w:r w:rsidRPr="00041CDD">
        <w:rPr>
          <w:i/>
        </w:rPr>
        <w:t xml:space="preserve">J. </w:t>
      </w:r>
      <w:proofErr w:type="spellStart"/>
      <w:r w:rsidRPr="00041CDD">
        <w:rPr>
          <w:i/>
        </w:rPr>
        <w:t>Nat.Prod</w:t>
      </w:r>
      <w:proofErr w:type="spellEnd"/>
      <w:r w:rsidRPr="00041CDD">
        <w:t xml:space="preserve">. </w:t>
      </w:r>
      <w:r w:rsidRPr="00041CDD">
        <w:rPr>
          <w:b/>
        </w:rPr>
        <w:t>2012</w:t>
      </w:r>
      <w:r w:rsidRPr="00041CDD">
        <w:t xml:space="preserve">, </w:t>
      </w:r>
      <w:r w:rsidRPr="00041CDD">
        <w:rPr>
          <w:i/>
        </w:rPr>
        <w:t>75</w:t>
      </w:r>
      <w:r w:rsidRPr="00041CDD">
        <w:t xml:space="preserve">, 834-851. </w:t>
      </w:r>
    </w:p>
    <w:p w:rsidR="00801F61" w:rsidRPr="00041CDD" w:rsidRDefault="00801F61" w:rsidP="00A560F6">
      <w:pPr>
        <w:pStyle w:val="Prrafodelista"/>
        <w:numPr>
          <w:ilvl w:val="0"/>
          <w:numId w:val="2"/>
        </w:numPr>
        <w:spacing w:line="360" w:lineRule="auto"/>
        <w:ind w:left="714" w:hanging="357"/>
        <w:jc w:val="both"/>
        <w:rPr>
          <w:lang w:val="es-MX"/>
        </w:rPr>
      </w:pPr>
      <w:proofErr w:type="spellStart"/>
      <w:r w:rsidRPr="00041CDD">
        <w:t>Saito</w:t>
      </w:r>
      <w:proofErr w:type="spellEnd"/>
      <w:r w:rsidRPr="00041CDD">
        <w:t xml:space="preserve">, T.; </w:t>
      </w:r>
      <w:proofErr w:type="spellStart"/>
      <w:r w:rsidRPr="00041CDD">
        <w:t>Nakaie</w:t>
      </w:r>
      <w:proofErr w:type="spellEnd"/>
      <w:r w:rsidRPr="00041CDD">
        <w:t xml:space="preserve">, S.; </w:t>
      </w:r>
      <w:proofErr w:type="spellStart"/>
      <w:r w:rsidRPr="00041CDD">
        <w:t>Kinoshita</w:t>
      </w:r>
      <w:proofErr w:type="spellEnd"/>
      <w:r w:rsidRPr="00041CDD">
        <w:t xml:space="preserve">, M.; </w:t>
      </w:r>
      <w:proofErr w:type="spellStart"/>
      <w:r w:rsidRPr="00041CDD">
        <w:t>Ihara</w:t>
      </w:r>
      <w:proofErr w:type="spellEnd"/>
      <w:r w:rsidRPr="00041CDD">
        <w:t xml:space="preserve">, T.; </w:t>
      </w:r>
      <w:proofErr w:type="spellStart"/>
      <w:r w:rsidRPr="00041CDD">
        <w:t>Kinugasa</w:t>
      </w:r>
      <w:proofErr w:type="spellEnd"/>
      <w:r w:rsidRPr="00041CDD">
        <w:t xml:space="preserve">, S.; </w:t>
      </w:r>
      <w:proofErr w:type="spellStart"/>
      <w:r w:rsidRPr="00041CDD">
        <w:t>Nomura</w:t>
      </w:r>
      <w:proofErr w:type="spellEnd"/>
      <w:r w:rsidRPr="00041CDD">
        <w:t xml:space="preserve">, A.; </w:t>
      </w:r>
      <w:proofErr w:type="spellStart"/>
      <w:r w:rsidRPr="00041CDD">
        <w:t>Maeda</w:t>
      </w:r>
      <w:proofErr w:type="spellEnd"/>
      <w:r w:rsidRPr="00041CDD">
        <w:t xml:space="preserve">, T. </w:t>
      </w:r>
      <w:proofErr w:type="spellStart"/>
      <w:r w:rsidRPr="00041CDD">
        <w:rPr>
          <w:i/>
        </w:rPr>
        <w:t>Metrologia</w:t>
      </w:r>
      <w:proofErr w:type="spellEnd"/>
      <w:r w:rsidRPr="00041CDD">
        <w:t xml:space="preserve"> </w:t>
      </w:r>
      <w:r w:rsidRPr="00041CDD">
        <w:rPr>
          <w:b/>
        </w:rPr>
        <w:t>2004</w:t>
      </w:r>
      <w:r w:rsidRPr="00041CDD">
        <w:t xml:space="preserve">, </w:t>
      </w:r>
      <w:r w:rsidRPr="00041CDD">
        <w:rPr>
          <w:i/>
        </w:rPr>
        <w:t>41</w:t>
      </w:r>
      <w:r w:rsidRPr="00041CDD">
        <w:t>, 213-218.</w:t>
      </w:r>
    </w:p>
    <w:p w:rsidR="00801F61" w:rsidRPr="00041CDD" w:rsidRDefault="00801F61" w:rsidP="00A560F6">
      <w:pPr>
        <w:pStyle w:val="Prrafodelista"/>
        <w:numPr>
          <w:ilvl w:val="0"/>
          <w:numId w:val="2"/>
        </w:numPr>
        <w:spacing w:line="360" w:lineRule="auto"/>
        <w:ind w:left="714" w:hanging="357"/>
        <w:jc w:val="both"/>
        <w:rPr>
          <w:lang w:val="en-US"/>
        </w:rPr>
      </w:pPr>
      <w:proofErr w:type="spellStart"/>
      <w:r w:rsidRPr="00041CDD">
        <w:rPr>
          <w:lang w:val="en-US"/>
        </w:rPr>
        <w:t>Rabenstein</w:t>
      </w:r>
      <w:proofErr w:type="spellEnd"/>
      <w:r w:rsidRPr="00041CDD">
        <w:rPr>
          <w:lang w:val="en-US"/>
        </w:rPr>
        <w:t xml:space="preserve">, D.L.; </w:t>
      </w:r>
      <w:proofErr w:type="spellStart"/>
      <w:r w:rsidRPr="00041CDD">
        <w:rPr>
          <w:lang w:val="en-US"/>
        </w:rPr>
        <w:t>Keire</w:t>
      </w:r>
      <w:proofErr w:type="spellEnd"/>
      <w:r w:rsidRPr="00041CDD">
        <w:rPr>
          <w:lang w:val="en-US"/>
        </w:rPr>
        <w:t xml:space="preserve">, D.A. </w:t>
      </w:r>
      <w:r w:rsidRPr="00041CDD">
        <w:rPr>
          <w:i/>
          <w:lang w:val="en-US"/>
        </w:rPr>
        <w:t xml:space="preserve">Practical </w:t>
      </w:r>
      <w:proofErr w:type="spellStart"/>
      <w:r w:rsidRPr="00041CDD">
        <w:rPr>
          <w:i/>
          <w:lang w:val="en-US"/>
        </w:rPr>
        <w:t>Spectrosc</w:t>
      </w:r>
      <w:proofErr w:type="spellEnd"/>
      <w:r w:rsidRPr="00041CDD">
        <w:rPr>
          <w:lang w:val="en-US"/>
        </w:rPr>
        <w:t xml:space="preserve">. </w:t>
      </w:r>
      <w:r w:rsidRPr="00041CDD">
        <w:rPr>
          <w:b/>
          <w:lang w:val="en-US"/>
        </w:rPr>
        <w:t>1991</w:t>
      </w:r>
      <w:r w:rsidRPr="00041CDD">
        <w:rPr>
          <w:lang w:val="en-US"/>
        </w:rPr>
        <w:t xml:space="preserve">, </w:t>
      </w:r>
      <w:r w:rsidRPr="00041CDD">
        <w:rPr>
          <w:i/>
          <w:lang w:val="en-US"/>
        </w:rPr>
        <w:t>11</w:t>
      </w:r>
      <w:r w:rsidRPr="00041CDD">
        <w:rPr>
          <w:lang w:val="en-US"/>
        </w:rPr>
        <w:t>, 323-369.</w:t>
      </w:r>
    </w:p>
    <w:p w:rsidR="00801F61" w:rsidRPr="00041CDD" w:rsidRDefault="00801F61" w:rsidP="00A560F6">
      <w:pPr>
        <w:pStyle w:val="Prrafodelista"/>
        <w:numPr>
          <w:ilvl w:val="0"/>
          <w:numId w:val="2"/>
        </w:numPr>
        <w:spacing w:line="360" w:lineRule="auto"/>
        <w:ind w:left="714" w:hanging="357"/>
        <w:jc w:val="both"/>
        <w:rPr>
          <w:lang w:val="en-US"/>
        </w:rPr>
      </w:pPr>
      <w:proofErr w:type="spellStart"/>
      <w:r w:rsidRPr="00041CDD">
        <w:t>Diehl</w:t>
      </w:r>
      <w:proofErr w:type="spellEnd"/>
      <w:r w:rsidRPr="00041CDD">
        <w:t xml:space="preserve">, B. W. K.; </w:t>
      </w:r>
      <w:proofErr w:type="spellStart"/>
      <w:r w:rsidRPr="00041CDD">
        <w:t>Malz</w:t>
      </w:r>
      <w:proofErr w:type="spellEnd"/>
      <w:r w:rsidRPr="00041CDD">
        <w:t xml:space="preserve">, F.; </w:t>
      </w:r>
      <w:proofErr w:type="spellStart"/>
      <w:r w:rsidRPr="00041CDD">
        <w:t>Holzgrabe</w:t>
      </w:r>
      <w:proofErr w:type="spellEnd"/>
      <w:r w:rsidRPr="00041CDD">
        <w:t xml:space="preserve">, U. </w:t>
      </w:r>
      <w:proofErr w:type="spellStart"/>
      <w:r w:rsidRPr="00041CDD">
        <w:rPr>
          <w:i/>
        </w:rPr>
        <w:t>Spectroscop</w:t>
      </w:r>
      <w:proofErr w:type="spellEnd"/>
      <w:r w:rsidRPr="00041CDD">
        <w:rPr>
          <w:i/>
        </w:rPr>
        <w:t xml:space="preserve">. </w:t>
      </w:r>
      <w:r w:rsidRPr="00041CDD">
        <w:rPr>
          <w:i/>
          <w:lang w:val="en-US"/>
        </w:rPr>
        <w:t xml:space="preserve">Asia </w:t>
      </w:r>
      <w:r w:rsidRPr="00041CDD">
        <w:rPr>
          <w:b/>
          <w:lang w:val="en-US"/>
        </w:rPr>
        <w:t>2007</w:t>
      </w:r>
      <w:r w:rsidRPr="00041CDD">
        <w:rPr>
          <w:lang w:val="en-US"/>
        </w:rPr>
        <w:t xml:space="preserve">, </w:t>
      </w:r>
      <w:r w:rsidRPr="00041CDD">
        <w:rPr>
          <w:i/>
          <w:lang w:val="en-US"/>
        </w:rPr>
        <w:t>3</w:t>
      </w:r>
      <w:r w:rsidRPr="00041CDD">
        <w:rPr>
          <w:lang w:val="en-US"/>
        </w:rPr>
        <w:t>, 15-19.</w:t>
      </w:r>
    </w:p>
    <w:p w:rsidR="00801F61" w:rsidRPr="00041CDD" w:rsidRDefault="00801F61" w:rsidP="00A560F6">
      <w:pPr>
        <w:pStyle w:val="Prrafodelista"/>
        <w:numPr>
          <w:ilvl w:val="0"/>
          <w:numId w:val="2"/>
        </w:numPr>
        <w:spacing w:line="360" w:lineRule="auto"/>
        <w:ind w:left="714" w:hanging="357"/>
        <w:jc w:val="both"/>
        <w:rPr>
          <w:lang w:val="es-MX"/>
        </w:rPr>
      </w:pPr>
      <w:proofErr w:type="spellStart"/>
      <w:r w:rsidRPr="00041CDD">
        <w:rPr>
          <w:lang w:val="en-US"/>
        </w:rPr>
        <w:t>Rundlöf</w:t>
      </w:r>
      <w:proofErr w:type="spellEnd"/>
      <w:r w:rsidRPr="00041CDD">
        <w:rPr>
          <w:lang w:val="en-US"/>
        </w:rPr>
        <w:t xml:space="preserve">. T.; </w:t>
      </w:r>
      <w:proofErr w:type="spellStart"/>
      <w:r w:rsidRPr="00041CDD">
        <w:rPr>
          <w:lang w:val="en-US"/>
        </w:rPr>
        <w:t>Mathiasson</w:t>
      </w:r>
      <w:proofErr w:type="spellEnd"/>
      <w:r w:rsidRPr="00041CDD">
        <w:rPr>
          <w:lang w:val="en-US"/>
        </w:rPr>
        <w:t xml:space="preserve">, M.; </w:t>
      </w:r>
      <w:proofErr w:type="spellStart"/>
      <w:r w:rsidRPr="00041CDD">
        <w:rPr>
          <w:lang w:val="en-US"/>
        </w:rPr>
        <w:t>Bekiroglu</w:t>
      </w:r>
      <w:proofErr w:type="spellEnd"/>
      <w:r w:rsidRPr="00041CDD">
        <w:rPr>
          <w:lang w:val="en-US"/>
        </w:rPr>
        <w:t xml:space="preserve">, S.; </w:t>
      </w:r>
      <w:proofErr w:type="spellStart"/>
      <w:r w:rsidRPr="00041CDD">
        <w:rPr>
          <w:lang w:val="en-US"/>
        </w:rPr>
        <w:t>Hakkarainen</w:t>
      </w:r>
      <w:proofErr w:type="spellEnd"/>
      <w:r w:rsidRPr="00041CDD">
        <w:rPr>
          <w:lang w:val="en-US"/>
        </w:rPr>
        <w:t xml:space="preserve">, B.; Bowden, T.; </w:t>
      </w:r>
      <w:proofErr w:type="spellStart"/>
      <w:r w:rsidRPr="00041CDD">
        <w:rPr>
          <w:lang w:val="en-US"/>
        </w:rPr>
        <w:t>Arvidsson</w:t>
      </w:r>
      <w:proofErr w:type="spellEnd"/>
      <w:r w:rsidRPr="00041CDD">
        <w:rPr>
          <w:lang w:val="en-US"/>
        </w:rPr>
        <w:t xml:space="preserve">, T. </w:t>
      </w:r>
      <w:r w:rsidRPr="00041CDD">
        <w:rPr>
          <w:i/>
          <w:lang w:val="en-US"/>
        </w:rPr>
        <w:t xml:space="preserve">J. Pharm. </w:t>
      </w:r>
      <w:proofErr w:type="spellStart"/>
      <w:r w:rsidRPr="00041CDD">
        <w:rPr>
          <w:i/>
          <w:lang w:val="es-MX"/>
        </w:rPr>
        <w:t>Biomed</w:t>
      </w:r>
      <w:proofErr w:type="spellEnd"/>
      <w:r w:rsidRPr="00041CDD">
        <w:rPr>
          <w:i/>
          <w:lang w:val="es-MX"/>
        </w:rPr>
        <w:t>. Anal</w:t>
      </w:r>
      <w:r w:rsidRPr="00041CDD">
        <w:rPr>
          <w:lang w:val="es-MX"/>
        </w:rPr>
        <w:t xml:space="preserve">. </w:t>
      </w:r>
      <w:r w:rsidRPr="00041CDD">
        <w:rPr>
          <w:b/>
          <w:lang w:val="es-MX"/>
        </w:rPr>
        <w:t>2010</w:t>
      </w:r>
      <w:r w:rsidRPr="00041CDD">
        <w:rPr>
          <w:lang w:val="es-MX"/>
        </w:rPr>
        <w:t xml:space="preserve">, </w:t>
      </w:r>
      <w:r w:rsidRPr="00041CDD">
        <w:rPr>
          <w:i/>
          <w:lang w:val="es-MX"/>
        </w:rPr>
        <w:t>52</w:t>
      </w:r>
      <w:r w:rsidRPr="00041CDD">
        <w:rPr>
          <w:lang w:val="es-MX"/>
        </w:rPr>
        <w:t>, 645-651.</w:t>
      </w:r>
    </w:p>
    <w:p w:rsidR="00536C67" w:rsidRPr="00041CDD" w:rsidRDefault="00801F61" w:rsidP="00A560F6">
      <w:pPr>
        <w:pStyle w:val="Prrafodelista"/>
        <w:numPr>
          <w:ilvl w:val="0"/>
          <w:numId w:val="2"/>
        </w:numPr>
        <w:spacing w:line="360" w:lineRule="auto"/>
        <w:ind w:left="714" w:hanging="357"/>
        <w:jc w:val="both"/>
        <w:rPr>
          <w:lang w:val="es-MX"/>
        </w:rPr>
      </w:pPr>
      <w:proofErr w:type="spellStart"/>
      <w:r w:rsidRPr="00041CDD">
        <w:rPr>
          <w:lang w:val="en-US"/>
        </w:rPr>
        <w:t>Malz</w:t>
      </w:r>
      <w:proofErr w:type="spellEnd"/>
      <w:r w:rsidRPr="00041CDD">
        <w:rPr>
          <w:lang w:val="en-US"/>
        </w:rPr>
        <w:t xml:space="preserve">, F.; </w:t>
      </w:r>
      <w:proofErr w:type="spellStart"/>
      <w:r w:rsidRPr="00041CDD">
        <w:rPr>
          <w:lang w:val="en-US"/>
        </w:rPr>
        <w:t>Jancke</w:t>
      </w:r>
      <w:proofErr w:type="spellEnd"/>
      <w:r w:rsidRPr="00041CDD">
        <w:rPr>
          <w:lang w:val="en-US"/>
        </w:rPr>
        <w:t xml:space="preserve">, H. </w:t>
      </w:r>
      <w:r w:rsidRPr="00041CDD">
        <w:rPr>
          <w:i/>
          <w:lang w:val="en-US"/>
        </w:rPr>
        <w:t xml:space="preserve">J. Pharm. </w:t>
      </w:r>
      <w:proofErr w:type="spellStart"/>
      <w:r w:rsidRPr="00041CDD">
        <w:rPr>
          <w:i/>
          <w:lang w:val="es-MX"/>
        </w:rPr>
        <w:t>Biomed</w:t>
      </w:r>
      <w:proofErr w:type="spellEnd"/>
      <w:r w:rsidRPr="00041CDD">
        <w:rPr>
          <w:i/>
          <w:lang w:val="es-MX"/>
        </w:rPr>
        <w:t>. Anal</w:t>
      </w:r>
      <w:r w:rsidRPr="00041CDD">
        <w:rPr>
          <w:lang w:val="es-MX"/>
        </w:rPr>
        <w:t xml:space="preserve">. </w:t>
      </w:r>
      <w:r w:rsidRPr="00041CDD">
        <w:rPr>
          <w:b/>
          <w:lang w:val="es-MX"/>
        </w:rPr>
        <w:t>2005</w:t>
      </w:r>
      <w:r w:rsidRPr="00041CDD">
        <w:rPr>
          <w:lang w:val="es-MX"/>
        </w:rPr>
        <w:t xml:space="preserve">, </w:t>
      </w:r>
      <w:r w:rsidRPr="00041CDD">
        <w:rPr>
          <w:i/>
          <w:lang w:val="es-MX"/>
        </w:rPr>
        <w:t>38</w:t>
      </w:r>
      <w:r w:rsidRPr="00041CDD">
        <w:rPr>
          <w:lang w:val="es-MX"/>
        </w:rPr>
        <w:t>, 813-823</w:t>
      </w:r>
      <w:r w:rsidR="00536C67" w:rsidRPr="00041CDD">
        <w:rPr>
          <w:lang w:val="es-MX"/>
        </w:rPr>
        <w:t>.</w:t>
      </w:r>
    </w:p>
    <w:p w:rsidR="00E9273D" w:rsidRPr="00041CDD" w:rsidRDefault="00E9273D" w:rsidP="00E9273D">
      <w:pPr>
        <w:pStyle w:val="Prrafodelista"/>
        <w:numPr>
          <w:ilvl w:val="0"/>
          <w:numId w:val="2"/>
        </w:numPr>
        <w:spacing w:line="360" w:lineRule="auto"/>
        <w:jc w:val="both"/>
      </w:pPr>
      <w:proofErr w:type="spellStart"/>
      <w:r w:rsidRPr="00041CDD">
        <w:lastRenderedPageBreak/>
        <w:t>Jungnickel</w:t>
      </w:r>
      <w:proofErr w:type="spellEnd"/>
      <w:r w:rsidRPr="00041CDD">
        <w:t xml:space="preserve">, J. L.; Forbes, J. W. Anal. </w:t>
      </w:r>
      <w:proofErr w:type="spellStart"/>
      <w:r w:rsidRPr="00041CDD">
        <w:t>Chem</w:t>
      </w:r>
      <w:proofErr w:type="spellEnd"/>
      <w:r w:rsidRPr="00041CDD">
        <w:t xml:space="preserve">. </w:t>
      </w:r>
      <w:r w:rsidRPr="00041CDD">
        <w:rPr>
          <w:b/>
        </w:rPr>
        <w:t>1963</w:t>
      </w:r>
      <w:r w:rsidRPr="00041CDD">
        <w:t>, 35, 938-942.</w:t>
      </w:r>
    </w:p>
    <w:p w:rsidR="00E9273D" w:rsidRDefault="00E9273D" w:rsidP="00041CDD">
      <w:pPr>
        <w:pStyle w:val="Prrafodelista"/>
        <w:numPr>
          <w:ilvl w:val="0"/>
          <w:numId w:val="2"/>
        </w:numPr>
        <w:spacing w:line="360" w:lineRule="auto"/>
        <w:jc w:val="both"/>
      </w:pPr>
      <w:proofErr w:type="spellStart"/>
      <w:r w:rsidRPr="00041CDD">
        <w:t>Hollis</w:t>
      </w:r>
      <w:proofErr w:type="spellEnd"/>
      <w:r w:rsidRPr="00041CDD">
        <w:t xml:space="preserve">, D. P. Anal. </w:t>
      </w:r>
      <w:proofErr w:type="spellStart"/>
      <w:r w:rsidRPr="00041CDD">
        <w:t>Chem</w:t>
      </w:r>
      <w:proofErr w:type="spellEnd"/>
      <w:r w:rsidRPr="00041CDD">
        <w:t xml:space="preserve">. </w:t>
      </w:r>
      <w:r w:rsidRPr="00041CDD">
        <w:rPr>
          <w:b/>
        </w:rPr>
        <w:t>1963</w:t>
      </w:r>
      <w:r w:rsidRPr="00041CDD">
        <w:t>, 35, 1682-1684.</w:t>
      </w:r>
    </w:p>
    <w:p w:rsidR="00E73C8D" w:rsidRDefault="00E73C8D" w:rsidP="00E73C8D">
      <w:pPr>
        <w:pStyle w:val="Textoindependiente"/>
        <w:numPr>
          <w:ilvl w:val="0"/>
          <w:numId w:val="2"/>
        </w:numPr>
        <w:spacing w:line="360" w:lineRule="auto"/>
        <w:jc w:val="left"/>
        <w:rPr>
          <w:szCs w:val="24"/>
          <w:lang w:val="en-US"/>
        </w:rPr>
      </w:pPr>
      <w:proofErr w:type="spellStart"/>
      <w:r w:rsidRPr="00BF2171">
        <w:rPr>
          <w:szCs w:val="24"/>
          <w:lang w:val="en-US"/>
        </w:rPr>
        <w:t>Barthi</w:t>
      </w:r>
      <w:proofErr w:type="spellEnd"/>
      <w:r w:rsidRPr="00BF2171">
        <w:rPr>
          <w:szCs w:val="24"/>
          <w:lang w:val="en-US"/>
        </w:rPr>
        <w:t xml:space="preserve">, S. K.; Roy, R. </w:t>
      </w:r>
      <w:r w:rsidRPr="00BF2171">
        <w:rPr>
          <w:i/>
          <w:szCs w:val="24"/>
          <w:lang w:val="en-US"/>
        </w:rPr>
        <w:t>Trends in Analytical Chemistry</w:t>
      </w:r>
      <w:r w:rsidRPr="00BF2171">
        <w:rPr>
          <w:szCs w:val="24"/>
          <w:lang w:val="en-US"/>
        </w:rPr>
        <w:t xml:space="preserve"> </w:t>
      </w:r>
      <w:r w:rsidRPr="00BF2171">
        <w:rPr>
          <w:b/>
          <w:szCs w:val="24"/>
          <w:lang w:val="en-US"/>
        </w:rPr>
        <w:t>2012</w:t>
      </w:r>
      <w:r w:rsidRPr="00BF2171">
        <w:rPr>
          <w:szCs w:val="24"/>
          <w:lang w:val="en-US"/>
        </w:rPr>
        <w:t xml:space="preserve">, </w:t>
      </w:r>
      <w:r w:rsidRPr="00BF2171">
        <w:rPr>
          <w:i/>
          <w:szCs w:val="24"/>
          <w:lang w:val="en-US"/>
        </w:rPr>
        <w:t>35</w:t>
      </w:r>
      <w:r w:rsidRPr="00BF2171">
        <w:rPr>
          <w:szCs w:val="24"/>
          <w:lang w:val="en-US"/>
        </w:rPr>
        <w:t>, 5-26.</w:t>
      </w:r>
    </w:p>
    <w:p w:rsidR="00813675" w:rsidRPr="00BF2171" w:rsidRDefault="00BC2647" w:rsidP="00E9273D">
      <w:pPr>
        <w:pStyle w:val="Textoindependiente"/>
        <w:numPr>
          <w:ilvl w:val="0"/>
          <w:numId w:val="2"/>
        </w:numPr>
        <w:spacing w:line="360" w:lineRule="auto"/>
        <w:jc w:val="left"/>
        <w:rPr>
          <w:szCs w:val="24"/>
          <w:lang w:val="en-US"/>
        </w:rPr>
      </w:pPr>
      <w:r w:rsidRPr="00BF2171">
        <w:rPr>
          <w:szCs w:val="24"/>
          <w:lang w:val="en-US"/>
        </w:rPr>
        <w:t xml:space="preserve">Griffiths, L.; Irving, A. M. </w:t>
      </w:r>
      <w:r w:rsidRPr="00BF2171">
        <w:rPr>
          <w:i/>
          <w:szCs w:val="24"/>
          <w:lang w:val="en-US"/>
        </w:rPr>
        <w:t>Analyst</w:t>
      </w:r>
      <w:r w:rsidRPr="00BF2171">
        <w:rPr>
          <w:szCs w:val="24"/>
          <w:lang w:val="en-US"/>
        </w:rPr>
        <w:t xml:space="preserve">, </w:t>
      </w:r>
      <w:r w:rsidRPr="00E73C8D">
        <w:rPr>
          <w:b/>
          <w:szCs w:val="24"/>
          <w:lang w:val="en-US"/>
        </w:rPr>
        <w:t>1998</w:t>
      </w:r>
      <w:r w:rsidRPr="00BF2171">
        <w:rPr>
          <w:szCs w:val="24"/>
          <w:lang w:val="en-US"/>
        </w:rPr>
        <w:t xml:space="preserve">, </w:t>
      </w:r>
      <w:r w:rsidRPr="00BF2171">
        <w:rPr>
          <w:i/>
          <w:szCs w:val="24"/>
          <w:lang w:val="en-US"/>
        </w:rPr>
        <w:t>123</w:t>
      </w:r>
      <w:r w:rsidRPr="00BF2171">
        <w:rPr>
          <w:szCs w:val="24"/>
          <w:lang w:val="en-US"/>
        </w:rPr>
        <w:t>, 1061-1068.</w:t>
      </w:r>
      <w:r w:rsidR="001E2188" w:rsidRPr="00BF2171">
        <w:rPr>
          <w:szCs w:val="24"/>
          <w:lang w:val="en-US"/>
        </w:rPr>
        <w:t xml:space="preserve"> </w:t>
      </w:r>
    </w:p>
    <w:p w:rsidR="00DC567F" w:rsidRPr="00DC567F" w:rsidRDefault="00DC567F" w:rsidP="00E9273D">
      <w:pPr>
        <w:pStyle w:val="Textoindependiente"/>
        <w:numPr>
          <w:ilvl w:val="0"/>
          <w:numId w:val="2"/>
        </w:numPr>
        <w:spacing w:line="360" w:lineRule="auto"/>
        <w:jc w:val="left"/>
        <w:rPr>
          <w:szCs w:val="24"/>
          <w:lang w:val="en-US"/>
        </w:rPr>
      </w:pPr>
      <w:proofErr w:type="spellStart"/>
      <w:r>
        <w:t>Tomkins</w:t>
      </w:r>
      <w:proofErr w:type="spellEnd"/>
      <w:r>
        <w:t xml:space="preserve">, P.; </w:t>
      </w:r>
      <w:proofErr w:type="spellStart"/>
      <w:r>
        <w:t>Ranocchiari</w:t>
      </w:r>
      <w:proofErr w:type="spellEnd"/>
      <w:r>
        <w:t xml:space="preserve">; van </w:t>
      </w:r>
      <w:proofErr w:type="spellStart"/>
      <w:r>
        <w:t>Bokhoven</w:t>
      </w:r>
      <w:proofErr w:type="spellEnd"/>
      <w:r>
        <w:t>, J. A</w:t>
      </w:r>
      <w:r w:rsidRPr="00DC567F">
        <w:rPr>
          <w:i/>
        </w:rPr>
        <w:t xml:space="preserve">. </w:t>
      </w:r>
      <w:proofErr w:type="spellStart"/>
      <w:r w:rsidRPr="00DC567F">
        <w:rPr>
          <w:i/>
        </w:rPr>
        <w:t>Acc</w:t>
      </w:r>
      <w:proofErr w:type="spellEnd"/>
      <w:r w:rsidRPr="00DC567F">
        <w:rPr>
          <w:i/>
        </w:rPr>
        <w:t xml:space="preserve">. </w:t>
      </w:r>
      <w:proofErr w:type="spellStart"/>
      <w:r w:rsidRPr="00DC567F">
        <w:rPr>
          <w:i/>
        </w:rPr>
        <w:t>Chem</w:t>
      </w:r>
      <w:proofErr w:type="spellEnd"/>
      <w:r w:rsidRPr="00DC567F">
        <w:rPr>
          <w:i/>
        </w:rPr>
        <w:t>. Res.</w:t>
      </w:r>
      <w:r>
        <w:t xml:space="preserve"> </w:t>
      </w:r>
      <w:r w:rsidRPr="00DC567F">
        <w:rPr>
          <w:b/>
        </w:rPr>
        <w:t>2017</w:t>
      </w:r>
      <w:r>
        <w:t xml:space="preserve">, </w:t>
      </w:r>
      <w:r w:rsidRPr="00DC567F">
        <w:rPr>
          <w:i/>
        </w:rPr>
        <w:t>50</w:t>
      </w:r>
      <w:r>
        <w:t>, 418-425.</w:t>
      </w:r>
    </w:p>
    <w:p w:rsidR="00DC567F" w:rsidRPr="00DC567F" w:rsidRDefault="00DC567F" w:rsidP="00E9273D">
      <w:pPr>
        <w:pStyle w:val="Textoindependiente"/>
        <w:numPr>
          <w:ilvl w:val="0"/>
          <w:numId w:val="2"/>
        </w:numPr>
        <w:spacing w:line="360" w:lineRule="auto"/>
        <w:jc w:val="left"/>
        <w:rPr>
          <w:szCs w:val="24"/>
          <w:lang w:val="en-US"/>
        </w:rPr>
      </w:pPr>
      <w:proofErr w:type="spellStart"/>
      <w:r>
        <w:t>Hammond</w:t>
      </w:r>
      <w:proofErr w:type="spellEnd"/>
      <w:r>
        <w:t>, C</w:t>
      </w:r>
      <w:r w:rsidR="00123065">
        <w:t xml:space="preserve">.; </w:t>
      </w:r>
      <w:proofErr w:type="spellStart"/>
      <w:r w:rsidR="00A71939">
        <w:t>Forde</w:t>
      </w:r>
      <w:proofErr w:type="spellEnd"/>
      <w:r w:rsidR="00A71939">
        <w:t>, M. M</w:t>
      </w:r>
      <w:r>
        <w:t>.</w:t>
      </w:r>
      <w:r w:rsidR="00A71939">
        <w:t xml:space="preserve">; Ab </w:t>
      </w:r>
      <w:proofErr w:type="spellStart"/>
      <w:r w:rsidR="00A71939">
        <w:t>Rahim</w:t>
      </w:r>
      <w:proofErr w:type="spellEnd"/>
      <w:r w:rsidR="00A71939">
        <w:t xml:space="preserve">, M. H.; </w:t>
      </w:r>
      <w:proofErr w:type="spellStart"/>
      <w:r w:rsidR="00A71939">
        <w:t>Thetford</w:t>
      </w:r>
      <w:proofErr w:type="spellEnd"/>
      <w:r w:rsidR="00A71939">
        <w:t xml:space="preserve">, A.; He, Q.; Jenkins, R. L.; </w:t>
      </w:r>
      <w:proofErr w:type="spellStart"/>
      <w:r w:rsidR="00A71939">
        <w:t>Dimitratos</w:t>
      </w:r>
      <w:proofErr w:type="spellEnd"/>
      <w:r w:rsidR="00A71939">
        <w:t xml:space="preserve">, N.; López-Sánchez, J. A.; </w:t>
      </w:r>
      <w:proofErr w:type="spellStart"/>
      <w:r w:rsidR="00A71939">
        <w:t>Dummer</w:t>
      </w:r>
      <w:proofErr w:type="spellEnd"/>
      <w:r w:rsidR="00A71939">
        <w:t xml:space="preserve">, N. F.; Murphy, D. M.; </w:t>
      </w:r>
      <w:proofErr w:type="spellStart"/>
      <w:r w:rsidR="00A71939">
        <w:t>Carley</w:t>
      </w:r>
      <w:proofErr w:type="spellEnd"/>
      <w:r w:rsidR="00A71939">
        <w:t xml:space="preserve">, A. F.; Taylor, S. H.; </w:t>
      </w:r>
      <w:proofErr w:type="spellStart"/>
      <w:r w:rsidR="00A71939">
        <w:t>Willock</w:t>
      </w:r>
      <w:proofErr w:type="spellEnd"/>
      <w:r w:rsidR="00A71939">
        <w:t xml:space="preserve">, D. J.; </w:t>
      </w:r>
      <w:proofErr w:type="spellStart"/>
      <w:r w:rsidR="00A71939">
        <w:t>Stangland</w:t>
      </w:r>
      <w:proofErr w:type="spellEnd"/>
      <w:r w:rsidR="00A71939">
        <w:t xml:space="preserve">, E. E.; </w:t>
      </w:r>
      <w:proofErr w:type="spellStart"/>
      <w:r w:rsidR="00A71939">
        <w:t>Kang</w:t>
      </w:r>
      <w:proofErr w:type="spellEnd"/>
      <w:r w:rsidR="00A71939">
        <w:t xml:space="preserve">, J.; Hagen, H.; </w:t>
      </w:r>
      <w:proofErr w:type="spellStart"/>
      <w:r w:rsidR="00A71939">
        <w:t>Kiely</w:t>
      </w:r>
      <w:proofErr w:type="spellEnd"/>
      <w:r w:rsidR="00A71939">
        <w:t xml:space="preserve">, C. J.; </w:t>
      </w:r>
      <w:proofErr w:type="spellStart"/>
      <w:r w:rsidR="00A71939">
        <w:t>Hutchings</w:t>
      </w:r>
      <w:proofErr w:type="spellEnd"/>
      <w:r w:rsidR="00A71939">
        <w:t xml:space="preserve">, G. J. </w:t>
      </w:r>
      <w:proofErr w:type="spellStart"/>
      <w:r w:rsidRPr="00DC567F">
        <w:rPr>
          <w:i/>
        </w:rPr>
        <w:t>Angew</w:t>
      </w:r>
      <w:proofErr w:type="spellEnd"/>
      <w:r w:rsidRPr="00DC567F">
        <w:rPr>
          <w:i/>
        </w:rPr>
        <w:t xml:space="preserve">. </w:t>
      </w:r>
      <w:proofErr w:type="spellStart"/>
      <w:r w:rsidRPr="00DC567F">
        <w:rPr>
          <w:i/>
        </w:rPr>
        <w:t>Chem</w:t>
      </w:r>
      <w:proofErr w:type="spellEnd"/>
      <w:r w:rsidRPr="00DC567F">
        <w:rPr>
          <w:i/>
        </w:rPr>
        <w:t xml:space="preserve">. </w:t>
      </w:r>
      <w:proofErr w:type="spellStart"/>
      <w:r w:rsidRPr="00DC567F">
        <w:rPr>
          <w:i/>
        </w:rPr>
        <w:t>Int</w:t>
      </w:r>
      <w:proofErr w:type="spellEnd"/>
      <w:r w:rsidRPr="00DC567F">
        <w:rPr>
          <w:i/>
        </w:rPr>
        <w:t>. Ed.</w:t>
      </w:r>
      <w:r>
        <w:t xml:space="preserve"> </w:t>
      </w:r>
      <w:r w:rsidRPr="00DC567F">
        <w:rPr>
          <w:b/>
        </w:rPr>
        <w:t>2012</w:t>
      </w:r>
      <w:r>
        <w:t xml:space="preserve">, </w:t>
      </w:r>
      <w:r w:rsidRPr="00DC567F">
        <w:rPr>
          <w:i/>
        </w:rPr>
        <w:t>51</w:t>
      </w:r>
      <w:r>
        <w:t>, 5129-5133.</w:t>
      </w:r>
    </w:p>
    <w:p w:rsidR="00DC567F" w:rsidRPr="00BF2171" w:rsidRDefault="00DC567F" w:rsidP="00E9273D">
      <w:pPr>
        <w:pStyle w:val="Textoindependiente"/>
        <w:numPr>
          <w:ilvl w:val="0"/>
          <w:numId w:val="2"/>
        </w:numPr>
        <w:spacing w:line="360" w:lineRule="auto"/>
        <w:jc w:val="left"/>
        <w:rPr>
          <w:szCs w:val="24"/>
          <w:lang w:val="en-US"/>
        </w:rPr>
      </w:pPr>
      <w:proofErr w:type="spellStart"/>
      <w:r>
        <w:t>Narsimhan</w:t>
      </w:r>
      <w:proofErr w:type="spellEnd"/>
      <w:r>
        <w:t xml:space="preserve">, K.; </w:t>
      </w:r>
      <w:proofErr w:type="spellStart"/>
      <w:r>
        <w:t>Iyoki</w:t>
      </w:r>
      <w:proofErr w:type="spellEnd"/>
      <w:r>
        <w:t xml:space="preserve">, K.; </w:t>
      </w:r>
      <w:proofErr w:type="spellStart"/>
      <w:r>
        <w:t>Dinh</w:t>
      </w:r>
      <w:proofErr w:type="spellEnd"/>
      <w:r>
        <w:t>, K.; Román-</w:t>
      </w:r>
      <w:proofErr w:type="spellStart"/>
      <w:r>
        <w:t>Leshkov</w:t>
      </w:r>
      <w:proofErr w:type="spellEnd"/>
      <w:r>
        <w:t xml:space="preserve">, Y. </w:t>
      </w:r>
      <w:r w:rsidRPr="00DC567F">
        <w:rPr>
          <w:i/>
        </w:rPr>
        <w:t xml:space="preserve">ACS Cent. </w:t>
      </w:r>
      <w:proofErr w:type="spellStart"/>
      <w:r w:rsidRPr="00DC567F">
        <w:rPr>
          <w:i/>
        </w:rPr>
        <w:t>Sci</w:t>
      </w:r>
      <w:proofErr w:type="spellEnd"/>
      <w:r w:rsidRPr="00DC567F">
        <w:rPr>
          <w:i/>
        </w:rPr>
        <w:t>.</w:t>
      </w:r>
      <w:r>
        <w:t xml:space="preserve"> </w:t>
      </w:r>
      <w:r w:rsidRPr="00DC567F">
        <w:rPr>
          <w:b/>
        </w:rPr>
        <w:t>2016</w:t>
      </w:r>
      <w:r>
        <w:t xml:space="preserve">, </w:t>
      </w:r>
      <w:r w:rsidRPr="00DC567F">
        <w:rPr>
          <w:i/>
        </w:rPr>
        <w:t>2</w:t>
      </w:r>
      <w:r>
        <w:t>, 424-429.</w:t>
      </w:r>
    </w:p>
    <w:sectPr w:rsidR="00DC567F" w:rsidRPr="00BF2171" w:rsidSect="006A75D4">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B6" w:rsidRDefault="006C2AB6" w:rsidP="0009223F">
      <w:r>
        <w:separator/>
      </w:r>
    </w:p>
  </w:endnote>
  <w:endnote w:type="continuationSeparator" w:id="0">
    <w:p w:rsidR="006C2AB6" w:rsidRDefault="006C2AB6" w:rsidP="0009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6569"/>
      <w:docPartObj>
        <w:docPartGallery w:val="Page Numbers (Bottom of Page)"/>
        <w:docPartUnique/>
      </w:docPartObj>
    </w:sdtPr>
    <w:sdtEndPr/>
    <w:sdtContent>
      <w:p w:rsidR="00455954" w:rsidRDefault="002D7996">
        <w:pPr>
          <w:pStyle w:val="Piedepgina"/>
          <w:jc w:val="center"/>
        </w:pPr>
        <w:r>
          <w:fldChar w:fldCharType="begin"/>
        </w:r>
        <w:r>
          <w:instrText xml:space="preserve"> PAGE   \* MERGEFORMAT </w:instrText>
        </w:r>
        <w:r>
          <w:fldChar w:fldCharType="separate"/>
        </w:r>
        <w:r w:rsidR="00C4431E">
          <w:rPr>
            <w:noProof/>
          </w:rPr>
          <w:t>3</w:t>
        </w:r>
        <w:r>
          <w:rPr>
            <w:noProof/>
          </w:rPr>
          <w:fldChar w:fldCharType="end"/>
        </w:r>
      </w:p>
    </w:sdtContent>
  </w:sdt>
  <w:p w:rsidR="00455954" w:rsidRDefault="004559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B6" w:rsidRDefault="006C2AB6" w:rsidP="0009223F">
      <w:r>
        <w:separator/>
      </w:r>
    </w:p>
  </w:footnote>
  <w:footnote w:type="continuationSeparator" w:id="0">
    <w:p w:rsidR="006C2AB6" w:rsidRDefault="006C2AB6" w:rsidP="0009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B75"/>
    <w:multiLevelType w:val="singleLevel"/>
    <w:tmpl w:val="0C0A000F"/>
    <w:lvl w:ilvl="0">
      <w:start w:val="48"/>
      <w:numFmt w:val="decimal"/>
      <w:lvlText w:val="%1."/>
      <w:lvlJc w:val="left"/>
      <w:pPr>
        <w:tabs>
          <w:tab w:val="num" w:pos="360"/>
        </w:tabs>
        <w:ind w:left="360" w:hanging="360"/>
      </w:pPr>
      <w:rPr>
        <w:rFonts w:hint="default"/>
      </w:rPr>
    </w:lvl>
  </w:abstractNum>
  <w:abstractNum w:abstractNumId="1">
    <w:nsid w:val="1271324C"/>
    <w:multiLevelType w:val="singleLevel"/>
    <w:tmpl w:val="8AE4D926"/>
    <w:lvl w:ilvl="0">
      <w:start w:val="1"/>
      <w:numFmt w:val="decimal"/>
      <w:lvlText w:val=""/>
      <w:lvlJc w:val="left"/>
      <w:pPr>
        <w:tabs>
          <w:tab w:val="num" w:pos="360"/>
        </w:tabs>
        <w:ind w:left="360" w:hanging="360"/>
      </w:pPr>
      <w:rPr>
        <w:rFonts w:hint="default"/>
      </w:rPr>
    </w:lvl>
  </w:abstractNum>
  <w:abstractNum w:abstractNumId="2">
    <w:nsid w:val="1E4152E3"/>
    <w:multiLevelType w:val="hybridMultilevel"/>
    <w:tmpl w:val="2F3C7AA4"/>
    <w:lvl w:ilvl="0" w:tplc="456A4FBA">
      <w:start w:val="1"/>
      <w:numFmt w:val="lowerLetter"/>
      <w:lvlText w:val="(%1)"/>
      <w:lvlJc w:val="left"/>
      <w:pPr>
        <w:ind w:left="1919" w:hanging="360"/>
      </w:pPr>
      <w:rPr>
        <w:rFonts w:hint="default"/>
        <w:i/>
        <w:sz w:val="20"/>
        <w:szCs w:val="20"/>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3">
    <w:nsid w:val="39C903B7"/>
    <w:multiLevelType w:val="hybridMultilevel"/>
    <w:tmpl w:val="D2C2F9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593ABD"/>
    <w:multiLevelType w:val="hybridMultilevel"/>
    <w:tmpl w:val="88F2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6263CA"/>
    <w:multiLevelType w:val="hybridMultilevel"/>
    <w:tmpl w:val="F6549EF6"/>
    <w:lvl w:ilvl="0" w:tplc="FBEE6FC2">
      <w:start w:val="1"/>
      <w:numFmt w:val="lowerLetter"/>
      <w:lvlText w:val="(%1)"/>
      <w:lvlJc w:val="left"/>
      <w:pPr>
        <w:ind w:left="1860" w:hanging="360"/>
      </w:pPr>
      <w:rPr>
        <w:rFonts w:hint="default"/>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D4"/>
    <w:rsid w:val="000130DD"/>
    <w:rsid w:val="00014B16"/>
    <w:rsid w:val="00015F04"/>
    <w:rsid w:val="0002133B"/>
    <w:rsid w:val="00023DA3"/>
    <w:rsid w:val="00026199"/>
    <w:rsid w:val="00034D02"/>
    <w:rsid w:val="0003564D"/>
    <w:rsid w:val="00036FDA"/>
    <w:rsid w:val="000405D5"/>
    <w:rsid w:val="00041CDD"/>
    <w:rsid w:val="00045F64"/>
    <w:rsid w:val="000554C4"/>
    <w:rsid w:val="0005587E"/>
    <w:rsid w:val="00057B77"/>
    <w:rsid w:val="00066952"/>
    <w:rsid w:val="00074BF1"/>
    <w:rsid w:val="0007543A"/>
    <w:rsid w:val="00080605"/>
    <w:rsid w:val="000820A6"/>
    <w:rsid w:val="00082473"/>
    <w:rsid w:val="000829A8"/>
    <w:rsid w:val="00082B78"/>
    <w:rsid w:val="00083AD3"/>
    <w:rsid w:val="00090CFA"/>
    <w:rsid w:val="0009223F"/>
    <w:rsid w:val="00096396"/>
    <w:rsid w:val="000968A0"/>
    <w:rsid w:val="000974FE"/>
    <w:rsid w:val="00097956"/>
    <w:rsid w:val="000A154E"/>
    <w:rsid w:val="000A2FAE"/>
    <w:rsid w:val="000A4807"/>
    <w:rsid w:val="000A629B"/>
    <w:rsid w:val="000B0D7F"/>
    <w:rsid w:val="000B211D"/>
    <w:rsid w:val="000B22FE"/>
    <w:rsid w:val="000B4ED2"/>
    <w:rsid w:val="000C108A"/>
    <w:rsid w:val="000D000A"/>
    <w:rsid w:val="000D492B"/>
    <w:rsid w:val="000D762D"/>
    <w:rsid w:val="000D7BEE"/>
    <w:rsid w:val="000E0DAB"/>
    <w:rsid w:val="000E520E"/>
    <w:rsid w:val="000F444E"/>
    <w:rsid w:val="00103C0B"/>
    <w:rsid w:val="0010635A"/>
    <w:rsid w:val="00106971"/>
    <w:rsid w:val="00110CC6"/>
    <w:rsid w:val="00120580"/>
    <w:rsid w:val="00123065"/>
    <w:rsid w:val="00123D90"/>
    <w:rsid w:val="00150071"/>
    <w:rsid w:val="001535E1"/>
    <w:rsid w:val="00154A90"/>
    <w:rsid w:val="00155E1C"/>
    <w:rsid w:val="00164C67"/>
    <w:rsid w:val="001678C9"/>
    <w:rsid w:val="00173AC5"/>
    <w:rsid w:val="0017651B"/>
    <w:rsid w:val="00181214"/>
    <w:rsid w:val="001864B3"/>
    <w:rsid w:val="00187E45"/>
    <w:rsid w:val="0019156B"/>
    <w:rsid w:val="0019179F"/>
    <w:rsid w:val="0019559D"/>
    <w:rsid w:val="00195FE2"/>
    <w:rsid w:val="001A2732"/>
    <w:rsid w:val="001A2BAD"/>
    <w:rsid w:val="001B5838"/>
    <w:rsid w:val="001C28A7"/>
    <w:rsid w:val="001C2C91"/>
    <w:rsid w:val="001C3268"/>
    <w:rsid w:val="001C4A4B"/>
    <w:rsid w:val="001C71F1"/>
    <w:rsid w:val="001E16E4"/>
    <w:rsid w:val="001E2188"/>
    <w:rsid w:val="001E77F0"/>
    <w:rsid w:val="001F0B4B"/>
    <w:rsid w:val="001F5E4E"/>
    <w:rsid w:val="001F7210"/>
    <w:rsid w:val="00202F2C"/>
    <w:rsid w:val="002055BF"/>
    <w:rsid w:val="0021091C"/>
    <w:rsid w:val="00211BC0"/>
    <w:rsid w:val="00215CB0"/>
    <w:rsid w:val="002216C0"/>
    <w:rsid w:val="00221BEF"/>
    <w:rsid w:val="00224267"/>
    <w:rsid w:val="002268DE"/>
    <w:rsid w:val="002340ED"/>
    <w:rsid w:val="00242128"/>
    <w:rsid w:val="00250566"/>
    <w:rsid w:val="00254ACD"/>
    <w:rsid w:val="002550C3"/>
    <w:rsid w:val="002554C8"/>
    <w:rsid w:val="002563ED"/>
    <w:rsid w:val="00256466"/>
    <w:rsid w:val="00260D9F"/>
    <w:rsid w:val="00260F8F"/>
    <w:rsid w:val="002611CE"/>
    <w:rsid w:val="00267E09"/>
    <w:rsid w:val="00272BE4"/>
    <w:rsid w:val="00274AD6"/>
    <w:rsid w:val="00276C6D"/>
    <w:rsid w:val="00291A4B"/>
    <w:rsid w:val="00291AC4"/>
    <w:rsid w:val="002A5043"/>
    <w:rsid w:val="002C03E4"/>
    <w:rsid w:val="002C1DA3"/>
    <w:rsid w:val="002C3591"/>
    <w:rsid w:val="002C5095"/>
    <w:rsid w:val="002C778D"/>
    <w:rsid w:val="002D1AE5"/>
    <w:rsid w:val="002D4AFE"/>
    <w:rsid w:val="002D67F9"/>
    <w:rsid w:val="002D6E57"/>
    <w:rsid w:val="002D7996"/>
    <w:rsid w:val="002E0D01"/>
    <w:rsid w:val="002E5F59"/>
    <w:rsid w:val="002E6064"/>
    <w:rsid w:val="002F1C1F"/>
    <w:rsid w:val="002F49AF"/>
    <w:rsid w:val="002F56D3"/>
    <w:rsid w:val="003007FE"/>
    <w:rsid w:val="00305246"/>
    <w:rsid w:val="00307371"/>
    <w:rsid w:val="003077E5"/>
    <w:rsid w:val="00311894"/>
    <w:rsid w:val="003131BF"/>
    <w:rsid w:val="00322BEB"/>
    <w:rsid w:val="00323D11"/>
    <w:rsid w:val="00326835"/>
    <w:rsid w:val="00331C18"/>
    <w:rsid w:val="00332367"/>
    <w:rsid w:val="003331F1"/>
    <w:rsid w:val="00335FE3"/>
    <w:rsid w:val="003405B3"/>
    <w:rsid w:val="00345CEF"/>
    <w:rsid w:val="003554B1"/>
    <w:rsid w:val="00357757"/>
    <w:rsid w:val="00363AB7"/>
    <w:rsid w:val="003711EA"/>
    <w:rsid w:val="00372104"/>
    <w:rsid w:val="00375F23"/>
    <w:rsid w:val="0037706D"/>
    <w:rsid w:val="00377D3B"/>
    <w:rsid w:val="00384857"/>
    <w:rsid w:val="003953AB"/>
    <w:rsid w:val="00396929"/>
    <w:rsid w:val="003A0CBD"/>
    <w:rsid w:val="003A254A"/>
    <w:rsid w:val="003A3129"/>
    <w:rsid w:val="003A369E"/>
    <w:rsid w:val="003A421A"/>
    <w:rsid w:val="003A53CE"/>
    <w:rsid w:val="003B0F45"/>
    <w:rsid w:val="003B2560"/>
    <w:rsid w:val="003B287A"/>
    <w:rsid w:val="003B40A3"/>
    <w:rsid w:val="003B427C"/>
    <w:rsid w:val="003B57D0"/>
    <w:rsid w:val="003B6FBE"/>
    <w:rsid w:val="003C4073"/>
    <w:rsid w:val="003C4E35"/>
    <w:rsid w:val="003D11C4"/>
    <w:rsid w:val="003D4EE4"/>
    <w:rsid w:val="003E1614"/>
    <w:rsid w:val="003E3A75"/>
    <w:rsid w:val="003E67BF"/>
    <w:rsid w:val="003E7DDD"/>
    <w:rsid w:val="003F3659"/>
    <w:rsid w:val="00400DA2"/>
    <w:rsid w:val="00403A94"/>
    <w:rsid w:val="0040681C"/>
    <w:rsid w:val="00407326"/>
    <w:rsid w:val="004103C1"/>
    <w:rsid w:val="00410A8A"/>
    <w:rsid w:val="00415CC1"/>
    <w:rsid w:val="00417A00"/>
    <w:rsid w:val="00417BD3"/>
    <w:rsid w:val="004203EA"/>
    <w:rsid w:val="00420469"/>
    <w:rsid w:val="00424D8B"/>
    <w:rsid w:val="00426C33"/>
    <w:rsid w:val="0042713C"/>
    <w:rsid w:val="00430AB7"/>
    <w:rsid w:val="00432A13"/>
    <w:rsid w:val="00440DAD"/>
    <w:rsid w:val="00445ACA"/>
    <w:rsid w:val="0045137F"/>
    <w:rsid w:val="00452EA8"/>
    <w:rsid w:val="00453C8D"/>
    <w:rsid w:val="00455954"/>
    <w:rsid w:val="00456004"/>
    <w:rsid w:val="00456BA5"/>
    <w:rsid w:val="00462BB3"/>
    <w:rsid w:val="004635E5"/>
    <w:rsid w:val="004648B3"/>
    <w:rsid w:val="00465611"/>
    <w:rsid w:val="00465783"/>
    <w:rsid w:val="00465DE7"/>
    <w:rsid w:val="00466058"/>
    <w:rsid w:val="004711CC"/>
    <w:rsid w:val="00471874"/>
    <w:rsid w:val="00475C57"/>
    <w:rsid w:val="004821E2"/>
    <w:rsid w:val="004867EF"/>
    <w:rsid w:val="00486879"/>
    <w:rsid w:val="00487A5C"/>
    <w:rsid w:val="00493169"/>
    <w:rsid w:val="004A0DCC"/>
    <w:rsid w:val="004A0FC9"/>
    <w:rsid w:val="004A2E07"/>
    <w:rsid w:val="004A439E"/>
    <w:rsid w:val="004B0A4C"/>
    <w:rsid w:val="004B0A68"/>
    <w:rsid w:val="004B3787"/>
    <w:rsid w:val="004C3783"/>
    <w:rsid w:val="004D471F"/>
    <w:rsid w:val="004D4D39"/>
    <w:rsid w:val="004D50D8"/>
    <w:rsid w:val="004D53DB"/>
    <w:rsid w:val="004D628C"/>
    <w:rsid w:val="004D6A01"/>
    <w:rsid w:val="004D7E60"/>
    <w:rsid w:val="004F0CE3"/>
    <w:rsid w:val="004F23D8"/>
    <w:rsid w:val="00507329"/>
    <w:rsid w:val="00513DAC"/>
    <w:rsid w:val="00514D49"/>
    <w:rsid w:val="00515A70"/>
    <w:rsid w:val="00515B1A"/>
    <w:rsid w:val="00515E39"/>
    <w:rsid w:val="00521C0A"/>
    <w:rsid w:val="005237BE"/>
    <w:rsid w:val="00525AFD"/>
    <w:rsid w:val="00526F35"/>
    <w:rsid w:val="00536C67"/>
    <w:rsid w:val="005372DC"/>
    <w:rsid w:val="00546F52"/>
    <w:rsid w:val="005470D0"/>
    <w:rsid w:val="005501CC"/>
    <w:rsid w:val="00551640"/>
    <w:rsid w:val="0055196F"/>
    <w:rsid w:val="00552A30"/>
    <w:rsid w:val="005550A9"/>
    <w:rsid w:val="00555D35"/>
    <w:rsid w:val="00563001"/>
    <w:rsid w:val="0057002A"/>
    <w:rsid w:val="00573739"/>
    <w:rsid w:val="00574BF6"/>
    <w:rsid w:val="00576BD3"/>
    <w:rsid w:val="00581A33"/>
    <w:rsid w:val="0058584D"/>
    <w:rsid w:val="00592745"/>
    <w:rsid w:val="00595A88"/>
    <w:rsid w:val="005A3A44"/>
    <w:rsid w:val="005A48B8"/>
    <w:rsid w:val="005A7F46"/>
    <w:rsid w:val="005B1D05"/>
    <w:rsid w:val="005C0D53"/>
    <w:rsid w:val="005C2D50"/>
    <w:rsid w:val="005C5718"/>
    <w:rsid w:val="005C5B2A"/>
    <w:rsid w:val="005D52D0"/>
    <w:rsid w:val="005D5D29"/>
    <w:rsid w:val="005D5F97"/>
    <w:rsid w:val="005D7BF9"/>
    <w:rsid w:val="005E32A0"/>
    <w:rsid w:val="005E49EE"/>
    <w:rsid w:val="005F0C8B"/>
    <w:rsid w:val="005F231A"/>
    <w:rsid w:val="005F618A"/>
    <w:rsid w:val="005F6813"/>
    <w:rsid w:val="005F7B55"/>
    <w:rsid w:val="00602324"/>
    <w:rsid w:val="006074C9"/>
    <w:rsid w:val="00611CEC"/>
    <w:rsid w:val="00614397"/>
    <w:rsid w:val="006144C7"/>
    <w:rsid w:val="00615ED5"/>
    <w:rsid w:val="00621F2A"/>
    <w:rsid w:val="00641657"/>
    <w:rsid w:val="006430D4"/>
    <w:rsid w:val="00643F26"/>
    <w:rsid w:val="00644BAB"/>
    <w:rsid w:val="0064644D"/>
    <w:rsid w:val="00646E45"/>
    <w:rsid w:val="00646EF9"/>
    <w:rsid w:val="00656DE7"/>
    <w:rsid w:val="0066039D"/>
    <w:rsid w:val="00661428"/>
    <w:rsid w:val="00665E02"/>
    <w:rsid w:val="006711AF"/>
    <w:rsid w:val="0068536A"/>
    <w:rsid w:val="0068567D"/>
    <w:rsid w:val="006928E9"/>
    <w:rsid w:val="006929BE"/>
    <w:rsid w:val="006937AA"/>
    <w:rsid w:val="006947C9"/>
    <w:rsid w:val="006A0AD5"/>
    <w:rsid w:val="006A75D4"/>
    <w:rsid w:val="006B4EAA"/>
    <w:rsid w:val="006B4FE8"/>
    <w:rsid w:val="006C2AB6"/>
    <w:rsid w:val="006C3358"/>
    <w:rsid w:val="006D023F"/>
    <w:rsid w:val="006D2E14"/>
    <w:rsid w:val="006D3887"/>
    <w:rsid w:val="006E10EB"/>
    <w:rsid w:val="006E26B7"/>
    <w:rsid w:val="006E2EA9"/>
    <w:rsid w:val="006E7657"/>
    <w:rsid w:val="006F0819"/>
    <w:rsid w:val="006F099C"/>
    <w:rsid w:val="006F0B22"/>
    <w:rsid w:val="006F7C39"/>
    <w:rsid w:val="00705EF3"/>
    <w:rsid w:val="00715782"/>
    <w:rsid w:val="007266D3"/>
    <w:rsid w:val="00726DC8"/>
    <w:rsid w:val="00733B0C"/>
    <w:rsid w:val="00736D84"/>
    <w:rsid w:val="007414A5"/>
    <w:rsid w:val="00746C18"/>
    <w:rsid w:val="00746E7D"/>
    <w:rsid w:val="00753B2F"/>
    <w:rsid w:val="00756346"/>
    <w:rsid w:val="00760431"/>
    <w:rsid w:val="00771C15"/>
    <w:rsid w:val="007720C4"/>
    <w:rsid w:val="00773927"/>
    <w:rsid w:val="007772FA"/>
    <w:rsid w:val="0078099C"/>
    <w:rsid w:val="00781297"/>
    <w:rsid w:val="007816FC"/>
    <w:rsid w:val="0078371C"/>
    <w:rsid w:val="00784647"/>
    <w:rsid w:val="00785355"/>
    <w:rsid w:val="00790BE5"/>
    <w:rsid w:val="0079221A"/>
    <w:rsid w:val="0079308E"/>
    <w:rsid w:val="00797CAB"/>
    <w:rsid w:val="007A78A7"/>
    <w:rsid w:val="007A7DC4"/>
    <w:rsid w:val="007B1FE6"/>
    <w:rsid w:val="007C1A75"/>
    <w:rsid w:val="007C1D7E"/>
    <w:rsid w:val="007C27C7"/>
    <w:rsid w:val="007C5721"/>
    <w:rsid w:val="007D32D5"/>
    <w:rsid w:val="007D69CC"/>
    <w:rsid w:val="007E000C"/>
    <w:rsid w:val="007E2AF9"/>
    <w:rsid w:val="007E2DB2"/>
    <w:rsid w:val="007E6C5C"/>
    <w:rsid w:val="007F1685"/>
    <w:rsid w:val="007F1C88"/>
    <w:rsid w:val="007F1F16"/>
    <w:rsid w:val="007F2192"/>
    <w:rsid w:val="007F68E4"/>
    <w:rsid w:val="007F7598"/>
    <w:rsid w:val="008015B6"/>
    <w:rsid w:val="00801F61"/>
    <w:rsid w:val="00804C3F"/>
    <w:rsid w:val="00804E8A"/>
    <w:rsid w:val="008075F6"/>
    <w:rsid w:val="00813675"/>
    <w:rsid w:val="00820131"/>
    <w:rsid w:val="00833222"/>
    <w:rsid w:val="008345CF"/>
    <w:rsid w:val="00835F63"/>
    <w:rsid w:val="00843BD4"/>
    <w:rsid w:val="00845126"/>
    <w:rsid w:val="008507AE"/>
    <w:rsid w:val="008527B8"/>
    <w:rsid w:val="008531BC"/>
    <w:rsid w:val="00860009"/>
    <w:rsid w:val="0086027C"/>
    <w:rsid w:val="00864048"/>
    <w:rsid w:val="00864552"/>
    <w:rsid w:val="00872F9D"/>
    <w:rsid w:val="008751AA"/>
    <w:rsid w:val="008847A9"/>
    <w:rsid w:val="00884B4A"/>
    <w:rsid w:val="00887235"/>
    <w:rsid w:val="00887513"/>
    <w:rsid w:val="00887DDC"/>
    <w:rsid w:val="00890BFB"/>
    <w:rsid w:val="008A0975"/>
    <w:rsid w:val="008D4E11"/>
    <w:rsid w:val="008D5D88"/>
    <w:rsid w:val="008D678C"/>
    <w:rsid w:val="008D75AC"/>
    <w:rsid w:val="008E0BE0"/>
    <w:rsid w:val="008E1581"/>
    <w:rsid w:val="008F1344"/>
    <w:rsid w:val="008F3204"/>
    <w:rsid w:val="008F3A1A"/>
    <w:rsid w:val="008F48EC"/>
    <w:rsid w:val="008F50EE"/>
    <w:rsid w:val="009019FC"/>
    <w:rsid w:val="00902714"/>
    <w:rsid w:val="00902894"/>
    <w:rsid w:val="00905A7E"/>
    <w:rsid w:val="00917B72"/>
    <w:rsid w:val="00921D6F"/>
    <w:rsid w:val="009228B9"/>
    <w:rsid w:val="0093577E"/>
    <w:rsid w:val="00936A10"/>
    <w:rsid w:val="00940B06"/>
    <w:rsid w:val="0094101C"/>
    <w:rsid w:val="0094101E"/>
    <w:rsid w:val="009464E0"/>
    <w:rsid w:val="009608DD"/>
    <w:rsid w:val="00967572"/>
    <w:rsid w:val="0097271E"/>
    <w:rsid w:val="00973B81"/>
    <w:rsid w:val="009745D5"/>
    <w:rsid w:val="0097610D"/>
    <w:rsid w:val="009A1862"/>
    <w:rsid w:val="009A5EFD"/>
    <w:rsid w:val="009A6AEF"/>
    <w:rsid w:val="009B301D"/>
    <w:rsid w:val="009B35BF"/>
    <w:rsid w:val="009B47E6"/>
    <w:rsid w:val="009B5263"/>
    <w:rsid w:val="009B78A7"/>
    <w:rsid w:val="009C1660"/>
    <w:rsid w:val="009D2FB0"/>
    <w:rsid w:val="009D5059"/>
    <w:rsid w:val="009D7529"/>
    <w:rsid w:val="009E014D"/>
    <w:rsid w:val="009F003F"/>
    <w:rsid w:val="009F21C6"/>
    <w:rsid w:val="009F3467"/>
    <w:rsid w:val="009F39CC"/>
    <w:rsid w:val="009F42BE"/>
    <w:rsid w:val="009F4D34"/>
    <w:rsid w:val="009F5F60"/>
    <w:rsid w:val="00A00DF2"/>
    <w:rsid w:val="00A20F58"/>
    <w:rsid w:val="00A274CB"/>
    <w:rsid w:val="00A300EB"/>
    <w:rsid w:val="00A374C5"/>
    <w:rsid w:val="00A40339"/>
    <w:rsid w:val="00A43453"/>
    <w:rsid w:val="00A4407E"/>
    <w:rsid w:val="00A45F0F"/>
    <w:rsid w:val="00A560F6"/>
    <w:rsid w:val="00A56697"/>
    <w:rsid w:val="00A655C8"/>
    <w:rsid w:val="00A71939"/>
    <w:rsid w:val="00A8448D"/>
    <w:rsid w:val="00A86FBC"/>
    <w:rsid w:val="00AA026B"/>
    <w:rsid w:val="00AA416C"/>
    <w:rsid w:val="00AB44F5"/>
    <w:rsid w:val="00AB6D9A"/>
    <w:rsid w:val="00AC047C"/>
    <w:rsid w:val="00AC0B02"/>
    <w:rsid w:val="00AC4948"/>
    <w:rsid w:val="00AC61DB"/>
    <w:rsid w:val="00AC7D7F"/>
    <w:rsid w:val="00AD7113"/>
    <w:rsid w:val="00AD7941"/>
    <w:rsid w:val="00AE050A"/>
    <w:rsid w:val="00AE18B8"/>
    <w:rsid w:val="00AE4E46"/>
    <w:rsid w:val="00B0101F"/>
    <w:rsid w:val="00B02325"/>
    <w:rsid w:val="00B02FF4"/>
    <w:rsid w:val="00B04F95"/>
    <w:rsid w:val="00B22C54"/>
    <w:rsid w:val="00B328FC"/>
    <w:rsid w:val="00B32B4B"/>
    <w:rsid w:val="00B34DB8"/>
    <w:rsid w:val="00B43836"/>
    <w:rsid w:val="00B441AD"/>
    <w:rsid w:val="00B50618"/>
    <w:rsid w:val="00B5138E"/>
    <w:rsid w:val="00B515AF"/>
    <w:rsid w:val="00B53E45"/>
    <w:rsid w:val="00B564B5"/>
    <w:rsid w:val="00B57BB5"/>
    <w:rsid w:val="00B64585"/>
    <w:rsid w:val="00B717EF"/>
    <w:rsid w:val="00B73E7A"/>
    <w:rsid w:val="00B770B3"/>
    <w:rsid w:val="00B81BD6"/>
    <w:rsid w:val="00B83D6E"/>
    <w:rsid w:val="00B83EEC"/>
    <w:rsid w:val="00B867D4"/>
    <w:rsid w:val="00B912AF"/>
    <w:rsid w:val="00B91FCB"/>
    <w:rsid w:val="00B924FC"/>
    <w:rsid w:val="00B96209"/>
    <w:rsid w:val="00B96E01"/>
    <w:rsid w:val="00B96E3A"/>
    <w:rsid w:val="00B97EA7"/>
    <w:rsid w:val="00BA2B96"/>
    <w:rsid w:val="00BB2A6F"/>
    <w:rsid w:val="00BB54BF"/>
    <w:rsid w:val="00BB6DDD"/>
    <w:rsid w:val="00BB77BD"/>
    <w:rsid w:val="00BC2647"/>
    <w:rsid w:val="00BC56A4"/>
    <w:rsid w:val="00BC70D3"/>
    <w:rsid w:val="00BD0460"/>
    <w:rsid w:val="00BD2D54"/>
    <w:rsid w:val="00BD4517"/>
    <w:rsid w:val="00BE4432"/>
    <w:rsid w:val="00BF2171"/>
    <w:rsid w:val="00C1332F"/>
    <w:rsid w:val="00C2104B"/>
    <w:rsid w:val="00C274CA"/>
    <w:rsid w:val="00C30595"/>
    <w:rsid w:val="00C312C2"/>
    <w:rsid w:val="00C4070C"/>
    <w:rsid w:val="00C40E75"/>
    <w:rsid w:val="00C4154A"/>
    <w:rsid w:val="00C4431E"/>
    <w:rsid w:val="00C46E04"/>
    <w:rsid w:val="00C60949"/>
    <w:rsid w:val="00C6100E"/>
    <w:rsid w:val="00C648B9"/>
    <w:rsid w:val="00C64CC2"/>
    <w:rsid w:val="00C77085"/>
    <w:rsid w:val="00C809CC"/>
    <w:rsid w:val="00C85177"/>
    <w:rsid w:val="00C8547A"/>
    <w:rsid w:val="00C91384"/>
    <w:rsid w:val="00C9506B"/>
    <w:rsid w:val="00CA0B51"/>
    <w:rsid w:val="00CA0E77"/>
    <w:rsid w:val="00CA6075"/>
    <w:rsid w:val="00CB3F7D"/>
    <w:rsid w:val="00CD6DC7"/>
    <w:rsid w:val="00CF3932"/>
    <w:rsid w:val="00CF3E32"/>
    <w:rsid w:val="00CF72D3"/>
    <w:rsid w:val="00D06993"/>
    <w:rsid w:val="00D11317"/>
    <w:rsid w:val="00D121E8"/>
    <w:rsid w:val="00D13553"/>
    <w:rsid w:val="00D14811"/>
    <w:rsid w:val="00D2040E"/>
    <w:rsid w:val="00D2231E"/>
    <w:rsid w:val="00D24943"/>
    <w:rsid w:val="00D25F11"/>
    <w:rsid w:val="00D269E7"/>
    <w:rsid w:val="00D30296"/>
    <w:rsid w:val="00D32FDC"/>
    <w:rsid w:val="00D35CDF"/>
    <w:rsid w:val="00D37D5A"/>
    <w:rsid w:val="00D37DE2"/>
    <w:rsid w:val="00D445D2"/>
    <w:rsid w:val="00D50C13"/>
    <w:rsid w:val="00D50E17"/>
    <w:rsid w:val="00D510D6"/>
    <w:rsid w:val="00D5384E"/>
    <w:rsid w:val="00D550E6"/>
    <w:rsid w:val="00D55F6F"/>
    <w:rsid w:val="00D5786C"/>
    <w:rsid w:val="00D60448"/>
    <w:rsid w:val="00D63D7D"/>
    <w:rsid w:val="00D674F6"/>
    <w:rsid w:val="00D70377"/>
    <w:rsid w:val="00D751D0"/>
    <w:rsid w:val="00D7559A"/>
    <w:rsid w:val="00D771FF"/>
    <w:rsid w:val="00D77F27"/>
    <w:rsid w:val="00D8315B"/>
    <w:rsid w:val="00D85898"/>
    <w:rsid w:val="00D85CC9"/>
    <w:rsid w:val="00D87FD9"/>
    <w:rsid w:val="00D92640"/>
    <w:rsid w:val="00D9670C"/>
    <w:rsid w:val="00DA0469"/>
    <w:rsid w:val="00DA530F"/>
    <w:rsid w:val="00DA7082"/>
    <w:rsid w:val="00DB42FB"/>
    <w:rsid w:val="00DC0ED2"/>
    <w:rsid w:val="00DC567F"/>
    <w:rsid w:val="00DC7FC1"/>
    <w:rsid w:val="00DD15F0"/>
    <w:rsid w:val="00DD7C36"/>
    <w:rsid w:val="00DE0220"/>
    <w:rsid w:val="00DE24AE"/>
    <w:rsid w:val="00DE49E6"/>
    <w:rsid w:val="00DF3A95"/>
    <w:rsid w:val="00E0147F"/>
    <w:rsid w:val="00E06A81"/>
    <w:rsid w:val="00E10705"/>
    <w:rsid w:val="00E119E0"/>
    <w:rsid w:val="00E11A11"/>
    <w:rsid w:val="00E11E6F"/>
    <w:rsid w:val="00E1347C"/>
    <w:rsid w:val="00E14547"/>
    <w:rsid w:val="00E20F17"/>
    <w:rsid w:val="00E224B3"/>
    <w:rsid w:val="00E27097"/>
    <w:rsid w:val="00E302C6"/>
    <w:rsid w:val="00E307F4"/>
    <w:rsid w:val="00E34AF8"/>
    <w:rsid w:val="00E373EC"/>
    <w:rsid w:val="00E414FF"/>
    <w:rsid w:val="00E42761"/>
    <w:rsid w:val="00E427CD"/>
    <w:rsid w:val="00E4372E"/>
    <w:rsid w:val="00E4516A"/>
    <w:rsid w:val="00E50ABA"/>
    <w:rsid w:val="00E51269"/>
    <w:rsid w:val="00E53616"/>
    <w:rsid w:val="00E55D6B"/>
    <w:rsid w:val="00E665F1"/>
    <w:rsid w:val="00E67EE1"/>
    <w:rsid w:val="00E727EE"/>
    <w:rsid w:val="00E73C8D"/>
    <w:rsid w:val="00E74777"/>
    <w:rsid w:val="00E821E9"/>
    <w:rsid w:val="00E86A05"/>
    <w:rsid w:val="00E91CA1"/>
    <w:rsid w:val="00E9273D"/>
    <w:rsid w:val="00E947BC"/>
    <w:rsid w:val="00E947D3"/>
    <w:rsid w:val="00E9611B"/>
    <w:rsid w:val="00EA1411"/>
    <w:rsid w:val="00EA5161"/>
    <w:rsid w:val="00EB3B00"/>
    <w:rsid w:val="00EB424E"/>
    <w:rsid w:val="00EB5517"/>
    <w:rsid w:val="00EC28AC"/>
    <w:rsid w:val="00EC2D76"/>
    <w:rsid w:val="00ED0C11"/>
    <w:rsid w:val="00ED0EB0"/>
    <w:rsid w:val="00ED4B11"/>
    <w:rsid w:val="00ED6E39"/>
    <w:rsid w:val="00EE5A8E"/>
    <w:rsid w:val="00EF37D7"/>
    <w:rsid w:val="00EF4C5D"/>
    <w:rsid w:val="00EF72FD"/>
    <w:rsid w:val="00F00899"/>
    <w:rsid w:val="00F078EE"/>
    <w:rsid w:val="00F1019F"/>
    <w:rsid w:val="00F10DB1"/>
    <w:rsid w:val="00F122D3"/>
    <w:rsid w:val="00F13334"/>
    <w:rsid w:val="00F226F5"/>
    <w:rsid w:val="00F24BE0"/>
    <w:rsid w:val="00F26CBA"/>
    <w:rsid w:val="00F27B93"/>
    <w:rsid w:val="00F33AD9"/>
    <w:rsid w:val="00F34AC8"/>
    <w:rsid w:val="00F35477"/>
    <w:rsid w:val="00F35522"/>
    <w:rsid w:val="00F42140"/>
    <w:rsid w:val="00F47724"/>
    <w:rsid w:val="00F479C4"/>
    <w:rsid w:val="00F548A2"/>
    <w:rsid w:val="00F57584"/>
    <w:rsid w:val="00F6269F"/>
    <w:rsid w:val="00F62935"/>
    <w:rsid w:val="00F63858"/>
    <w:rsid w:val="00F6505A"/>
    <w:rsid w:val="00F73BF3"/>
    <w:rsid w:val="00F81FC4"/>
    <w:rsid w:val="00F84FDA"/>
    <w:rsid w:val="00F86473"/>
    <w:rsid w:val="00F91A87"/>
    <w:rsid w:val="00F96FA0"/>
    <w:rsid w:val="00F97B0D"/>
    <w:rsid w:val="00FA15D4"/>
    <w:rsid w:val="00FA1C45"/>
    <w:rsid w:val="00FA3A5A"/>
    <w:rsid w:val="00FA4B8F"/>
    <w:rsid w:val="00FA5802"/>
    <w:rsid w:val="00FB371F"/>
    <w:rsid w:val="00FB3BBB"/>
    <w:rsid w:val="00FB6FA0"/>
    <w:rsid w:val="00FC40A4"/>
    <w:rsid w:val="00FC57E7"/>
    <w:rsid w:val="00FD2F46"/>
    <w:rsid w:val="00FD52EC"/>
    <w:rsid w:val="00FE00E5"/>
    <w:rsid w:val="00FE19C9"/>
    <w:rsid w:val="00FE3E30"/>
    <w:rsid w:val="00FE47FF"/>
    <w:rsid w:val="00FF2CC3"/>
    <w:rsid w:val="00FF6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21123-9E82-420A-9919-19E7A91F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D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A75D4"/>
    <w:rPr>
      <w:color w:val="0000FF"/>
      <w:u w:val="single"/>
    </w:rPr>
  </w:style>
  <w:style w:type="paragraph" w:styleId="Textoindependiente">
    <w:name w:val="Body Text"/>
    <w:basedOn w:val="Normal"/>
    <w:link w:val="TextoindependienteCar"/>
    <w:semiHidden/>
    <w:rsid w:val="00785355"/>
    <w:pPr>
      <w:jc w:val="center"/>
    </w:pPr>
    <w:rPr>
      <w:szCs w:val="20"/>
      <w:lang w:eastAsia="es-MX"/>
    </w:rPr>
  </w:style>
  <w:style w:type="character" w:customStyle="1" w:styleId="TextoindependienteCar">
    <w:name w:val="Texto independiente Car"/>
    <w:basedOn w:val="Fuentedeprrafopredeter"/>
    <w:link w:val="Textoindependiente"/>
    <w:semiHidden/>
    <w:rsid w:val="00785355"/>
    <w:rPr>
      <w:rFonts w:ascii="Times New Roman" w:eastAsia="Times New Roman" w:hAnsi="Times New Roman" w:cs="Times New Roman"/>
      <w:sz w:val="24"/>
      <w:szCs w:val="20"/>
      <w:lang w:val="es-ES" w:eastAsia="es-MX"/>
    </w:rPr>
  </w:style>
  <w:style w:type="paragraph" w:styleId="Encabezado">
    <w:name w:val="header"/>
    <w:basedOn w:val="Normal"/>
    <w:link w:val="EncabezadoCar"/>
    <w:uiPriority w:val="99"/>
    <w:semiHidden/>
    <w:unhideWhenUsed/>
    <w:rsid w:val="0009223F"/>
    <w:pPr>
      <w:tabs>
        <w:tab w:val="center" w:pos="4419"/>
        <w:tab w:val="right" w:pos="8838"/>
      </w:tabs>
    </w:pPr>
  </w:style>
  <w:style w:type="character" w:customStyle="1" w:styleId="EncabezadoCar">
    <w:name w:val="Encabezado Car"/>
    <w:basedOn w:val="Fuentedeprrafopredeter"/>
    <w:link w:val="Encabezado"/>
    <w:uiPriority w:val="99"/>
    <w:semiHidden/>
    <w:rsid w:val="000922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223F"/>
    <w:pPr>
      <w:tabs>
        <w:tab w:val="center" w:pos="4419"/>
        <w:tab w:val="right" w:pos="8838"/>
      </w:tabs>
    </w:pPr>
  </w:style>
  <w:style w:type="character" w:customStyle="1" w:styleId="PiedepginaCar">
    <w:name w:val="Pie de página Car"/>
    <w:basedOn w:val="Fuentedeprrafopredeter"/>
    <w:link w:val="Piedepgina"/>
    <w:uiPriority w:val="99"/>
    <w:rsid w:val="0009223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C047C"/>
    <w:pPr>
      <w:ind w:left="720"/>
      <w:contextualSpacing/>
    </w:pPr>
  </w:style>
  <w:style w:type="paragraph" w:styleId="Textoindependiente2">
    <w:name w:val="Body Text 2"/>
    <w:basedOn w:val="Normal"/>
    <w:link w:val="Textoindependiente2Car"/>
    <w:uiPriority w:val="99"/>
    <w:unhideWhenUsed/>
    <w:rsid w:val="0007543A"/>
    <w:pPr>
      <w:spacing w:after="120" w:line="480" w:lineRule="auto"/>
    </w:pPr>
  </w:style>
  <w:style w:type="character" w:customStyle="1" w:styleId="Textoindependiente2Car">
    <w:name w:val="Texto independiente 2 Car"/>
    <w:basedOn w:val="Fuentedeprrafopredeter"/>
    <w:link w:val="Textoindependiente2"/>
    <w:uiPriority w:val="99"/>
    <w:rsid w:val="0007543A"/>
    <w:rPr>
      <w:rFonts w:ascii="Times New Roman" w:eastAsia="Times New Roman" w:hAnsi="Times New Roman" w:cs="Times New Roman"/>
      <w:sz w:val="24"/>
      <w:szCs w:val="24"/>
      <w:lang w:val="es-ES" w:eastAsia="es-ES"/>
    </w:rPr>
  </w:style>
  <w:style w:type="table" w:styleId="Tablaconcuadrcula">
    <w:name w:val="Table Grid"/>
    <w:basedOn w:val="Tablanormal"/>
    <w:rsid w:val="003C4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5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954"/>
    <w:rPr>
      <w:rFonts w:ascii="Tahoma" w:eastAsia="Times New Roman" w:hAnsi="Tahoma" w:cs="Tahoma"/>
      <w:sz w:val="16"/>
      <w:szCs w:val="16"/>
      <w:lang w:val="es-ES" w:eastAsia="es-ES"/>
    </w:rPr>
  </w:style>
  <w:style w:type="paragraph" w:styleId="Puesto">
    <w:name w:val="Title"/>
    <w:basedOn w:val="Normal"/>
    <w:next w:val="Normal"/>
    <w:link w:val="PuestoCar"/>
    <w:uiPriority w:val="10"/>
    <w:qFormat/>
    <w:rsid w:val="005470D0"/>
    <w:pPr>
      <w:contextualSpacing/>
    </w:pPr>
    <w:rPr>
      <w:rFonts w:asciiTheme="majorHAnsi" w:eastAsiaTheme="majorEastAsia" w:hAnsiTheme="majorHAnsi" w:cstheme="majorBidi"/>
      <w:spacing w:val="-10"/>
      <w:kern w:val="28"/>
      <w:sz w:val="56"/>
      <w:szCs w:val="56"/>
      <w:lang w:val="es-MX" w:eastAsia="en-US"/>
    </w:rPr>
  </w:style>
  <w:style w:type="character" w:customStyle="1" w:styleId="PuestoCar">
    <w:name w:val="Puesto Car"/>
    <w:basedOn w:val="Fuentedeprrafopredeter"/>
    <w:link w:val="Puesto"/>
    <w:uiPriority w:val="10"/>
    <w:rsid w:val="005470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arcia@imp.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9A5C-59AC-4E97-AAF2-5ED364CF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2779</Words>
  <Characters>15289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jgarcia</dc:creator>
  <cp:lastModifiedBy>Jorge Alberto Garcia Martinez</cp:lastModifiedBy>
  <cp:revision>3</cp:revision>
  <dcterms:created xsi:type="dcterms:W3CDTF">2019-04-24T22:34:00Z</dcterms:created>
  <dcterms:modified xsi:type="dcterms:W3CDTF">2019-04-24T22:36:00Z</dcterms:modified>
</cp:coreProperties>
</file>