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9C2" w:rsidRPr="003119C2" w:rsidRDefault="003119C2" w:rsidP="003119C2">
      <w:pPr>
        <w:spacing w:after="0"/>
        <w:jc w:val="center"/>
        <w:rPr>
          <w:rFonts w:ascii="Times New Roman" w:hAnsi="Times New Roman" w:cs="Times New Roman"/>
          <w:b/>
          <w:sz w:val="28"/>
          <w:szCs w:val="28"/>
        </w:rPr>
      </w:pPr>
      <w:r>
        <w:rPr>
          <w:rFonts w:ascii="Times New Roman" w:hAnsi="Times New Roman" w:cs="Times New Roman"/>
          <w:b/>
          <w:sz w:val="28"/>
          <w:szCs w:val="28"/>
        </w:rPr>
        <w:t>AGROCENTRO 2019</w:t>
      </w:r>
    </w:p>
    <w:p w:rsidR="00E912D0" w:rsidRDefault="003119C2" w:rsidP="00667F10">
      <w:pPr>
        <w:spacing w:after="0"/>
        <w:jc w:val="center"/>
        <w:rPr>
          <w:rFonts w:ascii="Times New Roman" w:hAnsi="Times New Roman" w:cs="Times New Roman"/>
          <w:b/>
          <w:sz w:val="24"/>
          <w:szCs w:val="24"/>
        </w:rPr>
      </w:pPr>
      <w:r>
        <w:rPr>
          <w:rFonts w:ascii="Times New Roman" w:eastAsia="Calibri" w:hAnsi="Times New Roman" w:cs="Times New Roman"/>
          <w:b/>
          <w:bCs/>
          <w:sz w:val="28"/>
          <w:szCs w:val="28"/>
        </w:rPr>
        <w:t>IX SIMPOSIO DE INGENIERÍA AGRÍCOLA</w:t>
      </w:r>
    </w:p>
    <w:p w:rsidR="003119C2" w:rsidRDefault="003119C2" w:rsidP="00667F10">
      <w:pPr>
        <w:spacing w:after="0"/>
        <w:jc w:val="center"/>
        <w:rPr>
          <w:rFonts w:ascii="Times New Roman" w:hAnsi="Times New Roman" w:cs="Times New Roman"/>
          <w:b/>
          <w:sz w:val="28"/>
          <w:szCs w:val="28"/>
        </w:rPr>
      </w:pPr>
    </w:p>
    <w:p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3119C2" w:rsidRPr="00C24C83" w:rsidRDefault="003119C2" w:rsidP="003119C2">
      <w:pPr>
        <w:spacing w:after="120" w:line="360" w:lineRule="auto"/>
        <w:jc w:val="center"/>
        <w:rPr>
          <w:rFonts w:ascii="Times New Roman" w:eastAsia="Calibri" w:hAnsi="Times New Roman" w:cs="Times New Roman"/>
          <w:b/>
          <w:sz w:val="28"/>
          <w:szCs w:val="28"/>
        </w:rPr>
      </w:pPr>
      <w:r w:rsidRPr="00B221C9">
        <w:rPr>
          <w:rFonts w:ascii="Times New Roman" w:eastAsia="Calibri" w:hAnsi="Times New Roman" w:cs="Times New Roman"/>
          <w:b/>
          <w:sz w:val="28"/>
          <w:szCs w:val="28"/>
        </w:rPr>
        <w:t>Determinación de concentración de minerales en malanga (</w:t>
      </w:r>
      <w:r w:rsidRPr="00956FC0">
        <w:rPr>
          <w:rFonts w:ascii="Times New Roman" w:eastAsia="Calibri" w:hAnsi="Times New Roman" w:cs="Times New Roman"/>
          <w:b/>
          <w:i/>
          <w:sz w:val="28"/>
          <w:szCs w:val="28"/>
        </w:rPr>
        <w:t xml:space="preserve">colocasia </w:t>
      </w:r>
      <w:proofErr w:type="spellStart"/>
      <w:r w:rsidRPr="00956FC0">
        <w:rPr>
          <w:rFonts w:ascii="Times New Roman" w:eastAsia="Calibri" w:hAnsi="Times New Roman" w:cs="Times New Roman"/>
          <w:b/>
          <w:i/>
          <w:sz w:val="28"/>
          <w:szCs w:val="28"/>
        </w:rPr>
        <w:t>esculenta</w:t>
      </w:r>
      <w:proofErr w:type="spellEnd"/>
      <w:r w:rsidRPr="00956FC0">
        <w:rPr>
          <w:rFonts w:ascii="Times New Roman" w:eastAsia="Calibri" w:hAnsi="Times New Roman" w:cs="Times New Roman"/>
          <w:b/>
          <w:i/>
          <w:sz w:val="28"/>
          <w:szCs w:val="28"/>
        </w:rPr>
        <w:t xml:space="preserve"> (l.) </w:t>
      </w:r>
      <w:proofErr w:type="spellStart"/>
      <w:r w:rsidRPr="009C5599">
        <w:rPr>
          <w:rFonts w:ascii="Times New Roman" w:eastAsia="Calibri" w:hAnsi="Times New Roman" w:cs="Times New Roman"/>
          <w:b/>
          <w:i/>
          <w:sz w:val="28"/>
          <w:szCs w:val="28"/>
        </w:rPr>
        <w:t>schott</w:t>
      </w:r>
      <w:proofErr w:type="spellEnd"/>
      <w:r w:rsidRPr="009C5599">
        <w:rPr>
          <w:rFonts w:ascii="Times New Roman" w:eastAsia="Calibri" w:hAnsi="Times New Roman" w:cs="Times New Roman"/>
          <w:b/>
          <w:sz w:val="28"/>
          <w:szCs w:val="28"/>
        </w:rPr>
        <w:t>) mediante espectroscopia vis-NIR</w:t>
      </w:r>
    </w:p>
    <w:p w:rsidR="008A1C16" w:rsidRPr="003119C2" w:rsidRDefault="008A1C16" w:rsidP="00667F10">
      <w:pPr>
        <w:spacing w:after="0"/>
        <w:jc w:val="center"/>
        <w:rPr>
          <w:rFonts w:ascii="Times New Roman" w:hAnsi="Times New Roman" w:cs="Times New Roman"/>
          <w:b/>
          <w:i/>
          <w:sz w:val="28"/>
          <w:szCs w:val="28"/>
          <w:lang w:val="en-US"/>
        </w:rPr>
      </w:pPr>
      <w:r w:rsidRPr="003119C2">
        <w:rPr>
          <w:rFonts w:ascii="Times New Roman" w:hAnsi="Times New Roman" w:cs="Times New Roman"/>
          <w:b/>
          <w:i/>
          <w:sz w:val="28"/>
          <w:szCs w:val="28"/>
          <w:lang w:val="en-US"/>
        </w:rPr>
        <w:t>Title</w:t>
      </w:r>
    </w:p>
    <w:p w:rsidR="003119C2" w:rsidRPr="00B221C9" w:rsidRDefault="003119C2" w:rsidP="00311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i/>
          <w:sz w:val="28"/>
          <w:szCs w:val="28"/>
          <w:lang w:val="en-US" w:eastAsia="es-ES"/>
        </w:rPr>
      </w:pPr>
      <w:r w:rsidRPr="00B221C9">
        <w:rPr>
          <w:rFonts w:ascii="Times New Roman" w:eastAsia="Times New Roman" w:hAnsi="Times New Roman" w:cs="Times New Roman"/>
          <w:b/>
          <w:i/>
          <w:sz w:val="28"/>
          <w:szCs w:val="28"/>
          <w:lang w:val="en-US" w:eastAsia="es-ES"/>
        </w:rPr>
        <w:t>Determination of mineral concentration in taro (</w:t>
      </w:r>
      <w:proofErr w:type="spellStart"/>
      <w:r w:rsidRPr="00B221C9">
        <w:rPr>
          <w:rFonts w:ascii="Times New Roman" w:eastAsia="Times New Roman" w:hAnsi="Times New Roman" w:cs="Times New Roman"/>
          <w:b/>
          <w:i/>
          <w:sz w:val="28"/>
          <w:szCs w:val="28"/>
          <w:lang w:val="en-US" w:eastAsia="es-ES"/>
        </w:rPr>
        <w:t>colocasia</w:t>
      </w:r>
      <w:proofErr w:type="spellEnd"/>
      <w:r w:rsidRPr="00B221C9">
        <w:rPr>
          <w:rFonts w:ascii="Times New Roman" w:eastAsia="Times New Roman" w:hAnsi="Times New Roman" w:cs="Times New Roman"/>
          <w:b/>
          <w:i/>
          <w:sz w:val="28"/>
          <w:szCs w:val="28"/>
          <w:lang w:val="en-US" w:eastAsia="es-ES"/>
        </w:rPr>
        <w:t xml:space="preserve"> </w:t>
      </w:r>
      <w:proofErr w:type="spellStart"/>
      <w:r w:rsidRPr="00B221C9">
        <w:rPr>
          <w:rFonts w:ascii="Times New Roman" w:eastAsia="Times New Roman" w:hAnsi="Times New Roman" w:cs="Times New Roman"/>
          <w:b/>
          <w:i/>
          <w:sz w:val="28"/>
          <w:szCs w:val="28"/>
          <w:lang w:val="en-US" w:eastAsia="es-ES"/>
        </w:rPr>
        <w:t>esculenta</w:t>
      </w:r>
      <w:proofErr w:type="spellEnd"/>
      <w:r w:rsidRPr="00B221C9">
        <w:rPr>
          <w:rFonts w:ascii="Times New Roman" w:eastAsia="Times New Roman" w:hAnsi="Times New Roman" w:cs="Times New Roman"/>
          <w:b/>
          <w:i/>
          <w:sz w:val="28"/>
          <w:szCs w:val="28"/>
          <w:lang w:val="en-US" w:eastAsia="es-ES"/>
        </w:rPr>
        <w:t xml:space="preserve"> (l.) </w:t>
      </w:r>
      <w:proofErr w:type="spellStart"/>
      <w:r w:rsidRPr="00B221C9">
        <w:rPr>
          <w:rFonts w:ascii="Times New Roman" w:eastAsia="Times New Roman" w:hAnsi="Times New Roman" w:cs="Times New Roman"/>
          <w:b/>
          <w:i/>
          <w:sz w:val="28"/>
          <w:szCs w:val="28"/>
          <w:lang w:val="en-US" w:eastAsia="es-ES"/>
        </w:rPr>
        <w:t>schott</w:t>
      </w:r>
      <w:proofErr w:type="spellEnd"/>
      <w:r w:rsidRPr="00B221C9">
        <w:rPr>
          <w:rFonts w:ascii="Times New Roman" w:eastAsia="Times New Roman" w:hAnsi="Times New Roman" w:cs="Times New Roman"/>
          <w:b/>
          <w:i/>
          <w:sz w:val="28"/>
          <w:szCs w:val="28"/>
          <w:lang w:val="en-US" w:eastAsia="es-ES"/>
        </w:rPr>
        <w:t>) by vis-</w:t>
      </w:r>
      <w:proofErr w:type="spellStart"/>
      <w:r w:rsidRPr="00B221C9">
        <w:rPr>
          <w:rFonts w:ascii="Times New Roman" w:eastAsia="Times New Roman" w:hAnsi="Times New Roman" w:cs="Times New Roman"/>
          <w:b/>
          <w:i/>
          <w:sz w:val="28"/>
          <w:szCs w:val="28"/>
          <w:lang w:val="en-US" w:eastAsia="es-ES"/>
        </w:rPr>
        <w:t>NIr</w:t>
      </w:r>
      <w:proofErr w:type="spellEnd"/>
      <w:r w:rsidRPr="00B221C9">
        <w:rPr>
          <w:rFonts w:ascii="Times New Roman" w:eastAsia="Times New Roman" w:hAnsi="Times New Roman" w:cs="Times New Roman"/>
          <w:b/>
          <w:i/>
          <w:sz w:val="28"/>
          <w:szCs w:val="28"/>
          <w:lang w:val="en-US" w:eastAsia="es-ES"/>
        </w:rPr>
        <w:t xml:space="preserve"> spectroscopy</w:t>
      </w:r>
    </w:p>
    <w:p w:rsidR="009D5E02" w:rsidRPr="003119C2" w:rsidRDefault="009D5E02" w:rsidP="00FF3346">
      <w:pPr>
        <w:spacing w:after="0" w:line="360" w:lineRule="auto"/>
        <w:rPr>
          <w:rFonts w:ascii="Times New Roman" w:hAnsi="Times New Roman" w:cs="Times New Roman"/>
          <w:b/>
          <w:sz w:val="24"/>
          <w:szCs w:val="24"/>
          <w:lang w:val="en-US"/>
        </w:rPr>
      </w:pPr>
    </w:p>
    <w:p w:rsidR="003119C2" w:rsidRPr="00B221C9" w:rsidRDefault="003119C2" w:rsidP="003119C2">
      <w:pPr>
        <w:widowControl w:val="0"/>
        <w:spacing w:after="0" w:line="360" w:lineRule="auto"/>
        <w:jc w:val="both"/>
        <w:rPr>
          <w:rFonts w:ascii="Times New Roman" w:eastAsia="Times New Roman" w:hAnsi="Times New Roman" w:cs="Times New Roman"/>
          <w:b/>
          <w:spacing w:val="-2"/>
          <w:sz w:val="24"/>
          <w:szCs w:val="24"/>
          <w:vertAlign w:val="superscript"/>
          <w:lang w:val="pt-PT" w:eastAsia="nl-BE"/>
        </w:rPr>
      </w:pPr>
      <w:r w:rsidRPr="00B221C9">
        <w:rPr>
          <w:rFonts w:ascii="Times New Roman" w:eastAsia="Times New Roman" w:hAnsi="Times New Roman" w:cs="Times New Roman"/>
          <w:b/>
          <w:spacing w:val="-2"/>
          <w:sz w:val="24"/>
          <w:szCs w:val="24"/>
          <w:lang w:val="pt-PT" w:eastAsia="nl-BE"/>
        </w:rPr>
        <w:t>Sandra Adyenne Sánchez Valle</w:t>
      </w:r>
      <w:r w:rsidRPr="00B221C9">
        <w:rPr>
          <w:rFonts w:ascii="Times New Roman" w:eastAsia="Times New Roman" w:hAnsi="Times New Roman" w:cs="Times New Roman"/>
          <w:b/>
          <w:spacing w:val="-2"/>
          <w:sz w:val="24"/>
          <w:szCs w:val="24"/>
          <w:vertAlign w:val="superscript"/>
          <w:lang w:val="pt-PT" w:eastAsia="nl-BE"/>
        </w:rPr>
        <w:t>1</w:t>
      </w:r>
      <w:r w:rsidRPr="00B221C9">
        <w:rPr>
          <w:rFonts w:ascii="Times New Roman" w:eastAsia="Times New Roman" w:hAnsi="Times New Roman" w:cs="Times New Roman"/>
          <w:b/>
          <w:spacing w:val="-2"/>
          <w:sz w:val="24"/>
          <w:szCs w:val="24"/>
          <w:lang w:val="pt-PT" w:eastAsia="nl-BE"/>
        </w:rPr>
        <w:t>,</w:t>
      </w:r>
      <w:r w:rsidRPr="00B221C9">
        <w:rPr>
          <w:rFonts w:ascii="Times New Roman" w:eastAsia="Times New Roman" w:hAnsi="Times New Roman" w:cs="Times New Roman"/>
          <w:b/>
          <w:spacing w:val="-2"/>
          <w:sz w:val="24"/>
          <w:szCs w:val="24"/>
          <w:vertAlign w:val="superscript"/>
          <w:lang w:val="pt-PT" w:eastAsia="nl-BE"/>
        </w:rPr>
        <w:t xml:space="preserve"> </w:t>
      </w:r>
      <w:r w:rsidRPr="00B221C9">
        <w:rPr>
          <w:rFonts w:ascii="Times New Roman" w:eastAsia="Times New Roman" w:hAnsi="Times New Roman" w:cs="Times New Roman"/>
          <w:b/>
          <w:spacing w:val="-2"/>
          <w:sz w:val="24"/>
          <w:szCs w:val="24"/>
          <w:lang w:val="pt-PT" w:eastAsia="nl-BE"/>
        </w:rPr>
        <w:t>Dayana Marin Darias</w:t>
      </w:r>
      <w:r w:rsidRPr="00B221C9">
        <w:rPr>
          <w:rFonts w:ascii="Times New Roman" w:eastAsia="Times New Roman" w:hAnsi="Times New Roman" w:cs="Times New Roman"/>
          <w:b/>
          <w:spacing w:val="-2"/>
          <w:sz w:val="24"/>
          <w:szCs w:val="24"/>
          <w:vertAlign w:val="superscript"/>
          <w:lang w:val="pt-PT" w:eastAsia="nl-BE"/>
        </w:rPr>
        <w:t>2</w:t>
      </w:r>
      <w:r w:rsidRPr="00B221C9">
        <w:rPr>
          <w:rFonts w:ascii="Times New Roman" w:eastAsia="Times New Roman" w:hAnsi="Times New Roman" w:cs="Times New Roman"/>
          <w:b/>
          <w:spacing w:val="-2"/>
          <w:sz w:val="24"/>
          <w:szCs w:val="24"/>
          <w:lang w:val="pt-PT" w:eastAsia="nl-BE"/>
        </w:rPr>
        <w:t>, Ahmed Chacón Iznaga</w:t>
      </w:r>
      <w:r w:rsidRPr="00B221C9">
        <w:rPr>
          <w:rFonts w:ascii="Times New Roman" w:eastAsia="Times New Roman" w:hAnsi="Times New Roman" w:cs="Times New Roman"/>
          <w:b/>
          <w:spacing w:val="-2"/>
          <w:sz w:val="24"/>
          <w:szCs w:val="24"/>
          <w:vertAlign w:val="superscript"/>
          <w:lang w:val="pt-PT" w:eastAsia="nl-BE"/>
        </w:rPr>
        <w:t>3</w:t>
      </w:r>
    </w:p>
    <w:p w:rsidR="009D5E02" w:rsidRPr="003119C2" w:rsidRDefault="009D5E02" w:rsidP="00FF3346">
      <w:pPr>
        <w:spacing w:after="0" w:line="360" w:lineRule="auto"/>
        <w:rPr>
          <w:rFonts w:ascii="Times New Roman" w:hAnsi="Times New Roman" w:cs="Times New Roman"/>
          <w:sz w:val="24"/>
          <w:szCs w:val="24"/>
          <w:lang w:val="pt-PT"/>
        </w:rPr>
      </w:pPr>
    </w:p>
    <w:p w:rsidR="003119C2" w:rsidRPr="00B221C9" w:rsidRDefault="003119C2" w:rsidP="003119C2">
      <w:pPr>
        <w:widowControl w:val="0"/>
        <w:numPr>
          <w:ilvl w:val="0"/>
          <w:numId w:val="2"/>
        </w:numPr>
        <w:spacing w:after="0" w:line="360" w:lineRule="auto"/>
        <w:contextualSpacing/>
        <w:jc w:val="both"/>
        <w:rPr>
          <w:rFonts w:ascii="Times New Roman" w:eastAsia="Times New Roman" w:hAnsi="Times New Roman" w:cs="Times New Roman"/>
          <w:sz w:val="24"/>
          <w:szCs w:val="24"/>
          <w:lang w:eastAsia="nl-BE"/>
        </w:rPr>
      </w:pPr>
      <w:r w:rsidRPr="00B221C9">
        <w:rPr>
          <w:rFonts w:ascii="Times New Roman" w:eastAsia="Times New Roman" w:hAnsi="Times New Roman" w:cs="Times New Roman"/>
          <w:spacing w:val="-2"/>
          <w:sz w:val="24"/>
          <w:szCs w:val="24"/>
          <w:lang w:val="pt-PT" w:eastAsia="nl-BE"/>
        </w:rPr>
        <w:t>Sandra Adyenne Sánchez Valle</w:t>
      </w:r>
      <w:r w:rsidRPr="00B221C9">
        <w:rPr>
          <w:rFonts w:ascii="Times New Roman" w:eastAsia="Times New Roman" w:hAnsi="Times New Roman" w:cs="Times New Roman"/>
          <w:spacing w:val="-2"/>
          <w:sz w:val="24"/>
          <w:szCs w:val="24"/>
          <w:lang w:eastAsia="nl-BE"/>
        </w:rPr>
        <w:t>. Departamento de Ingeniería Agrícola, Facultad de Ciencias Agropecuarias, UCLV</w:t>
      </w:r>
      <w:r w:rsidRPr="00B221C9">
        <w:rPr>
          <w:rFonts w:ascii="Times New Roman" w:eastAsia="Times New Roman" w:hAnsi="Times New Roman" w:cs="Times New Roman"/>
          <w:sz w:val="24"/>
          <w:szCs w:val="24"/>
          <w:lang w:eastAsia="nl-BE"/>
        </w:rPr>
        <w:t xml:space="preserve">, Cuba. E-mail: </w:t>
      </w:r>
      <w:hyperlink r:id="rId7" w:history="1">
        <w:r w:rsidRPr="00B221C9">
          <w:rPr>
            <w:rFonts w:ascii="Times New Roman" w:eastAsia="Times New Roman" w:hAnsi="Times New Roman" w:cs="Times New Roman"/>
            <w:color w:val="0563C1"/>
            <w:sz w:val="24"/>
            <w:szCs w:val="24"/>
            <w:u w:val="single"/>
            <w:lang w:eastAsia="nl-BE"/>
          </w:rPr>
          <w:t>ssvalle@uclv.cu</w:t>
        </w:r>
      </w:hyperlink>
      <w:r w:rsidRPr="00B221C9">
        <w:rPr>
          <w:rFonts w:ascii="Times New Roman" w:eastAsia="Times New Roman" w:hAnsi="Times New Roman" w:cs="Times New Roman"/>
          <w:sz w:val="24"/>
          <w:szCs w:val="24"/>
          <w:lang w:eastAsia="nl-BE"/>
        </w:rPr>
        <w:t xml:space="preserve"> </w:t>
      </w:r>
    </w:p>
    <w:p w:rsidR="003119C2" w:rsidRPr="00B221C9" w:rsidRDefault="003119C2" w:rsidP="003119C2">
      <w:pPr>
        <w:numPr>
          <w:ilvl w:val="0"/>
          <w:numId w:val="2"/>
        </w:numPr>
        <w:spacing w:after="160" w:line="360" w:lineRule="auto"/>
        <w:contextualSpacing/>
        <w:rPr>
          <w:rFonts w:ascii="Times New Roman" w:eastAsia="Times New Roman" w:hAnsi="Times New Roman" w:cs="Times New Roman"/>
          <w:sz w:val="24"/>
          <w:szCs w:val="24"/>
          <w:lang w:eastAsia="nl-BE"/>
        </w:rPr>
      </w:pPr>
      <w:r w:rsidRPr="00B221C9">
        <w:rPr>
          <w:rFonts w:ascii="Times New Roman" w:eastAsia="Times New Roman" w:hAnsi="Times New Roman" w:cs="Times New Roman"/>
          <w:spacing w:val="-2"/>
          <w:sz w:val="24"/>
          <w:szCs w:val="24"/>
          <w:lang w:val="pt-PT" w:eastAsia="nl-BE"/>
        </w:rPr>
        <w:t>Dayana Marin Darias</w:t>
      </w:r>
      <w:r w:rsidRPr="00B221C9">
        <w:rPr>
          <w:rFonts w:ascii="Times New Roman" w:eastAsia="Times New Roman" w:hAnsi="Times New Roman" w:cs="Times New Roman"/>
          <w:spacing w:val="-2"/>
          <w:sz w:val="24"/>
          <w:szCs w:val="24"/>
          <w:lang w:eastAsia="nl-BE"/>
        </w:rPr>
        <w:t>. Departamento de Ingeniería Agrícola, Facultad de Ciencias Agropecuarias, UCLV</w:t>
      </w:r>
      <w:r w:rsidRPr="00B221C9">
        <w:rPr>
          <w:rFonts w:ascii="Times New Roman" w:eastAsia="Times New Roman" w:hAnsi="Times New Roman" w:cs="Times New Roman"/>
          <w:sz w:val="24"/>
          <w:szCs w:val="24"/>
          <w:lang w:eastAsia="nl-BE"/>
        </w:rPr>
        <w:t xml:space="preserve">, Cuba. E-mail: </w:t>
      </w:r>
      <w:hyperlink r:id="rId8" w:history="1">
        <w:r w:rsidRPr="00B221C9">
          <w:rPr>
            <w:rFonts w:ascii="Times New Roman" w:eastAsia="Times New Roman" w:hAnsi="Times New Roman" w:cs="Times New Roman"/>
            <w:color w:val="0563C1"/>
            <w:sz w:val="24"/>
            <w:szCs w:val="24"/>
            <w:u w:val="single"/>
            <w:lang w:eastAsia="nl-BE"/>
          </w:rPr>
          <w:t>dayanamd@uclv.edu.cu</w:t>
        </w:r>
      </w:hyperlink>
      <w:r w:rsidRPr="00B221C9">
        <w:rPr>
          <w:rFonts w:ascii="Times New Roman" w:eastAsia="Times New Roman" w:hAnsi="Times New Roman" w:cs="Times New Roman"/>
          <w:sz w:val="24"/>
          <w:szCs w:val="24"/>
          <w:lang w:eastAsia="nl-BE"/>
        </w:rPr>
        <w:t xml:space="preserve"> </w:t>
      </w:r>
    </w:p>
    <w:p w:rsidR="00E912D0" w:rsidRPr="003119C2" w:rsidRDefault="003119C2" w:rsidP="003119C2">
      <w:pPr>
        <w:numPr>
          <w:ilvl w:val="0"/>
          <w:numId w:val="2"/>
        </w:numPr>
        <w:spacing w:after="160" w:line="360" w:lineRule="auto"/>
        <w:contextualSpacing/>
        <w:rPr>
          <w:rFonts w:ascii="Times New Roman" w:eastAsia="Times New Roman" w:hAnsi="Times New Roman" w:cs="Times New Roman"/>
          <w:sz w:val="24"/>
          <w:szCs w:val="24"/>
          <w:lang w:eastAsia="nl-BE"/>
        </w:rPr>
      </w:pPr>
      <w:r w:rsidRPr="00B221C9">
        <w:rPr>
          <w:rFonts w:ascii="Times New Roman" w:eastAsia="Times New Roman" w:hAnsi="Times New Roman" w:cs="Times New Roman"/>
          <w:spacing w:val="-2"/>
          <w:sz w:val="24"/>
          <w:szCs w:val="24"/>
          <w:lang w:val="pt-PT" w:eastAsia="nl-BE"/>
        </w:rPr>
        <w:t xml:space="preserve">Ahmed Chacón Iznaga. </w:t>
      </w:r>
      <w:r w:rsidRPr="00B221C9">
        <w:rPr>
          <w:rFonts w:ascii="Times New Roman" w:eastAsia="Times New Roman" w:hAnsi="Times New Roman" w:cs="Times New Roman"/>
          <w:spacing w:val="-2"/>
          <w:sz w:val="24"/>
          <w:szCs w:val="24"/>
          <w:lang w:eastAsia="nl-BE"/>
        </w:rPr>
        <w:t>Departamento de Agronomía, Facultad de Ciencias Agropecuarias, UCLV</w:t>
      </w:r>
      <w:r w:rsidRPr="00B221C9">
        <w:rPr>
          <w:rFonts w:ascii="Times New Roman" w:eastAsia="Times New Roman" w:hAnsi="Times New Roman" w:cs="Times New Roman"/>
          <w:sz w:val="24"/>
          <w:szCs w:val="24"/>
          <w:lang w:eastAsia="nl-BE"/>
        </w:rPr>
        <w:t xml:space="preserve">, Cuba. E-mail: </w:t>
      </w:r>
      <w:hyperlink r:id="rId9" w:history="1">
        <w:r w:rsidRPr="00B221C9">
          <w:rPr>
            <w:rFonts w:ascii="Times New Roman" w:eastAsia="Times New Roman" w:hAnsi="Times New Roman" w:cs="Times New Roman"/>
            <w:color w:val="0563C1"/>
            <w:sz w:val="24"/>
            <w:szCs w:val="24"/>
            <w:u w:val="single"/>
            <w:lang w:eastAsia="nl-BE"/>
          </w:rPr>
          <w:t>ahmedci@uclv.edu.cu</w:t>
        </w:r>
      </w:hyperlink>
    </w:p>
    <w:p w:rsidR="003119C2" w:rsidRDefault="008A1C16" w:rsidP="003119C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9061A5" w:rsidRDefault="003119C2" w:rsidP="00FF3346">
      <w:pPr>
        <w:spacing w:after="0" w:line="360" w:lineRule="auto"/>
        <w:jc w:val="both"/>
        <w:rPr>
          <w:rFonts w:ascii="Times New Roman" w:hAnsi="Times New Roman" w:cs="Times New Roman"/>
          <w:sz w:val="24"/>
          <w:szCs w:val="24"/>
        </w:rPr>
      </w:pPr>
      <w:r w:rsidRPr="00B221C9">
        <w:rPr>
          <w:rFonts w:ascii="Times New Roman" w:eastAsia="Calibri" w:hAnsi="Times New Roman" w:cs="Times New Roman"/>
          <w:sz w:val="24"/>
          <w:szCs w:val="24"/>
        </w:rPr>
        <w:t xml:space="preserve">En los últimos años se ha aumentado la diversificación agrícola hacia sectores como las raíces y tubérculos, así como las frutas y las hortalizas, debido a que constituyen una de las fuentes más importantes de vitaminas y minerales en la dieta humana. La determinación no destructiva de la calidad interna de estos productos agropecuarios es un objetivo prioritario en las investigaciones más recientes. La espectroscopia en el visible (vis) e Infrarrojo cercano (NIR) se ha convertido en una técnica analítica muy útil para la determinación no destructiva de parámetros de calidad en alimentos, adaptándose plenamente a estos cultivos en términos de control de calidad. El objetivo principal de esta investigación está encaminado a determinar la concentración de minerales en tres </w:t>
      </w:r>
      <w:r w:rsidRPr="00B221C9">
        <w:rPr>
          <w:rFonts w:ascii="Times New Roman" w:eastAsia="Calibri" w:hAnsi="Times New Roman" w:cs="Times New Roman"/>
          <w:sz w:val="24"/>
          <w:szCs w:val="24"/>
        </w:rPr>
        <w:lastRenderedPageBreak/>
        <w:t xml:space="preserve">cultivares de malanga morada mediante el uso de la técnica de espectroscopia vis-NIR. Las metodologías utilizadas incluyen la metodología para la preparación de las muestras de malanga, para la realización de los análisis químicos, para la determinación de los espectros y para el procesamiento de los resultados. El principal resultado de esta investigación es proponer un método para la </w:t>
      </w:r>
      <w:r w:rsidR="009061A5" w:rsidRPr="009061A5">
        <w:rPr>
          <w:rFonts w:ascii="Times New Roman" w:hAnsi="Times New Roman" w:cs="Times New Roman"/>
          <w:b/>
          <w:sz w:val="24"/>
          <w:szCs w:val="24"/>
        </w:rPr>
        <w:t>Palabras Clave:</w:t>
      </w:r>
      <w:r w:rsidR="009061A5">
        <w:rPr>
          <w:rFonts w:ascii="Times New Roman" w:hAnsi="Times New Roman" w:cs="Times New Roman"/>
          <w:sz w:val="24"/>
          <w:szCs w:val="24"/>
        </w:rPr>
        <w:t xml:space="preserve"> (no más de 6, se recomienda que no repita términos que aparezcan en el resumen. Deberán escribirse con letra inicial mayúscula cada palabra y estar separadas por punto y coma).</w:t>
      </w:r>
    </w:p>
    <w:p w:rsidR="009061A5" w:rsidRDefault="009061A5" w:rsidP="00FF3346">
      <w:pPr>
        <w:spacing w:after="0" w:line="360" w:lineRule="auto"/>
        <w:jc w:val="both"/>
        <w:rPr>
          <w:rFonts w:ascii="Times New Roman" w:hAnsi="Times New Roman" w:cs="Times New Roman"/>
          <w:sz w:val="24"/>
          <w:szCs w:val="24"/>
        </w:rPr>
      </w:pPr>
      <w:proofErr w:type="spellStart"/>
      <w:r w:rsidRPr="00E912D0">
        <w:rPr>
          <w:rFonts w:ascii="Times New Roman" w:hAnsi="Times New Roman" w:cs="Times New Roman"/>
          <w:b/>
          <w:i/>
          <w:sz w:val="24"/>
          <w:szCs w:val="24"/>
        </w:rPr>
        <w:t>Keywords</w:t>
      </w:r>
      <w:proofErr w:type="spellEnd"/>
      <w:r w:rsidRPr="00E912D0">
        <w:rPr>
          <w:rFonts w:ascii="Times New Roman" w:hAnsi="Times New Roman" w:cs="Times New Roman"/>
          <w:b/>
          <w:i/>
          <w:sz w:val="24"/>
          <w:szCs w:val="24"/>
        </w:rPr>
        <w:t>:</w:t>
      </w:r>
      <w:r>
        <w:rPr>
          <w:rFonts w:ascii="Times New Roman" w:hAnsi="Times New Roman" w:cs="Times New Roman"/>
          <w:sz w:val="24"/>
          <w:szCs w:val="24"/>
        </w:rPr>
        <w:t xml:space="preserve"> </w:t>
      </w:r>
      <w:r w:rsidR="00E912D0">
        <w:rPr>
          <w:rFonts w:ascii="Times New Roman" w:hAnsi="Times New Roman" w:cs="Times New Roman"/>
          <w:sz w:val="24"/>
          <w:szCs w:val="24"/>
        </w:rPr>
        <w:t>(traducción fiel al inglés del apartado palabras clave y mismo formato que el anterior agregando la cursiva).</w:t>
      </w:r>
    </w:p>
    <w:p w:rsidR="003119C2" w:rsidRPr="00B221C9" w:rsidRDefault="003119C2" w:rsidP="003119C2">
      <w:pPr>
        <w:spacing w:after="0" w:line="360" w:lineRule="auto"/>
        <w:jc w:val="both"/>
        <w:rPr>
          <w:rFonts w:ascii="Times New Roman" w:hAnsi="Times New Roman" w:cs="Times New Roman"/>
          <w:b/>
          <w:sz w:val="24"/>
          <w:szCs w:val="24"/>
          <w:lang w:val="en-US"/>
        </w:rPr>
      </w:pPr>
      <w:r w:rsidRPr="00B221C9">
        <w:rPr>
          <w:rFonts w:ascii="Times New Roman" w:hAnsi="Times New Roman" w:cs="Times New Roman"/>
          <w:b/>
          <w:sz w:val="24"/>
          <w:szCs w:val="24"/>
          <w:lang w:val="en-US"/>
        </w:rPr>
        <w:t>Abstract:</w:t>
      </w:r>
    </w:p>
    <w:p w:rsidR="003119C2" w:rsidRPr="00B221C9" w:rsidRDefault="003119C2" w:rsidP="003119C2">
      <w:pPr>
        <w:spacing w:after="0" w:line="360" w:lineRule="auto"/>
        <w:jc w:val="both"/>
        <w:rPr>
          <w:rFonts w:ascii="Times New Roman" w:hAnsi="Times New Roman" w:cs="Times New Roman"/>
          <w:i/>
          <w:sz w:val="24"/>
          <w:szCs w:val="24"/>
          <w:lang w:val="en-US"/>
        </w:rPr>
      </w:pPr>
      <w:r w:rsidRPr="00B221C9">
        <w:rPr>
          <w:rFonts w:ascii="Times New Roman" w:hAnsi="Times New Roman" w:cs="Times New Roman"/>
          <w:i/>
          <w:sz w:val="24"/>
          <w:szCs w:val="24"/>
          <w:lang w:val="en-US"/>
        </w:rPr>
        <w:t>Over the last few decades, the agricultural diversification has increased toward sectors like the roots and tubers production as well as the fruits and the vegetables production. These crops constitute one of the most important sources of vitamins and minerals in the human diet. The non-destructive determination of the internal quality of these agricultural products is a high-priority objective in the most recent investigations. Visible (</w:t>
      </w:r>
      <w:proofErr w:type="gramStart"/>
      <w:r w:rsidRPr="00B221C9">
        <w:rPr>
          <w:rFonts w:ascii="Times New Roman" w:hAnsi="Times New Roman" w:cs="Times New Roman"/>
          <w:i/>
          <w:sz w:val="24"/>
          <w:szCs w:val="24"/>
          <w:lang w:val="en-US"/>
        </w:rPr>
        <w:t>vis</w:t>
      </w:r>
      <w:proofErr w:type="gramEnd"/>
      <w:r w:rsidRPr="00B221C9">
        <w:rPr>
          <w:rFonts w:ascii="Times New Roman" w:hAnsi="Times New Roman" w:cs="Times New Roman"/>
          <w:i/>
          <w:sz w:val="24"/>
          <w:szCs w:val="24"/>
          <w:lang w:val="en-US"/>
        </w:rPr>
        <w:t>) and near infrared (NIR) reflectance spectroscopy technique has become in a very useful analytic technique for the non-destructive determination of food quality parameters. This technique is completely adapted to these cultivations in terms of quality control. The main objective of this investigation aims to determine the concentration of minerals in three cultivars of purple taro by using the spectroscopy technique vis-NIR. The methodologies include the sample preparation of taro for chemical analysis, the spectral analysis of these samples and the use of multivariate data analysis techniques. The main result of this research was to propose a method for non-destructive determination of mineral concentration of Taro by using vis-NIR spectroscopy technique.</w:t>
      </w:r>
    </w:p>
    <w:p w:rsidR="003119C2" w:rsidRDefault="003119C2" w:rsidP="003119C2">
      <w:pPr>
        <w:spacing w:after="0" w:line="360" w:lineRule="auto"/>
        <w:jc w:val="both"/>
        <w:rPr>
          <w:rFonts w:ascii="Times New Roman" w:hAnsi="Times New Roman" w:cs="Times New Roman"/>
          <w:b/>
          <w:sz w:val="24"/>
          <w:szCs w:val="24"/>
        </w:rPr>
      </w:pPr>
      <w:r w:rsidRPr="00B221C9">
        <w:rPr>
          <w:rFonts w:ascii="Times New Roman" w:hAnsi="Times New Roman" w:cs="Times New Roman"/>
          <w:b/>
          <w:sz w:val="24"/>
          <w:szCs w:val="24"/>
        </w:rPr>
        <w:t>Palabras clave:</w:t>
      </w:r>
    </w:p>
    <w:p w:rsidR="003119C2" w:rsidRPr="002F0E0F" w:rsidRDefault="003119C2" w:rsidP="003119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Determinación; Minerales; v</w:t>
      </w:r>
      <w:r w:rsidRPr="002F0E0F">
        <w:rPr>
          <w:rFonts w:ascii="Times New Roman" w:hAnsi="Times New Roman" w:cs="Times New Roman"/>
          <w:sz w:val="24"/>
          <w:szCs w:val="24"/>
        </w:rPr>
        <w:t>is NIR</w:t>
      </w:r>
    </w:p>
    <w:p w:rsidR="003119C2" w:rsidRPr="00014E1E" w:rsidRDefault="003119C2" w:rsidP="003119C2">
      <w:pPr>
        <w:spacing w:after="0" w:line="360" w:lineRule="auto"/>
        <w:jc w:val="both"/>
        <w:rPr>
          <w:rFonts w:ascii="Times New Roman" w:hAnsi="Times New Roman" w:cs="Times New Roman"/>
          <w:b/>
          <w:sz w:val="24"/>
          <w:szCs w:val="24"/>
          <w:lang w:val="en-US"/>
        </w:rPr>
      </w:pPr>
      <w:r w:rsidRPr="00014E1E">
        <w:rPr>
          <w:rFonts w:ascii="Times New Roman" w:hAnsi="Times New Roman" w:cs="Times New Roman"/>
          <w:b/>
          <w:sz w:val="24"/>
          <w:szCs w:val="24"/>
          <w:lang w:val="en-US"/>
        </w:rPr>
        <w:t>Keywords:</w:t>
      </w:r>
    </w:p>
    <w:p w:rsidR="003119C2" w:rsidRPr="00014E1E" w:rsidRDefault="003119C2" w:rsidP="003119C2">
      <w:pPr>
        <w:spacing w:after="0" w:line="360" w:lineRule="auto"/>
        <w:jc w:val="both"/>
        <w:rPr>
          <w:rFonts w:ascii="Times New Roman" w:hAnsi="Times New Roman" w:cs="Times New Roman"/>
          <w:sz w:val="24"/>
          <w:szCs w:val="24"/>
          <w:lang w:val="en-US"/>
        </w:rPr>
      </w:pPr>
      <w:r w:rsidRPr="00014E1E">
        <w:rPr>
          <w:rFonts w:ascii="Times New Roman" w:hAnsi="Times New Roman" w:cs="Times New Roman"/>
          <w:sz w:val="24"/>
          <w:szCs w:val="24"/>
          <w:lang w:val="en-US"/>
        </w:rPr>
        <w:t xml:space="preserve">Determination; Minerals; </w:t>
      </w:r>
      <w:proofErr w:type="gramStart"/>
      <w:r w:rsidRPr="00014E1E">
        <w:rPr>
          <w:rFonts w:ascii="Times New Roman" w:hAnsi="Times New Roman" w:cs="Times New Roman"/>
          <w:sz w:val="24"/>
          <w:szCs w:val="24"/>
          <w:lang w:val="en-US"/>
        </w:rPr>
        <w:t>vis</w:t>
      </w:r>
      <w:proofErr w:type="gramEnd"/>
      <w:r w:rsidRPr="00014E1E">
        <w:rPr>
          <w:rFonts w:ascii="Times New Roman" w:hAnsi="Times New Roman" w:cs="Times New Roman"/>
          <w:sz w:val="24"/>
          <w:szCs w:val="24"/>
          <w:lang w:val="en-US"/>
        </w:rPr>
        <w:t xml:space="preserve"> NIR</w:t>
      </w:r>
    </w:p>
    <w:p w:rsidR="003119C2" w:rsidRPr="003119C2" w:rsidRDefault="003119C2" w:rsidP="003119C2">
      <w:pPr>
        <w:spacing w:after="0" w:line="360" w:lineRule="auto"/>
        <w:jc w:val="both"/>
        <w:rPr>
          <w:rFonts w:ascii="Times New Roman" w:hAnsi="Times New Roman" w:cs="Times New Roman"/>
          <w:b/>
          <w:sz w:val="24"/>
          <w:szCs w:val="24"/>
        </w:rPr>
      </w:pPr>
      <w:r w:rsidRPr="003119C2">
        <w:rPr>
          <w:rFonts w:ascii="Times New Roman" w:hAnsi="Times New Roman" w:cs="Times New Roman"/>
          <w:b/>
          <w:sz w:val="24"/>
          <w:szCs w:val="24"/>
        </w:rPr>
        <w:lastRenderedPageBreak/>
        <w:t>1. Introducción</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 xml:space="preserve">La determinación de las propiedades químicas en raíces, rizomas y tubérculos ha ido evolucionando según las exigencias del mercado; las mediciones instrumentales se han preferido sobre las evaluaciones sensoriales tanto por los investigadores como por la propia industria, ya que dichas mediciones reducen la variabilidad entre los individuos, son más precisas y pueden proporcionar un lenguaje común entre los investigadores, la industria y los consumidores </w:t>
      </w:r>
      <w:r w:rsidRPr="00B43E12">
        <w:rPr>
          <w:rFonts w:ascii="Times New Roman" w:hAnsi="Times New Roman" w:cs="Times New Roman"/>
          <w:sz w:val="24"/>
          <w:szCs w:val="24"/>
        </w:rPr>
        <w:t>(Flores, 2009).</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 xml:space="preserve">La malanga (Colocasia </w:t>
      </w:r>
      <w:proofErr w:type="spellStart"/>
      <w:r w:rsidRPr="00B221C9">
        <w:rPr>
          <w:rFonts w:ascii="Times New Roman" w:hAnsi="Times New Roman" w:cs="Times New Roman"/>
          <w:sz w:val="24"/>
          <w:szCs w:val="24"/>
        </w:rPr>
        <w:t>esculenta</w:t>
      </w:r>
      <w:proofErr w:type="spellEnd"/>
      <w:r w:rsidRPr="00B221C9">
        <w:rPr>
          <w:rFonts w:ascii="Times New Roman" w:hAnsi="Times New Roman" w:cs="Times New Roman"/>
          <w:sz w:val="24"/>
          <w:szCs w:val="24"/>
        </w:rPr>
        <w:t xml:space="preserve"> (L.) </w:t>
      </w:r>
      <w:proofErr w:type="spellStart"/>
      <w:r w:rsidRPr="00B221C9">
        <w:rPr>
          <w:rFonts w:ascii="Times New Roman" w:hAnsi="Times New Roman" w:cs="Times New Roman"/>
          <w:sz w:val="24"/>
          <w:szCs w:val="24"/>
        </w:rPr>
        <w:t>Schott</w:t>
      </w:r>
      <w:proofErr w:type="spellEnd"/>
      <w:r w:rsidRPr="00B221C9">
        <w:rPr>
          <w:rFonts w:ascii="Times New Roman" w:hAnsi="Times New Roman" w:cs="Times New Roman"/>
          <w:sz w:val="24"/>
          <w:szCs w:val="24"/>
        </w:rPr>
        <w:t xml:space="preserve">) representan una importante fuente de carbohidratos cuando son consumidos con carne u otros vegetales, además empleada en la elaboración de frituras. Sin embargo, dichos productos carecen de estudios sensoriales que permitan determinar su calidad sensorial y asimismo la preferencia o rechazo por parte de los consumidores. En este sentido, los análisis descriptivos o perfiles sensoriales son utilizados en la industria alimentaria para el mejoramiento y desarrollo de nuevos, donde el Análisis Descriptivo Cuantitativo permite obtener una descripción completa de las propiedades sensoriales del producto en estudio </w:t>
      </w:r>
      <w:r w:rsidRPr="00B43E12">
        <w:rPr>
          <w:rFonts w:ascii="Times New Roman" w:hAnsi="Times New Roman" w:cs="Times New Roman"/>
          <w:sz w:val="24"/>
          <w:szCs w:val="24"/>
        </w:rPr>
        <w:t>(Ramírez et al., 2011).</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 xml:space="preserve">La experiencia adquirida en Cuba sobre el cultivo, la riqueza genética conservada en la Isla y la existencia de métodos investigativos como los moleculares, constituyen motivaciones importantes para científicos, mejoradores y productores de la malanga del género Colocasia </w:t>
      </w:r>
      <w:r w:rsidRPr="00B43E12">
        <w:rPr>
          <w:rFonts w:ascii="Times New Roman" w:hAnsi="Times New Roman" w:cs="Times New Roman"/>
          <w:sz w:val="24"/>
          <w:szCs w:val="24"/>
        </w:rPr>
        <w:t>(</w:t>
      </w:r>
      <w:proofErr w:type="spellStart"/>
      <w:r w:rsidRPr="00B43E12">
        <w:rPr>
          <w:rFonts w:ascii="Times New Roman" w:hAnsi="Times New Roman" w:cs="Times New Roman"/>
          <w:sz w:val="24"/>
          <w:szCs w:val="24"/>
        </w:rPr>
        <w:t>Milián</w:t>
      </w:r>
      <w:proofErr w:type="spellEnd"/>
      <w:r w:rsidRPr="00B43E12">
        <w:rPr>
          <w:rFonts w:ascii="Times New Roman" w:hAnsi="Times New Roman" w:cs="Times New Roman"/>
          <w:sz w:val="24"/>
          <w:szCs w:val="24"/>
        </w:rPr>
        <w:t>, 2018).</w:t>
      </w:r>
      <w:r w:rsidRPr="00B221C9">
        <w:rPr>
          <w:rFonts w:ascii="Times New Roman" w:hAnsi="Times New Roman" w:cs="Times New Roman"/>
          <w:sz w:val="24"/>
          <w:szCs w:val="24"/>
        </w:rPr>
        <w:t xml:space="preserve"> Con el objetivo de garantizar el manejo sostenible del patrimonio genético existente, incluye un mayor acercamiento a la adecuada ubicación taxonómica de todos los cultivares y a un mejor conocimiento de sus características y potencial genético, que permita lograr su empleo efectivo en los programas de mejoramiento; así como el perfeccionamiento de las estrategias de conservación de los recursos disponibles. </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 xml:space="preserve">El estudio de métodos y técnicas para conocer las propiedades de los materiales y sustancias simples o complejas, que absorben y emiten radiación (la cual puede ser caracterizada a partir de sus espectros), está siendo utilizado en campos tan diversos como: la astronomía, las comunicaciones, la biología y la salud; por sólo mencionar </w:t>
      </w:r>
      <w:r w:rsidRPr="00B221C9">
        <w:rPr>
          <w:rFonts w:ascii="Times New Roman" w:hAnsi="Times New Roman" w:cs="Times New Roman"/>
          <w:sz w:val="24"/>
          <w:szCs w:val="24"/>
        </w:rPr>
        <w:lastRenderedPageBreak/>
        <w:t xml:space="preserve">algunos de los derroteros que ha seguido esta tecnología, a lo largo de su desarrollo </w:t>
      </w:r>
      <w:r w:rsidRPr="00B43E12">
        <w:rPr>
          <w:rFonts w:ascii="Times New Roman" w:hAnsi="Times New Roman" w:cs="Times New Roman"/>
          <w:sz w:val="24"/>
          <w:szCs w:val="24"/>
        </w:rPr>
        <w:t>(González y Montaño, 2015).</w:t>
      </w:r>
      <w:r w:rsidRPr="00B221C9">
        <w:rPr>
          <w:rFonts w:ascii="Times New Roman" w:hAnsi="Times New Roman" w:cs="Times New Roman"/>
          <w:sz w:val="24"/>
          <w:szCs w:val="24"/>
        </w:rPr>
        <w:t xml:space="preserve"> El término espectroscopia hace referencia a la observación y al estudio del espectro, y se basa en la interacción de la energía radiante con la materia. Esta interacción es tan específica que nos permite identificar el tipo y la cantidad de materia que interactuó.</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 xml:space="preserve">La aplicación de la espectroscopia vis-NIR en la realización de medidas no destructivas se ha investigado en numerosos productos alimentarios. Sin embargo, la bibliografía disponible sobre su aplicación en Cuba es limitada y a saber, en los estudios de la malanga no existen experiencias anteriores. </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Esta técnica, es hoy en día, una de las alternativas más adecuadas para hacer frente a las exigencias de calidad en productos agrícolas, ya que combina rapidez y precisión en la medida, con una gran versatilidad, sencillez de presentación de la muestra, velocidad de recogida de datos (espectros), y es una técnica limpia que contribuye a la conservación del medio ambiente. Además, el espectro recoge tanto la información química como la física lo que permite determinar ambos tipos de propiedades a partir de un único análisis.</w:t>
      </w:r>
    </w:p>
    <w:p w:rsidR="003119C2" w:rsidRPr="00903DFD" w:rsidRDefault="003119C2" w:rsidP="003119C2">
      <w:pPr>
        <w:spacing w:after="0" w:line="360" w:lineRule="auto"/>
        <w:jc w:val="both"/>
        <w:rPr>
          <w:rFonts w:ascii="Times New Roman" w:hAnsi="Times New Roman" w:cs="Times New Roman"/>
          <w:b/>
          <w:sz w:val="24"/>
          <w:szCs w:val="24"/>
        </w:rPr>
      </w:pPr>
      <w:r w:rsidRPr="00903DFD">
        <w:rPr>
          <w:rFonts w:ascii="Times New Roman" w:hAnsi="Times New Roman" w:cs="Times New Roman"/>
          <w:b/>
          <w:sz w:val="24"/>
          <w:szCs w:val="24"/>
        </w:rPr>
        <w:t>2. Metodología</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El presente trabajo de investigación se desarrolló en el Departamento de Ingeniería Agrícola de la Facultad de Ciencias Agropecuarias de la Universidad Central “Marta Abreu” de Las Villas (UCLV), en el período comprendido de septiembre 2016 a mayo del 2018. Se seleccionaron los cultivares de malanga “morada” 204, 206 y 207 para dar cumplimiento a los objetivos ya que son de origen cubano, procedente del Instituto de Investigaciones de Via</w:t>
      </w:r>
      <w:r>
        <w:rPr>
          <w:rFonts w:ascii="Times New Roman" w:hAnsi="Times New Roman" w:cs="Times New Roman"/>
          <w:sz w:val="24"/>
          <w:szCs w:val="24"/>
        </w:rPr>
        <w:t>ndas Tropicales (INIVIT).</w:t>
      </w:r>
      <w:r w:rsidRPr="00B221C9">
        <w:rPr>
          <w:rFonts w:ascii="Times New Roman" w:hAnsi="Times New Roman" w:cs="Times New Roman"/>
          <w:sz w:val="24"/>
          <w:szCs w:val="24"/>
        </w:rPr>
        <w:tab/>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Para la determinación de los análisis realizados en el laboratorio se utilizó la técnica de absorción atómica, la cual se basa en la destrucción de la materia orgánica por vía seca hasta lograr la digestión de la muestra para posteriormente disolver los residuos con ácido nítrico diluido.</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 xml:space="preserve">Para el análisis de las muestras, se configuran los espectros de </w:t>
      </w:r>
      <w:proofErr w:type="spellStart"/>
      <w:r w:rsidRPr="00B221C9">
        <w:rPr>
          <w:rFonts w:ascii="Times New Roman" w:hAnsi="Times New Roman" w:cs="Times New Roman"/>
          <w:sz w:val="24"/>
          <w:szCs w:val="24"/>
        </w:rPr>
        <w:t>reflectancia</w:t>
      </w:r>
      <w:proofErr w:type="spellEnd"/>
      <w:r w:rsidRPr="00B221C9">
        <w:rPr>
          <w:rFonts w:ascii="Times New Roman" w:hAnsi="Times New Roman" w:cs="Times New Roman"/>
          <w:sz w:val="24"/>
          <w:szCs w:val="24"/>
        </w:rPr>
        <w:t xml:space="preserve"> vis-NIR. Se </w:t>
      </w:r>
      <w:proofErr w:type="spellStart"/>
      <w:r w:rsidRPr="00B221C9">
        <w:rPr>
          <w:rFonts w:ascii="Times New Roman" w:hAnsi="Times New Roman" w:cs="Times New Roman"/>
          <w:sz w:val="24"/>
          <w:szCs w:val="24"/>
        </w:rPr>
        <w:t>utlizó</w:t>
      </w:r>
      <w:proofErr w:type="spellEnd"/>
      <w:r w:rsidRPr="00B221C9">
        <w:rPr>
          <w:rFonts w:ascii="Times New Roman" w:hAnsi="Times New Roman" w:cs="Times New Roman"/>
          <w:sz w:val="24"/>
          <w:szCs w:val="24"/>
        </w:rPr>
        <w:t xml:space="preserve"> el espectrofotómetro (Corona plus distancia vis-NIR </w:t>
      </w:r>
      <w:proofErr w:type="spellStart"/>
      <w:r w:rsidRPr="00B221C9">
        <w:rPr>
          <w:rFonts w:ascii="Times New Roman" w:hAnsi="Times New Roman" w:cs="Times New Roman"/>
          <w:sz w:val="24"/>
          <w:szCs w:val="24"/>
        </w:rPr>
        <w:t>Zeiss</w:t>
      </w:r>
      <w:proofErr w:type="spellEnd"/>
      <w:r w:rsidRPr="00B221C9">
        <w:rPr>
          <w:rFonts w:ascii="Times New Roman" w:hAnsi="Times New Roman" w:cs="Times New Roman"/>
          <w:sz w:val="24"/>
          <w:szCs w:val="24"/>
        </w:rPr>
        <w:t>, Jena, Al</w:t>
      </w:r>
      <w:r>
        <w:rPr>
          <w:rFonts w:ascii="Times New Roman" w:hAnsi="Times New Roman" w:cs="Times New Roman"/>
          <w:sz w:val="24"/>
          <w:szCs w:val="24"/>
        </w:rPr>
        <w:t xml:space="preserve">emania). </w:t>
      </w:r>
      <w:r w:rsidRPr="00B221C9">
        <w:rPr>
          <w:rFonts w:ascii="Times New Roman" w:hAnsi="Times New Roman" w:cs="Times New Roman"/>
          <w:sz w:val="24"/>
          <w:szCs w:val="24"/>
        </w:rPr>
        <w:t xml:space="preserve">Todos </w:t>
      </w:r>
      <w:r w:rsidRPr="00B221C9">
        <w:rPr>
          <w:rFonts w:ascii="Times New Roman" w:hAnsi="Times New Roman" w:cs="Times New Roman"/>
          <w:sz w:val="24"/>
          <w:szCs w:val="24"/>
        </w:rPr>
        <w:lastRenderedPageBreak/>
        <w:t xml:space="preserve">los espectros se obtuvieron utilizando los mismos ajustes del instrumento: medida en el modo de reflexión, longitud de onda 379 - 1700 </w:t>
      </w:r>
      <w:proofErr w:type="spellStart"/>
      <w:r w:rsidRPr="00B221C9">
        <w:rPr>
          <w:rFonts w:ascii="Times New Roman" w:hAnsi="Times New Roman" w:cs="Times New Roman"/>
          <w:sz w:val="24"/>
          <w:szCs w:val="24"/>
        </w:rPr>
        <w:t>nm</w:t>
      </w:r>
      <w:proofErr w:type="spellEnd"/>
      <w:r w:rsidRPr="00B221C9">
        <w:rPr>
          <w:rFonts w:ascii="Times New Roman" w:hAnsi="Times New Roman" w:cs="Times New Roman"/>
          <w:sz w:val="24"/>
          <w:szCs w:val="24"/>
        </w:rPr>
        <w:t xml:space="preserve">.  Los tiempos de integración fueron: para </w:t>
      </w:r>
      <w:proofErr w:type="gramStart"/>
      <w:r w:rsidRPr="00B221C9">
        <w:rPr>
          <w:rFonts w:ascii="Times New Roman" w:hAnsi="Times New Roman" w:cs="Times New Roman"/>
          <w:sz w:val="24"/>
          <w:szCs w:val="24"/>
        </w:rPr>
        <w:t>el</w:t>
      </w:r>
      <w:proofErr w:type="gramEnd"/>
      <w:r w:rsidRPr="00B221C9">
        <w:rPr>
          <w:rFonts w:ascii="Times New Roman" w:hAnsi="Times New Roman" w:cs="Times New Roman"/>
          <w:sz w:val="24"/>
          <w:szCs w:val="24"/>
        </w:rPr>
        <w:t xml:space="preserve"> vis (143,5 ms) y los NIR (200 ms). Una pequeña cantidad de la muestra (aproximadamente 15 g) se colocó en una placa de Petri de 10 mm de profundidad y 35 mm de diámetro.  Cada placa de Petri con aproximadamente 15 g de la muestra se coloca debajo del sensor en el centro del punto de coordinación.  Luego se tomaron tres espectros de </w:t>
      </w:r>
      <w:proofErr w:type="spellStart"/>
      <w:r w:rsidRPr="00B221C9">
        <w:rPr>
          <w:rFonts w:ascii="Times New Roman" w:hAnsi="Times New Roman" w:cs="Times New Roman"/>
          <w:sz w:val="24"/>
          <w:szCs w:val="24"/>
        </w:rPr>
        <w:t>reflectancia</w:t>
      </w:r>
      <w:proofErr w:type="spellEnd"/>
      <w:r w:rsidRPr="00B221C9">
        <w:rPr>
          <w:rFonts w:ascii="Times New Roman" w:hAnsi="Times New Roman" w:cs="Times New Roman"/>
          <w:sz w:val="24"/>
          <w:szCs w:val="24"/>
        </w:rPr>
        <w:t xml:space="preserve"> sobre la zona central de la placa de Petri, a una rotación de la muestra de aproximadamente 120°. Los tres espectros de cada muestra se promediaron para obtener un espectro promedio por muestra. </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 xml:space="preserve">Los valores mínimos, máximos y la media, se compararon según la escala de interpretación del coeficiente de </w:t>
      </w:r>
      <w:r>
        <w:rPr>
          <w:rFonts w:ascii="Times New Roman" w:hAnsi="Times New Roman" w:cs="Times New Roman"/>
          <w:sz w:val="24"/>
          <w:szCs w:val="24"/>
        </w:rPr>
        <w:t xml:space="preserve">correlación de Pearson, el cual, </w:t>
      </w:r>
      <w:r w:rsidRPr="00B221C9">
        <w:rPr>
          <w:rFonts w:ascii="Times New Roman" w:hAnsi="Times New Roman" w:cs="Times New Roman"/>
          <w:sz w:val="24"/>
          <w:szCs w:val="24"/>
        </w:rPr>
        <w:t xml:space="preserve">mide el grado de relación o asociación existente generalmente entre dos variables aleatorias </w:t>
      </w:r>
      <w:r w:rsidRPr="00B43E12">
        <w:rPr>
          <w:rFonts w:ascii="Times New Roman" w:hAnsi="Times New Roman" w:cs="Times New Roman"/>
          <w:sz w:val="24"/>
          <w:szCs w:val="24"/>
        </w:rPr>
        <w:t>(Vinuesa, 2016).</w:t>
      </w:r>
      <w:r w:rsidRPr="00B221C9">
        <w:rPr>
          <w:rFonts w:ascii="Times New Roman" w:hAnsi="Times New Roman" w:cs="Times New Roman"/>
          <w:sz w:val="24"/>
          <w:szCs w:val="24"/>
        </w:rPr>
        <w:t xml:space="preserve"> </w:t>
      </w:r>
    </w:p>
    <w:p w:rsidR="003119C2" w:rsidRPr="00B221C9"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Para el procesamiento de los resultados con el espectro, cada lectura del mismo se guardó como un archivo independiente (</w:t>
      </w:r>
      <w:proofErr w:type="spellStart"/>
      <w:r w:rsidRPr="00B221C9">
        <w:rPr>
          <w:rFonts w:ascii="Times New Roman" w:hAnsi="Times New Roman" w:cs="Times New Roman"/>
          <w:sz w:val="24"/>
          <w:szCs w:val="24"/>
        </w:rPr>
        <w:t>csv</w:t>
      </w:r>
      <w:proofErr w:type="spellEnd"/>
      <w:r w:rsidRPr="00B221C9">
        <w:rPr>
          <w:rFonts w:ascii="Times New Roman" w:hAnsi="Times New Roman" w:cs="Times New Roman"/>
          <w:sz w:val="24"/>
          <w:szCs w:val="24"/>
        </w:rPr>
        <w:t>) y, a continuación, fueron transportados para el Excel. Para realizar estos procesamientos estadísticos se utilizó el software Matlab 7.4, el cual es una herramienta integral de análisis de datos para Estadística Exploratoria, Análisis Multivariado, Clasificación, Predicción y Diseño de Experimentos.</w:t>
      </w:r>
    </w:p>
    <w:p w:rsidR="003119C2" w:rsidRDefault="003119C2" w:rsidP="003119C2">
      <w:pPr>
        <w:spacing w:after="0" w:line="360" w:lineRule="auto"/>
        <w:jc w:val="both"/>
        <w:rPr>
          <w:rFonts w:ascii="Times New Roman" w:hAnsi="Times New Roman" w:cs="Times New Roman"/>
          <w:sz w:val="24"/>
          <w:szCs w:val="24"/>
        </w:rPr>
      </w:pPr>
      <w:r w:rsidRPr="00B221C9">
        <w:rPr>
          <w:rFonts w:ascii="Times New Roman" w:hAnsi="Times New Roman" w:cs="Times New Roman"/>
          <w:sz w:val="24"/>
          <w:szCs w:val="24"/>
        </w:rPr>
        <w:t xml:space="preserve">En cada uno de los cultivares se correlacionaron la concentración de los minerales, con la </w:t>
      </w:r>
      <w:proofErr w:type="spellStart"/>
      <w:r w:rsidRPr="00B221C9">
        <w:rPr>
          <w:rFonts w:ascii="Times New Roman" w:hAnsi="Times New Roman" w:cs="Times New Roman"/>
          <w:sz w:val="24"/>
          <w:szCs w:val="24"/>
        </w:rPr>
        <w:t>reflectancia</w:t>
      </w:r>
      <w:proofErr w:type="spellEnd"/>
      <w:r w:rsidRPr="00B221C9">
        <w:rPr>
          <w:rFonts w:ascii="Times New Roman" w:hAnsi="Times New Roman" w:cs="Times New Roman"/>
          <w:sz w:val="24"/>
          <w:szCs w:val="24"/>
        </w:rPr>
        <w:t xml:space="preserve"> espectral de las diferentes muestras por medio del modelo de regresión PLS (Mínimos Cuadrados Parciales). Las regresiones PLS tratan de encontrar variables latentes que maximicen la varianza explicada por las variables de predicción (X, en este caso los espectros NIR) que es relevante para predecir la variable respuesta (Y, para nosotros cada una de las variables analíticas medidas).</w:t>
      </w:r>
    </w:p>
    <w:p w:rsidR="003119C2" w:rsidRDefault="003119C2" w:rsidP="003119C2">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3119C2" w:rsidRDefault="003119C2" w:rsidP="003119C2">
      <w:pPr>
        <w:spacing w:after="0" w:line="360" w:lineRule="auto"/>
        <w:jc w:val="both"/>
        <w:rPr>
          <w:rFonts w:ascii="Times New Roman" w:eastAsia="Calibri" w:hAnsi="Times New Roman" w:cs="Times New Roman"/>
          <w:sz w:val="24"/>
          <w:szCs w:val="24"/>
        </w:rPr>
      </w:pPr>
      <w:r w:rsidRPr="00AB33E0">
        <w:rPr>
          <w:rFonts w:ascii="Times New Roman" w:eastAsia="Calibri" w:hAnsi="Times New Roman" w:cs="Times New Roman"/>
          <w:sz w:val="24"/>
          <w:szCs w:val="24"/>
        </w:rPr>
        <w:t>El mineral de mayor concentración en los valores mínimos fue el potasio con 13.76 mg</w:t>
      </w:r>
      <w:r w:rsidRPr="00AB33E0">
        <w:rPr>
          <w:rFonts w:ascii="Times New Roman" w:eastAsia="Calibri" w:hAnsi="Times New Roman" w:cs="Times New Roman"/>
          <w:color w:val="FF0000"/>
          <w:sz w:val="24"/>
          <w:szCs w:val="24"/>
        </w:rPr>
        <w:t xml:space="preserve"> </w:t>
      </w:r>
      <w:r w:rsidRPr="00AB33E0">
        <w:rPr>
          <w:rFonts w:ascii="Times New Roman" w:eastAsia="Calibri" w:hAnsi="Times New Roman" w:cs="Times New Roman"/>
          <w:sz w:val="24"/>
          <w:szCs w:val="24"/>
        </w:rPr>
        <w:t>100 g</w:t>
      </w:r>
      <w:r w:rsidRPr="00AB33E0">
        <w:rPr>
          <w:rFonts w:ascii="Times New Roman" w:eastAsia="Calibri" w:hAnsi="Times New Roman" w:cs="Times New Roman"/>
          <w:sz w:val="24"/>
          <w:szCs w:val="24"/>
          <w:vertAlign w:val="superscript"/>
        </w:rPr>
        <w:t xml:space="preserve">-1 </w:t>
      </w:r>
      <w:r w:rsidRPr="00AB33E0">
        <w:rPr>
          <w:rFonts w:ascii="Times New Roman" w:eastAsia="Calibri" w:hAnsi="Times New Roman" w:cs="Times New Roman"/>
          <w:sz w:val="24"/>
          <w:szCs w:val="24"/>
        </w:rPr>
        <w:t>en el cultivar 206 y de más baja concentración fue el sodio con 0.08 mg 100 g</w:t>
      </w:r>
      <w:r w:rsidRPr="00AB33E0">
        <w:rPr>
          <w:rFonts w:ascii="Times New Roman" w:eastAsia="Calibri" w:hAnsi="Times New Roman" w:cs="Times New Roman"/>
          <w:sz w:val="24"/>
          <w:szCs w:val="24"/>
          <w:vertAlign w:val="superscript"/>
        </w:rPr>
        <w:t xml:space="preserve">-1 </w:t>
      </w:r>
      <w:r w:rsidRPr="00AB33E0">
        <w:rPr>
          <w:rFonts w:ascii="Times New Roman" w:eastAsia="Calibri" w:hAnsi="Times New Roman" w:cs="Times New Roman"/>
          <w:sz w:val="24"/>
          <w:szCs w:val="24"/>
        </w:rPr>
        <w:t>en el cultivar 207. Para la concentración en los valores máximo se destaca nuevamente el potasio pero esta vez con 19.35 mg 100 g</w:t>
      </w:r>
      <w:r w:rsidRPr="00AB33E0">
        <w:rPr>
          <w:rFonts w:ascii="Times New Roman" w:eastAsia="Calibri" w:hAnsi="Times New Roman" w:cs="Times New Roman"/>
          <w:sz w:val="24"/>
          <w:szCs w:val="24"/>
          <w:vertAlign w:val="superscript"/>
        </w:rPr>
        <w:t>-1</w:t>
      </w:r>
      <w:r w:rsidRPr="00AB33E0">
        <w:rPr>
          <w:rFonts w:ascii="Calibri" w:eastAsia="Calibri" w:hAnsi="Calibri" w:cs="Times New Roman"/>
        </w:rPr>
        <w:t xml:space="preserve"> </w:t>
      </w:r>
      <w:r w:rsidRPr="00AB33E0">
        <w:rPr>
          <w:rFonts w:ascii="Times New Roman" w:eastAsia="Calibri" w:hAnsi="Times New Roman" w:cs="Times New Roman"/>
          <w:sz w:val="24"/>
          <w:szCs w:val="24"/>
        </w:rPr>
        <w:t xml:space="preserve">en el cultivar 206, siendo de gran importancia, </w:t>
      </w:r>
      <w:r w:rsidRPr="00AB33E0">
        <w:rPr>
          <w:rFonts w:ascii="Times New Roman" w:eastAsia="Calibri" w:hAnsi="Times New Roman" w:cs="Times New Roman"/>
          <w:sz w:val="24"/>
          <w:szCs w:val="24"/>
        </w:rPr>
        <w:lastRenderedPageBreak/>
        <w:t xml:space="preserve">ya que este mineral actúa conjuntamente con el sodio para mantener el equilibrio de líquido corporal, además influyen en la contracción muscular y la excitabilidad de las fibras nerviosas </w:t>
      </w:r>
      <w:r w:rsidRPr="005C35F8">
        <w:rPr>
          <w:rFonts w:ascii="Times New Roman" w:eastAsia="Calibri" w:hAnsi="Times New Roman" w:cs="Times New Roman"/>
          <w:sz w:val="24"/>
          <w:szCs w:val="24"/>
        </w:rPr>
        <w:fldChar w:fldCharType="begin"/>
      </w:r>
      <w:r w:rsidRPr="005C35F8">
        <w:rPr>
          <w:rFonts w:ascii="Times New Roman" w:eastAsia="Calibri" w:hAnsi="Times New Roman" w:cs="Times New Roman"/>
          <w:sz w:val="24"/>
          <w:szCs w:val="24"/>
        </w:rPr>
        <w:instrText xml:space="preserve"> ADDIN EN.CITE &lt;EndNote&gt;&lt;Cite&gt;&lt;Author&gt;Bortoni&lt;/Author&gt;&lt;Year&gt;2017&lt;/Year&gt;&lt;RecNum&gt;105&lt;/RecNum&gt;&lt;DisplayText&gt;(Bortoni, 2017)&lt;/DisplayText&gt;&lt;record&gt;&lt;rec-number&gt;105&lt;/rec-number&gt;&lt;foreign-keys&gt;&lt;key app="EN" db-id="55t2deafr09w5yepr9cx0fxy00r2trstpz5s"&gt;105&lt;/key&gt;&lt;/foreign-keys&gt;&lt;ref-type name="Web Page"&gt;12&lt;/ref-type&gt;&lt;contributors&gt;&lt;authors&gt;&lt;author&gt;Bortoni, M.&lt;/author&gt;&lt;/authors&gt;&lt;/contributors&gt;&lt;titles&gt;&lt;title&gt;Importancia de los minerales en el cuerpo&lt;/title&gt;&lt;/titles&gt;&lt;volume&gt;2017&lt;/volume&gt;&lt;number&gt;25 de mayo&lt;/number&gt;&lt;dates&gt;&lt;year&gt;2017&lt;/year&gt;&lt;/dates&gt;&lt;urls&gt;&lt;related-urls&gt;&lt;url&gt;http://nosotros2.com/&lt;/url&gt;&lt;/related-urls&gt;&lt;/urls&gt;&lt;/record&gt;&lt;/Cite&gt;&lt;Cite&gt;&lt;Author&gt;Bortoni&lt;/Author&gt;&lt;Year&gt;2017&lt;/Year&gt;&lt;RecNum&gt;105&lt;/RecNum&gt;&lt;record&gt;&lt;rec-number&gt;105&lt;/rec-number&gt;&lt;foreign-keys&gt;&lt;key app="EN" db-id="55t2deafr09w5yepr9cx0fxy00r2trstpz5s"&gt;105&lt;/key&gt;&lt;/foreign-keys&gt;&lt;ref-type name="Web Page"&gt;12&lt;/ref-type&gt;&lt;contributors&gt;&lt;authors&gt;&lt;author&gt;Bortoni, M.&lt;/author&gt;&lt;/authors&gt;&lt;/contributors&gt;&lt;titles&gt;&lt;title&gt;Importancia de los minerales en el cuerpo&lt;/title&gt;&lt;/titles&gt;&lt;volume&gt;2017&lt;/volume&gt;&lt;number&gt;25 de mayo&lt;/number&gt;&lt;dates&gt;&lt;year&gt;2017&lt;/year&gt;&lt;/dates&gt;&lt;urls&gt;&lt;related-urls&gt;&lt;url&gt;http://nosotros2.com/&lt;/url&gt;&lt;/related-urls&gt;&lt;/urls&gt;&lt;/record&gt;&lt;/Cite&gt;&lt;/EndNote&gt;</w:instrText>
      </w:r>
      <w:r w:rsidRPr="005C35F8">
        <w:rPr>
          <w:rFonts w:ascii="Times New Roman" w:eastAsia="Calibri" w:hAnsi="Times New Roman" w:cs="Times New Roman"/>
          <w:sz w:val="24"/>
          <w:szCs w:val="24"/>
        </w:rPr>
        <w:fldChar w:fldCharType="separate"/>
      </w:r>
      <w:r w:rsidRPr="005C35F8">
        <w:rPr>
          <w:rFonts w:ascii="Times New Roman" w:eastAsia="Calibri" w:hAnsi="Times New Roman" w:cs="Times New Roman"/>
          <w:noProof/>
          <w:sz w:val="24"/>
          <w:szCs w:val="24"/>
        </w:rPr>
        <w:t>(</w:t>
      </w:r>
      <w:hyperlink w:anchor="_ENREF_3" w:tooltip="Bortoni, 2017 #105" w:history="1">
        <w:r w:rsidRPr="005C35F8">
          <w:rPr>
            <w:rFonts w:ascii="Times New Roman" w:eastAsia="Calibri" w:hAnsi="Times New Roman" w:cs="Times New Roman"/>
            <w:noProof/>
            <w:sz w:val="24"/>
            <w:szCs w:val="24"/>
          </w:rPr>
          <w:t>Bortoni, 2017</w:t>
        </w:r>
      </w:hyperlink>
      <w:r w:rsidRPr="005C35F8">
        <w:rPr>
          <w:rFonts w:ascii="Times New Roman" w:eastAsia="Calibri" w:hAnsi="Times New Roman" w:cs="Times New Roman"/>
          <w:noProof/>
          <w:sz w:val="24"/>
          <w:szCs w:val="24"/>
        </w:rPr>
        <w:t>)</w:t>
      </w:r>
      <w:r w:rsidRPr="005C35F8">
        <w:rPr>
          <w:rFonts w:ascii="Times New Roman" w:eastAsia="Calibri" w:hAnsi="Times New Roman" w:cs="Times New Roman"/>
          <w:sz w:val="24"/>
          <w:szCs w:val="24"/>
        </w:rPr>
        <w:fldChar w:fldCharType="end"/>
      </w:r>
      <w:r w:rsidRPr="005C35F8">
        <w:rPr>
          <w:rFonts w:ascii="Times New Roman" w:eastAsia="Calibri" w:hAnsi="Times New Roman" w:cs="Times New Roman"/>
          <w:sz w:val="24"/>
          <w:szCs w:val="24"/>
        </w:rPr>
        <w:t>.</w:t>
      </w:r>
      <w:r w:rsidRPr="00AB33E0">
        <w:rPr>
          <w:rFonts w:ascii="Times New Roman" w:eastAsia="Calibri" w:hAnsi="Times New Roman" w:cs="Times New Roman"/>
          <w:sz w:val="24"/>
          <w:szCs w:val="24"/>
        </w:rPr>
        <w:t xml:space="preserve"> Sin embargo, el mineral de más baja concentración fue el sodio con 0.36 mg 100 g</w:t>
      </w:r>
      <w:r w:rsidRPr="00AB33E0">
        <w:rPr>
          <w:rFonts w:ascii="Times New Roman" w:eastAsia="Calibri" w:hAnsi="Times New Roman" w:cs="Times New Roman"/>
          <w:sz w:val="24"/>
          <w:szCs w:val="24"/>
          <w:vertAlign w:val="superscript"/>
        </w:rPr>
        <w:t>-1</w:t>
      </w:r>
      <w:r w:rsidRPr="00AB33E0">
        <w:rPr>
          <w:rFonts w:ascii="Calibri" w:eastAsia="Calibri" w:hAnsi="Calibri" w:cs="Times New Roman"/>
        </w:rPr>
        <w:t xml:space="preserve"> </w:t>
      </w:r>
      <w:r w:rsidRPr="00AB33E0">
        <w:rPr>
          <w:rFonts w:ascii="Times New Roman" w:eastAsia="Calibri" w:hAnsi="Times New Roman" w:cs="Times New Roman"/>
          <w:sz w:val="24"/>
          <w:szCs w:val="24"/>
        </w:rPr>
        <w:t xml:space="preserve">en el cultivar 204.  </w:t>
      </w:r>
    </w:p>
    <w:p w:rsidR="003119C2" w:rsidRPr="00AB33E0" w:rsidRDefault="003119C2" w:rsidP="003119C2">
      <w:pPr>
        <w:spacing w:after="0" w:line="360" w:lineRule="auto"/>
        <w:jc w:val="both"/>
        <w:rPr>
          <w:rFonts w:ascii="Times New Roman" w:eastAsia="Calibri" w:hAnsi="Times New Roman" w:cs="Times New Roman"/>
          <w:sz w:val="24"/>
          <w:szCs w:val="24"/>
        </w:rPr>
      </w:pPr>
      <w:r w:rsidRPr="00AB33E0">
        <w:rPr>
          <w:rFonts w:ascii="Times New Roman" w:eastAsia="Calibri" w:hAnsi="Times New Roman" w:cs="Times New Roman"/>
          <w:sz w:val="24"/>
          <w:szCs w:val="24"/>
        </w:rPr>
        <w:t>Los resultados obtenidos en la desviación estándar, nos muestra que el mineral de mayor desviación para los tres cultivares analizados, fue el hierro con 2.14 mg 100 g</w:t>
      </w:r>
      <w:r w:rsidRPr="00AB33E0">
        <w:rPr>
          <w:rFonts w:ascii="Times New Roman" w:eastAsia="Calibri" w:hAnsi="Times New Roman" w:cs="Times New Roman"/>
          <w:sz w:val="24"/>
          <w:szCs w:val="24"/>
          <w:vertAlign w:val="superscript"/>
        </w:rPr>
        <w:t xml:space="preserve">-1 </w:t>
      </w:r>
      <w:r w:rsidRPr="00AB33E0">
        <w:rPr>
          <w:rFonts w:ascii="Times New Roman" w:eastAsia="Calibri" w:hAnsi="Times New Roman" w:cs="Times New Roman"/>
          <w:sz w:val="24"/>
          <w:szCs w:val="24"/>
        </w:rPr>
        <w:t>en el cultivar 207. Este mineral es importante para la oxigenación de todas las células, garantiza el transporte de oxígeno desde los pulmones hacia los otros órganos. Por otra parte, los minerales de menor desviación estándar fueron el calcio con 0.06 mg 100 g</w:t>
      </w:r>
      <w:r w:rsidRPr="00AB33E0">
        <w:rPr>
          <w:rFonts w:ascii="Times New Roman" w:eastAsia="Calibri" w:hAnsi="Times New Roman" w:cs="Times New Roman"/>
          <w:sz w:val="24"/>
          <w:szCs w:val="24"/>
          <w:vertAlign w:val="superscript"/>
        </w:rPr>
        <w:t xml:space="preserve">-1 </w:t>
      </w:r>
      <w:r w:rsidRPr="00AB33E0">
        <w:rPr>
          <w:rFonts w:ascii="Times New Roman" w:eastAsia="Calibri" w:hAnsi="Times New Roman" w:cs="Times New Roman"/>
          <w:sz w:val="24"/>
          <w:szCs w:val="24"/>
        </w:rPr>
        <w:t xml:space="preserve">en el cultivar 204 y el sodio con el mismo valor, pero en el cultivar 206. </w:t>
      </w:r>
    </w:p>
    <w:p w:rsidR="003119C2" w:rsidRPr="00AB33E0" w:rsidRDefault="003119C2" w:rsidP="003119C2">
      <w:pPr>
        <w:spacing w:after="0" w:line="360" w:lineRule="auto"/>
        <w:jc w:val="both"/>
        <w:rPr>
          <w:rFonts w:ascii="Times New Roman" w:eastAsia="Calibri" w:hAnsi="Times New Roman" w:cs="Times New Roman"/>
          <w:sz w:val="24"/>
          <w:szCs w:val="24"/>
        </w:rPr>
      </w:pPr>
      <w:r w:rsidRPr="00AB33E0">
        <w:rPr>
          <w:rFonts w:ascii="Times New Roman" w:eastAsia="Calibri" w:hAnsi="Times New Roman" w:cs="Times New Roman"/>
          <w:sz w:val="24"/>
          <w:szCs w:val="24"/>
        </w:rPr>
        <w:t>Los coeficientes de variación que se determinaron para los tres cultivares analizados muestran, que el sodio fue el mineral de mayor variación con 76,13% en el cultivar 2</w:t>
      </w:r>
      <w:r>
        <w:rPr>
          <w:rFonts w:ascii="Times New Roman" w:eastAsia="Calibri" w:hAnsi="Times New Roman" w:cs="Times New Roman"/>
          <w:sz w:val="24"/>
          <w:szCs w:val="24"/>
        </w:rPr>
        <w:t>06</w:t>
      </w:r>
      <w:r w:rsidRPr="00AB33E0">
        <w:rPr>
          <w:rFonts w:ascii="Times New Roman" w:eastAsia="Calibri" w:hAnsi="Times New Roman" w:cs="Times New Roman"/>
          <w:sz w:val="24"/>
          <w:szCs w:val="24"/>
        </w:rPr>
        <w:t xml:space="preserve">. </w:t>
      </w:r>
    </w:p>
    <w:p w:rsidR="003119C2" w:rsidRPr="00AB33E0" w:rsidRDefault="003119C2" w:rsidP="003119C2">
      <w:pPr>
        <w:spacing w:after="0" w:line="360" w:lineRule="auto"/>
        <w:jc w:val="both"/>
        <w:rPr>
          <w:rFonts w:ascii="Times New Roman" w:eastAsia="Calibri" w:hAnsi="Times New Roman" w:cs="Times New Roman"/>
          <w:sz w:val="24"/>
          <w:szCs w:val="24"/>
        </w:rPr>
      </w:pPr>
      <w:r w:rsidRPr="00AB33E0">
        <w:rPr>
          <w:rFonts w:ascii="Times New Roman" w:eastAsia="Calibri" w:hAnsi="Times New Roman" w:cs="Times New Roman"/>
          <w:sz w:val="24"/>
          <w:szCs w:val="24"/>
        </w:rPr>
        <w:t>También se observó, que el mineral de menor variación fue el calcio con 11,47% en el cultivar 204. Este es un mineral que ayuda principalmente a fortalecer los huesos y dientes, regula los latidos del corazón durante el ejercicio por lo tanto también disminuye la presión arterial y disminuir colesterol. Activa la enzima llamada lipasa que es encargada de descomponer las grasas.</w:t>
      </w:r>
    </w:p>
    <w:p w:rsidR="003119C2" w:rsidRDefault="003119C2" w:rsidP="003119C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En la Tabla 1.</w:t>
      </w:r>
      <w:r w:rsidRPr="00AB33E0">
        <w:rPr>
          <w:rFonts w:ascii="Times New Roman" w:eastAsia="Calibri" w:hAnsi="Times New Roman" w:cs="Times New Roman"/>
          <w:sz w:val="24"/>
          <w:szCs w:val="24"/>
        </w:rPr>
        <w:t xml:space="preserve"> se muestran las comparaciones estadísticas de los cultivares analizados, en los cuales no se observan diferencias significativas entre ellos en relación a las concentraciones de calcio, magnesio, manganeso y cobre. En relación a las concentraciones de sodio, potasio, hierro y cinc el p-valor entre los distintos cultivares da un resultado menor que 0.05, de lo cual se interpreta que si hubo diferencias estadísticas entre ellos.</w:t>
      </w:r>
    </w:p>
    <w:p w:rsidR="003119C2" w:rsidRDefault="003119C2" w:rsidP="003119C2">
      <w:pPr>
        <w:spacing w:after="0" w:line="360" w:lineRule="auto"/>
        <w:jc w:val="center"/>
        <w:rPr>
          <w:rFonts w:ascii="Times New Roman" w:eastAsia="Calibri" w:hAnsi="Times New Roman" w:cs="Times New Roman"/>
          <w:sz w:val="20"/>
          <w:szCs w:val="20"/>
        </w:rPr>
      </w:pPr>
    </w:p>
    <w:p w:rsidR="003119C2" w:rsidRDefault="003119C2" w:rsidP="003119C2">
      <w:pPr>
        <w:spacing w:after="0" w:line="360" w:lineRule="auto"/>
        <w:jc w:val="center"/>
        <w:rPr>
          <w:rFonts w:ascii="Times New Roman" w:eastAsia="Calibri" w:hAnsi="Times New Roman" w:cs="Times New Roman"/>
          <w:sz w:val="20"/>
          <w:szCs w:val="20"/>
        </w:rPr>
      </w:pPr>
    </w:p>
    <w:p w:rsidR="003119C2" w:rsidRDefault="003119C2" w:rsidP="003119C2">
      <w:pPr>
        <w:spacing w:after="0" w:line="360" w:lineRule="auto"/>
        <w:jc w:val="center"/>
        <w:rPr>
          <w:rFonts w:ascii="Times New Roman" w:eastAsia="Calibri" w:hAnsi="Times New Roman" w:cs="Times New Roman"/>
          <w:sz w:val="20"/>
          <w:szCs w:val="20"/>
        </w:rPr>
      </w:pPr>
    </w:p>
    <w:p w:rsidR="003119C2" w:rsidRDefault="003119C2" w:rsidP="003119C2">
      <w:pPr>
        <w:spacing w:after="0" w:line="360" w:lineRule="auto"/>
        <w:jc w:val="center"/>
        <w:rPr>
          <w:rFonts w:ascii="Times New Roman" w:eastAsia="Calibri" w:hAnsi="Times New Roman" w:cs="Times New Roman"/>
          <w:sz w:val="20"/>
          <w:szCs w:val="20"/>
        </w:rPr>
      </w:pPr>
    </w:p>
    <w:p w:rsidR="003119C2" w:rsidRDefault="003119C2" w:rsidP="003119C2">
      <w:pPr>
        <w:spacing w:after="0" w:line="360" w:lineRule="auto"/>
        <w:jc w:val="center"/>
        <w:rPr>
          <w:rFonts w:ascii="Times New Roman" w:eastAsia="Calibri" w:hAnsi="Times New Roman" w:cs="Times New Roman"/>
          <w:sz w:val="20"/>
          <w:szCs w:val="20"/>
        </w:rPr>
      </w:pPr>
    </w:p>
    <w:p w:rsidR="003119C2" w:rsidRDefault="003119C2" w:rsidP="003119C2">
      <w:pPr>
        <w:spacing w:after="0" w:line="360" w:lineRule="auto"/>
        <w:jc w:val="center"/>
        <w:rPr>
          <w:rFonts w:ascii="Times New Roman" w:eastAsia="Calibri" w:hAnsi="Times New Roman" w:cs="Times New Roman"/>
          <w:sz w:val="20"/>
          <w:szCs w:val="20"/>
        </w:rPr>
      </w:pPr>
    </w:p>
    <w:p w:rsidR="003119C2" w:rsidRPr="00022D48" w:rsidRDefault="003119C2" w:rsidP="003119C2">
      <w:pPr>
        <w:spacing w:after="0" w:line="360" w:lineRule="auto"/>
        <w:jc w:val="center"/>
        <w:rPr>
          <w:rFonts w:ascii="Times New Roman" w:eastAsia="Calibri" w:hAnsi="Times New Roman" w:cs="Times New Roman"/>
          <w:sz w:val="20"/>
          <w:szCs w:val="20"/>
        </w:rPr>
      </w:pPr>
      <w:r w:rsidRPr="00F45D2B">
        <w:rPr>
          <w:rFonts w:ascii="Times New Roman" w:eastAsia="Calibri" w:hAnsi="Times New Roman" w:cs="Times New Roman"/>
          <w:sz w:val="20"/>
          <w:szCs w:val="20"/>
        </w:rPr>
        <w:lastRenderedPageBreak/>
        <w:t>Tabla 1. Resumen de las comparaciones estadísticas de medias de los minerales por cultivares analizados en el set de calibración. Fuente: Elaboración propia</w:t>
      </w:r>
    </w:p>
    <w:tbl>
      <w:tblPr>
        <w:tblW w:w="5000" w:type="pct"/>
        <w:tblCellMar>
          <w:left w:w="70" w:type="dxa"/>
          <w:right w:w="70" w:type="dxa"/>
        </w:tblCellMar>
        <w:tblLook w:val="04A0" w:firstRow="1" w:lastRow="0" w:firstColumn="1" w:lastColumn="0" w:noHBand="0" w:noVBand="1"/>
      </w:tblPr>
      <w:tblGrid>
        <w:gridCol w:w="945"/>
        <w:gridCol w:w="945"/>
        <w:gridCol w:w="945"/>
        <w:gridCol w:w="946"/>
        <w:gridCol w:w="946"/>
        <w:gridCol w:w="946"/>
        <w:gridCol w:w="946"/>
        <w:gridCol w:w="946"/>
        <w:gridCol w:w="939"/>
      </w:tblGrid>
      <w:tr w:rsidR="003119C2" w:rsidRPr="00625931" w:rsidTr="009A60B4">
        <w:trPr>
          <w:trHeight w:val="585"/>
        </w:trPr>
        <w:tc>
          <w:tcPr>
            <w:tcW w:w="556" w:type="pct"/>
            <w:vMerge w:val="restart"/>
            <w:tcBorders>
              <w:top w:val="single" w:sz="4" w:space="0" w:color="auto"/>
              <w:left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Cultivar</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Ca</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Mg</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Mn</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Cu</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proofErr w:type="spellStart"/>
            <w:r w:rsidRPr="00625931">
              <w:rPr>
                <w:rFonts w:ascii="Times New Roman" w:eastAsia="Times New Roman" w:hAnsi="Times New Roman" w:cs="Times New Roman"/>
                <w:b/>
                <w:bCs/>
                <w:color w:val="000000"/>
                <w:lang w:eastAsia="es-ES"/>
              </w:rPr>
              <w:t>Na</w:t>
            </w:r>
            <w:proofErr w:type="spellEnd"/>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K</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Fe</w:t>
            </w:r>
          </w:p>
        </w:tc>
        <w:tc>
          <w:tcPr>
            <w:tcW w:w="552"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Zn</w:t>
            </w:r>
          </w:p>
        </w:tc>
      </w:tr>
      <w:tr w:rsidR="003119C2" w:rsidRPr="00625931" w:rsidTr="009A60B4">
        <w:trPr>
          <w:trHeight w:val="585"/>
        </w:trPr>
        <w:tc>
          <w:tcPr>
            <w:tcW w:w="556" w:type="pct"/>
            <w:vMerge/>
            <w:tcBorders>
              <w:left w:val="nil"/>
              <w:bottom w:val="single" w:sz="4" w:space="0" w:color="auto"/>
              <w:right w:val="nil"/>
            </w:tcBorders>
            <w:shd w:val="clear" w:color="auto" w:fill="auto"/>
            <w:vAlign w:val="center"/>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p>
        </w:tc>
        <w:tc>
          <w:tcPr>
            <w:tcW w:w="4444" w:type="pct"/>
            <w:gridSpan w:val="8"/>
            <w:tcBorders>
              <w:top w:val="single" w:sz="4" w:space="0" w:color="auto"/>
              <w:left w:val="nil"/>
              <w:bottom w:val="single" w:sz="4" w:space="0" w:color="auto"/>
              <w:right w:val="nil"/>
            </w:tcBorders>
            <w:shd w:val="clear" w:color="auto" w:fill="auto"/>
            <w:vAlign w:val="center"/>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Calibri" w:hAnsi="Times New Roman" w:cs="Times New Roman"/>
                <w:b/>
              </w:rPr>
              <w:t>mg 100 g</w:t>
            </w:r>
            <w:r w:rsidRPr="00625931">
              <w:rPr>
                <w:rFonts w:ascii="Times New Roman" w:eastAsia="Calibri" w:hAnsi="Times New Roman" w:cs="Times New Roman"/>
                <w:b/>
                <w:vertAlign w:val="superscript"/>
              </w:rPr>
              <w:t>-1</w:t>
            </w:r>
          </w:p>
        </w:tc>
      </w:tr>
      <w:tr w:rsidR="003119C2" w:rsidRPr="00625931" w:rsidTr="009A60B4">
        <w:trPr>
          <w:trHeight w:val="300"/>
        </w:trPr>
        <w:tc>
          <w:tcPr>
            <w:tcW w:w="556" w:type="pct"/>
            <w:tcBorders>
              <w:top w:val="single" w:sz="4" w:space="0" w:color="auto"/>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204</w:t>
            </w:r>
          </w:p>
        </w:tc>
        <w:tc>
          <w:tcPr>
            <w:tcW w:w="556" w:type="pct"/>
            <w:tcBorders>
              <w:top w:val="single" w:sz="4" w:space="0" w:color="auto"/>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0.98a</w:t>
            </w:r>
          </w:p>
        </w:tc>
        <w:tc>
          <w:tcPr>
            <w:tcW w:w="556" w:type="pct"/>
            <w:tcBorders>
              <w:top w:val="single" w:sz="4" w:space="0" w:color="auto"/>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1.35a</w:t>
            </w:r>
          </w:p>
        </w:tc>
        <w:tc>
          <w:tcPr>
            <w:tcW w:w="556" w:type="pct"/>
            <w:tcBorders>
              <w:top w:val="single" w:sz="4" w:space="0" w:color="auto"/>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1.08a</w:t>
            </w:r>
          </w:p>
        </w:tc>
        <w:tc>
          <w:tcPr>
            <w:tcW w:w="556" w:type="pct"/>
            <w:tcBorders>
              <w:top w:val="single" w:sz="4" w:space="0" w:color="auto"/>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0.59a</w:t>
            </w:r>
          </w:p>
        </w:tc>
        <w:tc>
          <w:tcPr>
            <w:tcW w:w="556" w:type="pct"/>
            <w:tcBorders>
              <w:top w:val="single" w:sz="4" w:space="0" w:color="auto"/>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0.21b</w:t>
            </w:r>
          </w:p>
        </w:tc>
        <w:tc>
          <w:tcPr>
            <w:tcW w:w="556" w:type="pct"/>
            <w:tcBorders>
              <w:top w:val="single" w:sz="4" w:space="0" w:color="auto"/>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10.38c</w:t>
            </w:r>
          </w:p>
        </w:tc>
        <w:tc>
          <w:tcPr>
            <w:tcW w:w="556" w:type="pct"/>
            <w:tcBorders>
              <w:top w:val="single" w:sz="4" w:space="0" w:color="auto"/>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3.07b</w:t>
            </w:r>
          </w:p>
        </w:tc>
        <w:tc>
          <w:tcPr>
            <w:tcW w:w="552" w:type="pct"/>
            <w:tcBorders>
              <w:top w:val="single" w:sz="4" w:space="0" w:color="auto"/>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2.34a</w:t>
            </w:r>
          </w:p>
        </w:tc>
      </w:tr>
      <w:tr w:rsidR="003119C2" w:rsidRPr="00625931" w:rsidTr="009A60B4">
        <w:trPr>
          <w:trHeight w:val="300"/>
        </w:trPr>
        <w:tc>
          <w:tcPr>
            <w:tcW w:w="556" w:type="pct"/>
            <w:tcBorders>
              <w:top w:val="nil"/>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206</w:t>
            </w:r>
          </w:p>
        </w:tc>
        <w:tc>
          <w:tcPr>
            <w:tcW w:w="556" w:type="pct"/>
            <w:tcBorders>
              <w:top w:val="nil"/>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1.15a</w:t>
            </w:r>
          </w:p>
        </w:tc>
        <w:tc>
          <w:tcPr>
            <w:tcW w:w="556" w:type="pct"/>
            <w:tcBorders>
              <w:top w:val="nil"/>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1.49a</w:t>
            </w:r>
          </w:p>
        </w:tc>
        <w:tc>
          <w:tcPr>
            <w:tcW w:w="556" w:type="pct"/>
            <w:tcBorders>
              <w:top w:val="nil"/>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1.28a</w:t>
            </w:r>
          </w:p>
        </w:tc>
        <w:tc>
          <w:tcPr>
            <w:tcW w:w="556" w:type="pct"/>
            <w:tcBorders>
              <w:top w:val="nil"/>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0.81a</w:t>
            </w:r>
          </w:p>
        </w:tc>
        <w:tc>
          <w:tcPr>
            <w:tcW w:w="556" w:type="pct"/>
            <w:tcBorders>
              <w:top w:val="nil"/>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0.47a</w:t>
            </w:r>
          </w:p>
        </w:tc>
        <w:tc>
          <w:tcPr>
            <w:tcW w:w="556" w:type="pct"/>
            <w:tcBorders>
              <w:top w:val="nil"/>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16.72a</w:t>
            </w:r>
          </w:p>
        </w:tc>
        <w:tc>
          <w:tcPr>
            <w:tcW w:w="556" w:type="pct"/>
            <w:tcBorders>
              <w:top w:val="nil"/>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4.93a</w:t>
            </w:r>
          </w:p>
        </w:tc>
        <w:tc>
          <w:tcPr>
            <w:tcW w:w="552" w:type="pct"/>
            <w:tcBorders>
              <w:top w:val="nil"/>
              <w:left w:val="nil"/>
              <w:bottom w:val="nil"/>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1.54b</w:t>
            </w:r>
          </w:p>
        </w:tc>
      </w:tr>
      <w:tr w:rsidR="003119C2" w:rsidRPr="00625931" w:rsidTr="009A60B4">
        <w:trPr>
          <w:trHeight w:val="300"/>
        </w:trPr>
        <w:tc>
          <w:tcPr>
            <w:tcW w:w="556" w:type="pct"/>
            <w:tcBorders>
              <w:top w:val="nil"/>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es-ES"/>
              </w:rPr>
              <w:t>207</w:t>
            </w:r>
          </w:p>
        </w:tc>
        <w:tc>
          <w:tcPr>
            <w:tcW w:w="556" w:type="pct"/>
            <w:tcBorders>
              <w:top w:val="nil"/>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1.03a</w:t>
            </w:r>
          </w:p>
        </w:tc>
        <w:tc>
          <w:tcPr>
            <w:tcW w:w="556" w:type="pct"/>
            <w:tcBorders>
              <w:top w:val="nil"/>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1.39a</w:t>
            </w:r>
          </w:p>
        </w:tc>
        <w:tc>
          <w:tcPr>
            <w:tcW w:w="556" w:type="pct"/>
            <w:tcBorders>
              <w:top w:val="nil"/>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1.59a</w:t>
            </w:r>
          </w:p>
        </w:tc>
        <w:tc>
          <w:tcPr>
            <w:tcW w:w="556" w:type="pct"/>
            <w:tcBorders>
              <w:top w:val="nil"/>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0.64a</w:t>
            </w:r>
          </w:p>
        </w:tc>
        <w:tc>
          <w:tcPr>
            <w:tcW w:w="556" w:type="pct"/>
            <w:tcBorders>
              <w:top w:val="nil"/>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0.76a</w:t>
            </w:r>
          </w:p>
        </w:tc>
        <w:tc>
          <w:tcPr>
            <w:tcW w:w="556" w:type="pct"/>
            <w:tcBorders>
              <w:top w:val="nil"/>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12.55b</w:t>
            </w:r>
          </w:p>
        </w:tc>
        <w:tc>
          <w:tcPr>
            <w:tcW w:w="556" w:type="pct"/>
            <w:tcBorders>
              <w:top w:val="nil"/>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6.02a</w:t>
            </w:r>
          </w:p>
        </w:tc>
        <w:tc>
          <w:tcPr>
            <w:tcW w:w="552" w:type="pct"/>
            <w:tcBorders>
              <w:top w:val="nil"/>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color w:val="000000"/>
                <w:lang w:eastAsia="es-ES"/>
              </w:rPr>
            </w:pPr>
            <w:r w:rsidRPr="00625931">
              <w:rPr>
                <w:rFonts w:ascii="Times New Roman" w:eastAsia="Times New Roman" w:hAnsi="Times New Roman" w:cs="Times New Roman"/>
                <w:color w:val="000000"/>
                <w:lang w:eastAsia="es-ES"/>
              </w:rPr>
              <w:t>2.43a</w:t>
            </w:r>
          </w:p>
        </w:tc>
      </w:tr>
      <w:tr w:rsidR="003119C2" w:rsidRPr="00625931" w:rsidTr="009A60B4">
        <w:trPr>
          <w:trHeight w:val="300"/>
        </w:trPr>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eastAsia="nl-BE"/>
              </w:rPr>
              <w:t>E.E (ӯ)±</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val="nl-BE" w:eastAsia="es-ES"/>
              </w:rPr>
              <w:t>0.001</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val="nl-BE" w:eastAsia="es-ES"/>
              </w:rPr>
              <w:t>0.001</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val="nl-BE" w:eastAsia="es-ES"/>
              </w:rPr>
              <w:t>0.001</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val="nl-BE" w:eastAsia="es-ES"/>
              </w:rPr>
              <w:t>0.001</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val="nl-BE" w:eastAsia="es-ES"/>
              </w:rPr>
              <w:t>0.001</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val="nl-BE" w:eastAsia="es-ES"/>
              </w:rPr>
              <w:t>0.001</w:t>
            </w:r>
          </w:p>
        </w:tc>
        <w:tc>
          <w:tcPr>
            <w:tcW w:w="556"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val="nl-BE" w:eastAsia="es-ES"/>
              </w:rPr>
              <w:t>0.001</w:t>
            </w:r>
          </w:p>
        </w:tc>
        <w:tc>
          <w:tcPr>
            <w:tcW w:w="552" w:type="pct"/>
            <w:tcBorders>
              <w:top w:val="single" w:sz="4" w:space="0" w:color="auto"/>
              <w:left w:val="nil"/>
              <w:bottom w:val="single" w:sz="4" w:space="0" w:color="auto"/>
              <w:right w:val="nil"/>
            </w:tcBorders>
            <w:shd w:val="clear" w:color="auto" w:fill="auto"/>
            <w:vAlign w:val="center"/>
            <w:hideMark/>
          </w:tcPr>
          <w:p w:rsidR="003119C2" w:rsidRPr="00625931" w:rsidRDefault="003119C2" w:rsidP="009A60B4">
            <w:pPr>
              <w:spacing w:after="0" w:line="240" w:lineRule="auto"/>
              <w:jc w:val="center"/>
              <w:rPr>
                <w:rFonts w:ascii="Times New Roman" w:eastAsia="Times New Roman" w:hAnsi="Times New Roman" w:cs="Times New Roman"/>
                <w:b/>
                <w:bCs/>
                <w:color w:val="000000"/>
                <w:lang w:eastAsia="es-ES"/>
              </w:rPr>
            </w:pPr>
            <w:r w:rsidRPr="00625931">
              <w:rPr>
                <w:rFonts w:ascii="Times New Roman" w:eastAsia="Times New Roman" w:hAnsi="Times New Roman" w:cs="Times New Roman"/>
                <w:b/>
                <w:bCs/>
                <w:color w:val="000000"/>
                <w:lang w:val="nl-BE" w:eastAsia="es-ES"/>
              </w:rPr>
              <w:t>0.001</w:t>
            </w:r>
          </w:p>
        </w:tc>
      </w:tr>
    </w:tbl>
    <w:p w:rsidR="003119C2" w:rsidRDefault="003119C2" w:rsidP="003119C2">
      <w:pPr>
        <w:spacing w:after="0" w:line="360" w:lineRule="auto"/>
        <w:jc w:val="both"/>
        <w:rPr>
          <w:rFonts w:ascii="Times New Roman" w:eastAsia="Calibri" w:hAnsi="Times New Roman" w:cs="Times New Roman"/>
          <w:sz w:val="24"/>
          <w:szCs w:val="24"/>
        </w:rPr>
      </w:pPr>
    </w:p>
    <w:p w:rsidR="003119C2" w:rsidRPr="00102E3D" w:rsidRDefault="003119C2" w:rsidP="003119C2">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En la Tabla 2</w:t>
      </w:r>
      <w:r w:rsidRPr="00102E3D">
        <w:rPr>
          <w:rFonts w:ascii="Times New Roman" w:eastAsia="Calibri" w:hAnsi="Times New Roman" w:cs="Times New Roman"/>
          <w:sz w:val="24"/>
          <w:szCs w:val="24"/>
        </w:rPr>
        <w:t xml:space="preserve"> se muestra la correlación de Pearson para los minerales analizados en el set de calibración. </w:t>
      </w:r>
      <w:r w:rsidRPr="00102E3D">
        <w:rPr>
          <w:rFonts w:ascii="Times New Roman" w:eastAsia="Calibri" w:hAnsi="Times New Roman" w:cs="Times New Roman"/>
          <w:color w:val="000000"/>
          <w:sz w:val="24"/>
          <w:szCs w:val="24"/>
        </w:rPr>
        <w:t xml:space="preserve">Acorde al sistema de clasificación utilizado, las correlaciones positivas grandes perfectas se observaron entre el cobre y el potasio y entre el sodio y el hierro con valor de 1.00.  </w:t>
      </w:r>
    </w:p>
    <w:p w:rsidR="003119C2" w:rsidRPr="00AB33E0" w:rsidRDefault="003119C2" w:rsidP="003119C2">
      <w:pPr>
        <w:spacing w:after="0" w:line="360" w:lineRule="auto"/>
        <w:jc w:val="both"/>
        <w:rPr>
          <w:rFonts w:ascii="Times New Roman" w:eastAsia="Calibri" w:hAnsi="Times New Roman" w:cs="Times New Roman"/>
          <w:color w:val="000000"/>
          <w:sz w:val="24"/>
          <w:szCs w:val="24"/>
        </w:rPr>
      </w:pPr>
      <w:r w:rsidRPr="00AB33E0">
        <w:rPr>
          <w:rFonts w:ascii="Times New Roman" w:eastAsia="Calibri" w:hAnsi="Times New Roman" w:cs="Times New Roman"/>
          <w:color w:val="000000"/>
          <w:sz w:val="24"/>
          <w:szCs w:val="24"/>
        </w:rPr>
        <w:t xml:space="preserve">El manganeso presentó correlaciones positivas muy altas con el sodio y el hierro, e igualmente el cobre y el potasio tuvieron este tipo de correlación con el calcio. Sin embargo, se presentó correlaciones negativas moderadas bajas entre el cobre y el potasio con el cinc y, entre el cinc y el calcio se obtuvo una correlación negativa baja. </w:t>
      </w:r>
    </w:p>
    <w:p w:rsidR="003119C2" w:rsidRPr="00F45D2B" w:rsidRDefault="003119C2" w:rsidP="003119C2">
      <w:pPr>
        <w:spacing w:after="0" w:line="360" w:lineRule="auto"/>
        <w:jc w:val="center"/>
        <w:rPr>
          <w:rFonts w:ascii="Times New Roman" w:eastAsia="Calibri" w:hAnsi="Times New Roman" w:cs="Times New Roman"/>
          <w:sz w:val="20"/>
          <w:szCs w:val="20"/>
        </w:rPr>
      </w:pPr>
      <w:r w:rsidRPr="00F45D2B">
        <w:rPr>
          <w:rFonts w:ascii="Times New Roman" w:eastAsia="Calibri" w:hAnsi="Times New Roman" w:cs="Times New Roman"/>
          <w:sz w:val="20"/>
          <w:szCs w:val="20"/>
        </w:rPr>
        <w:t>Tabla 2. Correlación de Pearson en el set de calibración. Fuente: Elaboración propia</w:t>
      </w:r>
    </w:p>
    <w:tbl>
      <w:tblPr>
        <w:tblW w:w="5000" w:type="pct"/>
        <w:tblCellMar>
          <w:left w:w="70" w:type="dxa"/>
          <w:right w:w="70" w:type="dxa"/>
        </w:tblCellMar>
        <w:tblLook w:val="04A0" w:firstRow="1" w:lastRow="0" w:firstColumn="1" w:lastColumn="0" w:noHBand="0" w:noVBand="1"/>
      </w:tblPr>
      <w:tblGrid>
        <w:gridCol w:w="945"/>
        <w:gridCol w:w="945"/>
        <w:gridCol w:w="945"/>
        <w:gridCol w:w="946"/>
        <w:gridCol w:w="946"/>
        <w:gridCol w:w="946"/>
        <w:gridCol w:w="946"/>
        <w:gridCol w:w="946"/>
        <w:gridCol w:w="939"/>
      </w:tblGrid>
      <w:tr w:rsidR="003119C2" w:rsidRPr="00AB33E0" w:rsidTr="009A60B4">
        <w:trPr>
          <w:trHeight w:val="315"/>
        </w:trPr>
        <w:tc>
          <w:tcPr>
            <w:tcW w:w="556" w:type="pct"/>
            <w:tcBorders>
              <w:top w:val="single" w:sz="4" w:space="0" w:color="auto"/>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single" w:sz="4" w:space="0" w:color="auto"/>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Mg</w:t>
            </w:r>
          </w:p>
        </w:tc>
        <w:tc>
          <w:tcPr>
            <w:tcW w:w="556" w:type="pct"/>
            <w:tcBorders>
              <w:top w:val="single" w:sz="4" w:space="0" w:color="auto"/>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Mn</w:t>
            </w:r>
          </w:p>
        </w:tc>
        <w:tc>
          <w:tcPr>
            <w:tcW w:w="556" w:type="pct"/>
            <w:tcBorders>
              <w:top w:val="single" w:sz="4" w:space="0" w:color="auto"/>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Cu</w:t>
            </w:r>
          </w:p>
        </w:tc>
        <w:tc>
          <w:tcPr>
            <w:tcW w:w="556" w:type="pct"/>
            <w:tcBorders>
              <w:top w:val="single" w:sz="4" w:space="0" w:color="auto"/>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proofErr w:type="spellStart"/>
            <w:r w:rsidRPr="00AB33E0">
              <w:rPr>
                <w:rFonts w:ascii="Times New Roman" w:eastAsia="Times New Roman" w:hAnsi="Times New Roman" w:cs="Times New Roman"/>
                <w:b/>
                <w:color w:val="000000"/>
                <w:lang w:eastAsia="es-ES"/>
              </w:rPr>
              <w:t>Na</w:t>
            </w:r>
            <w:proofErr w:type="spellEnd"/>
          </w:p>
        </w:tc>
        <w:tc>
          <w:tcPr>
            <w:tcW w:w="556" w:type="pct"/>
            <w:tcBorders>
              <w:top w:val="single" w:sz="4" w:space="0" w:color="auto"/>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K</w:t>
            </w:r>
          </w:p>
        </w:tc>
        <w:tc>
          <w:tcPr>
            <w:tcW w:w="556" w:type="pct"/>
            <w:tcBorders>
              <w:top w:val="single" w:sz="4" w:space="0" w:color="auto"/>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Fe</w:t>
            </w:r>
          </w:p>
        </w:tc>
        <w:tc>
          <w:tcPr>
            <w:tcW w:w="556" w:type="pct"/>
            <w:tcBorders>
              <w:top w:val="single" w:sz="4" w:space="0" w:color="auto"/>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Zn</w:t>
            </w:r>
          </w:p>
        </w:tc>
        <w:tc>
          <w:tcPr>
            <w:tcW w:w="556" w:type="pct"/>
            <w:tcBorders>
              <w:top w:val="single" w:sz="4" w:space="0" w:color="auto"/>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Ca</w:t>
            </w:r>
          </w:p>
        </w:tc>
      </w:tr>
      <w:tr w:rsidR="003119C2" w:rsidRPr="00AB33E0" w:rsidTr="009A60B4">
        <w:trPr>
          <w:trHeight w:val="300"/>
        </w:trPr>
        <w:tc>
          <w:tcPr>
            <w:tcW w:w="556" w:type="pct"/>
            <w:tcBorders>
              <w:top w:val="single" w:sz="4" w:space="0" w:color="auto"/>
              <w:left w:val="nil"/>
              <w:bottom w:val="nil"/>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Mg</w:t>
            </w:r>
          </w:p>
        </w:tc>
        <w:tc>
          <w:tcPr>
            <w:tcW w:w="556" w:type="pct"/>
            <w:tcBorders>
              <w:top w:val="single" w:sz="4" w:space="0" w:color="auto"/>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single" w:sz="4" w:space="0" w:color="auto"/>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0.78</w:t>
            </w:r>
          </w:p>
        </w:tc>
        <w:tc>
          <w:tcPr>
            <w:tcW w:w="556" w:type="pct"/>
            <w:tcBorders>
              <w:top w:val="single" w:sz="4" w:space="0" w:color="auto"/>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0.83</w:t>
            </w:r>
          </w:p>
        </w:tc>
        <w:tc>
          <w:tcPr>
            <w:tcW w:w="556" w:type="pct"/>
            <w:tcBorders>
              <w:top w:val="single" w:sz="4" w:space="0" w:color="auto"/>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0.86</w:t>
            </w:r>
          </w:p>
        </w:tc>
        <w:tc>
          <w:tcPr>
            <w:tcW w:w="556" w:type="pct"/>
            <w:tcBorders>
              <w:top w:val="single" w:sz="4" w:space="0" w:color="auto"/>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0.87</w:t>
            </w:r>
          </w:p>
        </w:tc>
        <w:tc>
          <w:tcPr>
            <w:tcW w:w="556" w:type="pct"/>
            <w:tcBorders>
              <w:top w:val="single" w:sz="4" w:space="0" w:color="auto"/>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0.91</w:t>
            </w:r>
          </w:p>
        </w:tc>
        <w:tc>
          <w:tcPr>
            <w:tcW w:w="556" w:type="pct"/>
            <w:tcBorders>
              <w:top w:val="single" w:sz="4" w:space="0" w:color="auto"/>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0.07</w:t>
            </w:r>
          </w:p>
        </w:tc>
        <w:tc>
          <w:tcPr>
            <w:tcW w:w="556" w:type="pct"/>
            <w:tcBorders>
              <w:top w:val="single" w:sz="4" w:space="0" w:color="auto"/>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lang w:eastAsia="es-ES"/>
              </w:rPr>
            </w:pPr>
            <w:r w:rsidRPr="00AB33E0">
              <w:rPr>
                <w:rFonts w:ascii="Times New Roman" w:eastAsia="Times New Roman" w:hAnsi="Times New Roman" w:cs="Times New Roman"/>
                <w:lang w:eastAsia="es-ES"/>
              </w:rPr>
              <w:t>0.96</w:t>
            </w:r>
          </w:p>
        </w:tc>
      </w:tr>
      <w:tr w:rsidR="003119C2" w:rsidRPr="00AB33E0" w:rsidTr="009A60B4">
        <w:trPr>
          <w:trHeight w:val="300"/>
        </w:trPr>
        <w:tc>
          <w:tcPr>
            <w:tcW w:w="556" w:type="pct"/>
            <w:tcBorders>
              <w:top w:val="nil"/>
              <w:left w:val="nil"/>
              <w:bottom w:val="nil"/>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Mn</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0.31</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lang w:eastAsia="es-ES"/>
              </w:rPr>
            </w:pPr>
            <w:r w:rsidRPr="00AB33E0">
              <w:rPr>
                <w:rFonts w:ascii="Times New Roman" w:eastAsia="Times New Roman" w:hAnsi="Times New Roman" w:cs="Times New Roman"/>
                <w:lang w:eastAsia="es-ES"/>
              </w:rPr>
              <w:t>0.99</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0.37</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lang w:eastAsia="es-ES"/>
              </w:rPr>
              <w:t>0.97</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0.68</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lang w:eastAsia="es-ES"/>
              </w:rPr>
            </w:pPr>
            <w:r w:rsidRPr="00AB33E0">
              <w:rPr>
                <w:rFonts w:ascii="Times New Roman" w:eastAsia="Times New Roman" w:hAnsi="Times New Roman" w:cs="Times New Roman"/>
                <w:lang w:eastAsia="es-ES"/>
              </w:rPr>
              <w:t>0.57</w:t>
            </w:r>
          </w:p>
        </w:tc>
      </w:tr>
      <w:tr w:rsidR="003119C2" w:rsidRPr="00AB33E0" w:rsidTr="009A60B4">
        <w:trPr>
          <w:trHeight w:val="300"/>
        </w:trPr>
        <w:tc>
          <w:tcPr>
            <w:tcW w:w="556" w:type="pct"/>
            <w:tcBorders>
              <w:top w:val="nil"/>
              <w:left w:val="nil"/>
              <w:bottom w:val="nil"/>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Cu</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0.44</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1.00</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0.53</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-0.49</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lang w:eastAsia="es-ES"/>
              </w:rPr>
            </w:pPr>
            <w:r w:rsidRPr="00AB33E0">
              <w:rPr>
                <w:rFonts w:ascii="Times New Roman" w:eastAsia="Times New Roman" w:hAnsi="Times New Roman" w:cs="Times New Roman"/>
                <w:lang w:eastAsia="es-ES"/>
              </w:rPr>
              <w:t>0.96</w:t>
            </w:r>
          </w:p>
        </w:tc>
      </w:tr>
      <w:tr w:rsidR="003119C2" w:rsidRPr="00AB33E0" w:rsidTr="009A60B4">
        <w:trPr>
          <w:trHeight w:val="300"/>
        </w:trPr>
        <w:tc>
          <w:tcPr>
            <w:tcW w:w="556" w:type="pct"/>
            <w:tcBorders>
              <w:top w:val="nil"/>
              <w:left w:val="nil"/>
              <w:bottom w:val="nil"/>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proofErr w:type="spellStart"/>
            <w:r w:rsidRPr="00AB33E0">
              <w:rPr>
                <w:rFonts w:ascii="Times New Roman" w:eastAsia="Times New Roman" w:hAnsi="Times New Roman" w:cs="Times New Roman"/>
                <w:b/>
                <w:color w:val="000000"/>
                <w:lang w:eastAsia="es-ES"/>
              </w:rPr>
              <w:t>Na</w:t>
            </w:r>
            <w:proofErr w:type="spellEnd"/>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0.50</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1.00</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0.57</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lang w:eastAsia="es-ES"/>
              </w:rPr>
            </w:pPr>
            <w:r w:rsidRPr="00AB33E0">
              <w:rPr>
                <w:rFonts w:ascii="Times New Roman" w:eastAsia="Times New Roman" w:hAnsi="Times New Roman" w:cs="Times New Roman"/>
                <w:lang w:eastAsia="es-ES"/>
              </w:rPr>
              <w:t>0.68</w:t>
            </w:r>
          </w:p>
        </w:tc>
      </w:tr>
      <w:tr w:rsidR="003119C2" w:rsidRPr="00AB33E0" w:rsidTr="009A60B4">
        <w:trPr>
          <w:trHeight w:val="300"/>
        </w:trPr>
        <w:tc>
          <w:tcPr>
            <w:tcW w:w="556" w:type="pct"/>
            <w:tcBorders>
              <w:top w:val="nil"/>
              <w:left w:val="nil"/>
              <w:bottom w:val="nil"/>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K</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0.59</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-0.43</w:t>
            </w:r>
          </w:p>
        </w:tc>
        <w:tc>
          <w:tcPr>
            <w:tcW w:w="556" w:type="pct"/>
            <w:tcBorders>
              <w:top w:val="nil"/>
              <w:left w:val="nil"/>
              <w:bottom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lang w:eastAsia="es-ES"/>
              </w:rPr>
            </w:pPr>
            <w:r w:rsidRPr="00AB33E0">
              <w:rPr>
                <w:rFonts w:ascii="Times New Roman" w:eastAsia="Times New Roman" w:hAnsi="Times New Roman" w:cs="Times New Roman"/>
                <w:lang w:eastAsia="es-ES"/>
              </w:rPr>
              <w:t>0.97</w:t>
            </w:r>
          </w:p>
        </w:tc>
      </w:tr>
      <w:tr w:rsidR="003119C2" w:rsidRPr="00AB33E0" w:rsidTr="009A60B4">
        <w:trPr>
          <w:trHeight w:val="300"/>
        </w:trPr>
        <w:tc>
          <w:tcPr>
            <w:tcW w:w="556" w:type="pct"/>
            <w:tcBorders>
              <w:top w:val="nil"/>
              <w:left w:val="nil"/>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Fe</w:t>
            </w:r>
          </w:p>
        </w:tc>
        <w:tc>
          <w:tcPr>
            <w:tcW w:w="556" w:type="pct"/>
            <w:tcBorders>
              <w:top w:val="nil"/>
              <w:left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r w:rsidRPr="00AB33E0">
              <w:rPr>
                <w:rFonts w:ascii="Times New Roman" w:eastAsia="Times New Roman" w:hAnsi="Times New Roman" w:cs="Times New Roman"/>
                <w:color w:val="000000"/>
                <w:lang w:eastAsia="es-ES"/>
              </w:rPr>
              <w:t>0.48</w:t>
            </w:r>
          </w:p>
        </w:tc>
        <w:tc>
          <w:tcPr>
            <w:tcW w:w="556" w:type="pct"/>
            <w:tcBorders>
              <w:top w:val="nil"/>
              <w:left w:val="nil"/>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lang w:eastAsia="es-ES"/>
              </w:rPr>
            </w:pPr>
            <w:r w:rsidRPr="00AB33E0">
              <w:rPr>
                <w:rFonts w:ascii="Times New Roman" w:eastAsia="Times New Roman" w:hAnsi="Times New Roman" w:cs="Times New Roman"/>
                <w:lang w:eastAsia="es-ES"/>
              </w:rPr>
              <w:t>0.75</w:t>
            </w:r>
          </w:p>
        </w:tc>
      </w:tr>
      <w:tr w:rsidR="003119C2" w:rsidRPr="00AB33E0" w:rsidTr="009A60B4">
        <w:trPr>
          <w:trHeight w:val="315"/>
        </w:trPr>
        <w:tc>
          <w:tcPr>
            <w:tcW w:w="556" w:type="pct"/>
            <w:tcBorders>
              <w:top w:val="nil"/>
              <w:left w:val="nil"/>
              <w:bottom w:val="single" w:sz="4" w:space="0" w:color="auto"/>
              <w:right w:val="nil"/>
            </w:tcBorders>
            <w:shd w:val="clear" w:color="auto" w:fill="auto"/>
            <w:vAlign w:val="center"/>
            <w:hideMark/>
          </w:tcPr>
          <w:p w:rsidR="003119C2" w:rsidRPr="00AB33E0" w:rsidRDefault="003119C2" w:rsidP="009A60B4">
            <w:pPr>
              <w:spacing w:after="0" w:line="240" w:lineRule="auto"/>
              <w:jc w:val="center"/>
              <w:rPr>
                <w:rFonts w:ascii="Times New Roman" w:eastAsia="Times New Roman" w:hAnsi="Times New Roman" w:cs="Times New Roman"/>
                <w:b/>
                <w:color w:val="000000"/>
                <w:lang w:eastAsia="es-ES"/>
              </w:rPr>
            </w:pPr>
            <w:r w:rsidRPr="00AB33E0">
              <w:rPr>
                <w:rFonts w:ascii="Times New Roman" w:eastAsia="Times New Roman" w:hAnsi="Times New Roman" w:cs="Times New Roman"/>
                <w:b/>
                <w:color w:val="000000"/>
                <w:lang w:eastAsia="es-ES"/>
              </w:rPr>
              <w:t>Zn</w:t>
            </w:r>
          </w:p>
        </w:tc>
        <w:tc>
          <w:tcPr>
            <w:tcW w:w="556" w:type="pct"/>
            <w:tcBorders>
              <w:top w:val="nil"/>
              <w:left w:val="nil"/>
              <w:bottom w:val="single" w:sz="4" w:space="0" w:color="auto"/>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single" w:sz="4" w:space="0" w:color="auto"/>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single" w:sz="4" w:space="0" w:color="auto"/>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single" w:sz="4" w:space="0" w:color="auto"/>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single" w:sz="4" w:space="0" w:color="auto"/>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single" w:sz="4" w:space="0" w:color="auto"/>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single" w:sz="4" w:space="0" w:color="auto"/>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color w:val="000000"/>
                <w:lang w:eastAsia="es-ES"/>
              </w:rPr>
            </w:pPr>
          </w:p>
        </w:tc>
        <w:tc>
          <w:tcPr>
            <w:tcW w:w="556" w:type="pct"/>
            <w:tcBorders>
              <w:top w:val="nil"/>
              <w:left w:val="nil"/>
              <w:bottom w:val="single" w:sz="4" w:space="0" w:color="auto"/>
              <w:right w:val="nil"/>
            </w:tcBorders>
            <w:shd w:val="clear" w:color="auto" w:fill="auto"/>
            <w:noWrap/>
            <w:vAlign w:val="center"/>
            <w:hideMark/>
          </w:tcPr>
          <w:p w:rsidR="003119C2" w:rsidRPr="00AB33E0" w:rsidRDefault="003119C2" w:rsidP="009A60B4">
            <w:pPr>
              <w:spacing w:after="0" w:line="240" w:lineRule="auto"/>
              <w:jc w:val="center"/>
              <w:rPr>
                <w:rFonts w:ascii="Times New Roman" w:eastAsia="Times New Roman" w:hAnsi="Times New Roman" w:cs="Times New Roman"/>
                <w:lang w:eastAsia="es-ES"/>
              </w:rPr>
            </w:pPr>
            <w:r w:rsidRPr="00AB33E0">
              <w:rPr>
                <w:rFonts w:ascii="Times New Roman" w:eastAsia="Times New Roman" w:hAnsi="Times New Roman" w:cs="Times New Roman"/>
                <w:lang w:eastAsia="es-ES"/>
              </w:rPr>
              <w:t>-0.21</w:t>
            </w:r>
          </w:p>
        </w:tc>
      </w:tr>
    </w:tbl>
    <w:p w:rsidR="003119C2" w:rsidRPr="00AB33E0" w:rsidRDefault="003119C2" w:rsidP="003119C2">
      <w:pPr>
        <w:keepNext/>
        <w:spacing w:after="0" w:line="360" w:lineRule="auto"/>
        <w:jc w:val="both"/>
        <w:outlineLvl w:val="0"/>
        <w:rPr>
          <w:rFonts w:ascii="Times New Roman" w:eastAsia="Times New Roman" w:hAnsi="Times New Roman" w:cs="Times New Roman"/>
          <w:b/>
          <w:bCs/>
          <w:kern w:val="32"/>
          <w:sz w:val="24"/>
          <w:szCs w:val="24"/>
        </w:rPr>
      </w:pPr>
      <w:bookmarkStart w:id="0" w:name="_Toc533695733"/>
      <w:r w:rsidRPr="00AB33E0">
        <w:rPr>
          <w:rFonts w:ascii="Times New Roman" w:eastAsia="Times New Roman" w:hAnsi="Times New Roman" w:cs="Times New Roman"/>
          <w:b/>
          <w:bCs/>
          <w:kern w:val="32"/>
          <w:sz w:val="24"/>
          <w:szCs w:val="24"/>
        </w:rPr>
        <w:lastRenderedPageBreak/>
        <w:t xml:space="preserve">3.2 Variabilidad de los espectros de </w:t>
      </w:r>
      <w:proofErr w:type="spellStart"/>
      <w:r w:rsidRPr="00AB33E0">
        <w:rPr>
          <w:rFonts w:ascii="Times New Roman" w:eastAsia="Times New Roman" w:hAnsi="Times New Roman" w:cs="Times New Roman"/>
          <w:b/>
          <w:bCs/>
          <w:kern w:val="32"/>
          <w:sz w:val="24"/>
          <w:szCs w:val="24"/>
        </w:rPr>
        <w:t>reflectancia</w:t>
      </w:r>
      <w:proofErr w:type="spellEnd"/>
      <w:r w:rsidRPr="00AB33E0">
        <w:rPr>
          <w:rFonts w:ascii="Times New Roman" w:eastAsia="Times New Roman" w:hAnsi="Times New Roman" w:cs="Times New Roman"/>
          <w:b/>
          <w:bCs/>
          <w:kern w:val="32"/>
          <w:sz w:val="24"/>
          <w:szCs w:val="24"/>
        </w:rPr>
        <w:t xml:space="preserve"> vis-NIR en diferentes longitudes de onda</w:t>
      </w:r>
      <w:bookmarkEnd w:id="0"/>
    </w:p>
    <w:p w:rsidR="003119C2" w:rsidRPr="00532E59" w:rsidRDefault="003119C2" w:rsidP="003119C2">
      <w:pPr>
        <w:keepNext/>
        <w:spacing w:after="0" w:line="360" w:lineRule="auto"/>
        <w:jc w:val="both"/>
        <w:outlineLvl w:val="0"/>
        <w:rPr>
          <w:rFonts w:ascii="Times New Roman" w:eastAsia="Times New Roman" w:hAnsi="Times New Roman" w:cs="Times New Roman"/>
          <w:bCs/>
          <w:kern w:val="32"/>
          <w:sz w:val="24"/>
          <w:szCs w:val="24"/>
        </w:rPr>
      </w:pPr>
      <w:r w:rsidRPr="00532E59">
        <w:rPr>
          <w:rFonts w:ascii="Times New Roman" w:eastAsia="Times New Roman" w:hAnsi="Times New Roman" w:cs="Times New Roman"/>
          <w:bCs/>
          <w:kern w:val="32"/>
          <w:sz w:val="24"/>
          <w:szCs w:val="24"/>
        </w:rPr>
        <w:t xml:space="preserve">En las Figuras 1, 2 y 3 se muestran una representación gráfica de los espectros de </w:t>
      </w:r>
      <w:proofErr w:type="spellStart"/>
      <w:r w:rsidRPr="00532E59">
        <w:rPr>
          <w:rFonts w:ascii="Times New Roman" w:eastAsia="Times New Roman" w:hAnsi="Times New Roman" w:cs="Times New Roman"/>
          <w:bCs/>
          <w:kern w:val="32"/>
          <w:sz w:val="24"/>
          <w:szCs w:val="24"/>
        </w:rPr>
        <w:t>reflectancia</w:t>
      </w:r>
      <w:proofErr w:type="spellEnd"/>
      <w:r w:rsidRPr="00532E59">
        <w:rPr>
          <w:rFonts w:ascii="Times New Roman" w:eastAsia="Times New Roman" w:hAnsi="Times New Roman" w:cs="Times New Roman"/>
          <w:bCs/>
          <w:kern w:val="32"/>
          <w:sz w:val="24"/>
          <w:szCs w:val="24"/>
        </w:rPr>
        <w:t xml:space="preserve"> de los cultivares de malanga sin cáscara y rallada, en función del rango de longitud de onda en la región vis-NIR.</w:t>
      </w:r>
    </w:p>
    <w:p w:rsidR="003119C2" w:rsidRDefault="003119C2" w:rsidP="003119C2">
      <w:pPr>
        <w:spacing w:before="120" w:after="120" w:line="360" w:lineRule="auto"/>
        <w:jc w:val="center"/>
        <w:rPr>
          <w:rFonts w:ascii="Times New Roman" w:eastAsia="Calibri" w:hAnsi="Times New Roman" w:cs="Times New Roman"/>
          <w:sz w:val="24"/>
          <w:szCs w:val="24"/>
        </w:rPr>
      </w:pPr>
      <w:r w:rsidRPr="00AB33E0">
        <w:rPr>
          <w:rFonts w:ascii="Times New Roman" w:eastAsia="Calibri" w:hAnsi="Times New Roman" w:cs="Times New Roman"/>
          <w:b/>
          <w:noProof/>
          <w:sz w:val="24"/>
          <w:szCs w:val="24"/>
          <w:lang w:val="en-US"/>
        </w:rPr>
        <w:drawing>
          <wp:anchor distT="0" distB="0" distL="114300" distR="114300" simplePos="0" relativeHeight="251661312" behindDoc="0" locked="0" layoutInCell="1" allowOverlap="1" wp14:anchorId="0535B233" wp14:editId="7801FA6F">
            <wp:simplePos x="0" y="0"/>
            <wp:positionH relativeFrom="column">
              <wp:posOffset>2861945</wp:posOffset>
            </wp:positionH>
            <wp:positionV relativeFrom="paragraph">
              <wp:posOffset>76835</wp:posOffset>
            </wp:positionV>
            <wp:extent cx="2447925" cy="1609725"/>
            <wp:effectExtent l="0" t="0" r="9525" b="9525"/>
            <wp:wrapSquare wrapText="bothSides"/>
            <wp:docPr id="2" name="Imagen 2" descr="E:\sandra\MN204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ndra\MN204v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3E0">
        <w:rPr>
          <w:rFonts w:ascii="Times New Roman" w:eastAsia="Calibri" w:hAnsi="Times New Roman" w:cs="Times New Roman"/>
          <w:b/>
          <w:noProof/>
          <w:sz w:val="24"/>
          <w:szCs w:val="24"/>
          <w:lang w:val="en-US"/>
        </w:rPr>
        <w:drawing>
          <wp:inline distT="0" distB="0" distL="0" distR="0" wp14:anchorId="7EF15F18" wp14:editId="0CDA15C8">
            <wp:extent cx="2400300" cy="1636954"/>
            <wp:effectExtent l="0" t="0" r="0" b="1905"/>
            <wp:docPr id="3" name="Imagen 3" descr="E:\sandra\MN204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ndra\MN204c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790" cy="1646154"/>
                    </a:xfrm>
                    <a:prstGeom prst="rect">
                      <a:avLst/>
                    </a:prstGeom>
                    <a:noFill/>
                    <a:ln>
                      <a:noFill/>
                    </a:ln>
                  </pic:spPr>
                </pic:pic>
              </a:graphicData>
            </a:graphic>
          </wp:inline>
        </w:drawing>
      </w:r>
    </w:p>
    <w:p w:rsidR="003119C2" w:rsidRDefault="003119C2" w:rsidP="003119C2">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Pr="00AB33E0">
        <w:rPr>
          <w:rFonts w:ascii="Times New Roman" w:eastAsia="Calibri" w:hAnsi="Times New Roman" w:cs="Times New Roman"/>
          <w:sz w:val="24"/>
          <w:szCs w:val="24"/>
        </w:rPr>
        <w:t xml:space="preserve">Calibración                   </w:t>
      </w:r>
      <w:r>
        <w:rPr>
          <w:rFonts w:ascii="Times New Roman" w:eastAsia="Calibri" w:hAnsi="Times New Roman" w:cs="Times New Roman"/>
          <w:sz w:val="24"/>
          <w:szCs w:val="24"/>
        </w:rPr>
        <w:t xml:space="preserve">                         </w:t>
      </w:r>
      <w:r w:rsidRPr="00AB33E0">
        <w:rPr>
          <w:rFonts w:ascii="Times New Roman" w:eastAsia="Calibri" w:hAnsi="Times New Roman" w:cs="Times New Roman"/>
          <w:sz w:val="24"/>
          <w:szCs w:val="24"/>
        </w:rPr>
        <w:t xml:space="preserve"> b) Validación</w:t>
      </w:r>
    </w:p>
    <w:p w:rsidR="003119C2" w:rsidRPr="00022D48" w:rsidRDefault="003119C2" w:rsidP="003119C2">
      <w:pPr>
        <w:spacing w:after="0" w:line="360" w:lineRule="auto"/>
        <w:jc w:val="center"/>
        <w:rPr>
          <w:rFonts w:ascii="Times New Roman" w:eastAsia="Calibri" w:hAnsi="Times New Roman" w:cs="Times New Roman"/>
          <w:b/>
          <w:sz w:val="20"/>
          <w:szCs w:val="20"/>
        </w:rPr>
      </w:pPr>
      <w:r w:rsidRPr="00AB33E0">
        <w:rPr>
          <w:rFonts w:ascii="Calibri" w:eastAsia="Calibri" w:hAnsi="Calibri" w:cs="Times New Roman"/>
          <w:noProof/>
          <w:lang w:val="en-US"/>
        </w:rPr>
        <w:drawing>
          <wp:anchor distT="0" distB="0" distL="114300" distR="114300" simplePos="0" relativeHeight="251659264" behindDoc="0" locked="0" layoutInCell="1" allowOverlap="1" wp14:anchorId="25824916" wp14:editId="123AAA03">
            <wp:simplePos x="0" y="0"/>
            <wp:positionH relativeFrom="margin">
              <wp:posOffset>2909570</wp:posOffset>
            </wp:positionH>
            <wp:positionV relativeFrom="paragraph">
              <wp:posOffset>250825</wp:posOffset>
            </wp:positionV>
            <wp:extent cx="2381250" cy="1609725"/>
            <wp:effectExtent l="0" t="0" r="0" b="9525"/>
            <wp:wrapSquare wrapText="bothSides"/>
            <wp:docPr id="7" name="Imagen 7" descr="E:\sandra\MN207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ndra\MN207v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3E0">
        <w:rPr>
          <w:rFonts w:ascii="Calibri" w:eastAsia="Calibri" w:hAnsi="Calibri" w:cs="Times New Roman"/>
          <w:noProof/>
          <w:lang w:val="en-US"/>
        </w:rPr>
        <w:drawing>
          <wp:anchor distT="0" distB="0" distL="114300" distR="114300" simplePos="0" relativeHeight="251660288" behindDoc="0" locked="0" layoutInCell="1" allowOverlap="1" wp14:anchorId="6F98E079" wp14:editId="56E86250">
            <wp:simplePos x="0" y="0"/>
            <wp:positionH relativeFrom="column">
              <wp:posOffset>175895</wp:posOffset>
            </wp:positionH>
            <wp:positionV relativeFrom="paragraph">
              <wp:posOffset>222250</wp:posOffset>
            </wp:positionV>
            <wp:extent cx="2419350" cy="1618615"/>
            <wp:effectExtent l="0" t="0" r="0" b="635"/>
            <wp:wrapSquare wrapText="bothSides"/>
            <wp:docPr id="6" name="Imagen 6" descr="E:\sandra\MN206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ndra\MN206c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0"/>
          <w:szCs w:val="20"/>
        </w:rPr>
        <w:t>Figura 1</w:t>
      </w:r>
      <w:r w:rsidRPr="00DD1520">
        <w:rPr>
          <w:rFonts w:ascii="Times New Roman" w:eastAsia="Calibri" w:hAnsi="Times New Roman" w:cs="Times New Roman"/>
          <w:sz w:val="20"/>
          <w:szCs w:val="20"/>
        </w:rPr>
        <w:t>. Curvas promedio del espectrofotómetro en el cultivar</w:t>
      </w:r>
      <w:r>
        <w:rPr>
          <w:rFonts w:ascii="Times New Roman" w:eastAsia="Calibri" w:hAnsi="Times New Roman" w:cs="Times New Roman"/>
          <w:sz w:val="20"/>
          <w:szCs w:val="20"/>
        </w:rPr>
        <w:t>. Fuente: Elaboración propia</w:t>
      </w:r>
    </w:p>
    <w:p w:rsidR="003119C2" w:rsidRDefault="003119C2" w:rsidP="003119C2">
      <w:pPr>
        <w:spacing w:after="0" w:line="360" w:lineRule="auto"/>
        <w:rPr>
          <w:rFonts w:ascii="Times New Roman" w:eastAsia="Calibri" w:hAnsi="Times New Roman" w:cs="Times New Roman"/>
          <w:sz w:val="24"/>
          <w:szCs w:val="24"/>
        </w:rPr>
      </w:pPr>
    </w:p>
    <w:p w:rsidR="003119C2" w:rsidRPr="003119C2" w:rsidRDefault="003119C2" w:rsidP="003119C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119C2">
        <w:rPr>
          <w:rFonts w:ascii="Times New Roman" w:eastAsia="Calibri" w:hAnsi="Times New Roman" w:cs="Times New Roman"/>
          <w:sz w:val="24"/>
          <w:szCs w:val="24"/>
        </w:rPr>
        <w:t xml:space="preserve">a)  Calibración                          </w:t>
      </w:r>
      <w:r>
        <w:rPr>
          <w:rFonts w:ascii="Times New Roman" w:eastAsia="Calibri" w:hAnsi="Times New Roman" w:cs="Times New Roman"/>
          <w:sz w:val="24"/>
          <w:szCs w:val="24"/>
        </w:rPr>
        <w:t xml:space="preserve">                   b) </w:t>
      </w:r>
      <w:r w:rsidRPr="003119C2">
        <w:rPr>
          <w:rFonts w:ascii="Times New Roman" w:eastAsia="Calibri" w:hAnsi="Times New Roman" w:cs="Times New Roman"/>
          <w:sz w:val="24"/>
          <w:szCs w:val="24"/>
        </w:rPr>
        <w:t>Validación</w:t>
      </w:r>
    </w:p>
    <w:p w:rsidR="003119C2" w:rsidRDefault="003119C2" w:rsidP="003119C2">
      <w:pPr>
        <w:spacing w:after="0" w:line="360" w:lineRule="auto"/>
        <w:jc w:val="center"/>
        <w:rPr>
          <w:rFonts w:ascii="Times New Roman" w:eastAsia="Calibri" w:hAnsi="Times New Roman" w:cs="Times New Roman"/>
          <w:sz w:val="20"/>
          <w:szCs w:val="20"/>
        </w:rPr>
      </w:pPr>
      <w:r w:rsidRPr="00DD1520">
        <w:rPr>
          <w:rFonts w:ascii="Times New Roman" w:eastAsia="Calibri" w:hAnsi="Times New Roman" w:cs="Times New Roman"/>
          <w:sz w:val="20"/>
          <w:szCs w:val="20"/>
        </w:rPr>
        <w:t>Figura 2. Curvas promedio del espectrofotómetro en el cultivar 206</w:t>
      </w:r>
      <w:r>
        <w:rPr>
          <w:rFonts w:ascii="Times New Roman" w:eastAsia="Calibri" w:hAnsi="Times New Roman" w:cs="Times New Roman"/>
          <w:sz w:val="20"/>
          <w:szCs w:val="20"/>
        </w:rPr>
        <w:t>. Fuente: Elaboración propia</w:t>
      </w:r>
    </w:p>
    <w:p w:rsidR="003119C2" w:rsidRPr="003119C2" w:rsidRDefault="003119C2" w:rsidP="003119C2">
      <w:pPr>
        <w:spacing w:after="0" w:line="360" w:lineRule="auto"/>
        <w:jc w:val="center"/>
        <w:rPr>
          <w:rFonts w:ascii="Times New Roman" w:eastAsia="Calibri" w:hAnsi="Times New Roman" w:cs="Times New Roman"/>
          <w:sz w:val="20"/>
          <w:szCs w:val="20"/>
        </w:rPr>
      </w:pPr>
      <w:r w:rsidRPr="00DD1520">
        <w:rPr>
          <w:rFonts w:ascii="Calibri" w:eastAsia="Calibri" w:hAnsi="Calibri" w:cs="Times New Roman"/>
          <w:b/>
          <w:noProof/>
          <w:sz w:val="20"/>
          <w:szCs w:val="20"/>
          <w:lang w:val="en-US"/>
        </w:rPr>
        <w:lastRenderedPageBreak/>
        <w:drawing>
          <wp:anchor distT="0" distB="0" distL="114300" distR="114300" simplePos="0" relativeHeight="251664384" behindDoc="0" locked="0" layoutInCell="1" allowOverlap="1" wp14:anchorId="70344E40" wp14:editId="21AADF11">
            <wp:simplePos x="0" y="0"/>
            <wp:positionH relativeFrom="column">
              <wp:posOffset>2880995</wp:posOffset>
            </wp:positionH>
            <wp:positionV relativeFrom="paragraph">
              <wp:posOffset>13970</wp:posOffset>
            </wp:positionV>
            <wp:extent cx="2247900" cy="1752600"/>
            <wp:effectExtent l="0" t="0" r="0" b="0"/>
            <wp:wrapSquare wrapText="bothSides"/>
            <wp:docPr id="5" name="Imagen 5" descr="E:\sandra\MN206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ndra\MN206v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3E0">
        <w:rPr>
          <w:rFonts w:ascii="Calibri" w:eastAsia="Calibri" w:hAnsi="Calibri" w:cs="Times New Roman"/>
          <w:noProof/>
          <w:lang w:val="en-US"/>
        </w:rPr>
        <w:drawing>
          <wp:anchor distT="0" distB="0" distL="114300" distR="114300" simplePos="0" relativeHeight="251663360" behindDoc="0" locked="0" layoutInCell="1" allowOverlap="1" wp14:anchorId="333C65B8" wp14:editId="2F1715D1">
            <wp:simplePos x="0" y="0"/>
            <wp:positionH relativeFrom="column">
              <wp:posOffset>366395</wp:posOffset>
            </wp:positionH>
            <wp:positionV relativeFrom="paragraph">
              <wp:posOffset>13335</wp:posOffset>
            </wp:positionV>
            <wp:extent cx="2375535" cy="1769745"/>
            <wp:effectExtent l="0" t="0" r="5715" b="1905"/>
            <wp:wrapSquare wrapText="bothSides"/>
            <wp:docPr id="8" name="Imagen 8" descr="E:\sandra\MN207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ndra\MN207c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5535"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9C2" w:rsidRDefault="003119C2" w:rsidP="003119C2">
      <w:pPr>
        <w:spacing w:after="0" w:line="360" w:lineRule="auto"/>
        <w:ind w:left="720"/>
        <w:rPr>
          <w:rFonts w:ascii="Times New Roman" w:eastAsia="Calibri" w:hAnsi="Times New Roman" w:cs="Times New Roman"/>
          <w:sz w:val="24"/>
          <w:szCs w:val="24"/>
        </w:rPr>
      </w:pPr>
    </w:p>
    <w:p w:rsidR="003119C2" w:rsidRPr="00532E59" w:rsidRDefault="003119C2" w:rsidP="003119C2">
      <w:pPr>
        <w:pStyle w:val="Prrafodelista"/>
        <w:numPr>
          <w:ilvl w:val="0"/>
          <w:numId w:val="4"/>
        </w:numPr>
        <w:spacing w:after="0" w:line="360" w:lineRule="auto"/>
        <w:rPr>
          <w:rFonts w:ascii="Times New Roman" w:eastAsia="Calibri" w:hAnsi="Times New Roman" w:cs="Times New Roman"/>
          <w:sz w:val="24"/>
          <w:szCs w:val="24"/>
        </w:rPr>
      </w:pPr>
      <w:r w:rsidRPr="00532E59">
        <w:rPr>
          <w:rFonts w:ascii="Times New Roman" w:eastAsia="Calibri" w:hAnsi="Times New Roman" w:cs="Times New Roman"/>
          <w:sz w:val="24"/>
          <w:szCs w:val="24"/>
        </w:rPr>
        <w:t>Calibración                                               b) Validación</w:t>
      </w:r>
    </w:p>
    <w:p w:rsidR="003119C2" w:rsidRPr="00DD1520" w:rsidRDefault="003119C2" w:rsidP="003119C2">
      <w:pPr>
        <w:spacing w:after="0"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Figura 3</w:t>
      </w:r>
      <w:r w:rsidRPr="00DD1520">
        <w:rPr>
          <w:rFonts w:ascii="Times New Roman" w:eastAsia="Calibri" w:hAnsi="Times New Roman" w:cs="Times New Roman"/>
          <w:sz w:val="20"/>
          <w:szCs w:val="20"/>
        </w:rPr>
        <w:t>. Curvas promedio del espectrofotómetro en el cultivar 207</w:t>
      </w:r>
      <w:r>
        <w:rPr>
          <w:rFonts w:ascii="Times New Roman" w:eastAsia="Calibri" w:hAnsi="Times New Roman" w:cs="Times New Roman"/>
          <w:sz w:val="20"/>
          <w:szCs w:val="20"/>
        </w:rPr>
        <w:t>. Fuente: Elaboración propia</w:t>
      </w:r>
    </w:p>
    <w:p w:rsidR="003119C2" w:rsidRPr="00AB33E0" w:rsidRDefault="003119C2" w:rsidP="003119C2">
      <w:pPr>
        <w:spacing w:after="0" w:line="360" w:lineRule="auto"/>
        <w:jc w:val="both"/>
        <w:rPr>
          <w:rFonts w:ascii="Times New Roman" w:eastAsia="Calibri" w:hAnsi="Times New Roman" w:cs="Times New Roman"/>
          <w:sz w:val="24"/>
          <w:szCs w:val="24"/>
        </w:rPr>
      </w:pPr>
      <w:r w:rsidRPr="00AB33E0">
        <w:rPr>
          <w:rFonts w:ascii="Times New Roman" w:eastAsia="Calibri" w:hAnsi="Times New Roman" w:cs="Times New Roman"/>
          <w:sz w:val="24"/>
          <w:szCs w:val="24"/>
        </w:rPr>
        <w:t xml:space="preserve">Se observó que en la región visible del espectro (380 – 780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xml:space="preserve">) la </w:t>
      </w:r>
      <w:proofErr w:type="spellStart"/>
      <w:r w:rsidRPr="00AB33E0">
        <w:rPr>
          <w:rFonts w:ascii="Times New Roman" w:eastAsia="Calibri" w:hAnsi="Times New Roman" w:cs="Times New Roman"/>
          <w:sz w:val="24"/>
          <w:szCs w:val="24"/>
        </w:rPr>
        <w:t>reflectancia</w:t>
      </w:r>
      <w:proofErr w:type="spellEnd"/>
      <w:r w:rsidRPr="00AB33E0">
        <w:rPr>
          <w:rFonts w:ascii="Times New Roman" w:eastAsia="Calibri" w:hAnsi="Times New Roman" w:cs="Times New Roman"/>
          <w:sz w:val="24"/>
          <w:szCs w:val="24"/>
        </w:rPr>
        <w:t xml:space="preserve"> tiende a ir incrementándose considerablemente hasta aproximadamente los 780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xml:space="preserve">. Por otra parte, en la región NIR (780 – 1685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xml:space="preserve">), se observó una mayor variabilidad de estos espectros, dado que hubo un pico de decrecimiento alrededor de los 965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xml:space="preserve">, para posteriormente incrementarse hacia los 1095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xml:space="preserve">, luego </w:t>
      </w:r>
      <w:proofErr w:type="spellStart"/>
      <w:r w:rsidRPr="00AB33E0">
        <w:rPr>
          <w:rFonts w:ascii="Times New Roman" w:eastAsia="Calibri" w:hAnsi="Times New Roman" w:cs="Times New Roman"/>
          <w:sz w:val="24"/>
          <w:szCs w:val="24"/>
        </w:rPr>
        <w:t>decrecer</w:t>
      </w:r>
      <w:proofErr w:type="spellEnd"/>
      <w:r w:rsidRPr="00AB33E0">
        <w:rPr>
          <w:rFonts w:ascii="Times New Roman" w:eastAsia="Calibri" w:hAnsi="Times New Roman" w:cs="Times New Roman"/>
          <w:sz w:val="24"/>
          <w:szCs w:val="24"/>
        </w:rPr>
        <w:t xml:space="preserve"> hacia los 1216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xml:space="preserve"> aproximadamente. Luego sobre los 1293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xml:space="preserve"> vuelve a incrementarse para luego tener un pico importante decreciente en los 1424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xml:space="preserve"> aproximadamente donde se observa el % de </w:t>
      </w:r>
      <w:proofErr w:type="spellStart"/>
      <w:r w:rsidRPr="00AB33E0">
        <w:rPr>
          <w:rFonts w:ascii="Times New Roman" w:eastAsia="Calibri" w:hAnsi="Times New Roman" w:cs="Times New Roman"/>
          <w:sz w:val="24"/>
          <w:szCs w:val="24"/>
        </w:rPr>
        <w:t>reflectancia</w:t>
      </w:r>
      <w:proofErr w:type="spellEnd"/>
      <w:r w:rsidRPr="00AB33E0">
        <w:rPr>
          <w:rFonts w:ascii="Times New Roman" w:eastAsia="Calibri" w:hAnsi="Times New Roman" w:cs="Times New Roman"/>
          <w:sz w:val="24"/>
          <w:szCs w:val="24"/>
        </w:rPr>
        <w:t xml:space="preserve"> más bajo de todo el espectro en los tres cultivares de malanga morada analizados.</w:t>
      </w:r>
    </w:p>
    <w:p w:rsidR="003119C2" w:rsidRPr="00AB33E0" w:rsidRDefault="003119C2" w:rsidP="003119C2">
      <w:pPr>
        <w:spacing w:after="0" w:line="360" w:lineRule="auto"/>
        <w:jc w:val="both"/>
        <w:rPr>
          <w:rFonts w:ascii="Times New Roman" w:eastAsia="Calibri" w:hAnsi="Times New Roman" w:cs="Times New Roman"/>
          <w:sz w:val="24"/>
          <w:szCs w:val="24"/>
        </w:rPr>
      </w:pPr>
      <w:r w:rsidRPr="00AB33E0">
        <w:rPr>
          <w:rFonts w:ascii="Times New Roman" w:eastAsia="Calibri" w:hAnsi="Times New Roman" w:cs="Times New Roman"/>
          <w:sz w:val="24"/>
          <w:szCs w:val="24"/>
        </w:rPr>
        <w:t xml:space="preserve">Los picos de </w:t>
      </w:r>
      <w:proofErr w:type="spellStart"/>
      <w:r w:rsidRPr="00AB33E0">
        <w:rPr>
          <w:rFonts w:ascii="Times New Roman" w:eastAsia="Calibri" w:hAnsi="Times New Roman" w:cs="Times New Roman"/>
          <w:sz w:val="24"/>
          <w:szCs w:val="24"/>
        </w:rPr>
        <w:t>reflectancia</w:t>
      </w:r>
      <w:proofErr w:type="spellEnd"/>
      <w:r w:rsidRPr="00AB33E0">
        <w:rPr>
          <w:rFonts w:ascii="Times New Roman" w:eastAsia="Calibri" w:hAnsi="Times New Roman" w:cs="Times New Roman"/>
          <w:sz w:val="24"/>
          <w:szCs w:val="24"/>
        </w:rPr>
        <w:t xml:space="preserve"> observados en la región NIR pueden deberse fundamentalmente a los enlaces O-H, C-H y N-H. Esto coincide con lo reportado por </w:t>
      </w:r>
      <w:r w:rsidRPr="005C35F8">
        <w:rPr>
          <w:rFonts w:ascii="Times New Roman" w:eastAsia="Calibri" w:hAnsi="Times New Roman" w:cs="Times New Roman"/>
          <w:sz w:val="24"/>
          <w:szCs w:val="24"/>
        </w:rPr>
        <w:t>Nicola et al. (2007),</w:t>
      </w:r>
      <w:r w:rsidRPr="00AB33E0">
        <w:rPr>
          <w:rFonts w:ascii="Times New Roman" w:eastAsia="Calibri" w:hAnsi="Times New Roman" w:cs="Times New Roman"/>
          <w:sz w:val="24"/>
          <w:szCs w:val="24"/>
        </w:rPr>
        <w:t xml:space="preserve"> respecto a que los espectros están dominados por las bandas de absorción del agua, así como por enlaces -OH, fundamentalmente en las longitudes de onda 760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xml:space="preserve"> y 970 </w:t>
      </w:r>
      <w:proofErr w:type="spellStart"/>
      <w:r w:rsidRPr="00AB33E0">
        <w:rPr>
          <w:rFonts w:ascii="Times New Roman" w:eastAsia="Calibri" w:hAnsi="Times New Roman" w:cs="Times New Roman"/>
          <w:sz w:val="24"/>
          <w:szCs w:val="24"/>
        </w:rPr>
        <w:t>nm</w:t>
      </w:r>
      <w:proofErr w:type="spellEnd"/>
      <w:r w:rsidRPr="00AB33E0">
        <w:rPr>
          <w:rFonts w:ascii="Times New Roman" w:eastAsia="Calibri" w:hAnsi="Times New Roman" w:cs="Times New Roman"/>
          <w:sz w:val="24"/>
          <w:szCs w:val="24"/>
        </w:rPr>
        <w:t>. Los picos de decrecimiento observados en el espectro se deben fundamentalmente a las moléculas de H</w:t>
      </w:r>
      <w:r w:rsidRPr="00AB33E0">
        <w:rPr>
          <w:rFonts w:ascii="Times New Roman" w:eastAsia="Calibri" w:hAnsi="Times New Roman" w:cs="Times New Roman"/>
          <w:sz w:val="24"/>
          <w:szCs w:val="24"/>
          <w:vertAlign w:val="subscript"/>
        </w:rPr>
        <w:t>2</w:t>
      </w:r>
      <w:r w:rsidRPr="00AB33E0">
        <w:rPr>
          <w:rFonts w:ascii="Times New Roman" w:eastAsia="Calibri" w:hAnsi="Times New Roman" w:cs="Times New Roman"/>
          <w:sz w:val="24"/>
          <w:szCs w:val="24"/>
        </w:rPr>
        <w:t xml:space="preserve">O presentes en las longitudes de ondas mencionadas anteriormente según lo descrito por </w:t>
      </w:r>
      <w:r w:rsidRPr="005C35F8">
        <w:rPr>
          <w:rFonts w:ascii="Times New Roman" w:eastAsia="Calibri" w:hAnsi="Times New Roman" w:cs="Times New Roman"/>
          <w:sz w:val="24"/>
          <w:szCs w:val="24"/>
        </w:rPr>
        <w:fldChar w:fldCharType="begin"/>
      </w:r>
      <w:r w:rsidRPr="005C35F8">
        <w:rPr>
          <w:rFonts w:ascii="Times New Roman" w:eastAsia="Calibri" w:hAnsi="Times New Roman" w:cs="Times New Roman"/>
          <w:sz w:val="24"/>
          <w:szCs w:val="24"/>
        </w:rPr>
        <w:instrText xml:space="preserve"> ADDIN EN.CITE &lt;EndNote&gt;&lt;Cite&gt;&lt;Author&gt;Peguero&lt;/Author&gt;&lt;Year&gt;2010&lt;/Year&gt;&lt;RecNum&gt;15&lt;/RecNum&gt;&lt;DisplayText&gt;(Peguero, 2010)&lt;/DisplayText&gt;&lt;record&gt;&lt;rec-number&gt;15&lt;/rec-number&gt;&lt;foreign-keys&gt;&lt;key app="EN" db-id="55t2deafr09w5yepr9cx0fxy00r2trstpz5s"&gt;15&lt;/key&gt;&lt;/foreign-keys&gt;&lt;ref-type name="Thesis"&gt;32&lt;/ref-type&gt;&lt;contributors&gt;&lt;authors&gt;&lt;author&gt;Peguero, A.&lt;/author&gt;&lt;/authors&gt;&lt;/contributors&gt;&lt;titles&gt;&lt;title&gt;La espectroscopia NIR en la determinación de propiedades físicas y composición química de intermedios de producción y productos acabados&lt;/title&gt;&lt;/titles&gt;&lt;pages&gt;272&lt;/pages&gt;&lt;dates&gt;&lt;year&gt;2010&lt;/year&gt;&lt;/dates&gt;&lt;pub-location&gt;Barcelona&lt;/pub-location&gt;&lt;publisher&gt;Universidad Autónoma de Barcelona&lt;/publisher&gt;&lt;urls&gt;&lt;/urls&gt;&lt;/record&gt;&lt;/Cite&gt;&lt;/EndNote&gt;</w:instrText>
      </w:r>
      <w:r w:rsidRPr="005C35F8">
        <w:rPr>
          <w:rFonts w:ascii="Times New Roman" w:eastAsia="Calibri" w:hAnsi="Times New Roman" w:cs="Times New Roman"/>
          <w:sz w:val="24"/>
          <w:szCs w:val="24"/>
        </w:rPr>
        <w:fldChar w:fldCharType="separate"/>
      </w:r>
      <w:r w:rsidRPr="005C35F8">
        <w:rPr>
          <w:rFonts w:ascii="Times New Roman" w:eastAsia="Calibri" w:hAnsi="Times New Roman" w:cs="Times New Roman"/>
          <w:noProof/>
          <w:sz w:val="24"/>
          <w:szCs w:val="24"/>
        </w:rPr>
        <w:t>(</w:t>
      </w:r>
      <w:hyperlink w:anchor="_ENREF_51" w:tooltip="Peguero, 2010 #15" w:history="1">
        <w:r w:rsidRPr="005C35F8">
          <w:rPr>
            <w:rFonts w:ascii="Times New Roman" w:eastAsia="Calibri" w:hAnsi="Times New Roman" w:cs="Times New Roman"/>
            <w:noProof/>
            <w:sz w:val="24"/>
            <w:szCs w:val="24"/>
          </w:rPr>
          <w:t>Peguero, 2010</w:t>
        </w:r>
      </w:hyperlink>
      <w:r w:rsidRPr="005C35F8">
        <w:rPr>
          <w:rFonts w:ascii="Times New Roman" w:eastAsia="Calibri" w:hAnsi="Times New Roman" w:cs="Times New Roman"/>
          <w:noProof/>
          <w:sz w:val="24"/>
          <w:szCs w:val="24"/>
        </w:rPr>
        <w:t>)</w:t>
      </w:r>
      <w:r w:rsidRPr="005C35F8">
        <w:rPr>
          <w:rFonts w:ascii="Times New Roman" w:eastAsia="Calibri" w:hAnsi="Times New Roman" w:cs="Times New Roman"/>
          <w:sz w:val="24"/>
          <w:szCs w:val="24"/>
        </w:rPr>
        <w:fldChar w:fldCharType="end"/>
      </w:r>
      <w:r w:rsidRPr="005C35F8">
        <w:rPr>
          <w:rFonts w:ascii="Times New Roman" w:eastAsia="Calibri" w:hAnsi="Times New Roman" w:cs="Times New Roman"/>
          <w:sz w:val="24"/>
          <w:szCs w:val="24"/>
        </w:rPr>
        <w:t>.</w:t>
      </w:r>
    </w:p>
    <w:p w:rsidR="003119C2" w:rsidRPr="00AB33E0" w:rsidRDefault="003119C2" w:rsidP="003119C2">
      <w:pPr>
        <w:keepNext/>
        <w:spacing w:after="0" w:line="360" w:lineRule="auto"/>
        <w:jc w:val="both"/>
        <w:outlineLvl w:val="0"/>
        <w:rPr>
          <w:rFonts w:ascii="Times New Roman" w:eastAsia="Times New Roman" w:hAnsi="Times New Roman" w:cs="Times New Roman"/>
          <w:b/>
          <w:bCs/>
          <w:kern w:val="32"/>
          <w:sz w:val="24"/>
          <w:szCs w:val="24"/>
        </w:rPr>
      </w:pPr>
      <w:bookmarkStart w:id="1" w:name="_Toc533695734"/>
      <w:r w:rsidRPr="00AB33E0">
        <w:rPr>
          <w:rFonts w:ascii="Times New Roman" w:eastAsia="Times New Roman" w:hAnsi="Times New Roman" w:cs="Times New Roman"/>
          <w:b/>
          <w:bCs/>
          <w:kern w:val="32"/>
          <w:sz w:val="24"/>
          <w:szCs w:val="24"/>
        </w:rPr>
        <w:lastRenderedPageBreak/>
        <w:t xml:space="preserve">3.3 Correlación de la concentración de minerales de los cultivares de malanga en estudio, con las lecturas de </w:t>
      </w:r>
      <w:proofErr w:type="spellStart"/>
      <w:r w:rsidRPr="00AB33E0">
        <w:rPr>
          <w:rFonts w:ascii="Times New Roman" w:eastAsia="Times New Roman" w:hAnsi="Times New Roman" w:cs="Times New Roman"/>
          <w:b/>
          <w:bCs/>
          <w:kern w:val="32"/>
          <w:sz w:val="24"/>
          <w:szCs w:val="24"/>
        </w:rPr>
        <w:t>reflectancia</w:t>
      </w:r>
      <w:proofErr w:type="spellEnd"/>
      <w:r w:rsidRPr="00AB33E0">
        <w:rPr>
          <w:rFonts w:ascii="Times New Roman" w:eastAsia="Times New Roman" w:hAnsi="Times New Roman" w:cs="Times New Roman"/>
          <w:b/>
          <w:bCs/>
          <w:kern w:val="32"/>
          <w:sz w:val="24"/>
          <w:szCs w:val="24"/>
        </w:rPr>
        <w:t xml:space="preserve"> espectral vis-NIR en diferentes longitudes de onda</w:t>
      </w:r>
      <w:bookmarkEnd w:id="1"/>
    </w:p>
    <w:p w:rsidR="003119C2" w:rsidRPr="00AB33E0" w:rsidRDefault="003119C2" w:rsidP="003119C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En las Figuras 4 y 5</w:t>
      </w:r>
      <w:r w:rsidRPr="00AB33E0">
        <w:rPr>
          <w:rFonts w:ascii="Times New Roman" w:eastAsia="Calibri" w:hAnsi="Times New Roman" w:cs="Times New Roman"/>
          <w:sz w:val="24"/>
          <w:szCs w:val="24"/>
        </w:rPr>
        <w:t xml:space="preserve"> se muestran los modelos PLS que permitieron comparar la precisión de la predicción vis-NIR de la concentración de minerales en el cultivar 204 de malanga morada. Se observó una predicción superior al 70% en las concentraciones de calcio,</w:t>
      </w:r>
      <w:r>
        <w:rPr>
          <w:rFonts w:ascii="Times New Roman" w:eastAsia="Calibri" w:hAnsi="Times New Roman" w:cs="Times New Roman"/>
          <w:sz w:val="24"/>
          <w:szCs w:val="24"/>
        </w:rPr>
        <w:t xml:space="preserve"> </w:t>
      </w:r>
      <w:r w:rsidRPr="00AB33E0">
        <w:rPr>
          <w:rFonts w:ascii="Times New Roman" w:eastAsia="Calibri" w:hAnsi="Times New Roman" w:cs="Times New Roman"/>
          <w:sz w:val="24"/>
          <w:szCs w:val="24"/>
        </w:rPr>
        <w:t xml:space="preserve">magnesio, manganeso, cobre, hierro y sodio. En los casos del hierro y el manganeso se observó una predicción muy buena del 92% y del 99% respectivamente. </w:t>
      </w:r>
    </w:p>
    <w:p w:rsidR="003119C2" w:rsidRDefault="003119C2" w:rsidP="003119C2">
      <w:pPr>
        <w:spacing w:before="120" w:after="120" w:line="360" w:lineRule="auto"/>
        <w:jc w:val="center"/>
        <w:rPr>
          <w:rFonts w:ascii="Times New Roman" w:eastAsia="Calibri" w:hAnsi="Times New Roman" w:cs="Times New Roman"/>
          <w:sz w:val="24"/>
          <w:szCs w:val="24"/>
        </w:rPr>
      </w:pPr>
      <w:r w:rsidRPr="00AB33E0">
        <w:rPr>
          <w:rFonts w:ascii="Times New Roman" w:eastAsia="Calibri" w:hAnsi="Times New Roman" w:cs="Times New Roman"/>
          <w:b/>
          <w:noProof/>
          <w:sz w:val="24"/>
          <w:szCs w:val="24"/>
          <w:lang w:val="en-US"/>
        </w:rPr>
        <w:drawing>
          <wp:inline distT="0" distB="0" distL="0" distR="0" wp14:anchorId="06EB7858" wp14:editId="12748C75">
            <wp:extent cx="3695318" cy="3689548"/>
            <wp:effectExtent l="0" t="0" r="635" b="6350"/>
            <wp:docPr id="9" name="Imagen 9" descr="E:\sandra\Ca, Mg, Mn, Cu M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ndra\Ca, Mg, Mn, Cu M2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3819" cy="3718004"/>
                    </a:xfrm>
                    <a:prstGeom prst="rect">
                      <a:avLst/>
                    </a:prstGeom>
                    <a:noFill/>
                    <a:ln>
                      <a:noFill/>
                    </a:ln>
                  </pic:spPr>
                </pic:pic>
              </a:graphicData>
            </a:graphic>
          </wp:inline>
        </w:drawing>
      </w:r>
    </w:p>
    <w:p w:rsidR="003119C2" w:rsidRPr="00532E59" w:rsidRDefault="003119C2" w:rsidP="003119C2">
      <w:pPr>
        <w:spacing w:before="120" w:after="120" w:line="360" w:lineRule="auto"/>
        <w:jc w:val="center"/>
        <w:rPr>
          <w:rFonts w:ascii="Times New Roman" w:eastAsia="Calibri" w:hAnsi="Times New Roman" w:cs="Times New Roman"/>
          <w:b/>
          <w:sz w:val="20"/>
          <w:szCs w:val="20"/>
        </w:rPr>
      </w:pPr>
      <w:r w:rsidRPr="00532E59">
        <w:rPr>
          <w:rFonts w:ascii="Times New Roman" w:eastAsia="Calibri" w:hAnsi="Times New Roman" w:cs="Times New Roman"/>
          <w:sz w:val="20"/>
          <w:szCs w:val="20"/>
        </w:rPr>
        <w:t xml:space="preserve">Figura 4. Correlación estadística de las concentraciones de calcio, magnesio, manganeso, cobre y la </w:t>
      </w:r>
      <w:proofErr w:type="spellStart"/>
      <w:r w:rsidRPr="00532E59">
        <w:rPr>
          <w:rFonts w:ascii="Times New Roman" w:eastAsia="Calibri" w:hAnsi="Times New Roman" w:cs="Times New Roman"/>
          <w:sz w:val="20"/>
          <w:szCs w:val="20"/>
        </w:rPr>
        <w:t>reflectancia</w:t>
      </w:r>
      <w:proofErr w:type="spellEnd"/>
      <w:r w:rsidRPr="00532E59">
        <w:rPr>
          <w:rFonts w:ascii="Times New Roman" w:eastAsia="Calibri" w:hAnsi="Times New Roman" w:cs="Times New Roman"/>
          <w:sz w:val="20"/>
          <w:szCs w:val="20"/>
        </w:rPr>
        <w:t xml:space="preserve"> espectral vis-NIR.</w:t>
      </w:r>
      <w:r>
        <w:rPr>
          <w:rFonts w:ascii="Times New Roman" w:eastAsia="Calibri" w:hAnsi="Times New Roman" w:cs="Times New Roman"/>
          <w:sz w:val="20"/>
          <w:szCs w:val="20"/>
        </w:rPr>
        <w:t xml:space="preserve"> Fuente: Elaboración propia</w:t>
      </w:r>
    </w:p>
    <w:p w:rsidR="003119C2" w:rsidRPr="00AB33E0" w:rsidRDefault="003119C2" w:rsidP="003119C2">
      <w:pPr>
        <w:spacing w:before="120" w:after="120" w:line="480" w:lineRule="auto"/>
        <w:jc w:val="center"/>
        <w:rPr>
          <w:rFonts w:ascii="Times New Roman" w:eastAsia="Calibri" w:hAnsi="Times New Roman" w:cs="Times New Roman"/>
          <w:b/>
          <w:sz w:val="24"/>
          <w:szCs w:val="24"/>
        </w:rPr>
      </w:pPr>
      <w:r w:rsidRPr="00AB33E0">
        <w:rPr>
          <w:rFonts w:ascii="Times New Roman" w:eastAsia="Calibri" w:hAnsi="Times New Roman" w:cs="Times New Roman"/>
          <w:b/>
          <w:noProof/>
          <w:sz w:val="24"/>
          <w:szCs w:val="24"/>
          <w:lang w:val="en-US"/>
        </w:rPr>
        <w:lastRenderedPageBreak/>
        <w:drawing>
          <wp:inline distT="0" distB="0" distL="0" distR="0" wp14:anchorId="1C3D18BB" wp14:editId="6EEA888F">
            <wp:extent cx="3527425" cy="3889934"/>
            <wp:effectExtent l="0" t="0" r="0" b="0"/>
            <wp:docPr id="11" name="Imagen 11" descr="E:\sandra\Na, Zn, Fe, K M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ndra\Na, Zn, Fe, K M2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7425" cy="3889934"/>
                    </a:xfrm>
                    <a:prstGeom prst="rect">
                      <a:avLst/>
                    </a:prstGeom>
                    <a:noFill/>
                    <a:ln>
                      <a:noFill/>
                    </a:ln>
                  </pic:spPr>
                </pic:pic>
              </a:graphicData>
            </a:graphic>
          </wp:inline>
        </w:drawing>
      </w:r>
    </w:p>
    <w:p w:rsidR="003119C2" w:rsidRPr="00532E59" w:rsidRDefault="003119C2" w:rsidP="003119C2">
      <w:pPr>
        <w:spacing w:before="120" w:after="120"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Figura 5</w:t>
      </w:r>
      <w:r w:rsidRPr="00532E59">
        <w:rPr>
          <w:rFonts w:ascii="Times New Roman" w:eastAsia="Calibri" w:hAnsi="Times New Roman" w:cs="Times New Roman"/>
          <w:sz w:val="20"/>
          <w:szCs w:val="20"/>
        </w:rPr>
        <w:t xml:space="preserve">. Correlación estadística de las concentraciones de sodio, cinc, hierro, potasio y la </w:t>
      </w:r>
      <w:proofErr w:type="spellStart"/>
      <w:r w:rsidRPr="00532E59">
        <w:rPr>
          <w:rFonts w:ascii="Times New Roman" w:eastAsia="Calibri" w:hAnsi="Times New Roman" w:cs="Times New Roman"/>
          <w:sz w:val="20"/>
          <w:szCs w:val="20"/>
        </w:rPr>
        <w:t>reflectancia</w:t>
      </w:r>
      <w:proofErr w:type="spellEnd"/>
      <w:r w:rsidRPr="00532E59">
        <w:rPr>
          <w:rFonts w:ascii="Times New Roman" w:eastAsia="Calibri" w:hAnsi="Times New Roman" w:cs="Times New Roman"/>
          <w:sz w:val="20"/>
          <w:szCs w:val="20"/>
        </w:rPr>
        <w:t xml:space="preserve"> espectral vis-NIR.</w:t>
      </w:r>
      <w:r>
        <w:rPr>
          <w:rFonts w:ascii="Times New Roman" w:eastAsia="Calibri" w:hAnsi="Times New Roman" w:cs="Times New Roman"/>
          <w:sz w:val="20"/>
          <w:szCs w:val="20"/>
        </w:rPr>
        <w:t xml:space="preserve"> Fuente: Elaboración propia</w:t>
      </w:r>
    </w:p>
    <w:p w:rsidR="003119C2" w:rsidRPr="00AB33E0" w:rsidRDefault="003119C2" w:rsidP="003119C2">
      <w:pPr>
        <w:spacing w:after="0" w:line="360" w:lineRule="auto"/>
        <w:jc w:val="both"/>
        <w:rPr>
          <w:rFonts w:ascii="Times New Roman" w:eastAsia="Calibri" w:hAnsi="Times New Roman" w:cs="Times New Roman"/>
          <w:sz w:val="24"/>
          <w:szCs w:val="24"/>
        </w:rPr>
      </w:pPr>
      <w:r w:rsidRPr="00AB33E0">
        <w:rPr>
          <w:rFonts w:ascii="Times New Roman" w:eastAsia="Calibri" w:hAnsi="Times New Roman" w:cs="Times New Roman"/>
          <w:sz w:val="24"/>
          <w:szCs w:val="24"/>
        </w:rPr>
        <w:t>El manganeso, además resultó ser mejor modelo en base al coeficiente RPD determinado. Sin embargo, el potasio y el cinc presentaron valores relativamente bajos en relación al coeficiente de determinación de la calibración 50 y 62% respectivamente.</w:t>
      </w:r>
    </w:p>
    <w:p w:rsidR="003119C2" w:rsidRPr="00AB33E0" w:rsidRDefault="003119C2" w:rsidP="003119C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Las Figuras 6 y 7</w:t>
      </w:r>
      <w:r w:rsidRPr="00AB33E0">
        <w:rPr>
          <w:rFonts w:ascii="Times New Roman" w:eastAsia="Calibri" w:hAnsi="Times New Roman" w:cs="Times New Roman"/>
          <w:sz w:val="24"/>
          <w:szCs w:val="24"/>
        </w:rPr>
        <w:t xml:space="preserve"> muestran los modelos PLS que permitieron comparar la precisión de la predicción vis-NIR de la concentración de minerales en el cultivar 206 de malanga morada.</w:t>
      </w:r>
    </w:p>
    <w:p w:rsidR="003119C2" w:rsidRPr="00AB33E0" w:rsidRDefault="003119C2" w:rsidP="003119C2">
      <w:pPr>
        <w:spacing w:before="120" w:after="120" w:line="480" w:lineRule="auto"/>
        <w:jc w:val="center"/>
        <w:rPr>
          <w:rFonts w:ascii="Times New Roman" w:eastAsia="Calibri" w:hAnsi="Times New Roman" w:cs="Times New Roman"/>
          <w:b/>
          <w:sz w:val="24"/>
          <w:szCs w:val="24"/>
        </w:rPr>
      </w:pPr>
      <w:r w:rsidRPr="00AB33E0">
        <w:rPr>
          <w:rFonts w:ascii="Times New Roman" w:eastAsia="Calibri" w:hAnsi="Times New Roman" w:cs="Times New Roman"/>
          <w:b/>
          <w:noProof/>
          <w:sz w:val="24"/>
          <w:szCs w:val="24"/>
          <w:lang w:val="en-US"/>
        </w:rPr>
        <w:lastRenderedPageBreak/>
        <w:drawing>
          <wp:inline distT="0" distB="0" distL="0" distR="0" wp14:anchorId="33FCDE2A" wp14:editId="06E3CF26">
            <wp:extent cx="3675380" cy="3797139"/>
            <wp:effectExtent l="0" t="0" r="1270" b="0"/>
            <wp:docPr id="12" name="Imagen 12" descr="E:\sandra\Ca, Mg, Mn, Cu M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ndra\Ca, Mg, Mn, Cu M2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9011" cy="3811222"/>
                    </a:xfrm>
                    <a:prstGeom prst="rect">
                      <a:avLst/>
                    </a:prstGeom>
                    <a:noFill/>
                    <a:ln>
                      <a:noFill/>
                    </a:ln>
                  </pic:spPr>
                </pic:pic>
              </a:graphicData>
            </a:graphic>
          </wp:inline>
        </w:drawing>
      </w:r>
    </w:p>
    <w:p w:rsidR="003119C2" w:rsidRPr="00E773D1" w:rsidRDefault="003119C2" w:rsidP="003119C2">
      <w:pPr>
        <w:spacing w:before="120" w:after="120" w:line="360" w:lineRule="auto"/>
        <w:jc w:val="center"/>
        <w:rPr>
          <w:rFonts w:ascii="Times New Roman" w:eastAsia="Calibri" w:hAnsi="Times New Roman" w:cs="Times New Roman"/>
          <w:sz w:val="20"/>
          <w:szCs w:val="20"/>
        </w:rPr>
      </w:pPr>
      <w:r w:rsidRPr="00E773D1">
        <w:rPr>
          <w:rFonts w:ascii="Times New Roman" w:eastAsia="Calibri" w:hAnsi="Times New Roman" w:cs="Times New Roman"/>
          <w:sz w:val="20"/>
          <w:szCs w:val="20"/>
        </w:rPr>
        <w:t xml:space="preserve">Figura 6. Correlación estadística de las concentraciones de calcio, magnesio, manganeso, cobre y la </w:t>
      </w:r>
      <w:proofErr w:type="spellStart"/>
      <w:r w:rsidRPr="00E773D1">
        <w:rPr>
          <w:rFonts w:ascii="Times New Roman" w:eastAsia="Calibri" w:hAnsi="Times New Roman" w:cs="Times New Roman"/>
          <w:sz w:val="20"/>
          <w:szCs w:val="20"/>
        </w:rPr>
        <w:t>reflectancia</w:t>
      </w:r>
      <w:proofErr w:type="spellEnd"/>
      <w:r w:rsidRPr="00E773D1">
        <w:rPr>
          <w:rFonts w:ascii="Times New Roman" w:eastAsia="Calibri" w:hAnsi="Times New Roman" w:cs="Times New Roman"/>
          <w:sz w:val="20"/>
          <w:szCs w:val="20"/>
        </w:rPr>
        <w:t xml:space="preserve"> espectral vis-NIR.</w:t>
      </w:r>
      <w:r>
        <w:rPr>
          <w:rFonts w:ascii="Times New Roman" w:eastAsia="Calibri" w:hAnsi="Times New Roman" w:cs="Times New Roman"/>
          <w:sz w:val="20"/>
          <w:szCs w:val="20"/>
        </w:rPr>
        <w:t xml:space="preserve"> Fuente: Elaboración propia</w:t>
      </w:r>
    </w:p>
    <w:p w:rsidR="003119C2" w:rsidRPr="00AB33E0" w:rsidRDefault="003119C2" w:rsidP="003119C2">
      <w:pPr>
        <w:spacing w:after="0" w:line="360" w:lineRule="auto"/>
        <w:jc w:val="both"/>
        <w:rPr>
          <w:rFonts w:ascii="Times New Roman" w:eastAsia="Calibri" w:hAnsi="Times New Roman" w:cs="Times New Roman"/>
          <w:sz w:val="24"/>
          <w:szCs w:val="24"/>
        </w:rPr>
      </w:pPr>
      <w:r w:rsidRPr="00AB33E0">
        <w:rPr>
          <w:rFonts w:ascii="Times New Roman" w:eastAsia="Calibri" w:hAnsi="Times New Roman" w:cs="Times New Roman"/>
          <w:sz w:val="24"/>
          <w:szCs w:val="24"/>
        </w:rPr>
        <w:t>Los modelos PLS para la predicción vis-NIR en el cultivar de malanga morada 206 mostraron un coeficiente R</w:t>
      </w:r>
      <w:r w:rsidRPr="00AB33E0">
        <w:rPr>
          <w:rFonts w:ascii="Times New Roman" w:eastAsia="Calibri" w:hAnsi="Times New Roman" w:cs="Times New Roman"/>
          <w:sz w:val="24"/>
          <w:szCs w:val="24"/>
          <w:vertAlign w:val="superscript"/>
        </w:rPr>
        <w:t>2</w:t>
      </w:r>
      <w:r w:rsidRPr="00AB33E0">
        <w:rPr>
          <w:rFonts w:ascii="Times New Roman" w:eastAsia="Calibri" w:hAnsi="Times New Roman" w:cs="Times New Roman"/>
          <w:sz w:val="24"/>
          <w:szCs w:val="24"/>
        </w:rPr>
        <w:t xml:space="preserve">CV superior a 0.80, excepto en la concentración de calcio que es del 70%, no obstante este valor de correlación es muy bueno para productos agrícolas según lo descrito por </w:t>
      </w:r>
      <w:r w:rsidRPr="002B66D3">
        <w:rPr>
          <w:rFonts w:ascii="Times New Roman" w:eastAsia="Calibri" w:hAnsi="Times New Roman" w:cs="Times New Roman"/>
          <w:sz w:val="24"/>
          <w:szCs w:val="24"/>
        </w:rPr>
        <w:fldChar w:fldCharType="begin">
          <w:fldData xml:space="preserve">PEVuZE5vdGU+PENpdGU+PEF1dGhvcj5HYXJyaWRvPC9BdXRob3I+PFllYXI+MjAwMzwvWWVhcj48
UmVjTnVtPjUwPC9SZWNOdW0+PERpc3BsYXlUZXh0PihIaXVra2EsIDE5OTg7IEh1bW1lbDxzdHls
ZSBmYWNlPSJpdGFsaWMiPiBldCBhbC48L3N0eWxlPiwgMjAwMTsgR2FycmlkbzxzdHlsZSBmYWNl
PSJpdGFsaWMiPiBldCBhbC48L3N0eWxlPiwgMjAwMzsgRnJhbmRvLCAyMDA5KTwvRGlzcGxheVRl
eHQ+PHJlY29yZD48cmVjLW51bWJlcj41MDwvcmVjLW51bWJlcj48Zm9yZWlnbi1rZXlzPjxrZXkg
YXBwPSJFTiIgZGItaWQ9IjU1dDJkZWFmcjA5dzV5ZXByOWN4MGZ4eTAwcjJ0cnN0cHo1cyI+NTA8
L2tleT48L2ZvcmVpZ24ta2V5cz48cmVmLXR5cGUgbmFtZT0iQ29uZmVyZW5jZSBQYXBlciI+NDc8
L3JlZi10eXBlPjxjb250cmlidXRvcnM+PGF1dGhvcnM+PGF1dGhvcj5HYXJyaWRvLCBBPC9hdXRo
b3I+PGF1dGhvcj5Qw6lyZXosIE0uRCA8L2F1dGhvcj48YXV0aG9yPkd1ZXJyZXJvLCBKLkUgPC9h
dXRob3I+PGF1dGhvcj5Hw7NtZXosIEE8L2F1dGhvcj48L2F1dGhvcnM+PHNlY29uZGFyeS1hdXRo
b3JzPjxhdXRob3I+WElYIEN1cnNvIGRlIGVzcGVjaWFsaXphY2nDs24gRkVETkEgPC9hdXRob3I+
PC9zZWNvbmRhcnktYXV0aG9ycz48L2NvbnRyaWJ1dG9ycz48dGl0bGVzPjx0aXRsZT5BdmFuY2Vz
IGVuIGxhIHV0aWxpemFjacOzbiBkZSBsYSB0ZWNub2xvZ8OtYSBOSVJTLiBBcGxpY2FjaW9uZXMg
ZW4gcHJvZHVjY2nDs24gYW5pbWFsPC90aXRsZT48L3RpdGxlcz48ZGF0ZXM+PHllYXI+MjAwMzwv
eWVhcj48L2RhdGVzPjx1cmxzPjxyZWxhdGVkLXVybHM+PHVybD5odHRwOi8vaGVsdmlhLnVjby5l
cy94bWx1aS9iaXRzdHJlYW0vaGFuZGxlLzEwMzk2LzYwOTIvcC5hLjcucGRmP3NlcXVlbmNlPTE8
L3VybD48L3JlbGF0ZWQtdXJscz48L3VybHM+PC9yZWNvcmQ+PC9DaXRlPjxDaXRlPjxBdXRob3I+
SHVtbWVsPC9BdXRob3I+PFllYXI+MjAwMTwvWWVhcj48UmVjTnVtPjUyPC9SZWNOdW0+PHJlY29y
ZD48cmVjLW51bWJlcj41MjwvcmVjLW51bWJlcj48Zm9yZWlnbi1rZXlzPjxrZXkgYXBwPSJFTiIg
ZGItaWQ9IjU1dDJkZWFmcjA5dzV5ZXByOWN4MGZ4eTAwcjJ0cnN0cHo1cyI+NTI8L2tleT48L2Zv
cmVpZ24ta2V5cz48cmVmLXR5cGUgbmFtZT0iSm91cm5hbCBBcnRpY2xlIj4xNzwvcmVmLXR5cGU+
PGNvbnRyaWJ1dG9ycz48YXV0aG9ycz48YXV0aG9yPkh1bW1lbCwgSi5XPC9hdXRob3I+PGF1dGhv
cj5TdWRkdXRoLCBLLkE8L2F1dGhvcj48YXV0aG9yPkhvbGxpbmdlciwgUy5FPC9hdXRob3I+PC9h
dXRob3JzPjwvY29udHJpYnV0b3JzPjx0aXRsZXM+PHRpdGxlPlNvaWwgbW9pc3R1cmUgYW5kIG9y
Z2FuaWMgbWF0dGVyIHByZWRpY3Rpb24gb2Ygc3VyZmFjZSBhbmQgc3Vic3VyZmFjZSBzb2lscyB1
c2luZyBhbiBOSVIgc29pbCBzZW5zb3I8L3RpdGxlPjxzZWNvbmRhcnktdGl0bGU+RWxzZXZpZXIg
U2NpZW5jZSBMdGQ8L3NlY29uZGFyeS10aXRsZT48L3RpdGxlcz48cGVyaW9kaWNhbD48ZnVsbC10
aXRsZT5FbHNldmllciBTY2llbmNlIEx0ZDwvZnVsbC10aXRsZT48L3BlcmlvZGljYWw+PHBhZ2Vz
PnBwLiAxNDktMTY1PC9wYWdlcz48ZGF0ZXM+PHllYXI+MjAwMTwveWVhcj48L2RhdGVzPjx1cmxz
PjxyZWxhdGVkLXVybHM+PHVybD53d3cuZWxzZXZpZXIuY29tPC91cmw+PC9yZWxhdGVkLXVybHM+
PC91cmxzPjwvcmVjb3JkPjwvQ2l0ZT48Q2l0ZT48QXV0aG9yPkZyYW5kbzwvQXV0aG9yPjxZZWFy
PjIwMDk8L1llYXI+PFJlY051bT40ODwvUmVjTnVtPjxyZWNvcmQ+PHJlYy1udW1iZXI+NDg8L3Jl
Yy1udW1iZXI+PGZvcmVpZ24ta2V5cz48a2V5IGFwcD0iRU4iIGRiLWlkPSI1NXQyZGVhZnIwOXc1
eWVwcjljeDBmeHkwMHIydHJzdHB6NXMiPjQ4PC9rZXk+PC9mb3JlaWduLWtleXM+PHJlZi10eXBl
IG5hbWU9IlRoZXNpcyI+MzI8L3JlZi10eXBlPjxjb250cmlidXRvcnM+PGF1dGhvcnM+PGF1dGhv
cj5GcmFuZG8gPC9hdXRob3I+PC9hdXRob3JzPjwvY29udHJpYnV0b3JzPjx0aXRsZXM+PHRpdGxl
PlTDqWNuaWNhcyBObyBEZXN0cnVjdGl2YXMgTlREPC90aXRsZT48c2Vjb25kYXJ5LXRpdGxlPklu
bm92YWNpb25lcyBlbiB0w6ljbmljYXMgbm8gZGVzdHJ1Y3RpdmFzPC9zZWNvbmRhcnktdGl0bGU+
PC90aXRsZXM+PHBlcmlvZGljYWw+PGZ1bGwtdGl0bGU+SW5ub3ZhY2lvbmVzIGVuIHTDqWNuaWNh
cyBubyBkZXN0cnVjdGl2YXM8L2Z1bGwtdGl0bGU+PC9wZXJpb2RpY2FsPjxkYXRlcz48eWVhcj4y
MDA5PC95ZWFyPjwvZGF0ZXM+PHVybHM+PHJlbGF0ZWQtdXJscz48dXJsPmh0dHA6Ly93d3cuZnJh
bmRvLmNsL2luZGV4X2FyY2hpdm9zL1RlY25pY2FzX05EVC5odG08L3VybD48L3JlbGF0ZWQtdXJs
cz48L3VybHM+PC9yZWNvcmQ+PC9DaXRlPjxDaXRlPjxBdXRob3I+SGl1a2thPC9BdXRob3I+PFll
YXI+MTk5ODwvWWVhcj48UmVjTnVtPjUxPC9SZWNOdW0+PHJlY29yZD48cmVjLW51bWJlcj41MTwv
cmVjLW51bWJlcj48Zm9yZWlnbi1rZXlzPjxrZXkgYXBwPSJFTiIgZGItaWQ9IjU1dDJkZWFmcjA5
dzV5ZXByOWN4MGZ4eTAwcjJ0cnN0cHo1cyI+NTE8L2tleT48L2ZvcmVpZ24ta2V5cz48cmVmLXR5
cGUgbmFtZT0iSm91cm5hbCBBcnRpY2xlIj4xNzwvcmVmLXR5cGU+PGNvbnRyaWJ1dG9ycz48YXV0
aG9ycz48YXV0aG9yPkhpdWtrYSwgUjwvYXV0aG9yPjwvYXV0aG9ycz48L2NvbnRyaWJ1dG9ycz48
dGl0bGVzPjx0aXRsZT5BIG11bHRpdmFyaWF0ZSBhcHByb2FjaCB0byB0aGUgYW5hbHlzaXMgb2Yg
cGluZSBuZWVkbGUgc2FtcGxlcyB1c2luZyBOSVI8L3RpdGxlPjxzZWNvbmRhcnktdGl0bGU+RWxz
ZXZpZXIgU2NpZW5jZSBMdGQ8L3NlY29uZGFyeS10aXRsZT48L3RpdGxlcz48cGVyaW9kaWNhbD48
ZnVsbC10aXRsZT5FbHNldmllciBTY2llbmNlIEx0ZDwvZnVsbC10aXRsZT48L3BlcmlvZGljYWw+
PHBhZ2VzPnBwLiAzOTUtNDAxPC9wYWdlcz48ZGF0ZXM+PHllYXI+MTk5ODwveWVhcj48L2RhdGVz
Pjx1cmxzPjxyZWxhdGVkLXVybHM+PHVybD53d3cuZWxzZXZpci5jb208L3VybD48L3JlbGF0ZWQt
dXJscz48L3VybHM+PC9yZWNvcmQ+PC9DaXRlPjxDaXRlPjxBdXRob3I+SGl1a2thPC9BdXRob3I+
PFllYXI+MTk5ODwvWWVhcj48UmVjTnVtPjUxPC9SZWNOdW0+PHJlY29yZD48cmVjLW51bWJlcj41
MTwvcmVjLW51bWJlcj48Zm9yZWlnbi1rZXlzPjxrZXkgYXBwPSJFTiIgZGItaWQ9IjU1dDJkZWFm
cjA5dzV5ZXByOWN4MGZ4eTAwcjJ0cnN0cHo1cyI+NTE8L2tleT48L2ZvcmVpZ24ta2V5cz48cmVm
LXR5cGUgbmFtZT0iSm91cm5hbCBBcnRpY2xlIj4xNzwvcmVmLXR5cGU+PGNvbnRyaWJ1dG9ycz48
YXV0aG9ycz48YXV0aG9yPkhpdWtrYSwgUjwvYXV0aG9yPjwvYXV0aG9ycz48L2NvbnRyaWJ1dG9y
cz48dGl0bGVzPjx0aXRsZT5BIG11bHRpdmFyaWF0ZSBhcHByb2FjaCB0byB0aGUgYW5hbHlzaXMg
b2YgcGluZSBuZWVkbGUgc2FtcGxlcyB1c2luZyBOSVI8L3RpdGxlPjxzZWNvbmRhcnktdGl0bGU+
RWxzZXZpZXIgU2NpZW5jZSBMdGQ8L3NlY29uZGFyeS10aXRsZT48L3RpdGxlcz48cGVyaW9kaWNh
bD48ZnVsbC10aXRsZT5FbHNldmllciBTY2llbmNlIEx0ZDwvZnVsbC10aXRsZT48L3BlcmlvZGlj
YWw+PHBhZ2VzPnBwLiAzOTUtNDAxPC9wYWdlcz48ZGF0ZXM+PHllYXI+MTk5ODwveWVhcj48L2Rh
dGVzPjx1cmxzPjxyZWxhdGVkLXVybHM+PHVybD53d3cuZWxzZXZpci5jb208L3VybD48L3JlbGF0
ZWQtdXJscz48L3VybHM+PC9yZWNvcmQ+PC9DaXRlPjwvRW5kTm90ZT4A
</w:fldData>
        </w:fldChar>
      </w:r>
      <w:r w:rsidRPr="002B66D3">
        <w:rPr>
          <w:rFonts w:ascii="Times New Roman" w:eastAsia="Calibri" w:hAnsi="Times New Roman" w:cs="Times New Roman"/>
          <w:sz w:val="24"/>
          <w:szCs w:val="24"/>
        </w:rPr>
        <w:instrText xml:space="preserve"> ADDIN EN.CITE </w:instrText>
      </w:r>
      <w:r w:rsidRPr="002B66D3">
        <w:rPr>
          <w:rFonts w:ascii="Times New Roman" w:eastAsia="Calibri" w:hAnsi="Times New Roman" w:cs="Times New Roman"/>
          <w:sz w:val="24"/>
          <w:szCs w:val="24"/>
        </w:rPr>
        <w:fldChar w:fldCharType="begin">
          <w:fldData xml:space="preserve">PEVuZE5vdGU+PENpdGU+PEF1dGhvcj5HYXJyaWRvPC9BdXRob3I+PFllYXI+MjAwMzwvWWVhcj48
UmVjTnVtPjUwPC9SZWNOdW0+PERpc3BsYXlUZXh0PihIaXVra2EsIDE5OTg7IEh1bW1lbDxzdHls
ZSBmYWNlPSJpdGFsaWMiPiBldCBhbC48L3N0eWxlPiwgMjAwMTsgR2FycmlkbzxzdHlsZSBmYWNl
PSJpdGFsaWMiPiBldCBhbC48L3N0eWxlPiwgMjAwMzsgRnJhbmRvLCAyMDA5KTwvRGlzcGxheVRl
eHQ+PHJlY29yZD48cmVjLW51bWJlcj41MDwvcmVjLW51bWJlcj48Zm9yZWlnbi1rZXlzPjxrZXkg
YXBwPSJFTiIgZGItaWQ9IjU1dDJkZWFmcjA5dzV5ZXByOWN4MGZ4eTAwcjJ0cnN0cHo1cyI+NTA8
L2tleT48L2ZvcmVpZ24ta2V5cz48cmVmLXR5cGUgbmFtZT0iQ29uZmVyZW5jZSBQYXBlciI+NDc8
L3JlZi10eXBlPjxjb250cmlidXRvcnM+PGF1dGhvcnM+PGF1dGhvcj5HYXJyaWRvLCBBPC9hdXRo
b3I+PGF1dGhvcj5Qw6lyZXosIE0uRCA8L2F1dGhvcj48YXV0aG9yPkd1ZXJyZXJvLCBKLkUgPC9h
dXRob3I+PGF1dGhvcj5Hw7NtZXosIEE8L2F1dGhvcj48L2F1dGhvcnM+PHNlY29uZGFyeS1hdXRo
b3JzPjxhdXRob3I+WElYIEN1cnNvIGRlIGVzcGVjaWFsaXphY2nDs24gRkVETkEgPC9hdXRob3I+
PC9zZWNvbmRhcnktYXV0aG9ycz48L2NvbnRyaWJ1dG9ycz48dGl0bGVzPjx0aXRsZT5BdmFuY2Vz
IGVuIGxhIHV0aWxpemFjacOzbiBkZSBsYSB0ZWNub2xvZ8OtYSBOSVJTLiBBcGxpY2FjaW9uZXMg
ZW4gcHJvZHVjY2nDs24gYW5pbWFsPC90aXRsZT48L3RpdGxlcz48ZGF0ZXM+PHllYXI+MjAwMzwv
eWVhcj48L2RhdGVzPjx1cmxzPjxyZWxhdGVkLXVybHM+PHVybD5odHRwOi8vaGVsdmlhLnVjby5l
cy94bWx1aS9iaXRzdHJlYW0vaGFuZGxlLzEwMzk2LzYwOTIvcC5hLjcucGRmP3NlcXVlbmNlPTE8
L3VybD48L3JlbGF0ZWQtdXJscz48L3VybHM+PC9yZWNvcmQ+PC9DaXRlPjxDaXRlPjxBdXRob3I+
SHVtbWVsPC9BdXRob3I+PFllYXI+MjAwMTwvWWVhcj48UmVjTnVtPjUyPC9SZWNOdW0+PHJlY29y
ZD48cmVjLW51bWJlcj41MjwvcmVjLW51bWJlcj48Zm9yZWlnbi1rZXlzPjxrZXkgYXBwPSJFTiIg
ZGItaWQ9IjU1dDJkZWFmcjA5dzV5ZXByOWN4MGZ4eTAwcjJ0cnN0cHo1cyI+NTI8L2tleT48L2Zv
cmVpZ24ta2V5cz48cmVmLXR5cGUgbmFtZT0iSm91cm5hbCBBcnRpY2xlIj4xNzwvcmVmLXR5cGU+
PGNvbnRyaWJ1dG9ycz48YXV0aG9ycz48YXV0aG9yPkh1bW1lbCwgSi5XPC9hdXRob3I+PGF1dGhv
cj5TdWRkdXRoLCBLLkE8L2F1dGhvcj48YXV0aG9yPkhvbGxpbmdlciwgUy5FPC9hdXRob3I+PC9h
dXRob3JzPjwvY29udHJpYnV0b3JzPjx0aXRsZXM+PHRpdGxlPlNvaWwgbW9pc3R1cmUgYW5kIG9y
Z2FuaWMgbWF0dGVyIHByZWRpY3Rpb24gb2Ygc3VyZmFjZSBhbmQgc3Vic3VyZmFjZSBzb2lscyB1
c2luZyBhbiBOSVIgc29pbCBzZW5zb3I8L3RpdGxlPjxzZWNvbmRhcnktdGl0bGU+RWxzZXZpZXIg
U2NpZW5jZSBMdGQ8L3NlY29uZGFyeS10aXRsZT48L3RpdGxlcz48cGVyaW9kaWNhbD48ZnVsbC10
aXRsZT5FbHNldmllciBTY2llbmNlIEx0ZDwvZnVsbC10aXRsZT48L3BlcmlvZGljYWw+PHBhZ2Vz
PnBwLiAxNDktMTY1PC9wYWdlcz48ZGF0ZXM+PHllYXI+MjAwMTwveWVhcj48L2RhdGVzPjx1cmxz
PjxyZWxhdGVkLXVybHM+PHVybD53d3cuZWxzZXZpZXIuY29tPC91cmw+PC9yZWxhdGVkLXVybHM+
PC91cmxzPjwvcmVjb3JkPjwvQ2l0ZT48Q2l0ZT48QXV0aG9yPkZyYW5kbzwvQXV0aG9yPjxZZWFy
PjIwMDk8L1llYXI+PFJlY051bT40ODwvUmVjTnVtPjxyZWNvcmQ+PHJlYy1udW1iZXI+NDg8L3Jl
Yy1udW1iZXI+PGZvcmVpZ24ta2V5cz48a2V5IGFwcD0iRU4iIGRiLWlkPSI1NXQyZGVhZnIwOXc1
eWVwcjljeDBmeHkwMHIydHJzdHB6NXMiPjQ4PC9rZXk+PC9mb3JlaWduLWtleXM+PHJlZi10eXBl
IG5hbWU9IlRoZXNpcyI+MzI8L3JlZi10eXBlPjxjb250cmlidXRvcnM+PGF1dGhvcnM+PGF1dGhv
cj5GcmFuZG8gPC9hdXRob3I+PC9hdXRob3JzPjwvY29udHJpYnV0b3JzPjx0aXRsZXM+PHRpdGxl
PlTDqWNuaWNhcyBObyBEZXN0cnVjdGl2YXMgTlREPC90aXRsZT48c2Vjb25kYXJ5LXRpdGxlPklu
bm92YWNpb25lcyBlbiB0w6ljbmljYXMgbm8gZGVzdHJ1Y3RpdmFzPC9zZWNvbmRhcnktdGl0bGU+
PC90aXRsZXM+PHBlcmlvZGljYWw+PGZ1bGwtdGl0bGU+SW5ub3ZhY2lvbmVzIGVuIHTDqWNuaWNh
cyBubyBkZXN0cnVjdGl2YXM8L2Z1bGwtdGl0bGU+PC9wZXJpb2RpY2FsPjxkYXRlcz48eWVhcj4y
MDA5PC95ZWFyPjwvZGF0ZXM+PHVybHM+PHJlbGF0ZWQtdXJscz48dXJsPmh0dHA6Ly93d3cuZnJh
bmRvLmNsL2luZGV4X2FyY2hpdm9zL1RlY25pY2FzX05EVC5odG08L3VybD48L3JlbGF0ZWQtdXJs
cz48L3VybHM+PC9yZWNvcmQ+PC9DaXRlPjxDaXRlPjxBdXRob3I+SGl1a2thPC9BdXRob3I+PFll
YXI+MTk5ODwvWWVhcj48UmVjTnVtPjUxPC9SZWNOdW0+PHJlY29yZD48cmVjLW51bWJlcj41MTwv
cmVjLW51bWJlcj48Zm9yZWlnbi1rZXlzPjxrZXkgYXBwPSJFTiIgZGItaWQ9IjU1dDJkZWFmcjA5
dzV5ZXByOWN4MGZ4eTAwcjJ0cnN0cHo1cyI+NTE8L2tleT48L2ZvcmVpZ24ta2V5cz48cmVmLXR5
cGUgbmFtZT0iSm91cm5hbCBBcnRpY2xlIj4xNzwvcmVmLXR5cGU+PGNvbnRyaWJ1dG9ycz48YXV0
aG9ycz48YXV0aG9yPkhpdWtrYSwgUjwvYXV0aG9yPjwvYXV0aG9ycz48L2NvbnRyaWJ1dG9ycz48
dGl0bGVzPjx0aXRsZT5BIG11bHRpdmFyaWF0ZSBhcHByb2FjaCB0byB0aGUgYW5hbHlzaXMgb2Yg
cGluZSBuZWVkbGUgc2FtcGxlcyB1c2luZyBOSVI8L3RpdGxlPjxzZWNvbmRhcnktdGl0bGU+RWxz
ZXZpZXIgU2NpZW5jZSBMdGQ8L3NlY29uZGFyeS10aXRsZT48L3RpdGxlcz48cGVyaW9kaWNhbD48
ZnVsbC10aXRsZT5FbHNldmllciBTY2llbmNlIEx0ZDwvZnVsbC10aXRsZT48L3BlcmlvZGljYWw+
PHBhZ2VzPnBwLiAzOTUtNDAxPC9wYWdlcz48ZGF0ZXM+PHllYXI+MTk5ODwveWVhcj48L2RhdGVz
Pjx1cmxzPjxyZWxhdGVkLXVybHM+PHVybD53d3cuZWxzZXZpci5jb208L3VybD48L3JlbGF0ZWQt
dXJscz48L3VybHM+PC9yZWNvcmQ+PC9DaXRlPjxDaXRlPjxBdXRob3I+SGl1a2thPC9BdXRob3I+
PFllYXI+MTk5ODwvWWVhcj48UmVjTnVtPjUxPC9SZWNOdW0+PHJlY29yZD48cmVjLW51bWJlcj41
MTwvcmVjLW51bWJlcj48Zm9yZWlnbi1rZXlzPjxrZXkgYXBwPSJFTiIgZGItaWQ9IjU1dDJkZWFm
cjA5dzV5ZXByOWN4MGZ4eTAwcjJ0cnN0cHo1cyI+NTE8L2tleT48L2ZvcmVpZ24ta2V5cz48cmVm
LXR5cGUgbmFtZT0iSm91cm5hbCBBcnRpY2xlIj4xNzwvcmVmLXR5cGU+PGNvbnRyaWJ1dG9ycz48
YXV0aG9ycz48YXV0aG9yPkhpdWtrYSwgUjwvYXV0aG9yPjwvYXV0aG9ycz48L2NvbnRyaWJ1dG9y
cz48dGl0bGVzPjx0aXRsZT5BIG11bHRpdmFyaWF0ZSBhcHByb2FjaCB0byB0aGUgYW5hbHlzaXMg
b2YgcGluZSBuZWVkbGUgc2FtcGxlcyB1c2luZyBOSVI8L3RpdGxlPjxzZWNvbmRhcnktdGl0bGU+
RWxzZXZpZXIgU2NpZW5jZSBMdGQ8L3NlY29uZGFyeS10aXRsZT48L3RpdGxlcz48cGVyaW9kaWNh
bD48ZnVsbC10aXRsZT5FbHNldmllciBTY2llbmNlIEx0ZDwvZnVsbC10aXRsZT48L3BlcmlvZGlj
YWw+PHBhZ2VzPnBwLiAzOTUtNDAxPC9wYWdlcz48ZGF0ZXM+PHllYXI+MTk5ODwveWVhcj48L2Rh
dGVzPjx1cmxzPjxyZWxhdGVkLXVybHM+PHVybD53d3cuZWxzZXZpci5jb208L3VybD48L3JlbGF0
ZWQtdXJscz48L3VybHM+PC9yZWNvcmQ+PC9DaXRlPjwvRW5kTm90ZT4A
</w:fldData>
        </w:fldChar>
      </w:r>
      <w:r w:rsidRPr="002B66D3">
        <w:rPr>
          <w:rFonts w:ascii="Times New Roman" w:eastAsia="Calibri" w:hAnsi="Times New Roman" w:cs="Times New Roman"/>
          <w:sz w:val="24"/>
          <w:szCs w:val="24"/>
        </w:rPr>
        <w:instrText xml:space="preserve"> ADDIN EN.CITE.DATA </w:instrText>
      </w:r>
      <w:r w:rsidRPr="002B66D3">
        <w:rPr>
          <w:rFonts w:ascii="Times New Roman" w:eastAsia="Calibri" w:hAnsi="Times New Roman" w:cs="Times New Roman"/>
          <w:sz w:val="24"/>
          <w:szCs w:val="24"/>
        </w:rPr>
      </w:r>
      <w:r w:rsidRPr="002B66D3">
        <w:rPr>
          <w:rFonts w:ascii="Times New Roman" w:eastAsia="Calibri" w:hAnsi="Times New Roman" w:cs="Times New Roman"/>
          <w:sz w:val="24"/>
          <w:szCs w:val="24"/>
        </w:rPr>
        <w:fldChar w:fldCharType="end"/>
      </w:r>
      <w:r w:rsidRPr="002B66D3">
        <w:rPr>
          <w:rFonts w:ascii="Times New Roman" w:eastAsia="Calibri" w:hAnsi="Times New Roman" w:cs="Times New Roman"/>
          <w:sz w:val="24"/>
          <w:szCs w:val="24"/>
        </w:rPr>
      </w:r>
      <w:r w:rsidRPr="002B66D3">
        <w:rPr>
          <w:rFonts w:ascii="Times New Roman" w:eastAsia="Calibri" w:hAnsi="Times New Roman" w:cs="Times New Roman"/>
          <w:sz w:val="24"/>
          <w:szCs w:val="24"/>
        </w:rPr>
        <w:fldChar w:fldCharType="separate"/>
      </w:r>
      <w:r w:rsidRPr="002B66D3">
        <w:rPr>
          <w:rFonts w:ascii="Times New Roman" w:eastAsia="Calibri" w:hAnsi="Times New Roman" w:cs="Times New Roman"/>
          <w:noProof/>
          <w:sz w:val="24"/>
          <w:szCs w:val="24"/>
        </w:rPr>
        <w:t>(</w:t>
      </w:r>
      <w:hyperlink w:anchor="_ENREF_27" w:tooltip="Hiukka, 1998 #51" w:history="1">
        <w:r w:rsidRPr="002B66D3">
          <w:rPr>
            <w:rFonts w:ascii="Times New Roman" w:eastAsia="Calibri" w:hAnsi="Times New Roman" w:cs="Times New Roman"/>
            <w:noProof/>
            <w:sz w:val="24"/>
            <w:szCs w:val="24"/>
          </w:rPr>
          <w:t>Hiukka, 1998</w:t>
        </w:r>
      </w:hyperlink>
      <w:r w:rsidRPr="002B66D3">
        <w:rPr>
          <w:rFonts w:ascii="Times New Roman" w:eastAsia="Calibri" w:hAnsi="Times New Roman" w:cs="Times New Roman"/>
          <w:noProof/>
          <w:sz w:val="24"/>
          <w:szCs w:val="24"/>
        </w:rPr>
        <w:t xml:space="preserve">; </w:t>
      </w:r>
      <w:hyperlink w:anchor="_ENREF_28" w:tooltip="Hummel, 2001 #52" w:history="1">
        <w:r w:rsidRPr="002B66D3">
          <w:rPr>
            <w:rFonts w:ascii="Times New Roman" w:eastAsia="Calibri" w:hAnsi="Times New Roman" w:cs="Times New Roman"/>
            <w:noProof/>
            <w:sz w:val="24"/>
            <w:szCs w:val="24"/>
          </w:rPr>
          <w:t>Hummel</w:t>
        </w:r>
        <w:r w:rsidRPr="002B66D3">
          <w:rPr>
            <w:rFonts w:ascii="Times New Roman" w:eastAsia="Calibri" w:hAnsi="Times New Roman" w:cs="Times New Roman"/>
            <w:i/>
            <w:noProof/>
            <w:sz w:val="24"/>
            <w:szCs w:val="24"/>
          </w:rPr>
          <w:t xml:space="preserve"> et al.</w:t>
        </w:r>
        <w:r w:rsidRPr="002B66D3">
          <w:rPr>
            <w:rFonts w:ascii="Times New Roman" w:eastAsia="Calibri" w:hAnsi="Times New Roman" w:cs="Times New Roman"/>
            <w:noProof/>
            <w:sz w:val="24"/>
            <w:szCs w:val="24"/>
          </w:rPr>
          <w:t>, 2001</w:t>
        </w:r>
      </w:hyperlink>
      <w:r w:rsidRPr="002B66D3">
        <w:rPr>
          <w:rFonts w:ascii="Times New Roman" w:eastAsia="Calibri" w:hAnsi="Times New Roman" w:cs="Times New Roman"/>
          <w:noProof/>
          <w:sz w:val="24"/>
          <w:szCs w:val="24"/>
        </w:rPr>
        <w:t xml:space="preserve">; </w:t>
      </w:r>
      <w:hyperlink w:anchor="_ENREF_20" w:tooltip="Garrido, 2003 #50" w:history="1">
        <w:r w:rsidRPr="002B66D3">
          <w:rPr>
            <w:rFonts w:ascii="Times New Roman" w:eastAsia="Calibri" w:hAnsi="Times New Roman" w:cs="Times New Roman"/>
            <w:noProof/>
            <w:sz w:val="24"/>
            <w:szCs w:val="24"/>
          </w:rPr>
          <w:t>Garrido</w:t>
        </w:r>
        <w:r w:rsidRPr="002B66D3">
          <w:rPr>
            <w:rFonts w:ascii="Times New Roman" w:eastAsia="Calibri" w:hAnsi="Times New Roman" w:cs="Times New Roman"/>
            <w:i/>
            <w:noProof/>
            <w:sz w:val="24"/>
            <w:szCs w:val="24"/>
          </w:rPr>
          <w:t xml:space="preserve"> et al.</w:t>
        </w:r>
        <w:r w:rsidRPr="002B66D3">
          <w:rPr>
            <w:rFonts w:ascii="Times New Roman" w:eastAsia="Calibri" w:hAnsi="Times New Roman" w:cs="Times New Roman"/>
            <w:noProof/>
            <w:sz w:val="24"/>
            <w:szCs w:val="24"/>
          </w:rPr>
          <w:t>, 2003</w:t>
        </w:r>
      </w:hyperlink>
      <w:r w:rsidRPr="002B66D3">
        <w:rPr>
          <w:rFonts w:ascii="Times New Roman" w:eastAsia="Calibri" w:hAnsi="Times New Roman" w:cs="Times New Roman"/>
          <w:noProof/>
          <w:sz w:val="24"/>
          <w:szCs w:val="24"/>
        </w:rPr>
        <w:t xml:space="preserve">; </w:t>
      </w:r>
      <w:hyperlink w:anchor="_ENREF_18" w:tooltip="Frando, 2009 #48" w:history="1">
        <w:r w:rsidRPr="002B66D3">
          <w:rPr>
            <w:rFonts w:ascii="Times New Roman" w:eastAsia="Calibri" w:hAnsi="Times New Roman" w:cs="Times New Roman"/>
            <w:noProof/>
            <w:sz w:val="24"/>
            <w:szCs w:val="24"/>
          </w:rPr>
          <w:t>Frando, 2009</w:t>
        </w:r>
      </w:hyperlink>
      <w:r w:rsidRPr="002B66D3">
        <w:rPr>
          <w:rFonts w:ascii="Times New Roman" w:eastAsia="Calibri" w:hAnsi="Times New Roman" w:cs="Times New Roman"/>
          <w:noProof/>
          <w:sz w:val="24"/>
          <w:szCs w:val="24"/>
        </w:rPr>
        <w:t>)</w:t>
      </w:r>
      <w:r w:rsidRPr="002B66D3">
        <w:rPr>
          <w:rFonts w:ascii="Times New Roman" w:eastAsia="Calibri" w:hAnsi="Times New Roman" w:cs="Times New Roman"/>
          <w:sz w:val="24"/>
          <w:szCs w:val="24"/>
        </w:rPr>
        <w:fldChar w:fldCharType="end"/>
      </w:r>
      <w:r w:rsidRPr="002B66D3">
        <w:rPr>
          <w:rFonts w:ascii="Times New Roman" w:eastAsia="Calibri" w:hAnsi="Times New Roman" w:cs="Times New Roman"/>
          <w:sz w:val="24"/>
          <w:szCs w:val="24"/>
        </w:rPr>
        <w:t>.</w:t>
      </w:r>
      <w:r w:rsidRPr="00AB33E0">
        <w:rPr>
          <w:rFonts w:ascii="Times New Roman" w:eastAsia="Calibri" w:hAnsi="Times New Roman" w:cs="Times New Roman"/>
          <w:sz w:val="24"/>
          <w:szCs w:val="24"/>
        </w:rPr>
        <w:t xml:space="preserve"> El manganeso, resultó ser mejor modelo en base al coeficiente RPD determinado 0.99, estos resultados están en correspondencia con los resultados obtenidos en el cultivar 204 de malanga morada.</w:t>
      </w:r>
    </w:p>
    <w:p w:rsidR="003119C2" w:rsidRPr="00AB33E0" w:rsidRDefault="003119C2" w:rsidP="003119C2">
      <w:pPr>
        <w:spacing w:before="120" w:after="120" w:line="480" w:lineRule="auto"/>
        <w:jc w:val="center"/>
        <w:rPr>
          <w:rFonts w:ascii="Times New Roman" w:eastAsia="Calibri" w:hAnsi="Times New Roman" w:cs="Times New Roman"/>
          <w:b/>
          <w:sz w:val="24"/>
          <w:szCs w:val="24"/>
        </w:rPr>
      </w:pPr>
      <w:r w:rsidRPr="00AB33E0">
        <w:rPr>
          <w:rFonts w:ascii="Times New Roman" w:eastAsia="Calibri" w:hAnsi="Times New Roman" w:cs="Times New Roman"/>
          <w:b/>
          <w:noProof/>
          <w:sz w:val="24"/>
          <w:szCs w:val="24"/>
          <w:lang w:val="en-US"/>
        </w:rPr>
        <w:lastRenderedPageBreak/>
        <w:drawing>
          <wp:inline distT="0" distB="0" distL="0" distR="0" wp14:anchorId="055A5324" wp14:editId="753439B5">
            <wp:extent cx="3874381" cy="4048125"/>
            <wp:effectExtent l="0" t="0" r="0" b="0"/>
            <wp:docPr id="13" name="Imagen 13" descr="E:\sandra\Na, Zn, Fe, K M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andra\Na, Zn, Fe, K M2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0934" cy="4075868"/>
                    </a:xfrm>
                    <a:prstGeom prst="rect">
                      <a:avLst/>
                    </a:prstGeom>
                    <a:noFill/>
                    <a:ln>
                      <a:noFill/>
                    </a:ln>
                  </pic:spPr>
                </pic:pic>
              </a:graphicData>
            </a:graphic>
          </wp:inline>
        </w:drawing>
      </w:r>
    </w:p>
    <w:p w:rsidR="003119C2" w:rsidRDefault="003119C2" w:rsidP="003119C2">
      <w:pPr>
        <w:spacing w:before="120" w:after="120"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Figura 7</w:t>
      </w:r>
      <w:r w:rsidRPr="00E773D1">
        <w:rPr>
          <w:rFonts w:ascii="Times New Roman" w:eastAsia="Calibri" w:hAnsi="Times New Roman" w:cs="Times New Roman"/>
          <w:sz w:val="20"/>
          <w:szCs w:val="20"/>
        </w:rPr>
        <w:t xml:space="preserve">. Correlación estadística de las concentraciones de sodio, cinc, hierro, potasio y la </w:t>
      </w:r>
      <w:proofErr w:type="spellStart"/>
      <w:r w:rsidRPr="00E773D1">
        <w:rPr>
          <w:rFonts w:ascii="Times New Roman" w:eastAsia="Calibri" w:hAnsi="Times New Roman" w:cs="Times New Roman"/>
          <w:sz w:val="20"/>
          <w:szCs w:val="20"/>
        </w:rPr>
        <w:t>reflectancia</w:t>
      </w:r>
      <w:proofErr w:type="spellEnd"/>
      <w:r w:rsidRPr="00E773D1">
        <w:rPr>
          <w:rFonts w:ascii="Times New Roman" w:eastAsia="Calibri" w:hAnsi="Times New Roman" w:cs="Times New Roman"/>
          <w:sz w:val="20"/>
          <w:szCs w:val="20"/>
        </w:rPr>
        <w:t xml:space="preserve"> espectral vis-NIR.</w:t>
      </w:r>
      <w:r>
        <w:rPr>
          <w:rFonts w:ascii="Times New Roman" w:eastAsia="Calibri" w:hAnsi="Times New Roman" w:cs="Times New Roman"/>
          <w:sz w:val="20"/>
          <w:szCs w:val="20"/>
        </w:rPr>
        <w:t xml:space="preserve"> Fuente: Elaboración propia</w:t>
      </w:r>
    </w:p>
    <w:p w:rsidR="003119C2" w:rsidRPr="00AB33E0" w:rsidRDefault="003119C2" w:rsidP="003119C2">
      <w:pPr>
        <w:spacing w:after="0" w:line="360" w:lineRule="auto"/>
        <w:jc w:val="both"/>
        <w:rPr>
          <w:rFonts w:ascii="Times New Roman" w:eastAsia="Calibri" w:hAnsi="Times New Roman" w:cs="Times New Roman"/>
          <w:sz w:val="24"/>
          <w:szCs w:val="24"/>
        </w:rPr>
      </w:pPr>
      <w:r w:rsidRPr="00AB33E0">
        <w:rPr>
          <w:rFonts w:ascii="Times New Roman" w:eastAsia="Calibri" w:hAnsi="Times New Roman" w:cs="Times New Roman"/>
          <w:sz w:val="24"/>
          <w:szCs w:val="24"/>
        </w:rPr>
        <w:t>Por el contrario, la predicción en el cultivar 207 de malanga morada mostró un coeficiente R</w:t>
      </w:r>
      <w:r w:rsidRPr="00AB33E0">
        <w:rPr>
          <w:rFonts w:ascii="Times New Roman" w:eastAsia="Calibri" w:hAnsi="Times New Roman" w:cs="Times New Roman"/>
          <w:sz w:val="24"/>
          <w:szCs w:val="24"/>
          <w:vertAlign w:val="superscript"/>
        </w:rPr>
        <w:t>2</w:t>
      </w:r>
      <w:r w:rsidRPr="00AB33E0">
        <w:rPr>
          <w:rFonts w:ascii="Times New Roman" w:eastAsia="Calibri" w:hAnsi="Times New Roman" w:cs="Times New Roman"/>
          <w:sz w:val="24"/>
          <w:szCs w:val="24"/>
        </w:rPr>
        <w:t xml:space="preserve">CV superior a 0.90 en todos los minerales analizados, excepto en la concentración de cobre 0.81 como se </w:t>
      </w:r>
      <w:r>
        <w:rPr>
          <w:rFonts w:ascii="Times New Roman" w:eastAsia="Calibri" w:hAnsi="Times New Roman" w:cs="Times New Roman"/>
          <w:sz w:val="24"/>
          <w:szCs w:val="24"/>
        </w:rPr>
        <w:t>puede observar en las Figuras 8 y 9</w:t>
      </w:r>
      <w:r w:rsidRPr="00AB33E0">
        <w:rPr>
          <w:rFonts w:ascii="Times New Roman" w:eastAsia="Calibri" w:hAnsi="Times New Roman" w:cs="Times New Roman"/>
          <w:sz w:val="24"/>
          <w:szCs w:val="24"/>
        </w:rPr>
        <w:t xml:space="preserve">. </w:t>
      </w:r>
    </w:p>
    <w:p w:rsidR="003119C2" w:rsidRPr="00AB33E0" w:rsidRDefault="003119C2" w:rsidP="003119C2">
      <w:pPr>
        <w:spacing w:before="120" w:after="120" w:line="480" w:lineRule="auto"/>
        <w:jc w:val="center"/>
        <w:rPr>
          <w:rFonts w:ascii="Times New Roman" w:eastAsia="Calibri" w:hAnsi="Times New Roman" w:cs="Times New Roman"/>
          <w:b/>
          <w:sz w:val="24"/>
          <w:szCs w:val="24"/>
        </w:rPr>
      </w:pPr>
      <w:r w:rsidRPr="00AB33E0">
        <w:rPr>
          <w:rFonts w:ascii="Times New Roman" w:eastAsia="Calibri" w:hAnsi="Times New Roman" w:cs="Times New Roman"/>
          <w:b/>
          <w:noProof/>
          <w:sz w:val="24"/>
          <w:szCs w:val="24"/>
          <w:lang w:val="en-US"/>
        </w:rPr>
        <w:lastRenderedPageBreak/>
        <w:drawing>
          <wp:inline distT="0" distB="0" distL="0" distR="0" wp14:anchorId="6F96C658" wp14:editId="064405E6">
            <wp:extent cx="3579495" cy="3685014"/>
            <wp:effectExtent l="0" t="0" r="1905" b="0"/>
            <wp:docPr id="14" name="Imagen 14" descr="E:\sandra\Ca, Mg, Mn, Cu M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andra\Ca, Mg, Mn, Cu M2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2643" cy="3698549"/>
                    </a:xfrm>
                    <a:prstGeom prst="rect">
                      <a:avLst/>
                    </a:prstGeom>
                    <a:noFill/>
                    <a:ln>
                      <a:noFill/>
                    </a:ln>
                  </pic:spPr>
                </pic:pic>
              </a:graphicData>
            </a:graphic>
          </wp:inline>
        </w:drawing>
      </w:r>
    </w:p>
    <w:p w:rsidR="003119C2" w:rsidRPr="00E773D1" w:rsidRDefault="003119C2" w:rsidP="003119C2">
      <w:pPr>
        <w:spacing w:before="120" w:after="120" w:line="360" w:lineRule="auto"/>
        <w:jc w:val="center"/>
        <w:rPr>
          <w:rFonts w:ascii="Times New Roman" w:eastAsia="Calibri" w:hAnsi="Times New Roman" w:cs="Times New Roman"/>
          <w:sz w:val="20"/>
          <w:szCs w:val="20"/>
        </w:rPr>
      </w:pPr>
      <w:r w:rsidRPr="00E773D1">
        <w:rPr>
          <w:rFonts w:ascii="Times New Roman" w:eastAsia="Calibri" w:hAnsi="Times New Roman" w:cs="Times New Roman"/>
          <w:sz w:val="20"/>
          <w:szCs w:val="20"/>
        </w:rPr>
        <w:t xml:space="preserve">Figura 8. Correlación estadística de las concentraciones de calcio, magnesio, manganeso, cobre y la </w:t>
      </w:r>
      <w:proofErr w:type="spellStart"/>
      <w:r w:rsidRPr="00E773D1">
        <w:rPr>
          <w:rFonts w:ascii="Times New Roman" w:eastAsia="Calibri" w:hAnsi="Times New Roman" w:cs="Times New Roman"/>
          <w:sz w:val="20"/>
          <w:szCs w:val="20"/>
        </w:rPr>
        <w:t>reflectancia</w:t>
      </w:r>
      <w:proofErr w:type="spellEnd"/>
      <w:r w:rsidRPr="00E773D1">
        <w:rPr>
          <w:rFonts w:ascii="Times New Roman" w:eastAsia="Calibri" w:hAnsi="Times New Roman" w:cs="Times New Roman"/>
          <w:sz w:val="20"/>
          <w:szCs w:val="20"/>
        </w:rPr>
        <w:t xml:space="preserve"> espectral vis-NIR.</w:t>
      </w:r>
      <w:r>
        <w:rPr>
          <w:rFonts w:ascii="Times New Roman" w:eastAsia="Calibri" w:hAnsi="Times New Roman" w:cs="Times New Roman"/>
          <w:sz w:val="20"/>
          <w:szCs w:val="20"/>
        </w:rPr>
        <w:t xml:space="preserve"> Fuente: Elaboración propia</w:t>
      </w:r>
    </w:p>
    <w:p w:rsidR="003119C2" w:rsidRPr="00AB33E0" w:rsidRDefault="003119C2" w:rsidP="003119C2">
      <w:pPr>
        <w:spacing w:before="120" w:after="120" w:line="480" w:lineRule="auto"/>
        <w:jc w:val="center"/>
        <w:rPr>
          <w:rFonts w:ascii="Times New Roman" w:eastAsia="Calibri" w:hAnsi="Times New Roman" w:cs="Times New Roman"/>
          <w:b/>
          <w:sz w:val="24"/>
          <w:szCs w:val="24"/>
        </w:rPr>
      </w:pPr>
      <w:r w:rsidRPr="00AB33E0">
        <w:rPr>
          <w:rFonts w:ascii="Times New Roman" w:eastAsia="Calibri" w:hAnsi="Times New Roman" w:cs="Times New Roman"/>
          <w:b/>
          <w:noProof/>
          <w:sz w:val="24"/>
          <w:szCs w:val="24"/>
          <w:lang w:val="en-US"/>
        </w:rPr>
        <w:lastRenderedPageBreak/>
        <w:drawing>
          <wp:inline distT="0" distB="0" distL="0" distR="0" wp14:anchorId="7AA2F9A1" wp14:editId="594F94B7">
            <wp:extent cx="3616427" cy="3790950"/>
            <wp:effectExtent l="0" t="0" r="3175" b="0"/>
            <wp:docPr id="15" name="Imagen 15" descr="E:\sandra\Na, Zn, Fe, K M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andra\Na, Zn, Fe, K M2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6575" cy="3812070"/>
                    </a:xfrm>
                    <a:prstGeom prst="rect">
                      <a:avLst/>
                    </a:prstGeom>
                    <a:noFill/>
                    <a:ln>
                      <a:noFill/>
                    </a:ln>
                  </pic:spPr>
                </pic:pic>
              </a:graphicData>
            </a:graphic>
          </wp:inline>
        </w:drawing>
      </w:r>
    </w:p>
    <w:p w:rsidR="003119C2" w:rsidRPr="00E773D1" w:rsidRDefault="003119C2" w:rsidP="003119C2">
      <w:pPr>
        <w:spacing w:before="120" w:after="120" w:line="360" w:lineRule="auto"/>
        <w:jc w:val="center"/>
        <w:rPr>
          <w:rFonts w:ascii="Times New Roman" w:eastAsia="Calibri" w:hAnsi="Times New Roman" w:cs="Times New Roman"/>
          <w:sz w:val="20"/>
          <w:szCs w:val="20"/>
        </w:rPr>
      </w:pPr>
      <w:r w:rsidRPr="00E773D1">
        <w:rPr>
          <w:rFonts w:ascii="Times New Roman" w:eastAsia="Calibri" w:hAnsi="Times New Roman" w:cs="Times New Roman"/>
          <w:sz w:val="20"/>
          <w:szCs w:val="20"/>
        </w:rPr>
        <w:t xml:space="preserve">Figura 9. Correlación estadística de las concentraciones de sodio, cinc, hierro, potasio y la </w:t>
      </w:r>
      <w:proofErr w:type="spellStart"/>
      <w:r w:rsidRPr="00E773D1">
        <w:rPr>
          <w:rFonts w:ascii="Times New Roman" w:eastAsia="Calibri" w:hAnsi="Times New Roman" w:cs="Times New Roman"/>
          <w:sz w:val="20"/>
          <w:szCs w:val="20"/>
        </w:rPr>
        <w:t>reflectancia</w:t>
      </w:r>
      <w:proofErr w:type="spellEnd"/>
      <w:r w:rsidRPr="00E773D1">
        <w:rPr>
          <w:rFonts w:ascii="Times New Roman" w:eastAsia="Calibri" w:hAnsi="Times New Roman" w:cs="Times New Roman"/>
          <w:sz w:val="20"/>
          <w:szCs w:val="20"/>
        </w:rPr>
        <w:t xml:space="preserve"> espectral vis-NIR.</w:t>
      </w:r>
      <w:r>
        <w:rPr>
          <w:rFonts w:ascii="Times New Roman" w:eastAsia="Calibri" w:hAnsi="Times New Roman" w:cs="Times New Roman"/>
          <w:sz w:val="20"/>
          <w:szCs w:val="20"/>
        </w:rPr>
        <w:t xml:space="preserve"> Fuente: Elaboración propia</w:t>
      </w:r>
    </w:p>
    <w:p w:rsidR="003119C2" w:rsidRPr="00FF3346" w:rsidRDefault="003119C2" w:rsidP="003119C2">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3119C2" w:rsidRPr="00B221C9" w:rsidRDefault="003119C2" w:rsidP="003119C2">
      <w:pPr>
        <w:spacing w:after="0" w:line="360" w:lineRule="auto"/>
        <w:jc w:val="both"/>
        <w:rPr>
          <w:rFonts w:ascii="Times New Roman" w:eastAsia="Calibri" w:hAnsi="Times New Roman" w:cs="Times New Roman"/>
          <w:sz w:val="24"/>
          <w:szCs w:val="24"/>
        </w:rPr>
      </w:pPr>
      <w:r w:rsidRPr="00B221C9">
        <w:rPr>
          <w:rFonts w:ascii="Times New Roman" w:eastAsia="Calibri" w:hAnsi="Times New Roman" w:cs="Times New Roman"/>
          <w:sz w:val="24"/>
          <w:szCs w:val="24"/>
        </w:rPr>
        <w:t xml:space="preserve">En los tres cultivares de malanga morada analizados se observaron diferencias significativas en las concentraciones de sodio, potasio, hierro y cinc, siendo el cultivar 204 el que presentó una menor concentración de minerales. </w:t>
      </w:r>
    </w:p>
    <w:p w:rsidR="003119C2" w:rsidRPr="00B221C9" w:rsidRDefault="003119C2" w:rsidP="003119C2">
      <w:pPr>
        <w:spacing w:after="0" w:line="360" w:lineRule="auto"/>
        <w:jc w:val="both"/>
        <w:rPr>
          <w:rFonts w:ascii="Times New Roman" w:eastAsia="Calibri" w:hAnsi="Times New Roman" w:cs="Times New Roman"/>
          <w:sz w:val="24"/>
          <w:szCs w:val="24"/>
        </w:rPr>
      </w:pPr>
      <w:r w:rsidRPr="00B221C9">
        <w:rPr>
          <w:rFonts w:ascii="Times New Roman" w:eastAsia="Calibri" w:hAnsi="Times New Roman" w:cs="Times New Roman"/>
          <w:sz w:val="24"/>
          <w:szCs w:val="24"/>
        </w:rPr>
        <w:t xml:space="preserve">En cada uno de los cultivares evaluados se identificaron las regiones espectrales más influyentes, observándose los mayores valores de </w:t>
      </w:r>
      <w:proofErr w:type="spellStart"/>
      <w:r w:rsidRPr="00B221C9">
        <w:rPr>
          <w:rFonts w:ascii="Times New Roman" w:eastAsia="Calibri" w:hAnsi="Times New Roman" w:cs="Times New Roman"/>
          <w:sz w:val="24"/>
          <w:szCs w:val="24"/>
        </w:rPr>
        <w:t>reflectancia</w:t>
      </w:r>
      <w:proofErr w:type="spellEnd"/>
      <w:r w:rsidRPr="00B221C9">
        <w:rPr>
          <w:rFonts w:ascii="Times New Roman" w:eastAsia="Calibri" w:hAnsi="Times New Roman" w:cs="Times New Roman"/>
          <w:sz w:val="24"/>
          <w:szCs w:val="24"/>
        </w:rPr>
        <w:t xml:space="preserve"> hacia los 800 </w:t>
      </w:r>
      <w:proofErr w:type="spellStart"/>
      <w:r w:rsidRPr="00B221C9">
        <w:rPr>
          <w:rFonts w:ascii="Times New Roman" w:eastAsia="Calibri" w:hAnsi="Times New Roman" w:cs="Times New Roman"/>
          <w:sz w:val="24"/>
          <w:szCs w:val="24"/>
        </w:rPr>
        <w:t>nm</w:t>
      </w:r>
      <w:proofErr w:type="spellEnd"/>
      <w:r w:rsidRPr="00B221C9">
        <w:rPr>
          <w:rFonts w:ascii="Times New Roman" w:eastAsia="Calibri" w:hAnsi="Times New Roman" w:cs="Times New Roman"/>
          <w:sz w:val="24"/>
          <w:szCs w:val="24"/>
        </w:rPr>
        <w:t xml:space="preserve"> de la región vis en los tres cultivares de malanga morada.</w:t>
      </w:r>
    </w:p>
    <w:p w:rsidR="003119C2" w:rsidRDefault="003119C2" w:rsidP="003119C2">
      <w:pPr>
        <w:spacing w:after="0" w:line="360" w:lineRule="auto"/>
        <w:jc w:val="both"/>
        <w:rPr>
          <w:rFonts w:ascii="Times New Roman" w:eastAsia="Calibri" w:hAnsi="Times New Roman" w:cs="Times New Roman"/>
          <w:sz w:val="24"/>
          <w:szCs w:val="24"/>
        </w:rPr>
      </w:pPr>
      <w:r w:rsidRPr="00B221C9">
        <w:rPr>
          <w:rFonts w:ascii="Times New Roman" w:eastAsia="Calibri" w:hAnsi="Times New Roman" w:cs="Times New Roman"/>
          <w:sz w:val="24"/>
          <w:szCs w:val="24"/>
        </w:rPr>
        <w:t xml:space="preserve">Las correlaciones entre las concentraciones de los minerales y la variabilidad de la </w:t>
      </w:r>
      <w:proofErr w:type="spellStart"/>
      <w:r w:rsidRPr="00B221C9">
        <w:rPr>
          <w:rFonts w:ascii="Times New Roman" w:eastAsia="Calibri" w:hAnsi="Times New Roman" w:cs="Times New Roman"/>
          <w:sz w:val="24"/>
          <w:szCs w:val="24"/>
        </w:rPr>
        <w:t>reflectancia</w:t>
      </w:r>
      <w:proofErr w:type="spellEnd"/>
      <w:r w:rsidRPr="00B221C9">
        <w:rPr>
          <w:rFonts w:ascii="Times New Roman" w:eastAsia="Calibri" w:hAnsi="Times New Roman" w:cs="Times New Roman"/>
          <w:sz w:val="24"/>
          <w:szCs w:val="24"/>
        </w:rPr>
        <w:t xml:space="preserve"> espectral por medio del método de regresión PLS, mostró muy buenos resultados en los tres cultivares analizados, destacándose el cultivar 207 y el mineral manganeso. </w:t>
      </w:r>
    </w:p>
    <w:p w:rsidR="003119C2" w:rsidRPr="00B221C9" w:rsidRDefault="003119C2" w:rsidP="003119C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Se recomienda a</w:t>
      </w:r>
      <w:r w:rsidRPr="00B221C9">
        <w:rPr>
          <w:rFonts w:ascii="Times New Roman" w:eastAsia="Calibri" w:hAnsi="Times New Roman" w:cs="Times New Roman"/>
          <w:sz w:val="24"/>
          <w:szCs w:val="24"/>
        </w:rPr>
        <w:t xml:space="preserve">mpliar el rango de análisis de esta investigación para la determinación cuantitativa y no destructiva vis-NIR en otros cultivares de malanga. </w:t>
      </w:r>
      <w:r>
        <w:rPr>
          <w:rFonts w:ascii="Times New Roman" w:eastAsia="Calibri" w:hAnsi="Times New Roman" w:cs="Times New Roman"/>
          <w:sz w:val="24"/>
          <w:szCs w:val="24"/>
        </w:rPr>
        <w:t>Además, u</w:t>
      </w:r>
      <w:r w:rsidRPr="00B221C9">
        <w:rPr>
          <w:rFonts w:ascii="Times New Roman" w:eastAsia="Calibri" w:hAnsi="Times New Roman" w:cs="Times New Roman"/>
          <w:sz w:val="24"/>
          <w:szCs w:val="24"/>
        </w:rPr>
        <w:t>tilizar la técnica de espectroscopia vis-NIR para determinar los restantes parámetros químicos en malangas y otros tubérculos.</w:t>
      </w:r>
    </w:p>
    <w:p w:rsidR="003119C2" w:rsidRPr="00864E2B" w:rsidRDefault="003119C2" w:rsidP="003119C2">
      <w:pPr>
        <w:spacing w:after="0" w:line="360" w:lineRule="auto"/>
        <w:jc w:val="both"/>
        <w:rPr>
          <w:rFonts w:ascii="Times New Roman" w:hAnsi="Times New Roman" w:cs="Times New Roman"/>
          <w:b/>
          <w:sz w:val="24"/>
          <w:szCs w:val="24"/>
        </w:rPr>
      </w:pPr>
      <w:r w:rsidRPr="00864E2B">
        <w:rPr>
          <w:rFonts w:ascii="Times New Roman" w:hAnsi="Times New Roman" w:cs="Times New Roman"/>
          <w:b/>
          <w:sz w:val="24"/>
          <w:szCs w:val="24"/>
        </w:rPr>
        <w:t>5. Referencias bibliográficas</w:t>
      </w:r>
      <w:r w:rsidRPr="00B221C9">
        <w:rPr>
          <w:rFonts w:ascii="Arial" w:eastAsia="Calibri" w:hAnsi="Arial" w:cs="Arial"/>
          <w:b/>
          <w:noProof/>
          <w:sz w:val="24"/>
          <w:szCs w:val="24"/>
        </w:rPr>
        <w:fldChar w:fldCharType="begin"/>
      </w:r>
      <w:r w:rsidRPr="00864E2B">
        <w:rPr>
          <w:rFonts w:ascii="Arial" w:eastAsia="Calibri" w:hAnsi="Arial" w:cs="Arial"/>
          <w:b/>
          <w:noProof/>
          <w:sz w:val="24"/>
          <w:szCs w:val="24"/>
        </w:rPr>
        <w:instrText xml:space="preserve"> ADDIN EN.REFLIST </w:instrText>
      </w:r>
      <w:r w:rsidRPr="00B221C9">
        <w:rPr>
          <w:rFonts w:ascii="Arial" w:eastAsia="Calibri" w:hAnsi="Arial" w:cs="Arial"/>
          <w:b/>
          <w:noProof/>
          <w:sz w:val="24"/>
          <w:szCs w:val="24"/>
        </w:rPr>
        <w:fldChar w:fldCharType="separate"/>
      </w:r>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i/>
          <w:noProof/>
          <w:sz w:val="24"/>
          <w:szCs w:val="24"/>
        </w:rPr>
      </w:pPr>
      <w:bookmarkStart w:id="2" w:name="_ENREF_3"/>
      <w:r w:rsidRPr="00864E2B">
        <w:rPr>
          <w:rFonts w:ascii="Times New Roman" w:eastAsia="Calibri" w:hAnsi="Times New Roman" w:cs="Times New Roman"/>
          <w:noProof/>
          <w:sz w:val="24"/>
          <w:szCs w:val="24"/>
        </w:rPr>
        <w:t xml:space="preserve">BORTONI, M. </w:t>
      </w:r>
      <w:r w:rsidRPr="00864E2B">
        <w:rPr>
          <w:rFonts w:ascii="Times New Roman" w:eastAsia="Calibri" w:hAnsi="Times New Roman" w:cs="Times New Roman"/>
          <w:i/>
          <w:noProof/>
          <w:sz w:val="24"/>
          <w:szCs w:val="24"/>
        </w:rPr>
        <w:t>Importancia de los minerales en el cuerpo [en línea] Disponible en:</w:t>
      </w:r>
      <w:r w:rsidRPr="00864E2B">
        <w:rPr>
          <w:rFonts w:ascii="Times New Roman" w:eastAsia="Calibri" w:hAnsi="Times New Roman" w:cs="Times New Roman"/>
          <w:noProof/>
          <w:sz w:val="24"/>
          <w:szCs w:val="24"/>
        </w:rPr>
        <w:t xml:space="preserve"> </w:t>
      </w:r>
      <w:hyperlink r:id="rId22" w:history="1">
        <w:r w:rsidRPr="00864E2B">
          <w:rPr>
            <w:rFonts w:ascii="Times New Roman" w:eastAsia="Calibri" w:hAnsi="Times New Roman" w:cs="Times New Roman"/>
            <w:noProof/>
            <w:color w:val="0000FF"/>
            <w:sz w:val="24"/>
            <w:szCs w:val="24"/>
            <w:u w:val="single"/>
          </w:rPr>
          <w:t>http://nosotros2.com/</w:t>
        </w:r>
      </w:hyperlink>
      <w:r w:rsidRPr="00864E2B">
        <w:rPr>
          <w:rFonts w:ascii="Times New Roman" w:eastAsia="Calibri" w:hAnsi="Times New Roman" w:cs="Times New Roman"/>
          <w:noProof/>
          <w:sz w:val="24"/>
          <w:szCs w:val="24"/>
        </w:rPr>
        <w:t xml:space="preserve"> </w:t>
      </w:r>
      <w:r w:rsidRPr="00864E2B">
        <w:rPr>
          <w:rFonts w:ascii="Times New Roman" w:eastAsia="Calibri" w:hAnsi="Times New Roman" w:cs="Times New Roman"/>
          <w:i/>
          <w:noProof/>
          <w:sz w:val="24"/>
          <w:szCs w:val="24"/>
        </w:rPr>
        <w:t>[Consulta: 25 de mayo 2017].</w:t>
      </w:r>
      <w:bookmarkEnd w:id="2"/>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rPr>
      </w:pPr>
      <w:bookmarkStart w:id="3" w:name="_ENREF_13"/>
      <w:r w:rsidRPr="00864E2B">
        <w:rPr>
          <w:rFonts w:ascii="Times New Roman" w:eastAsia="Calibri" w:hAnsi="Times New Roman" w:cs="Times New Roman"/>
          <w:noProof/>
          <w:sz w:val="24"/>
          <w:szCs w:val="24"/>
        </w:rPr>
        <w:t xml:space="preserve">FALLAS, J.: </w:t>
      </w:r>
      <w:r w:rsidRPr="00864E2B">
        <w:rPr>
          <w:rFonts w:ascii="Times New Roman" w:eastAsia="Calibri" w:hAnsi="Times New Roman" w:cs="Times New Roman"/>
          <w:i/>
          <w:noProof/>
          <w:sz w:val="24"/>
          <w:szCs w:val="24"/>
        </w:rPr>
        <w:t>REGRESIÓN LINEAL SIMPLE y MÚLTIPLE</w:t>
      </w:r>
      <w:r w:rsidRPr="00864E2B">
        <w:rPr>
          <w:rFonts w:ascii="Times New Roman" w:eastAsia="Calibri" w:hAnsi="Times New Roman" w:cs="Times New Roman"/>
          <w:noProof/>
          <w:sz w:val="24"/>
          <w:szCs w:val="24"/>
        </w:rPr>
        <w:t>, 118pp., Universidad Nacional Costa Rica, 2012.</w:t>
      </w:r>
      <w:bookmarkEnd w:id="3"/>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rPr>
      </w:pPr>
      <w:bookmarkStart w:id="4" w:name="_ENREF_17"/>
      <w:r w:rsidRPr="00864E2B">
        <w:rPr>
          <w:rFonts w:ascii="Times New Roman" w:eastAsia="Calibri" w:hAnsi="Times New Roman" w:cs="Times New Roman"/>
          <w:noProof/>
          <w:sz w:val="24"/>
          <w:szCs w:val="24"/>
        </w:rPr>
        <w:t xml:space="preserve">FLORES, K. U.: </w:t>
      </w:r>
      <w:r w:rsidRPr="00864E2B">
        <w:rPr>
          <w:rFonts w:ascii="Times New Roman" w:eastAsia="Calibri" w:hAnsi="Times New Roman" w:cs="Times New Roman"/>
          <w:i/>
          <w:noProof/>
          <w:sz w:val="24"/>
          <w:szCs w:val="24"/>
        </w:rPr>
        <w:t>Determinación no destructiva de parámetros de calidad de frutas y hortalizas mediante espectroscopia de reflectancia en el infarrojo cercano</w:t>
      </w:r>
      <w:r w:rsidRPr="00864E2B">
        <w:rPr>
          <w:rFonts w:ascii="Times New Roman" w:eastAsia="Calibri" w:hAnsi="Times New Roman" w:cs="Times New Roman"/>
          <w:noProof/>
          <w:sz w:val="24"/>
          <w:szCs w:val="24"/>
        </w:rPr>
        <w:t>, 183pp., Universidad de Córdoba, Córdoba, 2009.</w:t>
      </w:r>
      <w:bookmarkEnd w:id="4"/>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rPr>
      </w:pPr>
      <w:bookmarkStart w:id="5" w:name="_ENREF_18"/>
      <w:r w:rsidRPr="00864E2B">
        <w:rPr>
          <w:rFonts w:ascii="Times New Roman" w:eastAsia="Calibri" w:hAnsi="Times New Roman" w:cs="Times New Roman"/>
          <w:noProof/>
          <w:sz w:val="24"/>
          <w:szCs w:val="24"/>
        </w:rPr>
        <w:t xml:space="preserve">FRANDO: </w:t>
      </w:r>
      <w:r w:rsidRPr="00864E2B">
        <w:rPr>
          <w:rFonts w:ascii="Times New Roman" w:eastAsia="Calibri" w:hAnsi="Times New Roman" w:cs="Times New Roman"/>
          <w:i/>
          <w:noProof/>
          <w:sz w:val="24"/>
          <w:szCs w:val="24"/>
        </w:rPr>
        <w:t>Técnicas No Destructivas NTD</w:t>
      </w:r>
      <w:r w:rsidRPr="00864E2B">
        <w:rPr>
          <w:rFonts w:ascii="Times New Roman" w:eastAsia="Calibri" w:hAnsi="Times New Roman" w:cs="Times New Roman"/>
          <w:noProof/>
          <w:sz w:val="24"/>
          <w:szCs w:val="24"/>
        </w:rPr>
        <w:t>, 2009.</w:t>
      </w:r>
      <w:bookmarkEnd w:id="5"/>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rPr>
      </w:pPr>
      <w:bookmarkStart w:id="6" w:name="_ENREF_20"/>
      <w:r w:rsidRPr="00864E2B">
        <w:rPr>
          <w:rFonts w:ascii="Times New Roman" w:eastAsia="Calibri" w:hAnsi="Times New Roman" w:cs="Times New Roman"/>
          <w:noProof/>
          <w:sz w:val="24"/>
          <w:szCs w:val="24"/>
        </w:rPr>
        <w:t>GARRIDO, A.; M. D. PÉREZ; J. E. GUERRERO y A. GÓMEZ: Avances en la utilización de la tecnología NIRS. Aplicaciones en producción animal. En, pp. 2003.</w:t>
      </w:r>
      <w:bookmarkEnd w:id="6"/>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rPr>
      </w:pPr>
      <w:bookmarkStart w:id="7" w:name="_ENREF_23"/>
      <w:r w:rsidRPr="00864E2B">
        <w:rPr>
          <w:rFonts w:ascii="Times New Roman" w:eastAsia="Calibri" w:hAnsi="Times New Roman" w:cs="Times New Roman"/>
          <w:noProof/>
          <w:sz w:val="24"/>
          <w:szCs w:val="24"/>
        </w:rPr>
        <w:t xml:space="preserve">GONZÁLEZ, M. y   L. MONTAÑO: "La espectroscopia y su tecnología: Un repaso histórico y su importancia para el siglo XXI ", </w:t>
      </w:r>
      <w:r w:rsidRPr="00864E2B">
        <w:rPr>
          <w:rFonts w:ascii="Times New Roman" w:eastAsia="Calibri" w:hAnsi="Times New Roman" w:cs="Times New Roman"/>
          <w:i/>
          <w:noProof/>
          <w:sz w:val="24"/>
          <w:szCs w:val="24"/>
        </w:rPr>
        <w:t>Desarrollo Científico y Tecnológico para la Sociedad</w:t>
      </w:r>
      <w:r w:rsidRPr="00864E2B">
        <w:rPr>
          <w:rFonts w:ascii="Times New Roman" w:eastAsia="Calibri" w:hAnsi="Times New Roman" w:cs="Times New Roman"/>
          <w:noProof/>
          <w:sz w:val="24"/>
          <w:szCs w:val="24"/>
        </w:rPr>
        <w:t>, 9(4): 4602-14, 2015.</w:t>
      </w:r>
      <w:bookmarkEnd w:id="7"/>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lang w:val="en-US"/>
        </w:rPr>
      </w:pPr>
      <w:bookmarkStart w:id="8" w:name="_ENREF_27"/>
      <w:r w:rsidRPr="00864E2B">
        <w:rPr>
          <w:rFonts w:ascii="Times New Roman" w:eastAsia="Calibri" w:hAnsi="Times New Roman" w:cs="Times New Roman"/>
          <w:noProof/>
          <w:sz w:val="24"/>
          <w:szCs w:val="24"/>
          <w:lang w:val="en-US"/>
        </w:rPr>
        <w:t xml:space="preserve">HIUKKA, R.: "A multivariate approach to the analysis of pine needle samples using NIR", </w:t>
      </w:r>
      <w:r w:rsidRPr="00864E2B">
        <w:rPr>
          <w:rFonts w:ascii="Times New Roman" w:eastAsia="Calibri" w:hAnsi="Times New Roman" w:cs="Times New Roman"/>
          <w:i/>
          <w:noProof/>
          <w:sz w:val="24"/>
          <w:szCs w:val="24"/>
          <w:lang w:val="en-US"/>
        </w:rPr>
        <w:t>Elsevier Science Ltd</w:t>
      </w:r>
      <w:r w:rsidRPr="00864E2B">
        <w:rPr>
          <w:rFonts w:ascii="Times New Roman" w:eastAsia="Calibri" w:hAnsi="Times New Roman" w:cs="Times New Roman"/>
          <w:noProof/>
          <w:sz w:val="24"/>
          <w:szCs w:val="24"/>
          <w:lang w:val="en-US"/>
        </w:rPr>
        <w:t>: pp. 395-401, 1998.</w:t>
      </w:r>
      <w:bookmarkEnd w:id="8"/>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lang w:val="en-US"/>
        </w:rPr>
      </w:pPr>
      <w:bookmarkStart w:id="9" w:name="_ENREF_28"/>
      <w:r w:rsidRPr="00864E2B">
        <w:rPr>
          <w:rFonts w:ascii="Times New Roman" w:eastAsia="Calibri" w:hAnsi="Times New Roman" w:cs="Times New Roman"/>
          <w:noProof/>
          <w:sz w:val="24"/>
          <w:szCs w:val="24"/>
          <w:lang w:val="en-US"/>
        </w:rPr>
        <w:t xml:space="preserve">HUMMEL, J. W.; K. A. SUDDUTH y S. E. HOLLINGER: "Soil moisture and organic matter prediction of surface and subsurface soils using an NIR soil sensor", </w:t>
      </w:r>
      <w:r w:rsidRPr="00864E2B">
        <w:rPr>
          <w:rFonts w:ascii="Times New Roman" w:eastAsia="Calibri" w:hAnsi="Times New Roman" w:cs="Times New Roman"/>
          <w:i/>
          <w:noProof/>
          <w:sz w:val="24"/>
          <w:szCs w:val="24"/>
          <w:lang w:val="en-US"/>
        </w:rPr>
        <w:t>Elsevier Science Ltd</w:t>
      </w:r>
      <w:r w:rsidRPr="00864E2B">
        <w:rPr>
          <w:rFonts w:ascii="Times New Roman" w:eastAsia="Calibri" w:hAnsi="Times New Roman" w:cs="Times New Roman"/>
          <w:noProof/>
          <w:sz w:val="24"/>
          <w:szCs w:val="24"/>
          <w:lang w:val="en-US"/>
        </w:rPr>
        <w:t>: pp. 149-165, 2001.</w:t>
      </w:r>
      <w:bookmarkEnd w:id="9"/>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rPr>
      </w:pPr>
      <w:bookmarkStart w:id="10" w:name="_ENREF_41"/>
      <w:r w:rsidRPr="00864E2B">
        <w:rPr>
          <w:rFonts w:ascii="Times New Roman" w:eastAsia="Calibri" w:hAnsi="Times New Roman" w:cs="Times New Roman"/>
          <w:noProof/>
          <w:sz w:val="24"/>
          <w:szCs w:val="24"/>
        </w:rPr>
        <w:t xml:space="preserve">MILIÁN, M.: "RECURSOS GENÉTICOS DE LA MALANGA DEL GÉNERO Xanthosoma SCHOTT EN CUBA", </w:t>
      </w:r>
      <w:r w:rsidRPr="00864E2B">
        <w:rPr>
          <w:rFonts w:ascii="Times New Roman" w:eastAsia="Calibri" w:hAnsi="Times New Roman" w:cs="Times New Roman"/>
          <w:i/>
          <w:noProof/>
          <w:sz w:val="24"/>
          <w:szCs w:val="24"/>
        </w:rPr>
        <w:t>Cultivos Tropicales</w:t>
      </w:r>
      <w:r w:rsidRPr="00864E2B">
        <w:rPr>
          <w:rFonts w:ascii="Times New Roman" w:eastAsia="Calibri" w:hAnsi="Times New Roman" w:cs="Times New Roman"/>
          <w:noProof/>
          <w:sz w:val="24"/>
          <w:szCs w:val="24"/>
        </w:rPr>
        <w:t>, 39(2): 126, 2018.</w:t>
      </w:r>
      <w:bookmarkEnd w:id="10"/>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lang w:val="en-US"/>
        </w:rPr>
      </w:pPr>
      <w:bookmarkStart w:id="11" w:name="_ENREF_47"/>
      <w:r w:rsidRPr="00864E2B">
        <w:rPr>
          <w:rFonts w:ascii="Times New Roman" w:eastAsia="Calibri" w:hAnsi="Times New Roman" w:cs="Times New Roman"/>
          <w:noProof/>
          <w:sz w:val="24"/>
          <w:szCs w:val="24"/>
          <w:lang w:val="en-US"/>
        </w:rPr>
        <w:lastRenderedPageBreak/>
        <w:t xml:space="preserve">NICOLAI, B. M.; K. BEULLENS; A. BOBELYN y W. PEIRS: </w:t>
      </w:r>
      <w:r w:rsidRPr="00864E2B">
        <w:rPr>
          <w:rFonts w:ascii="Times New Roman" w:eastAsia="Calibri" w:hAnsi="Times New Roman" w:cs="Times New Roman"/>
          <w:i/>
          <w:noProof/>
          <w:sz w:val="24"/>
          <w:szCs w:val="24"/>
          <w:lang w:val="en-US"/>
        </w:rPr>
        <w:t>"Nondestructive measurement of fruit and vegetable quality by means of NIR spectroscopy: A review. "  Postharvest Biol. Technol.</w:t>
      </w:r>
      <w:r w:rsidRPr="00864E2B">
        <w:rPr>
          <w:rFonts w:ascii="Times New Roman" w:eastAsia="Calibri" w:hAnsi="Times New Roman" w:cs="Times New Roman"/>
          <w:noProof/>
          <w:sz w:val="24"/>
          <w:szCs w:val="24"/>
          <w:lang w:val="en-US"/>
        </w:rPr>
        <w:t>, 2007.</w:t>
      </w:r>
      <w:bookmarkEnd w:id="11"/>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rPr>
      </w:pPr>
      <w:bookmarkStart w:id="12" w:name="_ENREF_51"/>
      <w:r w:rsidRPr="00864E2B">
        <w:rPr>
          <w:rFonts w:ascii="Times New Roman" w:eastAsia="Calibri" w:hAnsi="Times New Roman" w:cs="Times New Roman"/>
          <w:noProof/>
          <w:sz w:val="24"/>
          <w:szCs w:val="24"/>
        </w:rPr>
        <w:t xml:space="preserve">PEGUERO, A.: </w:t>
      </w:r>
      <w:r w:rsidRPr="00864E2B">
        <w:rPr>
          <w:rFonts w:ascii="Times New Roman" w:eastAsia="Calibri" w:hAnsi="Times New Roman" w:cs="Times New Roman"/>
          <w:i/>
          <w:noProof/>
          <w:sz w:val="24"/>
          <w:szCs w:val="24"/>
        </w:rPr>
        <w:t>La espectroscopia NIR en la determinación de propiedades físicas y composición química de intermedios de producción y productos acabados</w:t>
      </w:r>
      <w:r w:rsidRPr="00864E2B">
        <w:rPr>
          <w:rFonts w:ascii="Times New Roman" w:eastAsia="Calibri" w:hAnsi="Times New Roman" w:cs="Times New Roman"/>
          <w:noProof/>
          <w:sz w:val="24"/>
          <w:szCs w:val="24"/>
        </w:rPr>
        <w:t>, 272pp., Universidad Autónoma de Barcelona, Barcelona, 2010.</w:t>
      </w:r>
      <w:bookmarkEnd w:id="12"/>
    </w:p>
    <w:p w:rsidR="003119C2" w:rsidRPr="00864E2B" w:rsidRDefault="003119C2" w:rsidP="003119C2">
      <w:pPr>
        <w:pStyle w:val="Prrafodelista"/>
        <w:numPr>
          <w:ilvl w:val="0"/>
          <w:numId w:val="5"/>
        </w:numPr>
        <w:spacing w:after="0" w:line="360" w:lineRule="auto"/>
        <w:jc w:val="both"/>
        <w:rPr>
          <w:rFonts w:ascii="Times New Roman" w:eastAsia="Calibri" w:hAnsi="Times New Roman" w:cs="Times New Roman"/>
          <w:noProof/>
          <w:sz w:val="24"/>
          <w:szCs w:val="24"/>
        </w:rPr>
      </w:pPr>
      <w:bookmarkStart w:id="13" w:name="_ENREF_56"/>
      <w:r w:rsidRPr="00864E2B">
        <w:rPr>
          <w:rFonts w:ascii="Times New Roman" w:eastAsia="Calibri" w:hAnsi="Times New Roman" w:cs="Times New Roman"/>
          <w:noProof/>
          <w:sz w:val="24"/>
          <w:szCs w:val="24"/>
        </w:rPr>
        <w:t xml:space="preserve">RAMÍREZ, E.; E. PAZ y H. NOGUEIRA: "Caracterización sensorial y análisis de las preferencias de los consumidores de frituras tipo chips de malanga (Colocasia esculenta)", </w:t>
      </w:r>
      <w:r w:rsidRPr="00864E2B">
        <w:rPr>
          <w:rFonts w:ascii="Times New Roman" w:eastAsia="Calibri" w:hAnsi="Times New Roman" w:cs="Times New Roman"/>
          <w:i/>
          <w:noProof/>
          <w:sz w:val="24"/>
          <w:szCs w:val="24"/>
        </w:rPr>
        <w:t>Revista Venezolana de Ciencia y Tecnología de Alimentos</w:t>
      </w:r>
      <w:r w:rsidRPr="00864E2B">
        <w:rPr>
          <w:rFonts w:ascii="Times New Roman" w:eastAsia="Calibri" w:hAnsi="Times New Roman" w:cs="Times New Roman"/>
          <w:noProof/>
          <w:sz w:val="24"/>
          <w:szCs w:val="24"/>
        </w:rPr>
        <w:t>, 2(2): 292, 2011.</w:t>
      </w:r>
      <w:bookmarkEnd w:id="13"/>
    </w:p>
    <w:p w:rsidR="003119C2" w:rsidRPr="00864E2B" w:rsidRDefault="003119C2" w:rsidP="003119C2">
      <w:pPr>
        <w:pStyle w:val="Prrafodelista"/>
        <w:numPr>
          <w:ilvl w:val="0"/>
          <w:numId w:val="5"/>
        </w:numPr>
        <w:spacing w:after="0" w:line="360" w:lineRule="auto"/>
        <w:jc w:val="both"/>
        <w:rPr>
          <w:rFonts w:ascii="Calibri" w:eastAsia="Calibri" w:hAnsi="Calibri" w:cs="Calibri"/>
          <w:noProof/>
        </w:rPr>
      </w:pPr>
      <w:bookmarkStart w:id="14" w:name="_ENREF_66"/>
      <w:r w:rsidRPr="00864E2B">
        <w:rPr>
          <w:rFonts w:ascii="Times New Roman" w:eastAsia="Calibri" w:hAnsi="Times New Roman" w:cs="Times New Roman"/>
          <w:noProof/>
          <w:sz w:val="24"/>
          <w:szCs w:val="24"/>
        </w:rPr>
        <w:t xml:space="preserve">VINUESA, P.: </w:t>
      </w:r>
      <w:r w:rsidRPr="00864E2B">
        <w:rPr>
          <w:rFonts w:ascii="Times New Roman" w:eastAsia="Calibri" w:hAnsi="Times New Roman" w:cs="Times New Roman"/>
          <w:i/>
          <w:noProof/>
          <w:sz w:val="24"/>
          <w:szCs w:val="24"/>
        </w:rPr>
        <w:t>Tema 8. Correlación: teoría y práctica</w:t>
      </w:r>
      <w:r w:rsidRPr="00864E2B">
        <w:rPr>
          <w:rFonts w:ascii="Times New Roman" w:eastAsia="Calibri" w:hAnsi="Times New Roman" w:cs="Times New Roman"/>
          <w:noProof/>
          <w:sz w:val="24"/>
          <w:szCs w:val="24"/>
        </w:rPr>
        <w:t>, 2016.</w:t>
      </w:r>
      <w:bookmarkEnd w:id="14"/>
    </w:p>
    <w:p w:rsidR="00D36D1C" w:rsidRPr="009D5E02" w:rsidRDefault="003119C2" w:rsidP="003119C2">
      <w:pPr>
        <w:spacing w:after="0" w:line="360" w:lineRule="auto"/>
        <w:jc w:val="both"/>
        <w:rPr>
          <w:rFonts w:ascii="Times New Roman" w:hAnsi="Times New Roman" w:cs="Times New Roman"/>
          <w:sz w:val="24"/>
          <w:szCs w:val="24"/>
        </w:rPr>
      </w:pPr>
      <w:r w:rsidRPr="00B221C9">
        <w:rPr>
          <w:rFonts w:ascii="Arial" w:eastAsia="Calibri" w:hAnsi="Arial" w:cs="Arial"/>
          <w:b/>
          <w:sz w:val="24"/>
          <w:szCs w:val="24"/>
        </w:rPr>
        <w:fldChar w:fldCharType="end"/>
      </w:r>
      <w:bookmarkStart w:id="15" w:name="_GoBack"/>
      <w:bookmarkEnd w:id="15"/>
    </w:p>
    <w:sectPr w:rsidR="00D36D1C" w:rsidRPr="009D5E02"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2E9" w:rsidRDefault="001E02E9" w:rsidP="00C8585B">
      <w:pPr>
        <w:spacing w:after="0" w:line="240" w:lineRule="auto"/>
      </w:pPr>
      <w:r>
        <w:separator/>
      </w:r>
    </w:p>
  </w:endnote>
  <w:endnote w:type="continuationSeparator" w:id="0">
    <w:p w:rsidR="001E02E9" w:rsidRDefault="001E02E9"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1E02E9"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2E9" w:rsidRDefault="001E02E9" w:rsidP="00C8585B">
      <w:pPr>
        <w:spacing w:after="0" w:line="240" w:lineRule="auto"/>
      </w:pPr>
      <w:r>
        <w:separator/>
      </w:r>
    </w:p>
  </w:footnote>
  <w:footnote w:type="continuationSeparator" w:id="0">
    <w:p w:rsidR="001E02E9" w:rsidRDefault="001E02E9"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765F44"/>
    <w:multiLevelType w:val="hybridMultilevel"/>
    <w:tmpl w:val="6736DA7E"/>
    <w:lvl w:ilvl="0" w:tplc="B6C4216E">
      <w:start w:val="1"/>
      <w:numFmt w:val="decimal"/>
      <w:lvlText w:val="%1."/>
      <w:lvlJc w:val="lef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29C3F12"/>
    <w:multiLevelType w:val="hybridMultilevel"/>
    <w:tmpl w:val="641C0336"/>
    <w:lvl w:ilvl="0" w:tplc="855A5A6C">
      <w:start w:val="1"/>
      <w:numFmt w:val="lowerLetter"/>
      <w:lvlText w:val="%1)"/>
      <w:lvlJc w:val="left"/>
      <w:pPr>
        <w:ind w:left="1980" w:hanging="360"/>
      </w:pPr>
      <w:rPr>
        <w:rFonts w:hint="default"/>
      </w:rPr>
    </w:lvl>
    <w:lvl w:ilvl="1" w:tplc="0C0A0019" w:tentative="1">
      <w:start w:val="1"/>
      <w:numFmt w:val="lowerLetter"/>
      <w:lvlText w:val="%2."/>
      <w:lvlJc w:val="left"/>
      <w:pPr>
        <w:ind w:left="2700" w:hanging="360"/>
      </w:pPr>
    </w:lvl>
    <w:lvl w:ilvl="2" w:tplc="0C0A001B" w:tentative="1">
      <w:start w:val="1"/>
      <w:numFmt w:val="lowerRoman"/>
      <w:lvlText w:val="%3."/>
      <w:lvlJc w:val="right"/>
      <w:pPr>
        <w:ind w:left="3420" w:hanging="180"/>
      </w:pPr>
    </w:lvl>
    <w:lvl w:ilvl="3" w:tplc="0C0A000F" w:tentative="1">
      <w:start w:val="1"/>
      <w:numFmt w:val="decimal"/>
      <w:lvlText w:val="%4."/>
      <w:lvlJc w:val="left"/>
      <w:pPr>
        <w:ind w:left="4140" w:hanging="360"/>
      </w:pPr>
    </w:lvl>
    <w:lvl w:ilvl="4" w:tplc="0C0A0019" w:tentative="1">
      <w:start w:val="1"/>
      <w:numFmt w:val="lowerLetter"/>
      <w:lvlText w:val="%5."/>
      <w:lvlJc w:val="left"/>
      <w:pPr>
        <w:ind w:left="4860" w:hanging="360"/>
      </w:pPr>
    </w:lvl>
    <w:lvl w:ilvl="5" w:tplc="0C0A001B" w:tentative="1">
      <w:start w:val="1"/>
      <w:numFmt w:val="lowerRoman"/>
      <w:lvlText w:val="%6."/>
      <w:lvlJc w:val="right"/>
      <w:pPr>
        <w:ind w:left="5580" w:hanging="180"/>
      </w:pPr>
    </w:lvl>
    <w:lvl w:ilvl="6" w:tplc="0C0A000F" w:tentative="1">
      <w:start w:val="1"/>
      <w:numFmt w:val="decimal"/>
      <w:lvlText w:val="%7."/>
      <w:lvlJc w:val="left"/>
      <w:pPr>
        <w:ind w:left="6300" w:hanging="360"/>
      </w:pPr>
    </w:lvl>
    <w:lvl w:ilvl="7" w:tplc="0C0A0019" w:tentative="1">
      <w:start w:val="1"/>
      <w:numFmt w:val="lowerLetter"/>
      <w:lvlText w:val="%8."/>
      <w:lvlJc w:val="left"/>
      <w:pPr>
        <w:ind w:left="7020" w:hanging="360"/>
      </w:pPr>
    </w:lvl>
    <w:lvl w:ilvl="8" w:tplc="0C0A001B" w:tentative="1">
      <w:start w:val="1"/>
      <w:numFmt w:val="lowerRoman"/>
      <w:lvlText w:val="%9."/>
      <w:lvlJc w:val="right"/>
      <w:pPr>
        <w:ind w:left="7740" w:hanging="180"/>
      </w:pPr>
    </w:lvl>
  </w:abstractNum>
  <w:abstractNum w:abstractNumId="2">
    <w:nsid w:val="454058CD"/>
    <w:multiLevelType w:val="hybridMultilevel"/>
    <w:tmpl w:val="F9200758"/>
    <w:lvl w:ilvl="0" w:tplc="7A6CE9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5257781"/>
    <w:multiLevelType w:val="hybridMultilevel"/>
    <w:tmpl w:val="936C3D60"/>
    <w:lvl w:ilvl="0" w:tplc="FD46095C">
      <w:start w:val="1"/>
      <w:numFmt w:val="lowerLetter"/>
      <w:lvlText w:val="%1)"/>
      <w:lvlJc w:val="left"/>
      <w:pPr>
        <w:ind w:left="2220" w:hanging="360"/>
      </w:pPr>
      <w:rPr>
        <w:rFonts w:hint="default"/>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C14DC"/>
    <w:rsid w:val="00114C82"/>
    <w:rsid w:val="0012608A"/>
    <w:rsid w:val="001E02E9"/>
    <w:rsid w:val="002C4923"/>
    <w:rsid w:val="002E0882"/>
    <w:rsid w:val="002E272A"/>
    <w:rsid w:val="003068F5"/>
    <w:rsid w:val="003119C2"/>
    <w:rsid w:val="00362E5F"/>
    <w:rsid w:val="00403285"/>
    <w:rsid w:val="005754D8"/>
    <w:rsid w:val="005E2497"/>
    <w:rsid w:val="006271E4"/>
    <w:rsid w:val="00640758"/>
    <w:rsid w:val="00667F10"/>
    <w:rsid w:val="00712A31"/>
    <w:rsid w:val="007559FA"/>
    <w:rsid w:val="0088159E"/>
    <w:rsid w:val="008A1C16"/>
    <w:rsid w:val="008A2E7E"/>
    <w:rsid w:val="008B06F8"/>
    <w:rsid w:val="009061A5"/>
    <w:rsid w:val="0091621C"/>
    <w:rsid w:val="009B1EF2"/>
    <w:rsid w:val="009D5E02"/>
    <w:rsid w:val="009D67CD"/>
    <w:rsid w:val="00A156A5"/>
    <w:rsid w:val="00A21A1F"/>
    <w:rsid w:val="00A62A14"/>
    <w:rsid w:val="00B2024E"/>
    <w:rsid w:val="00B263B3"/>
    <w:rsid w:val="00B80E97"/>
    <w:rsid w:val="00BF107B"/>
    <w:rsid w:val="00C56288"/>
    <w:rsid w:val="00C6208A"/>
    <w:rsid w:val="00C8585B"/>
    <w:rsid w:val="00CB3296"/>
    <w:rsid w:val="00CD2BC3"/>
    <w:rsid w:val="00D05242"/>
    <w:rsid w:val="00D36D1C"/>
    <w:rsid w:val="00D73DE9"/>
    <w:rsid w:val="00E83573"/>
    <w:rsid w:val="00E912D0"/>
    <w:rsid w:val="00EA1598"/>
    <w:rsid w:val="00EA7584"/>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yanamd@uclv.edu.c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ssvalle@uclv.c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ahmedci@uclv.edu.cu" TargetMode="External"/><Relationship Id="rId14" Type="http://schemas.openxmlformats.org/officeDocument/2006/relationships/image" Target="media/image5.jpeg"/><Relationship Id="rId22" Type="http://schemas.openxmlformats.org/officeDocument/2006/relationships/hyperlink" Target="http://nosotros2.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3539</Words>
  <Characters>20177</Characters>
  <Application>Microsoft Office Word</Application>
  <DocSecurity>0</DocSecurity>
  <Lines>168</Lines>
  <Paragraphs>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Sandra Adyenne SÁnchez Valle</cp:lastModifiedBy>
  <cp:revision>4</cp:revision>
  <cp:lastPrinted>2017-03-02T19:45:00Z</cp:lastPrinted>
  <dcterms:created xsi:type="dcterms:W3CDTF">2018-11-08T20:40:00Z</dcterms:created>
  <dcterms:modified xsi:type="dcterms:W3CDTF">2019-05-03T13:51:00Z</dcterms:modified>
</cp:coreProperties>
</file>