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2D52AC" w:rsidP="00667F10">
      <w:pPr>
        <w:spacing w:after="0"/>
        <w:jc w:val="center"/>
        <w:rPr>
          <w:rFonts w:ascii="Times New Roman" w:hAnsi="Times New Roman" w:cs="Times New Roman"/>
          <w:b/>
          <w:sz w:val="28"/>
          <w:szCs w:val="28"/>
        </w:rPr>
      </w:pPr>
      <w:bookmarkStart w:id="0" w:name="_GoBack"/>
      <w:bookmarkEnd w:id="0"/>
      <w:r w:rsidRPr="002D52AC">
        <w:rPr>
          <w:rFonts w:ascii="Times New Roman" w:hAnsi="Times New Roman" w:cs="Times New Roman"/>
          <w:b/>
          <w:sz w:val="28"/>
          <w:szCs w:val="28"/>
        </w:rPr>
        <w:t xml:space="preserve">IX CONFERENCIA </w:t>
      </w:r>
      <w:proofErr w:type="spellStart"/>
      <w:r w:rsidRPr="002D52AC">
        <w:rPr>
          <w:rFonts w:ascii="Times New Roman" w:hAnsi="Times New Roman" w:cs="Times New Roman"/>
          <w:b/>
          <w:sz w:val="28"/>
          <w:szCs w:val="28"/>
        </w:rPr>
        <w:t>CIENTÍﬁCA</w:t>
      </w:r>
      <w:proofErr w:type="spellEnd"/>
      <w:r w:rsidRPr="002D52AC">
        <w:rPr>
          <w:rFonts w:ascii="Times New Roman" w:hAnsi="Times New Roman" w:cs="Times New Roman"/>
          <w:b/>
          <w:sz w:val="28"/>
          <w:szCs w:val="28"/>
        </w:rPr>
        <w:t xml:space="preserve">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D32967" w:rsidRPr="00D32967" w:rsidRDefault="00D32967" w:rsidP="00D32967">
      <w:pPr>
        <w:pStyle w:val="NormalWeb"/>
        <w:spacing w:before="0" w:beforeAutospacing="0" w:after="0" w:afterAutospacing="0"/>
        <w:jc w:val="center"/>
        <w:rPr>
          <w:b/>
          <w:bCs/>
          <w:iCs/>
          <w:sz w:val="28"/>
          <w:szCs w:val="28"/>
        </w:rPr>
      </w:pPr>
      <w:r w:rsidRPr="00D32967">
        <w:rPr>
          <w:b/>
          <w:bCs/>
          <w:iCs/>
          <w:sz w:val="28"/>
          <w:szCs w:val="28"/>
          <w:lang w:val="es-PA"/>
        </w:rPr>
        <w:t>E</w:t>
      </w:r>
      <w:r w:rsidRPr="00D32967">
        <w:rPr>
          <w:b/>
          <w:bCs/>
          <w:iCs/>
          <w:sz w:val="28"/>
          <w:szCs w:val="28"/>
        </w:rPr>
        <w:t>VALUACIÓN DEL CULTIVAR DE CAÑA AZÚCAR C02-210 EN SUELOS DE ALTA HIDROMORFÍA.</w:t>
      </w:r>
    </w:p>
    <w:p w:rsidR="00D32967" w:rsidRPr="00D32967" w:rsidRDefault="00D32967" w:rsidP="00D32967">
      <w:pPr>
        <w:jc w:val="center"/>
        <w:rPr>
          <w:rFonts w:ascii="Times New Roman" w:hAnsi="Times New Roman"/>
          <w:b/>
          <w:sz w:val="28"/>
          <w:szCs w:val="28"/>
          <w:lang w:val="en-US"/>
        </w:rPr>
      </w:pPr>
      <w:r w:rsidRPr="00D32967">
        <w:rPr>
          <w:rFonts w:ascii="Times New Roman" w:hAnsi="Times New Roman"/>
          <w:b/>
          <w:sz w:val="28"/>
          <w:szCs w:val="28"/>
          <w:lang w:val="en-US"/>
        </w:rPr>
        <w:t>EVALUATION OF THE CULTIVAR THE SUGARCANE C02-210 IN SUPERHUMID SOIL.</w:t>
      </w:r>
    </w:p>
    <w:p w:rsidR="009D5E02" w:rsidRPr="00B0514A" w:rsidRDefault="009D5E02" w:rsidP="00FF3346">
      <w:pPr>
        <w:spacing w:after="0" w:line="360" w:lineRule="auto"/>
        <w:rPr>
          <w:rFonts w:ascii="Times New Roman" w:hAnsi="Times New Roman" w:cs="Times New Roman"/>
          <w:b/>
          <w:sz w:val="24"/>
          <w:szCs w:val="24"/>
          <w:lang w:val="en-US"/>
        </w:rPr>
      </w:pPr>
    </w:p>
    <w:p w:rsidR="00D32967" w:rsidRPr="00C23B73" w:rsidRDefault="00C23B73" w:rsidP="00C23B73">
      <w:pPr>
        <w:pStyle w:val="NormalWeb"/>
        <w:spacing w:before="0" w:beforeAutospacing="0" w:after="0" w:afterAutospacing="0"/>
        <w:jc w:val="both"/>
        <w:rPr>
          <w:b/>
          <w:bCs/>
          <w:lang w:val="en-US"/>
        </w:rPr>
      </w:pPr>
      <w:r w:rsidRPr="00C23B73">
        <w:rPr>
          <w:b/>
          <w:bCs/>
          <w:lang w:val="en-US"/>
        </w:rPr>
        <w:t xml:space="preserve">José Ramón </w:t>
      </w:r>
      <w:r w:rsidR="00D32967" w:rsidRPr="00C23B73">
        <w:rPr>
          <w:b/>
          <w:bCs/>
          <w:lang w:val="en-US"/>
        </w:rPr>
        <w:t>Gómez</w:t>
      </w:r>
      <w:r w:rsidRPr="00C23B73">
        <w:rPr>
          <w:b/>
          <w:bCs/>
          <w:lang w:val="en-US"/>
        </w:rPr>
        <w:t xml:space="preserve"> Pérez</w:t>
      </w:r>
      <w:r w:rsidR="00D32967" w:rsidRPr="00C23B73">
        <w:rPr>
          <w:b/>
          <w:bCs/>
          <w:vertAlign w:val="superscript"/>
          <w:lang w:val="en-US"/>
        </w:rPr>
        <w:t>1*</w:t>
      </w:r>
      <w:r w:rsidR="00D32967" w:rsidRPr="00C23B73">
        <w:rPr>
          <w:b/>
          <w:bCs/>
          <w:lang w:val="en-US"/>
        </w:rPr>
        <w:t>,</w:t>
      </w:r>
      <w:r w:rsidRPr="00C23B73">
        <w:rPr>
          <w:b/>
          <w:bCs/>
          <w:lang w:val="en-US"/>
        </w:rPr>
        <w:t xml:space="preserve"> Felix Rene </w:t>
      </w:r>
      <w:r w:rsidR="00D32967" w:rsidRPr="00C23B73">
        <w:rPr>
          <w:b/>
          <w:bCs/>
          <w:lang w:val="en-US"/>
        </w:rPr>
        <w:t>Diaz</w:t>
      </w:r>
      <w:r w:rsidRPr="00C23B73">
        <w:rPr>
          <w:b/>
          <w:bCs/>
          <w:lang w:val="en-US"/>
        </w:rPr>
        <w:t xml:space="preserve"> Mujica</w:t>
      </w:r>
      <w:r w:rsidR="00D32967" w:rsidRPr="00C23B73">
        <w:rPr>
          <w:b/>
          <w:bCs/>
          <w:vertAlign w:val="superscript"/>
          <w:lang w:val="en-US"/>
        </w:rPr>
        <w:t>1</w:t>
      </w:r>
      <w:r w:rsidR="00D32967" w:rsidRPr="00C23B73">
        <w:rPr>
          <w:b/>
          <w:bCs/>
          <w:lang w:val="en-US"/>
        </w:rPr>
        <w:t xml:space="preserve">, </w:t>
      </w:r>
      <w:r w:rsidRPr="00C23B73">
        <w:rPr>
          <w:b/>
          <w:bCs/>
          <w:lang w:val="en-US"/>
        </w:rPr>
        <w:t xml:space="preserve"> Irenaldo </w:t>
      </w:r>
      <w:r w:rsidR="00D32967" w:rsidRPr="00C23B73">
        <w:rPr>
          <w:b/>
          <w:bCs/>
          <w:lang w:val="en-US"/>
        </w:rPr>
        <w:t>Delgado</w:t>
      </w:r>
      <w:r w:rsidRPr="00C23B73">
        <w:rPr>
          <w:b/>
          <w:bCs/>
          <w:lang w:val="en-US"/>
        </w:rPr>
        <w:t xml:space="preserve"> Mora</w:t>
      </w:r>
      <w:r w:rsidR="00D32967" w:rsidRPr="00C23B73">
        <w:rPr>
          <w:b/>
          <w:bCs/>
          <w:vertAlign w:val="superscript"/>
          <w:lang w:val="en-US"/>
        </w:rPr>
        <w:t>1</w:t>
      </w:r>
      <w:r w:rsidR="00D32967" w:rsidRPr="00C23B73">
        <w:rPr>
          <w:b/>
          <w:bCs/>
          <w:lang w:val="en-US"/>
        </w:rPr>
        <w:t xml:space="preserve">, </w:t>
      </w:r>
      <w:r w:rsidRPr="00C23B73">
        <w:rPr>
          <w:b/>
          <w:bCs/>
          <w:lang w:val="en-US"/>
        </w:rPr>
        <w:t xml:space="preserve">José Maria </w:t>
      </w:r>
      <w:r w:rsidR="00D32967" w:rsidRPr="00C23B73">
        <w:rPr>
          <w:b/>
          <w:bCs/>
          <w:lang w:val="en-US"/>
        </w:rPr>
        <w:t>Mesa</w:t>
      </w:r>
      <w:r w:rsidR="00BF4353" w:rsidRPr="00C23B73">
        <w:rPr>
          <w:b/>
          <w:bCs/>
          <w:vertAlign w:val="superscript"/>
          <w:lang w:val="en-US"/>
        </w:rPr>
        <w:t>2</w:t>
      </w:r>
      <w:r w:rsidR="00D32967" w:rsidRPr="00C23B73">
        <w:rPr>
          <w:b/>
          <w:bCs/>
          <w:lang w:val="en-US"/>
        </w:rPr>
        <w:t xml:space="preserve">, </w:t>
      </w:r>
      <w:r>
        <w:rPr>
          <w:b/>
          <w:bCs/>
          <w:lang w:val="en-US"/>
        </w:rPr>
        <w:t xml:space="preserve"> Hé</w:t>
      </w:r>
      <w:r w:rsidRPr="00C23B73">
        <w:rPr>
          <w:b/>
          <w:bCs/>
          <w:lang w:val="en-US"/>
        </w:rPr>
        <w:t xml:space="preserve">ctor </w:t>
      </w:r>
      <w:r>
        <w:rPr>
          <w:b/>
          <w:bCs/>
          <w:lang w:val="en-US"/>
        </w:rPr>
        <w:t>Garcí</w:t>
      </w:r>
      <w:r w:rsidR="00845985" w:rsidRPr="00C23B73">
        <w:rPr>
          <w:b/>
          <w:bCs/>
          <w:lang w:val="en-US"/>
        </w:rPr>
        <w:t>a</w:t>
      </w:r>
      <w:r>
        <w:rPr>
          <w:b/>
          <w:bCs/>
          <w:lang w:val="en-US"/>
        </w:rPr>
        <w:t xml:space="preserve"> Pérez</w:t>
      </w:r>
      <w:r w:rsidR="00BF4353" w:rsidRPr="00C23B73">
        <w:rPr>
          <w:b/>
          <w:bCs/>
          <w:vertAlign w:val="superscript"/>
          <w:lang w:val="en-US"/>
        </w:rPr>
        <w:t>2</w:t>
      </w:r>
      <w:r w:rsidR="00D32967" w:rsidRPr="00C23B73">
        <w:rPr>
          <w:b/>
          <w:bCs/>
          <w:lang w:val="en-US"/>
        </w:rPr>
        <w:t xml:space="preserve">, </w:t>
      </w:r>
      <w:r>
        <w:rPr>
          <w:b/>
          <w:bCs/>
          <w:lang w:val="en-US"/>
        </w:rPr>
        <w:t xml:space="preserve">Héctor </w:t>
      </w:r>
      <w:r w:rsidR="00D32967" w:rsidRPr="00C23B73">
        <w:rPr>
          <w:b/>
          <w:bCs/>
          <w:lang w:val="en-US"/>
        </w:rPr>
        <w:t>Jorge</w:t>
      </w:r>
      <w:r>
        <w:rPr>
          <w:b/>
          <w:bCs/>
          <w:lang w:val="en-US"/>
        </w:rPr>
        <w:t xml:space="preserve"> Suarez</w:t>
      </w:r>
      <w:r w:rsidR="00BF4353" w:rsidRPr="00C23B73">
        <w:rPr>
          <w:b/>
          <w:bCs/>
          <w:vertAlign w:val="superscript"/>
          <w:lang w:val="en-US"/>
        </w:rPr>
        <w:t>2</w:t>
      </w:r>
      <w:r w:rsidR="00D32967" w:rsidRPr="00C23B73">
        <w:rPr>
          <w:b/>
          <w:bCs/>
          <w:lang w:val="en-US"/>
        </w:rPr>
        <w:t xml:space="preserve">, </w:t>
      </w:r>
      <w:r w:rsidRPr="00C23B73">
        <w:rPr>
          <w:b/>
          <w:lang w:val="en-US"/>
        </w:rPr>
        <w:t>Osmany de la Caridad Aday Díaz</w:t>
      </w:r>
      <w:r w:rsidRPr="00C23B73">
        <w:rPr>
          <w:b/>
          <w:vertAlign w:val="superscript"/>
          <w:lang w:val="en-US"/>
        </w:rPr>
        <w:t>1</w:t>
      </w:r>
      <w:r>
        <w:rPr>
          <w:b/>
          <w:vertAlign w:val="superscript"/>
          <w:lang w:val="en-US"/>
        </w:rPr>
        <w:t xml:space="preserve"> </w:t>
      </w:r>
      <w:r w:rsidR="00D32967" w:rsidRPr="00C23B73">
        <w:rPr>
          <w:b/>
          <w:bCs/>
          <w:lang w:val="en-US"/>
        </w:rPr>
        <w:t xml:space="preserve"> y </w:t>
      </w:r>
      <w:r>
        <w:rPr>
          <w:b/>
          <w:bCs/>
          <w:lang w:val="en-US"/>
        </w:rPr>
        <w:t xml:space="preserve"> Yoel </w:t>
      </w:r>
      <w:r w:rsidR="00D32967" w:rsidRPr="00C23B73">
        <w:rPr>
          <w:b/>
          <w:bCs/>
          <w:lang w:val="en-US"/>
        </w:rPr>
        <w:t>Betancourt</w:t>
      </w:r>
      <w:r>
        <w:rPr>
          <w:b/>
          <w:bCs/>
          <w:lang w:val="en-US"/>
        </w:rPr>
        <w:t xml:space="preserve"> Rodríguez</w:t>
      </w:r>
      <w:r w:rsidR="00D32967" w:rsidRPr="00C23B73">
        <w:rPr>
          <w:b/>
          <w:bCs/>
          <w:vertAlign w:val="superscript"/>
          <w:lang w:val="en-US"/>
        </w:rPr>
        <w:t>1</w:t>
      </w:r>
    </w:p>
    <w:p w:rsidR="00D32967" w:rsidRPr="00561583" w:rsidRDefault="00D32967" w:rsidP="00D32967">
      <w:pPr>
        <w:pStyle w:val="Prrafodelista"/>
        <w:numPr>
          <w:ilvl w:val="0"/>
          <w:numId w:val="3"/>
        </w:numPr>
        <w:spacing w:after="0" w:line="240" w:lineRule="auto"/>
        <w:jc w:val="both"/>
        <w:rPr>
          <w:rFonts w:ascii="Times New Roman" w:hAnsi="Times New Roman"/>
          <w:sz w:val="24"/>
          <w:szCs w:val="24"/>
        </w:rPr>
      </w:pPr>
      <w:r w:rsidRPr="00561583">
        <w:rPr>
          <w:rFonts w:ascii="Times New Roman" w:hAnsi="Times New Roman"/>
          <w:sz w:val="24"/>
          <w:szCs w:val="24"/>
        </w:rPr>
        <w:t xml:space="preserve">Estación Territorial de Investigaciones de la Caña de Azúcar (ETICA Centro-Villa Clara). Instituto de Investigaciones de la Caña de Azúcar (INICA). Autopista Nacional km 246, Ranchuelo, Villa Clara, Cuba. </w:t>
      </w:r>
    </w:p>
    <w:p w:rsidR="00D32967" w:rsidRPr="00561583" w:rsidRDefault="00D32967" w:rsidP="00D32967">
      <w:pPr>
        <w:pStyle w:val="Prrafodelista"/>
        <w:numPr>
          <w:ilvl w:val="0"/>
          <w:numId w:val="3"/>
        </w:numPr>
        <w:autoSpaceDE w:val="0"/>
        <w:autoSpaceDN w:val="0"/>
        <w:adjustRightInd w:val="0"/>
        <w:spacing w:after="0" w:line="240" w:lineRule="auto"/>
        <w:jc w:val="both"/>
        <w:rPr>
          <w:rFonts w:ascii="Times New Roman" w:hAnsi="Times New Roman"/>
          <w:sz w:val="24"/>
          <w:szCs w:val="24"/>
        </w:rPr>
      </w:pPr>
      <w:r w:rsidRPr="00561583">
        <w:rPr>
          <w:rFonts w:ascii="Times New Roman" w:hAnsi="Times New Roman"/>
          <w:sz w:val="24"/>
          <w:szCs w:val="24"/>
        </w:rPr>
        <w:t xml:space="preserve">Instituto de Investigaciones de la Caña de Azúcar. </w:t>
      </w:r>
      <w:r w:rsidRPr="00561583">
        <w:rPr>
          <w:rFonts w:ascii="Times New Roman" w:hAnsi="Times New Roman"/>
          <w:iCs/>
          <w:sz w:val="24"/>
          <w:szCs w:val="24"/>
          <w:lang w:eastAsia="es-VE"/>
        </w:rPr>
        <w:t xml:space="preserve">La Habana, </w:t>
      </w:r>
      <w:r w:rsidRPr="00561583">
        <w:rPr>
          <w:rFonts w:ascii="Times New Roman" w:hAnsi="Times New Roman"/>
          <w:bCs/>
          <w:iCs/>
          <w:color w:val="000000"/>
          <w:sz w:val="24"/>
          <w:szCs w:val="24"/>
          <w:lang w:eastAsia="es-VE"/>
        </w:rPr>
        <w:t>Cuba.</w:t>
      </w:r>
      <w:r w:rsidRPr="00561583">
        <w:rPr>
          <w:rFonts w:ascii="Times New Roman" w:hAnsi="Times New Roman"/>
          <w:iCs/>
          <w:sz w:val="24"/>
          <w:szCs w:val="24"/>
          <w:lang w:eastAsia="es-VE"/>
        </w:rPr>
        <w:t xml:space="preserve"> </w:t>
      </w:r>
    </w:p>
    <w:p w:rsidR="00D32967" w:rsidRPr="00561583" w:rsidRDefault="00D32967" w:rsidP="00D32967">
      <w:pPr>
        <w:pStyle w:val="Prrafodelista"/>
        <w:spacing w:after="0" w:line="240" w:lineRule="auto"/>
        <w:jc w:val="both"/>
        <w:rPr>
          <w:rFonts w:ascii="Times New Roman" w:hAnsi="Times New Roman"/>
          <w:sz w:val="24"/>
          <w:szCs w:val="24"/>
          <w:lang w:val="pt-BR"/>
        </w:rPr>
      </w:pPr>
      <w:r w:rsidRPr="00561583">
        <w:rPr>
          <w:rFonts w:ascii="Times New Roman" w:hAnsi="Times New Roman"/>
          <w:sz w:val="24"/>
          <w:szCs w:val="24"/>
          <w:lang w:val="pt-BR"/>
        </w:rPr>
        <w:t xml:space="preserve">* e-mail: </w:t>
      </w:r>
      <w:proofErr w:type="spellStart"/>
      <w:r w:rsidRPr="00561583">
        <w:rPr>
          <w:rFonts w:ascii="Times New Roman" w:hAnsi="Times New Roman"/>
          <w:bCs/>
          <w:iCs/>
          <w:color w:val="000000"/>
          <w:sz w:val="24"/>
          <w:szCs w:val="24"/>
          <w:lang w:val="pt-BR" w:eastAsia="es-VE"/>
        </w:rPr>
        <w:t>joseramon.gomez</w:t>
      </w:r>
      <w:proofErr w:type="spellEnd"/>
      <w:r w:rsidRPr="00561583">
        <w:rPr>
          <w:rFonts w:ascii="Times New Roman" w:hAnsi="Times New Roman"/>
          <w:sz w:val="24"/>
          <w:szCs w:val="24"/>
          <w:lang w:val="pt-BR"/>
        </w:rPr>
        <w:t xml:space="preserve"> @inicavc.azcuba.cu</w:t>
      </w:r>
    </w:p>
    <w:p w:rsidR="00E912D0" w:rsidRPr="00D32967" w:rsidRDefault="00E912D0" w:rsidP="00FF3346">
      <w:pPr>
        <w:spacing w:after="0" w:line="360" w:lineRule="auto"/>
        <w:rPr>
          <w:rFonts w:ascii="Times New Roman" w:hAnsi="Times New Roman" w:cs="Times New Roman"/>
          <w:b/>
          <w:sz w:val="24"/>
          <w:szCs w:val="24"/>
          <w:lang w:val="pt-BR"/>
        </w:rPr>
      </w:pPr>
    </w:p>
    <w:p w:rsidR="00D32967" w:rsidRPr="005A0B52" w:rsidRDefault="008A1C16" w:rsidP="00D32967">
      <w:pPr>
        <w:spacing w:line="360" w:lineRule="auto"/>
        <w:jc w:val="both"/>
        <w:rPr>
          <w:rFonts w:ascii="Times New Roman" w:hAnsi="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32967" w:rsidRPr="005A0B52">
        <w:rPr>
          <w:rFonts w:ascii="Times New Roman" w:hAnsi="Times New Roman"/>
          <w:sz w:val="24"/>
          <w:szCs w:val="24"/>
        </w:rPr>
        <w:t xml:space="preserve">La incorporación a la producción cañera de nuevos cultivares de caña de azúcar constituye una necesidad objetiva en virtud de lograr un proceso productivo de mayor eficiencia. La provincia de Villa Clara cuenta con un área dedicada a este cultivo de 85 000 ha de ellas 25 000 ha presentan problemas de drenaje por lo que resulta necesario continuar el programa de mejoramiento genético que se desarrolló desde 1985, para así lograr nuevos cultivares que brinden resultados favorables en este ambiente. Como resultado de este proceso se obtuvo el cultivar C02-210 que es recomendado para condiciones de alta </w:t>
      </w:r>
      <w:proofErr w:type="spellStart"/>
      <w:r w:rsidR="00D32967" w:rsidRPr="005A0B52">
        <w:rPr>
          <w:rFonts w:ascii="Times New Roman" w:hAnsi="Times New Roman"/>
          <w:sz w:val="24"/>
          <w:szCs w:val="24"/>
        </w:rPr>
        <w:t>hidromorfía</w:t>
      </w:r>
      <w:proofErr w:type="spellEnd"/>
      <w:r w:rsidR="00D32967" w:rsidRPr="005A0B52">
        <w:rPr>
          <w:rFonts w:ascii="Times New Roman" w:hAnsi="Times New Roman"/>
          <w:sz w:val="24"/>
          <w:szCs w:val="24"/>
        </w:rPr>
        <w:t xml:space="preserve"> (</w:t>
      </w:r>
      <w:proofErr w:type="spellStart"/>
      <w:r w:rsidR="00D32967" w:rsidRPr="005A0B52">
        <w:rPr>
          <w:rFonts w:ascii="Times New Roman" w:hAnsi="Times New Roman"/>
          <w:sz w:val="24"/>
          <w:szCs w:val="24"/>
        </w:rPr>
        <w:t>Gleysol</w:t>
      </w:r>
      <w:proofErr w:type="spellEnd"/>
      <w:r w:rsidR="00D32967" w:rsidRPr="005A0B52">
        <w:rPr>
          <w:rFonts w:ascii="Times New Roman" w:hAnsi="Times New Roman"/>
          <w:sz w:val="24"/>
          <w:szCs w:val="24"/>
        </w:rPr>
        <w:t xml:space="preserve"> </w:t>
      </w:r>
      <w:proofErr w:type="spellStart"/>
      <w:r w:rsidR="00D32967" w:rsidRPr="005A0B52">
        <w:rPr>
          <w:rFonts w:ascii="Times New Roman" w:hAnsi="Times New Roman"/>
          <w:sz w:val="24"/>
          <w:szCs w:val="24"/>
        </w:rPr>
        <w:t>Vértico</w:t>
      </w:r>
      <w:proofErr w:type="spellEnd"/>
      <w:r w:rsidR="00D32967" w:rsidRPr="005A0B52">
        <w:rPr>
          <w:rFonts w:ascii="Times New Roman" w:hAnsi="Times New Roman"/>
          <w:sz w:val="24"/>
          <w:szCs w:val="24"/>
        </w:rPr>
        <w:t xml:space="preserve">) con ciclo de plantación de primavera de ciclo largo, con resistencia a las principales enfermedades presentes en el país, con indicadores </w:t>
      </w:r>
      <w:proofErr w:type="spellStart"/>
      <w:r w:rsidR="00D32967" w:rsidRPr="005A0B52">
        <w:rPr>
          <w:rFonts w:ascii="Times New Roman" w:hAnsi="Times New Roman"/>
          <w:sz w:val="24"/>
          <w:szCs w:val="24"/>
        </w:rPr>
        <w:t>agroazucareros</w:t>
      </w:r>
      <w:proofErr w:type="spellEnd"/>
      <w:r w:rsidR="00D32967" w:rsidRPr="005A0B52">
        <w:rPr>
          <w:rFonts w:ascii="Times New Roman" w:hAnsi="Times New Roman"/>
          <w:sz w:val="24"/>
          <w:szCs w:val="24"/>
        </w:rPr>
        <w:t xml:space="preserve"> (porcentaje de </w:t>
      </w:r>
      <w:proofErr w:type="spellStart"/>
      <w:r w:rsidR="00D32967" w:rsidRPr="005A0B52">
        <w:rPr>
          <w:rFonts w:ascii="Times New Roman" w:hAnsi="Times New Roman"/>
          <w:sz w:val="24"/>
          <w:szCs w:val="24"/>
        </w:rPr>
        <w:t>pol</w:t>
      </w:r>
      <w:proofErr w:type="spellEnd"/>
      <w:r w:rsidR="00D32967" w:rsidRPr="005A0B52">
        <w:rPr>
          <w:rFonts w:ascii="Times New Roman" w:hAnsi="Times New Roman"/>
          <w:sz w:val="24"/>
          <w:szCs w:val="24"/>
        </w:rPr>
        <w:t xml:space="preserve"> en caña, toneladas de caña por hectárea (</w:t>
      </w:r>
      <w:r w:rsidR="00D32967" w:rsidRPr="005A0B52">
        <w:rPr>
          <w:rFonts w:ascii="Times New Roman" w:hAnsi="Times New Roman"/>
          <w:bCs/>
          <w:sz w:val="24"/>
          <w:szCs w:val="24"/>
        </w:rPr>
        <w:t>caña t ha</w:t>
      </w:r>
      <w:r w:rsidR="00D32967" w:rsidRPr="005A0B52">
        <w:rPr>
          <w:rFonts w:ascii="Times New Roman" w:hAnsi="Times New Roman"/>
          <w:bCs/>
          <w:sz w:val="24"/>
          <w:szCs w:val="24"/>
          <w:vertAlign w:val="superscript"/>
        </w:rPr>
        <w:t>-1</w:t>
      </w:r>
      <w:r w:rsidR="00D32967" w:rsidRPr="005A0B52">
        <w:rPr>
          <w:rFonts w:ascii="Times New Roman" w:hAnsi="Times New Roman"/>
          <w:sz w:val="24"/>
          <w:szCs w:val="24"/>
        </w:rPr>
        <w:t xml:space="preserve">) y toneladas de </w:t>
      </w:r>
      <w:proofErr w:type="spellStart"/>
      <w:r w:rsidR="00D32967" w:rsidRPr="005A0B52">
        <w:rPr>
          <w:rFonts w:ascii="Times New Roman" w:hAnsi="Times New Roman"/>
          <w:sz w:val="24"/>
          <w:szCs w:val="24"/>
        </w:rPr>
        <w:t>pol</w:t>
      </w:r>
      <w:proofErr w:type="spellEnd"/>
      <w:r w:rsidR="00D32967" w:rsidRPr="005A0B52">
        <w:rPr>
          <w:rFonts w:ascii="Times New Roman" w:hAnsi="Times New Roman"/>
          <w:sz w:val="24"/>
          <w:szCs w:val="24"/>
        </w:rPr>
        <w:t xml:space="preserve"> por hectárea (</w:t>
      </w:r>
      <w:r w:rsidR="00D32967" w:rsidRPr="005A0B52">
        <w:rPr>
          <w:rFonts w:ascii="Times New Roman" w:hAnsi="Times New Roman"/>
          <w:bCs/>
          <w:sz w:val="24"/>
          <w:szCs w:val="24"/>
        </w:rPr>
        <w:t>t ha</w:t>
      </w:r>
      <w:r w:rsidR="00D32967" w:rsidRPr="005A0B52">
        <w:rPr>
          <w:rFonts w:ascii="Times New Roman" w:hAnsi="Times New Roman"/>
          <w:bCs/>
          <w:sz w:val="24"/>
          <w:szCs w:val="24"/>
          <w:vertAlign w:val="superscript"/>
        </w:rPr>
        <w:t>-1</w:t>
      </w:r>
      <w:r w:rsidR="00D32967" w:rsidRPr="005A0B52">
        <w:rPr>
          <w:rFonts w:ascii="Times New Roman" w:hAnsi="Times New Roman"/>
          <w:bCs/>
          <w:sz w:val="24"/>
          <w:szCs w:val="24"/>
        </w:rPr>
        <w:t xml:space="preserve"> azúcar</w:t>
      </w:r>
      <w:r w:rsidR="00D32967" w:rsidRPr="005A0B52">
        <w:rPr>
          <w:rFonts w:ascii="Times New Roman" w:hAnsi="Times New Roman"/>
          <w:sz w:val="24"/>
          <w:szCs w:val="24"/>
        </w:rPr>
        <w:t>) iguales o superiores a cultivares comerciales utilizados como testigos C86-12; C323- 68 y SP70-1284.</w:t>
      </w:r>
    </w:p>
    <w:p w:rsidR="00D32967" w:rsidRPr="005A0B52" w:rsidRDefault="00D32967" w:rsidP="00D32967">
      <w:pPr>
        <w:spacing w:line="360" w:lineRule="auto"/>
        <w:jc w:val="both"/>
        <w:rPr>
          <w:rFonts w:ascii="Times New Roman" w:hAnsi="Times New Roman"/>
          <w:b/>
          <w:bCs/>
          <w:sz w:val="24"/>
          <w:szCs w:val="24"/>
        </w:rPr>
      </w:pPr>
      <w:r w:rsidRPr="005A0B52">
        <w:rPr>
          <w:rFonts w:ascii="Times New Roman" w:hAnsi="Times New Roman"/>
          <w:b/>
          <w:bCs/>
          <w:sz w:val="24"/>
          <w:szCs w:val="24"/>
        </w:rPr>
        <w:lastRenderedPageBreak/>
        <w:t>Palabras Claves: Caña de Azúcar, ciclos largos de cosecha, alta hidromorfía, resistencia enfermedades.</w:t>
      </w:r>
    </w:p>
    <w:p w:rsidR="00D32967" w:rsidRPr="00BD5344" w:rsidRDefault="00D32967" w:rsidP="00D32967">
      <w:pPr>
        <w:spacing w:line="360" w:lineRule="auto"/>
        <w:jc w:val="both"/>
        <w:rPr>
          <w:rFonts w:ascii="Times New Roman" w:hAnsi="Times New Roman"/>
          <w:b/>
          <w:bCs/>
        </w:rPr>
      </w:pPr>
    </w:p>
    <w:p w:rsidR="00D32967" w:rsidRPr="00561583" w:rsidRDefault="009061A5" w:rsidP="00D32967">
      <w:pPr>
        <w:spacing w:line="360" w:lineRule="auto"/>
        <w:jc w:val="both"/>
        <w:rPr>
          <w:rFonts w:ascii="Times New Roman" w:hAnsi="Times New Roman"/>
          <w:i/>
          <w:sz w:val="24"/>
          <w:szCs w:val="24"/>
          <w:lang w:val="en-US" w:eastAsia="es-ES"/>
        </w:rPr>
      </w:pPr>
      <w:r w:rsidRPr="001D6B80">
        <w:rPr>
          <w:rFonts w:ascii="Times New Roman" w:hAnsi="Times New Roman" w:cs="Times New Roman"/>
          <w:b/>
          <w:i/>
          <w:sz w:val="24"/>
          <w:szCs w:val="24"/>
          <w:lang w:val="en-US"/>
        </w:rPr>
        <w:t>Abstract:</w:t>
      </w:r>
      <w:r w:rsidRPr="001D6B80">
        <w:rPr>
          <w:rFonts w:ascii="Times New Roman" w:hAnsi="Times New Roman" w:cs="Times New Roman"/>
          <w:sz w:val="24"/>
          <w:szCs w:val="24"/>
          <w:lang w:val="en-US"/>
        </w:rPr>
        <w:t xml:space="preserve"> </w:t>
      </w:r>
      <w:r w:rsidR="00D32967" w:rsidRPr="00561583">
        <w:rPr>
          <w:rFonts w:ascii="Times New Roman" w:hAnsi="Times New Roman"/>
          <w:i/>
          <w:sz w:val="24"/>
          <w:szCs w:val="24"/>
          <w:lang w:val="en-US" w:eastAsia="es-ES"/>
        </w:rPr>
        <w:t xml:space="preserve">The incorporation to the cane production of new sugar cane cultivars constitutes an </w:t>
      </w:r>
      <w:r w:rsidR="00D32967" w:rsidRPr="00561583">
        <w:rPr>
          <w:rFonts w:ascii="Times New Roman" w:hAnsi="Times New Roman"/>
          <w:i/>
          <w:sz w:val="24"/>
          <w:szCs w:val="24"/>
          <w:lang w:val="en-US"/>
        </w:rPr>
        <w:t xml:space="preserve">objective necessity in order to get a productive process with the best efficiency. The Villa Clara province has an area dedicated to the sugar cane production of 85 000 ha, approximately, 25 000 ha of them present drainage problems, </w:t>
      </w:r>
      <w:proofErr w:type="spellStart"/>
      <w:r w:rsidR="00D32967" w:rsidRPr="00561583">
        <w:rPr>
          <w:rFonts w:ascii="Times New Roman" w:hAnsi="Times New Roman"/>
          <w:i/>
          <w:sz w:val="24"/>
          <w:szCs w:val="24"/>
          <w:lang w:val="en-US"/>
        </w:rPr>
        <w:t>thast’s</w:t>
      </w:r>
      <w:proofErr w:type="spellEnd"/>
      <w:r w:rsidR="00D32967" w:rsidRPr="00561583">
        <w:rPr>
          <w:rFonts w:ascii="Times New Roman" w:hAnsi="Times New Roman"/>
          <w:i/>
          <w:sz w:val="24"/>
          <w:szCs w:val="24"/>
          <w:lang w:val="en-US"/>
        </w:rPr>
        <w:t xml:space="preserve"> why, to continue the genetic improvement program started in 1985 is very necessary for obtaining new cultivars offering favorable results in this conditions as result of this process, the cultivar C02-210 was obtained, it is recommended for </w:t>
      </w:r>
      <w:proofErr w:type="spellStart"/>
      <w:r w:rsidR="00D32967" w:rsidRPr="00561583">
        <w:rPr>
          <w:rFonts w:ascii="Times New Roman" w:hAnsi="Times New Roman"/>
          <w:i/>
          <w:sz w:val="24"/>
          <w:szCs w:val="24"/>
          <w:lang w:val="en-US"/>
        </w:rPr>
        <w:t>superhumid</w:t>
      </w:r>
      <w:proofErr w:type="spellEnd"/>
      <w:r w:rsidR="00D32967" w:rsidRPr="00561583">
        <w:rPr>
          <w:rFonts w:ascii="Times New Roman" w:hAnsi="Times New Roman"/>
          <w:i/>
          <w:sz w:val="24"/>
          <w:szCs w:val="24"/>
          <w:lang w:val="en-US"/>
        </w:rPr>
        <w:t xml:space="preserve"> soils conditions (</w:t>
      </w:r>
      <w:proofErr w:type="spellStart"/>
      <w:r w:rsidR="00D32967" w:rsidRPr="00561583">
        <w:rPr>
          <w:rFonts w:ascii="Times New Roman" w:hAnsi="Times New Roman"/>
          <w:i/>
          <w:sz w:val="24"/>
          <w:szCs w:val="24"/>
          <w:lang w:val="en-US"/>
        </w:rPr>
        <w:t>vertisoils</w:t>
      </w:r>
      <w:proofErr w:type="spellEnd"/>
      <w:r w:rsidR="00D32967" w:rsidRPr="00561583">
        <w:rPr>
          <w:rFonts w:ascii="Times New Roman" w:hAnsi="Times New Roman"/>
          <w:i/>
          <w:sz w:val="24"/>
          <w:szCs w:val="24"/>
          <w:lang w:val="en-US"/>
        </w:rPr>
        <w:t xml:space="preserve">) in long cycles of spring season , with great resistance to the main </w:t>
      </w:r>
      <w:proofErr w:type="spellStart"/>
      <w:r w:rsidR="00D32967" w:rsidRPr="00561583">
        <w:rPr>
          <w:rFonts w:ascii="Times New Roman" w:hAnsi="Times New Roman"/>
          <w:i/>
          <w:sz w:val="24"/>
          <w:szCs w:val="24"/>
          <w:lang w:val="en-US"/>
        </w:rPr>
        <w:t>deseases</w:t>
      </w:r>
      <w:proofErr w:type="spellEnd"/>
      <w:r w:rsidR="00D32967" w:rsidRPr="00561583">
        <w:rPr>
          <w:rFonts w:ascii="Times New Roman" w:hAnsi="Times New Roman"/>
          <w:i/>
          <w:sz w:val="24"/>
          <w:szCs w:val="24"/>
          <w:lang w:val="en-US"/>
        </w:rPr>
        <w:t xml:space="preserve"> in our country. It presents indicators of pol en cane percent, sugar tons per hectare and tons of pol per hectare equaling or overcoming the commercial cultivars were used as control C86-12; C323-68 and SP70-1284.</w:t>
      </w:r>
    </w:p>
    <w:p w:rsidR="00D32967" w:rsidRPr="005A0B52" w:rsidRDefault="00D32967" w:rsidP="00D32967">
      <w:pPr>
        <w:spacing w:line="360" w:lineRule="auto"/>
        <w:jc w:val="both"/>
        <w:rPr>
          <w:rFonts w:ascii="Times New Roman" w:hAnsi="Times New Roman"/>
          <w:b/>
          <w:sz w:val="24"/>
          <w:szCs w:val="24"/>
          <w:lang w:val="en-US"/>
        </w:rPr>
      </w:pPr>
      <w:r w:rsidRPr="005A0B52">
        <w:rPr>
          <w:rFonts w:ascii="Times New Roman" w:hAnsi="Times New Roman"/>
          <w:b/>
          <w:sz w:val="24"/>
          <w:szCs w:val="24"/>
          <w:lang w:val="en-US"/>
        </w:rPr>
        <w:t xml:space="preserve">Key words: Sugarcane, long-crop cycles, </w:t>
      </w:r>
      <w:proofErr w:type="spellStart"/>
      <w:r w:rsidRPr="005A0B52">
        <w:rPr>
          <w:rFonts w:ascii="Times New Roman" w:hAnsi="Times New Roman"/>
          <w:b/>
          <w:sz w:val="24"/>
          <w:szCs w:val="24"/>
          <w:lang w:val="en-US"/>
        </w:rPr>
        <w:t>superhumid</w:t>
      </w:r>
      <w:proofErr w:type="spellEnd"/>
      <w:r w:rsidRPr="005A0B52">
        <w:rPr>
          <w:rFonts w:ascii="Times New Roman" w:hAnsi="Times New Roman"/>
          <w:b/>
          <w:sz w:val="24"/>
          <w:szCs w:val="24"/>
          <w:lang w:val="en-US"/>
        </w:rPr>
        <w:t xml:space="preserve"> soils, resistant </w:t>
      </w:r>
      <w:proofErr w:type="spellStart"/>
      <w:r w:rsidRPr="005A0B52">
        <w:rPr>
          <w:rFonts w:ascii="Times New Roman" w:hAnsi="Times New Roman"/>
          <w:b/>
          <w:sz w:val="24"/>
          <w:szCs w:val="24"/>
          <w:lang w:val="en-US"/>
        </w:rPr>
        <w:t>deseases</w:t>
      </w:r>
      <w:proofErr w:type="spellEnd"/>
      <w:r w:rsidRPr="005A0B52">
        <w:rPr>
          <w:rFonts w:ascii="Times New Roman" w:hAnsi="Times New Roman"/>
          <w:b/>
          <w:sz w:val="24"/>
          <w:szCs w:val="24"/>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32967" w:rsidRPr="005A0B52" w:rsidRDefault="00D32967" w:rsidP="00D32967">
      <w:pPr>
        <w:spacing w:line="360" w:lineRule="auto"/>
        <w:jc w:val="both"/>
        <w:rPr>
          <w:rFonts w:ascii="Times New Roman" w:hAnsi="Times New Roman" w:cs="Times New Roman"/>
          <w:bCs/>
          <w:sz w:val="24"/>
          <w:szCs w:val="24"/>
          <w:lang w:val="es-VE"/>
        </w:rPr>
      </w:pPr>
      <w:r w:rsidRPr="005A0B52">
        <w:rPr>
          <w:rFonts w:ascii="Times New Roman" w:hAnsi="Times New Roman" w:cs="Times New Roman"/>
          <w:bCs/>
          <w:sz w:val="24"/>
          <w:szCs w:val="24"/>
        </w:rPr>
        <w:t xml:space="preserve">La caña de azúcar </w:t>
      </w:r>
      <w:r w:rsidRPr="005A0B52">
        <w:rPr>
          <w:rFonts w:ascii="Times New Roman" w:hAnsi="Times New Roman" w:cs="Times New Roman"/>
          <w:bCs/>
          <w:sz w:val="24"/>
          <w:szCs w:val="24"/>
          <w:lang w:val="es-VE"/>
        </w:rPr>
        <w:t>(</w:t>
      </w:r>
      <w:proofErr w:type="spellStart"/>
      <w:r w:rsidRPr="005A0B52">
        <w:rPr>
          <w:rFonts w:ascii="Times New Roman" w:hAnsi="Times New Roman" w:cs="Times New Roman"/>
          <w:bCs/>
          <w:i/>
          <w:iCs/>
          <w:sz w:val="24"/>
          <w:szCs w:val="24"/>
          <w:lang w:val="es-VE"/>
        </w:rPr>
        <w:t>Saccharum</w:t>
      </w:r>
      <w:proofErr w:type="spellEnd"/>
      <w:r w:rsidRPr="005A0B52">
        <w:rPr>
          <w:rFonts w:ascii="Times New Roman" w:hAnsi="Times New Roman" w:cs="Times New Roman"/>
          <w:bCs/>
          <w:i/>
          <w:iCs/>
          <w:sz w:val="24"/>
          <w:szCs w:val="24"/>
          <w:lang w:val="es-VE"/>
        </w:rPr>
        <w:t xml:space="preserve"> </w:t>
      </w:r>
      <w:proofErr w:type="spellStart"/>
      <w:r w:rsidRPr="005A0B52">
        <w:rPr>
          <w:rFonts w:ascii="Times New Roman" w:hAnsi="Times New Roman" w:cs="Times New Roman"/>
          <w:bCs/>
          <w:sz w:val="24"/>
          <w:szCs w:val="24"/>
          <w:lang w:val="es-VE"/>
        </w:rPr>
        <w:t>spp</w:t>
      </w:r>
      <w:proofErr w:type="spellEnd"/>
      <w:r w:rsidRPr="005A0B52">
        <w:rPr>
          <w:rFonts w:ascii="Times New Roman" w:hAnsi="Times New Roman" w:cs="Times New Roman"/>
          <w:bCs/>
          <w:sz w:val="24"/>
          <w:szCs w:val="24"/>
          <w:lang w:val="es-VE"/>
        </w:rPr>
        <w:t xml:space="preserve">.), </w:t>
      </w:r>
      <w:r w:rsidRPr="005A0B52">
        <w:rPr>
          <w:rFonts w:ascii="Times New Roman" w:hAnsi="Times New Roman" w:cs="Times New Roman"/>
          <w:bCs/>
          <w:sz w:val="24"/>
          <w:szCs w:val="24"/>
        </w:rPr>
        <w:t xml:space="preserve">es un importante cultivo tropical que suministra el 70% del azúcar que se consume en el mundo </w:t>
      </w:r>
      <w:r w:rsidRPr="005A0B52">
        <w:rPr>
          <w:rFonts w:ascii="Times New Roman" w:hAnsi="Times New Roman" w:cs="Times New Roman"/>
          <w:bCs/>
          <w:sz w:val="24"/>
          <w:szCs w:val="24"/>
          <w:lang w:val="es-VE"/>
        </w:rPr>
        <w:t xml:space="preserve">(Le </w:t>
      </w:r>
      <w:proofErr w:type="spellStart"/>
      <w:r w:rsidRPr="005A0B52">
        <w:rPr>
          <w:rFonts w:ascii="Times New Roman" w:hAnsi="Times New Roman" w:cs="Times New Roman"/>
          <w:bCs/>
          <w:sz w:val="24"/>
          <w:szCs w:val="24"/>
          <w:lang w:val="es-VE"/>
        </w:rPr>
        <w:t>Cunff</w:t>
      </w:r>
      <w:proofErr w:type="spellEnd"/>
      <w:r w:rsidRPr="005A0B52">
        <w:rPr>
          <w:rFonts w:ascii="Times New Roman" w:hAnsi="Times New Roman" w:cs="Times New Roman"/>
          <w:bCs/>
          <w:i/>
          <w:sz w:val="24"/>
          <w:szCs w:val="24"/>
          <w:lang w:val="es-VE"/>
        </w:rPr>
        <w:t xml:space="preserve"> </w:t>
      </w:r>
      <w:r w:rsidRPr="005A0B52">
        <w:rPr>
          <w:rFonts w:ascii="Times New Roman" w:hAnsi="Times New Roman" w:cs="Times New Roman"/>
          <w:bCs/>
          <w:i/>
          <w:sz w:val="24"/>
          <w:szCs w:val="24"/>
          <w:lang w:val="es-ES_tradnl"/>
        </w:rPr>
        <w:t>et al.</w:t>
      </w:r>
      <w:r w:rsidRPr="005A0B52">
        <w:rPr>
          <w:rFonts w:ascii="Times New Roman" w:hAnsi="Times New Roman" w:cs="Times New Roman"/>
          <w:bCs/>
          <w:i/>
          <w:sz w:val="24"/>
          <w:szCs w:val="24"/>
          <w:lang w:val="es-VE"/>
        </w:rPr>
        <w:t>, 2008</w:t>
      </w:r>
      <w:r w:rsidRPr="005A0B52">
        <w:rPr>
          <w:rFonts w:ascii="Times New Roman" w:hAnsi="Times New Roman" w:cs="Times New Roman"/>
          <w:bCs/>
          <w:sz w:val="24"/>
          <w:szCs w:val="24"/>
          <w:lang w:val="es-VE"/>
        </w:rPr>
        <w:t>). Ofrece grandes posibilidades para ser utilizada como forraje verde en la alimentación de rumiantes debido a la alta digestibilidad de la fibra (Jorge</w:t>
      </w:r>
      <w:r w:rsidRPr="005A0B52">
        <w:rPr>
          <w:rFonts w:ascii="Times New Roman" w:hAnsi="Times New Roman" w:cs="Times New Roman"/>
          <w:bCs/>
          <w:i/>
          <w:sz w:val="24"/>
          <w:szCs w:val="24"/>
          <w:lang w:val="es-VE"/>
        </w:rPr>
        <w:t xml:space="preserve"> </w:t>
      </w:r>
      <w:r w:rsidRPr="005A0B52">
        <w:rPr>
          <w:rFonts w:ascii="Times New Roman" w:hAnsi="Times New Roman" w:cs="Times New Roman"/>
          <w:bCs/>
          <w:i/>
          <w:sz w:val="24"/>
          <w:szCs w:val="24"/>
          <w:lang w:val="es-ES_tradnl"/>
        </w:rPr>
        <w:t>et al.,</w:t>
      </w:r>
      <w:r w:rsidRPr="005A0B52">
        <w:rPr>
          <w:rFonts w:ascii="Times New Roman" w:hAnsi="Times New Roman" w:cs="Times New Roman"/>
          <w:bCs/>
          <w:sz w:val="24"/>
          <w:szCs w:val="24"/>
          <w:lang w:val="es-ES_tradnl"/>
        </w:rPr>
        <w:t xml:space="preserve"> </w:t>
      </w:r>
      <w:r w:rsidRPr="005A0B52">
        <w:rPr>
          <w:rFonts w:ascii="Times New Roman" w:hAnsi="Times New Roman" w:cs="Times New Roman"/>
          <w:bCs/>
          <w:i/>
          <w:sz w:val="24"/>
          <w:szCs w:val="24"/>
          <w:lang w:val="es-VE"/>
        </w:rPr>
        <w:t>2002</w:t>
      </w:r>
      <w:r w:rsidRPr="005A0B52">
        <w:rPr>
          <w:rFonts w:ascii="Times New Roman" w:hAnsi="Times New Roman" w:cs="Times New Roman"/>
          <w:bCs/>
          <w:sz w:val="24"/>
          <w:szCs w:val="24"/>
          <w:lang w:val="es-VE"/>
        </w:rPr>
        <w:t>). Adicionalmente, este cultivo adquiere importancia en los últimos años debido a su uso en la obtención de biocombustible (</w:t>
      </w:r>
      <w:proofErr w:type="spellStart"/>
      <w:r w:rsidRPr="005A0B52">
        <w:rPr>
          <w:rFonts w:ascii="Times New Roman" w:hAnsi="Times New Roman" w:cs="Times New Roman"/>
          <w:bCs/>
          <w:sz w:val="24"/>
          <w:szCs w:val="24"/>
          <w:lang w:val="es-VE"/>
        </w:rPr>
        <w:t>Arruda</w:t>
      </w:r>
      <w:proofErr w:type="spellEnd"/>
      <w:r w:rsidRPr="005A0B52">
        <w:rPr>
          <w:rFonts w:ascii="Times New Roman" w:hAnsi="Times New Roman" w:cs="Times New Roman"/>
          <w:bCs/>
          <w:i/>
          <w:sz w:val="24"/>
          <w:szCs w:val="24"/>
          <w:lang w:val="es-VE"/>
        </w:rPr>
        <w:t>, 2011</w:t>
      </w:r>
      <w:r w:rsidRPr="005A0B52">
        <w:rPr>
          <w:rFonts w:ascii="Times New Roman" w:hAnsi="Times New Roman" w:cs="Times New Roman"/>
          <w:bCs/>
          <w:sz w:val="24"/>
          <w:szCs w:val="24"/>
          <w:lang w:val="es-VE"/>
        </w:rPr>
        <w:t>) y para la cogeneración de electricidad (Izquierdo</w:t>
      </w:r>
      <w:r w:rsidRPr="005A0B52">
        <w:rPr>
          <w:rFonts w:ascii="Times New Roman" w:hAnsi="Times New Roman" w:cs="Times New Roman"/>
          <w:bCs/>
          <w:i/>
          <w:sz w:val="24"/>
          <w:szCs w:val="24"/>
          <w:lang w:val="es-VE"/>
        </w:rPr>
        <w:t xml:space="preserve"> </w:t>
      </w:r>
      <w:r w:rsidRPr="005A0B52">
        <w:rPr>
          <w:rFonts w:ascii="Times New Roman" w:hAnsi="Times New Roman" w:cs="Times New Roman"/>
          <w:bCs/>
          <w:i/>
          <w:sz w:val="24"/>
          <w:szCs w:val="24"/>
          <w:lang w:val="es-ES_tradnl"/>
        </w:rPr>
        <w:t>et al.,</w:t>
      </w:r>
      <w:r w:rsidRPr="005A0B52">
        <w:rPr>
          <w:rFonts w:ascii="Times New Roman" w:hAnsi="Times New Roman" w:cs="Times New Roman"/>
          <w:bCs/>
          <w:sz w:val="24"/>
          <w:szCs w:val="24"/>
          <w:lang w:val="es-ES_tradnl"/>
        </w:rPr>
        <w:t xml:space="preserve"> </w:t>
      </w:r>
      <w:r w:rsidRPr="005A0B52">
        <w:rPr>
          <w:rFonts w:ascii="Times New Roman" w:hAnsi="Times New Roman" w:cs="Times New Roman"/>
          <w:bCs/>
          <w:i/>
          <w:sz w:val="24"/>
          <w:szCs w:val="24"/>
          <w:lang w:val="es-VE"/>
        </w:rPr>
        <w:t>2013</w:t>
      </w:r>
      <w:r w:rsidRPr="005A0B52">
        <w:rPr>
          <w:rFonts w:ascii="Times New Roman" w:hAnsi="Times New Roman" w:cs="Times New Roman"/>
          <w:bCs/>
          <w:sz w:val="24"/>
          <w:szCs w:val="24"/>
          <w:lang w:val="es-VE"/>
        </w:rPr>
        <w:t>).</w:t>
      </w:r>
    </w:p>
    <w:p w:rsidR="00D32967" w:rsidRPr="005A0B52" w:rsidRDefault="00D32967" w:rsidP="00D32967">
      <w:pPr>
        <w:spacing w:line="360" w:lineRule="auto"/>
        <w:jc w:val="both"/>
        <w:rPr>
          <w:rFonts w:ascii="Times New Roman" w:hAnsi="Times New Roman" w:cs="Times New Roman"/>
          <w:bCs/>
          <w:sz w:val="24"/>
          <w:szCs w:val="24"/>
        </w:rPr>
      </w:pPr>
      <w:r w:rsidRPr="005A0B52">
        <w:rPr>
          <w:rFonts w:ascii="Times New Roman" w:hAnsi="Times New Roman" w:cs="Times New Roman"/>
          <w:bCs/>
          <w:sz w:val="24"/>
          <w:szCs w:val="24"/>
        </w:rPr>
        <w:t xml:space="preserve">El empleo del mejoramiento genético en el cultivo de la caña de azúcar es ampliamente utilizado en la selección de nuevos y mejores cultivares resultando indispensable para garantizar la renovación sistemática de los que son empleados comercialmente y declinan </w:t>
      </w:r>
      <w:r w:rsidRPr="005A0B52">
        <w:rPr>
          <w:rFonts w:ascii="Times New Roman" w:hAnsi="Times New Roman" w:cs="Times New Roman"/>
          <w:bCs/>
          <w:sz w:val="24"/>
          <w:szCs w:val="24"/>
        </w:rPr>
        <w:lastRenderedPageBreak/>
        <w:t>su rendimiento luego de períodos prolongados de explotación y que pueden ser susceptibles a determinadas patologías (Santana</w:t>
      </w:r>
      <w:r w:rsidRPr="005A0B52">
        <w:rPr>
          <w:rFonts w:ascii="Times New Roman" w:hAnsi="Times New Roman" w:cs="Times New Roman"/>
          <w:bCs/>
          <w:i/>
          <w:sz w:val="24"/>
          <w:szCs w:val="24"/>
        </w:rPr>
        <w:t xml:space="preserve"> </w:t>
      </w:r>
      <w:r w:rsidRPr="005A0B52">
        <w:rPr>
          <w:rFonts w:ascii="Times New Roman" w:hAnsi="Times New Roman" w:cs="Times New Roman"/>
          <w:bCs/>
          <w:i/>
          <w:sz w:val="24"/>
          <w:szCs w:val="24"/>
          <w:lang w:val="es-ES_tradnl"/>
        </w:rPr>
        <w:t>et al.,</w:t>
      </w:r>
      <w:r w:rsidRPr="005A0B52">
        <w:rPr>
          <w:rFonts w:ascii="Times New Roman" w:hAnsi="Times New Roman" w:cs="Times New Roman"/>
          <w:bCs/>
          <w:sz w:val="24"/>
          <w:szCs w:val="24"/>
          <w:lang w:val="es-ES_tradnl"/>
        </w:rPr>
        <w:t xml:space="preserve"> </w:t>
      </w:r>
      <w:r w:rsidRPr="005A0B52">
        <w:rPr>
          <w:rFonts w:ascii="Times New Roman" w:hAnsi="Times New Roman" w:cs="Times New Roman"/>
          <w:bCs/>
          <w:i/>
          <w:sz w:val="24"/>
          <w:szCs w:val="24"/>
        </w:rPr>
        <w:t>2012</w:t>
      </w:r>
      <w:r w:rsidRPr="005A0B52">
        <w:rPr>
          <w:rFonts w:ascii="Times New Roman" w:hAnsi="Times New Roman" w:cs="Times New Roman"/>
          <w:bCs/>
          <w:sz w:val="24"/>
          <w:szCs w:val="24"/>
        </w:rPr>
        <w:t xml:space="preserve">). </w:t>
      </w:r>
    </w:p>
    <w:p w:rsidR="00D32967" w:rsidRPr="005A0B52" w:rsidRDefault="00D32967" w:rsidP="00D32967">
      <w:pPr>
        <w:spacing w:line="360" w:lineRule="auto"/>
        <w:jc w:val="both"/>
        <w:rPr>
          <w:rFonts w:ascii="Times New Roman" w:hAnsi="Times New Roman" w:cs="Times New Roman"/>
          <w:bCs/>
          <w:sz w:val="24"/>
          <w:szCs w:val="24"/>
          <w:lang w:val="es-MX"/>
        </w:rPr>
      </w:pPr>
      <w:r w:rsidRPr="005A0B52">
        <w:rPr>
          <w:rFonts w:ascii="Times New Roman" w:hAnsi="Times New Roman" w:cs="Times New Roman"/>
          <w:bCs/>
          <w:sz w:val="24"/>
          <w:szCs w:val="24"/>
          <w:lang w:val="es-MX"/>
        </w:rPr>
        <w:t>Se ha estimado que la contribución del mejoramiento genético al incremento de los rendimientos en los cultivos de manera general es de alrededor del 50%</w:t>
      </w:r>
      <w:r w:rsidRPr="005A0B52">
        <w:rPr>
          <w:rFonts w:ascii="Times New Roman" w:hAnsi="Times New Roman" w:cs="Times New Roman"/>
          <w:bCs/>
          <w:color w:val="000000" w:themeColor="text1"/>
          <w:sz w:val="24"/>
          <w:szCs w:val="24"/>
          <w:lang w:val="es-MX"/>
        </w:rPr>
        <w:t xml:space="preserve">. Específicamente </w:t>
      </w:r>
      <w:r w:rsidRPr="005A0B52">
        <w:rPr>
          <w:rFonts w:ascii="Times New Roman" w:hAnsi="Times New Roman" w:cs="Times New Roman"/>
          <w:bCs/>
          <w:sz w:val="24"/>
          <w:szCs w:val="24"/>
          <w:lang w:val="es-MX"/>
        </w:rPr>
        <w:t>en caña de azúcar se atribuye entre un 50 y 75% al uso de los cultivares</w:t>
      </w:r>
      <w:r w:rsidRPr="005A0B52">
        <w:rPr>
          <w:rFonts w:ascii="Times New Roman" w:hAnsi="Times New Roman" w:cs="Times New Roman"/>
          <w:bCs/>
          <w:color w:val="000000" w:themeColor="text1"/>
          <w:sz w:val="24"/>
          <w:szCs w:val="24"/>
          <w:lang w:val="es-MX"/>
        </w:rPr>
        <w:t>,</w:t>
      </w:r>
      <w:r w:rsidRPr="005A0B52">
        <w:rPr>
          <w:rFonts w:ascii="Times New Roman" w:hAnsi="Times New Roman" w:cs="Times New Roman"/>
          <w:bCs/>
          <w:sz w:val="24"/>
          <w:szCs w:val="24"/>
          <w:lang w:val="es-MX"/>
        </w:rPr>
        <w:t xml:space="preserve"> ellos son el verdadero almacén de azúcar en el campo, la fábrica no hace más que extraerla. </w:t>
      </w:r>
    </w:p>
    <w:p w:rsidR="00D32967" w:rsidRPr="005A0B52" w:rsidRDefault="00D32967" w:rsidP="00D32967">
      <w:pPr>
        <w:spacing w:line="360" w:lineRule="auto"/>
        <w:jc w:val="both"/>
        <w:rPr>
          <w:rFonts w:ascii="Times New Roman" w:hAnsi="Times New Roman" w:cs="Times New Roman"/>
          <w:color w:val="FF0000"/>
          <w:sz w:val="24"/>
          <w:szCs w:val="24"/>
        </w:rPr>
      </w:pPr>
      <w:r w:rsidRPr="005A0B52">
        <w:rPr>
          <w:rFonts w:ascii="Times New Roman" w:hAnsi="Times New Roman" w:cs="Times New Roman"/>
          <w:bCs/>
          <w:sz w:val="24"/>
          <w:szCs w:val="24"/>
          <w:lang w:val="es-MX"/>
        </w:rPr>
        <w:t>Por las razones anteriores en las últimas cuatro décadas, el uso y manejo de los cultivares, se ha convertido en una tecnología de singular importancia para el incremento de la producción y la reducción de los costos del sector azucarero. A diferencia de otras que requieren inversiones costosas, el principal recurso de ésta radica en la experiencia acumulada y la inteligencia humana.</w:t>
      </w:r>
    </w:p>
    <w:p w:rsidR="00D32967" w:rsidRPr="005A0B52" w:rsidRDefault="00D32967" w:rsidP="00D32967">
      <w:pPr>
        <w:spacing w:line="360" w:lineRule="auto"/>
        <w:jc w:val="both"/>
        <w:rPr>
          <w:rFonts w:ascii="Times New Roman" w:hAnsi="Times New Roman" w:cs="Times New Roman"/>
          <w:bCs/>
          <w:sz w:val="24"/>
          <w:szCs w:val="24"/>
        </w:rPr>
      </w:pPr>
      <w:r w:rsidRPr="005A0B52">
        <w:rPr>
          <w:rFonts w:ascii="Times New Roman" w:hAnsi="Times New Roman" w:cs="Times New Roman"/>
          <w:bCs/>
          <w:sz w:val="24"/>
          <w:szCs w:val="24"/>
        </w:rPr>
        <w:t xml:space="preserve">En Cuba </w:t>
      </w:r>
      <w:r w:rsidRPr="005A0B52">
        <w:rPr>
          <w:rFonts w:ascii="Times New Roman" w:hAnsi="Times New Roman" w:cs="Times New Roman"/>
          <w:bCs/>
          <w:sz w:val="24"/>
          <w:szCs w:val="24"/>
          <w:lang w:val="es-ES_tradnl"/>
        </w:rPr>
        <w:t>existen actualmente 82 000 ha dedicadas al cultivo de la caña de azúcar (Mesa</w:t>
      </w:r>
      <w:r w:rsidRPr="005A0B52">
        <w:rPr>
          <w:rFonts w:ascii="Times New Roman" w:hAnsi="Times New Roman" w:cs="Times New Roman"/>
          <w:bCs/>
          <w:i/>
          <w:sz w:val="24"/>
          <w:szCs w:val="24"/>
          <w:lang w:val="es-ES_tradnl"/>
        </w:rPr>
        <w:t xml:space="preserve"> et al.,</w:t>
      </w:r>
      <w:r w:rsidRPr="005A0B52">
        <w:rPr>
          <w:rFonts w:ascii="Times New Roman" w:hAnsi="Times New Roman" w:cs="Times New Roman"/>
          <w:bCs/>
          <w:sz w:val="24"/>
          <w:szCs w:val="24"/>
          <w:lang w:val="es-ES_tradnl"/>
        </w:rPr>
        <w:t xml:space="preserve"> </w:t>
      </w:r>
      <w:r w:rsidRPr="005A0B52">
        <w:rPr>
          <w:rFonts w:ascii="Times New Roman" w:hAnsi="Times New Roman" w:cs="Times New Roman"/>
          <w:bCs/>
          <w:i/>
          <w:sz w:val="24"/>
          <w:szCs w:val="24"/>
          <w:lang w:val="es-ES_tradnl"/>
        </w:rPr>
        <w:t>2016</w:t>
      </w:r>
      <w:r w:rsidRPr="005A0B52">
        <w:rPr>
          <w:rFonts w:ascii="Times New Roman" w:hAnsi="Times New Roman" w:cs="Times New Roman"/>
          <w:bCs/>
          <w:sz w:val="24"/>
          <w:szCs w:val="24"/>
          <w:lang w:val="es-ES_tradnl"/>
        </w:rPr>
        <w:t>). E</w:t>
      </w:r>
      <w:r w:rsidRPr="005A0B52">
        <w:rPr>
          <w:rFonts w:ascii="Times New Roman" w:hAnsi="Times New Roman" w:cs="Times New Roman"/>
          <w:bCs/>
          <w:sz w:val="24"/>
          <w:szCs w:val="24"/>
        </w:rPr>
        <w:t>l 37% (258 000 ha) se encuentran en suelos de alta hidromorfía</w:t>
      </w:r>
      <w:r w:rsidRPr="005A0B52">
        <w:rPr>
          <w:rFonts w:ascii="Times New Roman" w:hAnsi="Times New Roman" w:cs="Times New Roman"/>
          <w:bCs/>
          <w:sz w:val="24"/>
          <w:szCs w:val="24"/>
          <w:lang w:val="es-ES_tradnl"/>
        </w:rPr>
        <w:t xml:space="preserve"> (Martínez </w:t>
      </w:r>
      <w:r w:rsidRPr="005A0B52">
        <w:rPr>
          <w:rFonts w:ascii="Times New Roman" w:hAnsi="Times New Roman" w:cs="Times New Roman"/>
          <w:bCs/>
          <w:i/>
          <w:sz w:val="24"/>
          <w:szCs w:val="24"/>
          <w:lang w:val="es-ES_tradnl"/>
        </w:rPr>
        <w:t>et al.,</w:t>
      </w:r>
      <w:r w:rsidRPr="005A0B52">
        <w:rPr>
          <w:rFonts w:ascii="Times New Roman" w:hAnsi="Times New Roman" w:cs="Times New Roman"/>
          <w:bCs/>
          <w:i/>
          <w:color w:val="FF0000"/>
          <w:sz w:val="24"/>
          <w:szCs w:val="24"/>
          <w:lang w:val="es-ES_tradnl"/>
        </w:rPr>
        <w:t xml:space="preserve"> </w:t>
      </w:r>
      <w:r w:rsidRPr="005A0B52">
        <w:rPr>
          <w:rFonts w:ascii="Times New Roman" w:hAnsi="Times New Roman" w:cs="Times New Roman"/>
          <w:bCs/>
          <w:sz w:val="24"/>
          <w:szCs w:val="24"/>
          <w:lang w:val="es-ES_tradnl"/>
        </w:rPr>
        <w:t>2016). E</w:t>
      </w:r>
      <w:r w:rsidRPr="005A0B52">
        <w:rPr>
          <w:rFonts w:ascii="Times New Roman" w:hAnsi="Times New Roman" w:cs="Times New Roman"/>
          <w:bCs/>
          <w:sz w:val="24"/>
          <w:szCs w:val="24"/>
        </w:rPr>
        <w:t>n la provincia de Villa Clara existen 85 000 ha plantadas con caña de azúcar y el 30% (25 000 ha) de estas áreas se encuentran bajo estas condiciones</w:t>
      </w:r>
      <w:r w:rsidRPr="005A0B52">
        <w:rPr>
          <w:rFonts w:ascii="Times New Roman" w:hAnsi="Times New Roman" w:cs="Times New Roman"/>
          <w:sz w:val="24"/>
          <w:szCs w:val="24"/>
        </w:rPr>
        <w:t xml:space="preserve"> donde el</w:t>
      </w:r>
      <w:r w:rsidRPr="005A0B52">
        <w:rPr>
          <w:rFonts w:ascii="Times New Roman" w:hAnsi="Times New Roman" w:cs="Times New Roman"/>
          <w:bCs/>
          <w:sz w:val="24"/>
          <w:szCs w:val="24"/>
        </w:rPr>
        <w:t xml:space="preserve"> potencial productivo está fuertemente limitado por lo que se ha desarrollado un programa de mejoramiento genético capaz de obtener nuevos cultivares de mejor adaptabilidad a estas condiciones edafoclimáticas, con requisitos agroindustriales y fitosanitarios que garanticen la producción </w:t>
      </w:r>
      <w:proofErr w:type="spellStart"/>
      <w:r w:rsidRPr="005A0B52">
        <w:rPr>
          <w:rFonts w:ascii="Times New Roman" w:hAnsi="Times New Roman" w:cs="Times New Roman"/>
          <w:bCs/>
          <w:sz w:val="24"/>
          <w:szCs w:val="24"/>
        </w:rPr>
        <w:t>agroazucarera</w:t>
      </w:r>
      <w:proofErr w:type="spellEnd"/>
      <w:r w:rsidRPr="005A0B52">
        <w:rPr>
          <w:rFonts w:ascii="Times New Roman" w:hAnsi="Times New Roman" w:cs="Times New Roman"/>
          <w:bCs/>
          <w:sz w:val="24"/>
          <w:szCs w:val="24"/>
        </w:rPr>
        <w:t>. Resultado de los estudios realizados, se han obtenidos cultivares que existen actualmente en producción entre los que se encuentran: (C85-212, C85-214, SP70-1284, B78505 y C89-246).</w:t>
      </w:r>
    </w:p>
    <w:p w:rsidR="00D32967" w:rsidRPr="005A0B52" w:rsidRDefault="00D32967" w:rsidP="00D32967">
      <w:pPr>
        <w:spacing w:line="360" w:lineRule="auto"/>
        <w:jc w:val="both"/>
        <w:rPr>
          <w:rFonts w:ascii="Times New Roman" w:hAnsi="Times New Roman" w:cs="Times New Roman"/>
          <w:bCs/>
          <w:sz w:val="24"/>
          <w:szCs w:val="24"/>
          <w:lang w:val="es-MX"/>
        </w:rPr>
      </w:pPr>
      <w:r w:rsidRPr="005A0B52">
        <w:rPr>
          <w:rFonts w:ascii="Times New Roman" w:hAnsi="Times New Roman" w:cs="Times New Roman"/>
          <w:bCs/>
          <w:sz w:val="24"/>
          <w:szCs w:val="24"/>
          <w:lang w:val="es-MX"/>
        </w:rPr>
        <w:t>El presente trabajo tiene como objetivo evaluar el cultivar C02-210 en condiciones de alta hidromorfía.</w:t>
      </w:r>
    </w:p>
    <w:p w:rsidR="00A21A1F" w:rsidRPr="005A0B52" w:rsidRDefault="00A21A1F" w:rsidP="00FF3346">
      <w:pPr>
        <w:spacing w:after="0" w:line="360" w:lineRule="auto"/>
        <w:jc w:val="both"/>
        <w:rPr>
          <w:rFonts w:ascii="Times New Roman" w:hAnsi="Times New Roman" w:cs="Times New Roman"/>
          <w:b/>
          <w:sz w:val="24"/>
          <w:szCs w:val="24"/>
        </w:rPr>
      </w:pPr>
      <w:r w:rsidRPr="005A0B52">
        <w:rPr>
          <w:rFonts w:ascii="Times New Roman" w:hAnsi="Times New Roman" w:cs="Times New Roman"/>
          <w:b/>
          <w:sz w:val="24"/>
          <w:szCs w:val="24"/>
        </w:rPr>
        <w:t>2. Metodología</w:t>
      </w:r>
    </w:p>
    <w:p w:rsidR="00D32967" w:rsidRPr="005A0B52" w:rsidRDefault="00D32967" w:rsidP="00D32967">
      <w:pPr>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 xml:space="preserve">La investigación se desarrolló en la Estación Territorial de Investigaciones de la Caña de Azúcar Centro Villa Clara en áreas del Bloque Experimental “Jesús Menéndez” ubicado </w:t>
      </w:r>
      <w:r w:rsidRPr="005A0B52">
        <w:rPr>
          <w:rFonts w:ascii="Times New Roman" w:hAnsi="Times New Roman" w:cs="Times New Roman"/>
          <w:sz w:val="24"/>
          <w:szCs w:val="24"/>
        </w:rPr>
        <w:lastRenderedPageBreak/>
        <w:t xml:space="preserve">en latitud N 22 ̊47̍ </w:t>
      </w:r>
      <w:r w:rsidRPr="005A0B52">
        <w:rPr>
          <w:rFonts w:ascii="Times New Roman" w:hAnsi="Times New Roman" w:cs="Times New Roman"/>
          <w:sz w:val="24"/>
          <w:szCs w:val="24"/>
          <w:vertAlign w:val="superscript"/>
        </w:rPr>
        <w:t xml:space="preserve">̍ </w:t>
      </w:r>
      <w:r w:rsidRPr="005A0B52">
        <w:rPr>
          <w:rFonts w:ascii="Times New Roman" w:hAnsi="Times New Roman" w:cs="Times New Roman"/>
          <w:sz w:val="24"/>
          <w:szCs w:val="24"/>
        </w:rPr>
        <w:t>11¨ y longitud W- 80</w:t>
      </w:r>
      <w:r w:rsidRPr="005A0B52">
        <w:rPr>
          <w:rFonts w:ascii="Times New Roman" w:hAnsi="Times New Roman" w:cs="Times New Roman"/>
          <w:sz w:val="24"/>
          <w:szCs w:val="24"/>
          <w:vertAlign w:val="superscript"/>
        </w:rPr>
        <w:t>̊</w:t>
      </w:r>
      <w:r w:rsidRPr="005A0B52">
        <w:rPr>
          <w:rFonts w:ascii="Times New Roman" w:hAnsi="Times New Roman" w:cs="Times New Roman"/>
          <w:sz w:val="24"/>
          <w:szCs w:val="24"/>
        </w:rPr>
        <w:t>2</w:t>
      </w:r>
      <w:r w:rsidRPr="005A0B52">
        <w:rPr>
          <w:rFonts w:ascii="Times New Roman" w:hAnsi="Times New Roman" w:cs="Times New Roman"/>
          <w:sz w:val="24"/>
          <w:szCs w:val="24"/>
          <w:vertAlign w:val="superscript"/>
        </w:rPr>
        <w:t>ˈ</w:t>
      </w:r>
      <w:r w:rsidRPr="005A0B52">
        <w:rPr>
          <w:rFonts w:ascii="Times New Roman" w:hAnsi="Times New Roman" w:cs="Times New Roman"/>
          <w:sz w:val="24"/>
          <w:szCs w:val="24"/>
        </w:rPr>
        <w:t>43</w:t>
      </w:r>
      <w:r w:rsidRPr="005A0B52">
        <w:rPr>
          <w:rFonts w:ascii="Times New Roman" w:hAnsi="Times New Roman" w:cs="Times New Roman"/>
          <w:sz w:val="24"/>
          <w:szCs w:val="24"/>
          <w:vertAlign w:val="superscript"/>
        </w:rPr>
        <w:t>¨</w:t>
      </w:r>
      <w:r w:rsidRPr="005A0B52">
        <w:rPr>
          <w:rFonts w:ascii="Times New Roman" w:hAnsi="Times New Roman" w:cs="Times New Roman"/>
          <w:sz w:val="24"/>
          <w:szCs w:val="24"/>
        </w:rPr>
        <w:t xml:space="preserve"> municipio Sagua la Grande provincia Villa Clara.</w:t>
      </w:r>
    </w:p>
    <w:p w:rsidR="00D32967" w:rsidRPr="005A0B52" w:rsidRDefault="00D32967" w:rsidP="00D32967">
      <w:pPr>
        <w:spacing w:line="360" w:lineRule="auto"/>
        <w:jc w:val="both"/>
        <w:rPr>
          <w:rFonts w:ascii="Times New Roman" w:hAnsi="Times New Roman" w:cs="Times New Roman"/>
          <w:color w:val="FF0000"/>
          <w:sz w:val="24"/>
          <w:szCs w:val="24"/>
        </w:rPr>
      </w:pPr>
      <w:r w:rsidRPr="005A0B52">
        <w:rPr>
          <w:rFonts w:ascii="Times New Roman" w:hAnsi="Times New Roman" w:cs="Times New Roman"/>
          <w:sz w:val="24"/>
          <w:szCs w:val="24"/>
        </w:rPr>
        <w:t>Material vegetal</w:t>
      </w:r>
      <w:r w:rsidRPr="005A0B52">
        <w:rPr>
          <w:rFonts w:ascii="Times New Roman" w:hAnsi="Times New Roman" w:cs="Times New Roman"/>
          <w:i/>
          <w:sz w:val="24"/>
          <w:szCs w:val="24"/>
        </w:rPr>
        <w:t xml:space="preserve"> </w:t>
      </w:r>
    </w:p>
    <w:p w:rsidR="00D32967" w:rsidRPr="005A0B52" w:rsidRDefault="00D32967" w:rsidP="00D32967">
      <w:pPr>
        <w:spacing w:line="360" w:lineRule="auto"/>
        <w:jc w:val="both"/>
        <w:rPr>
          <w:rFonts w:ascii="Times New Roman" w:hAnsi="Times New Roman" w:cs="Times New Roman"/>
          <w:b/>
          <w:sz w:val="24"/>
          <w:szCs w:val="24"/>
        </w:rPr>
      </w:pPr>
      <w:r w:rsidRPr="005A0B52">
        <w:rPr>
          <w:rFonts w:ascii="Times New Roman" w:hAnsi="Times New Roman" w:cs="Times New Roman"/>
          <w:sz w:val="24"/>
          <w:szCs w:val="24"/>
        </w:rPr>
        <w:t xml:space="preserve">Se utilizaron tallos de 11 meses de edad del cultivar C02-210. El mismo fue obtenido por el cruzamiento de </w:t>
      </w:r>
      <w:r w:rsidRPr="005A0B52">
        <w:rPr>
          <w:rFonts w:ascii="Times New Roman" w:hAnsi="Times New Roman" w:cs="Times New Roman"/>
          <w:bCs/>
          <w:sz w:val="24"/>
          <w:szCs w:val="24"/>
        </w:rPr>
        <w:t xml:space="preserve">C334-64 x PC. Presentando las siguientes características agrobotánicas: sus tallos presentan un color verde con visos de color amarillento de 3,0 cm de diámetro y una longitud promedio de 270 cm, los entrenudos son de forma cilíndrica, dispuestos en un ligero </w:t>
      </w:r>
      <w:proofErr w:type="spellStart"/>
      <w:r w:rsidRPr="005A0B52">
        <w:rPr>
          <w:rFonts w:ascii="Times New Roman" w:hAnsi="Times New Roman" w:cs="Times New Roman"/>
          <w:bCs/>
          <w:sz w:val="24"/>
          <w:szCs w:val="24"/>
        </w:rPr>
        <w:t>zig-zag</w:t>
      </w:r>
      <w:proofErr w:type="spellEnd"/>
      <w:r w:rsidRPr="005A0B52">
        <w:rPr>
          <w:rFonts w:ascii="Times New Roman" w:hAnsi="Times New Roman" w:cs="Times New Roman"/>
          <w:bCs/>
          <w:sz w:val="24"/>
          <w:szCs w:val="24"/>
        </w:rPr>
        <w:t xml:space="preserve"> de 15 cm de largo, </w:t>
      </w:r>
      <w:r w:rsidRPr="005A0B52">
        <w:rPr>
          <w:rFonts w:ascii="Times New Roman" w:hAnsi="Times New Roman" w:cs="Times New Roman"/>
          <w:sz w:val="24"/>
          <w:szCs w:val="24"/>
        </w:rPr>
        <w:t>presentan abundante cera</w:t>
      </w:r>
      <w:r w:rsidRPr="005A0B52">
        <w:rPr>
          <w:rFonts w:ascii="Times New Roman" w:hAnsi="Times New Roman" w:cs="Times New Roman"/>
          <w:bCs/>
          <w:sz w:val="24"/>
          <w:szCs w:val="24"/>
        </w:rPr>
        <w:t>. Yema obovada de tamaño normal</w:t>
      </w:r>
      <w:r w:rsidRPr="005A0B52">
        <w:rPr>
          <w:rFonts w:ascii="Times New Roman" w:hAnsi="Times New Roman" w:cs="Times New Roman"/>
          <w:bCs/>
          <w:color w:val="FF0000"/>
          <w:sz w:val="24"/>
          <w:szCs w:val="24"/>
        </w:rPr>
        <w:t xml:space="preserve"> </w:t>
      </w:r>
      <w:r w:rsidRPr="005A0B52">
        <w:rPr>
          <w:rFonts w:ascii="Times New Roman" w:hAnsi="Times New Roman" w:cs="Times New Roman"/>
          <w:sz w:val="24"/>
          <w:szCs w:val="24"/>
        </w:rPr>
        <w:t>toca la cicatriz de la hoja y no toca el anillo de crecimiento,</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no se observa canal de la yema</w:t>
      </w:r>
      <w:r w:rsidRPr="005A0B52">
        <w:rPr>
          <w:rFonts w:ascii="Times New Roman" w:hAnsi="Times New Roman" w:cs="Times New Roman"/>
          <w:bCs/>
          <w:sz w:val="24"/>
          <w:szCs w:val="24"/>
        </w:rPr>
        <w:t>.</w:t>
      </w:r>
      <w:r w:rsidRPr="005A0B52">
        <w:rPr>
          <w:rFonts w:ascii="Times New Roman" w:hAnsi="Times New Roman" w:cs="Times New Roman"/>
          <w:bCs/>
          <w:color w:val="FF0000"/>
          <w:sz w:val="24"/>
          <w:szCs w:val="24"/>
        </w:rPr>
        <w:t xml:space="preserve"> </w:t>
      </w:r>
      <w:r w:rsidRPr="005A0B52">
        <w:rPr>
          <w:rFonts w:ascii="Times New Roman" w:hAnsi="Times New Roman" w:cs="Times New Roman"/>
          <w:bCs/>
          <w:sz w:val="24"/>
          <w:szCs w:val="24"/>
        </w:rPr>
        <w:t xml:space="preserve">Vaina de color verde con ligeros visos morados, carece de espinas, su </w:t>
      </w:r>
      <w:proofErr w:type="spellStart"/>
      <w:r w:rsidRPr="005A0B52">
        <w:rPr>
          <w:rFonts w:ascii="Times New Roman" w:hAnsi="Times New Roman" w:cs="Times New Roman"/>
          <w:bCs/>
          <w:sz w:val="24"/>
          <w:szCs w:val="24"/>
        </w:rPr>
        <w:t>dewlap</w:t>
      </w:r>
      <w:proofErr w:type="spellEnd"/>
      <w:r w:rsidRPr="005A0B52">
        <w:rPr>
          <w:rFonts w:ascii="Times New Roman" w:hAnsi="Times New Roman" w:cs="Times New Roman"/>
          <w:bCs/>
          <w:sz w:val="24"/>
          <w:szCs w:val="24"/>
        </w:rPr>
        <w:t xml:space="preserve"> es de tipo cuadrado, la lígula en forma de cuarto creciente y su aurícula lance</w:t>
      </w:r>
      <w:r w:rsidRPr="005A0B52">
        <w:rPr>
          <w:rFonts w:ascii="Times New Roman" w:hAnsi="Times New Roman" w:cs="Times New Roman"/>
          <w:sz w:val="24"/>
          <w:szCs w:val="24"/>
        </w:rPr>
        <w:t>olada de inserción alta</w:t>
      </w:r>
      <w:r w:rsidRPr="005A0B52">
        <w:rPr>
          <w:rFonts w:ascii="Times New Roman" w:hAnsi="Times New Roman" w:cs="Times New Roman"/>
          <w:bCs/>
          <w:sz w:val="24"/>
          <w:szCs w:val="24"/>
        </w:rPr>
        <w:t>. El limbo es de color verde, presentando de 9-10 hojas activas en el momento de la cosecha, buena brotación (55%), cierre de campo temprano, hábito de crecimiento ligeramente abierto y fácil</w:t>
      </w:r>
      <w:r w:rsidRPr="005A0B52">
        <w:rPr>
          <w:rFonts w:ascii="Times New Roman" w:hAnsi="Times New Roman" w:cs="Times New Roman"/>
          <w:bCs/>
          <w:color w:val="FF0000"/>
          <w:sz w:val="24"/>
          <w:szCs w:val="24"/>
        </w:rPr>
        <w:t xml:space="preserve"> </w:t>
      </w:r>
      <w:r w:rsidRPr="005A0B52">
        <w:rPr>
          <w:rFonts w:ascii="Times New Roman" w:hAnsi="Times New Roman" w:cs="Times New Roman"/>
          <w:bCs/>
          <w:sz w:val="24"/>
          <w:szCs w:val="24"/>
        </w:rPr>
        <w:t>despaje. No florece y su contenido de fibra oscila entre 12,5 - 13,5%.</w:t>
      </w:r>
    </w:p>
    <w:p w:rsidR="00D32967" w:rsidRPr="005A0B52" w:rsidRDefault="00D32967" w:rsidP="00D32967">
      <w:pPr>
        <w:spacing w:line="360" w:lineRule="auto"/>
        <w:jc w:val="both"/>
        <w:rPr>
          <w:rFonts w:ascii="Times New Roman" w:hAnsi="Times New Roman" w:cs="Times New Roman"/>
          <w:color w:val="FF0000"/>
          <w:sz w:val="24"/>
          <w:szCs w:val="24"/>
          <w:lang w:val="es-ES_tradnl"/>
        </w:rPr>
      </w:pPr>
      <w:r w:rsidRPr="005A0B52">
        <w:rPr>
          <w:rFonts w:ascii="Times New Roman" w:hAnsi="Times New Roman" w:cs="Times New Roman"/>
          <w:sz w:val="24"/>
          <w:szCs w:val="24"/>
        </w:rPr>
        <w:t xml:space="preserve">El experimento fue realizado sobre un suelo </w:t>
      </w:r>
      <w:proofErr w:type="spellStart"/>
      <w:r w:rsidRPr="005A0B52">
        <w:rPr>
          <w:rFonts w:ascii="Times New Roman" w:hAnsi="Times New Roman" w:cs="Times New Roman"/>
          <w:sz w:val="24"/>
          <w:szCs w:val="24"/>
        </w:rPr>
        <w:t>Hidromórfico</w:t>
      </w:r>
      <w:proofErr w:type="spellEnd"/>
      <w:r w:rsidRPr="005A0B52">
        <w:rPr>
          <w:rFonts w:ascii="Times New Roman" w:hAnsi="Times New Roman" w:cs="Times New Roman"/>
          <w:sz w:val="24"/>
          <w:szCs w:val="24"/>
        </w:rPr>
        <w:t xml:space="preserve">, del tipo </w:t>
      </w:r>
      <w:proofErr w:type="spellStart"/>
      <w:r w:rsidRPr="005A0B52">
        <w:rPr>
          <w:rFonts w:ascii="Times New Roman" w:hAnsi="Times New Roman" w:cs="Times New Roman"/>
          <w:sz w:val="24"/>
          <w:szCs w:val="24"/>
        </w:rPr>
        <w:t>Gleysol</w:t>
      </w:r>
      <w:proofErr w:type="spellEnd"/>
      <w:r w:rsidRPr="005A0B52">
        <w:rPr>
          <w:rFonts w:ascii="Times New Roman" w:hAnsi="Times New Roman" w:cs="Times New Roman"/>
          <w:sz w:val="24"/>
          <w:szCs w:val="24"/>
        </w:rPr>
        <w:t xml:space="preserve"> </w:t>
      </w:r>
      <w:proofErr w:type="spellStart"/>
      <w:r w:rsidRPr="005A0B52">
        <w:rPr>
          <w:rFonts w:ascii="Times New Roman" w:hAnsi="Times New Roman" w:cs="Times New Roman"/>
          <w:sz w:val="24"/>
          <w:szCs w:val="24"/>
        </w:rPr>
        <w:t>Vértico</w:t>
      </w:r>
      <w:proofErr w:type="spellEnd"/>
      <w:r w:rsidRPr="005A0B52">
        <w:rPr>
          <w:rFonts w:ascii="Times New Roman" w:hAnsi="Times New Roman" w:cs="Times New Roman"/>
          <w:sz w:val="24"/>
          <w:szCs w:val="24"/>
        </w:rPr>
        <w:t xml:space="preserve"> según (Hernández</w:t>
      </w:r>
      <w:r w:rsidRPr="005A0B52">
        <w:rPr>
          <w:rFonts w:ascii="Times New Roman" w:hAnsi="Times New Roman" w:cs="Times New Roman"/>
          <w:i/>
          <w:sz w:val="24"/>
          <w:szCs w:val="24"/>
        </w:rPr>
        <w:t xml:space="preserve"> </w:t>
      </w:r>
      <w:r w:rsidRPr="005A0B52">
        <w:rPr>
          <w:rFonts w:ascii="Times New Roman" w:hAnsi="Times New Roman" w:cs="Times New Roman"/>
          <w:bCs/>
          <w:i/>
          <w:sz w:val="24"/>
          <w:szCs w:val="24"/>
          <w:lang w:val="es-ES_tradnl"/>
        </w:rPr>
        <w:t>et al.,</w:t>
      </w:r>
      <w:r w:rsidRPr="005A0B52">
        <w:rPr>
          <w:rFonts w:ascii="Times New Roman" w:hAnsi="Times New Roman" w:cs="Times New Roman"/>
          <w:bCs/>
          <w:sz w:val="24"/>
          <w:szCs w:val="24"/>
          <w:lang w:val="es-ES_tradnl"/>
        </w:rPr>
        <w:t xml:space="preserve"> </w:t>
      </w:r>
      <w:r w:rsidRPr="005A0B52">
        <w:rPr>
          <w:rFonts w:ascii="Times New Roman" w:hAnsi="Times New Roman" w:cs="Times New Roman"/>
          <w:i/>
          <w:sz w:val="24"/>
          <w:szCs w:val="24"/>
        </w:rPr>
        <w:t>2015</w:t>
      </w:r>
      <w:r w:rsidRPr="005A0B52">
        <w:rPr>
          <w:rFonts w:ascii="Times New Roman" w:hAnsi="Times New Roman" w:cs="Times New Roman"/>
          <w:sz w:val="24"/>
          <w:szCs w:val="24"/>
        </w:rPr>
        <w:t>) que presenta las siguientes características</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 xml:space="preserve"> Capa arable que varía de 15-30 cm, debajo existe una zona </w:t>
      </w:r>
      <w:proofErr w:type="spellStart"/>
      <w:r w:rsidRPr="005A0B52">
        <w:rPr>
          <w:rFonts w:ascii="Times New Roman" w:hAnsi="Times New Roman" w:cs="Times New Roman"/>
          <w:sz w:val="24"/>
          <w:szCs w:val="24"/>
        </w:rPr>
        <w:t>gleizada</w:t>
      </w:r>
      <w:proofErr w:type="spellEnd"/>
      <w:r w:rsidRPr="005A0B52">
        <w:rPr>
          <w:rFonts w:ascii="Times New Roman" w:hAnsi="Times New Roman" w:cs="Times New Roman"/>
          <w:sz w:val="24"/>
          <w:szCs w:val="24"/>
        </w:rPr>
        <w:t xml:space="preserve"> impermeable</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 que unido a la escasa pendiente (1-1,2%) y un régimen pluviométrico de 1 230 mm como promedio anual, provoca serios problemas de mal drenaje y difícil manejo del suelo. Además presenta alto contenido de arcilla </w:t>
      </w:r>
      <w:proofErr w:type="spellStart"/>
      <w:r w:rsidRPr="005A0B52">
        <w:rPr>
          <w:rFonts w:ascii="Times New Roman" w:hAnsi="Times New Roman" w:cs="Times New Roman"/>
          <w:sz w:val="24"/>
          <w:szCs w:val="24"/>
        </w:rPr>
        <w:t>esmectita</w:t>
      </w:r>
      <w:proofErr w:type="spellEnd"/>
      <w:r w:rsidRPr="005A0B52">
        <w:rPr>
          <w:rFonts w:ascii="Times New Roman" w:hAnsi="Times New Roman" w:cs="Times New Roman"/>
          <w:sz w:val="24"/>
          <w:szCs w:val="24"/>
        </w:rPr>
        <w:t>, pH 5</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5 ligeramente ácido, alto contenido de fósforo y niveles medio de potasio</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 así como alta respuesta a la fertilización nitrogenada debido a su alta hidromorfía y bajo contenido de materia orgánica (1-2%)</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(Cairo</w:t>
      </w:r>
      <w:r w:rsidRPr="005A0B52">
        <w:rPr>
          <w:rFonts w:ascii="Times New Roman" w:hAnsi="Times New Roman" w:cs="Times New Roman"/>
          <w:i/>
          <w:color w:val="FF0000"/>
          <w:sz w:val="24"/>
          <w:szCs w:val="24"/>
        </w:rPr>
        <w:t xml:space="preserve"> </w:t>
      </w:r>
      <w:r w:rsidRPr="005A0B52">
        <w:rPr>
          <w:rFonts w:ascii="Times New Roman" w:hAnsi="Times New Roman" w:cs="Times New Roman"/>
          <w:i/>
          <w:sz w:val="24"/>
          <w:szCs w:val="24"/>
        </w:rPr>
        <w:t>et</w:t>
      </w:r>
      <w:r w:rsidRPr="005A0B52">
        <w:rPr>
          <w:rFonts w:ascii="Times New Roman" w:hAnsi="Times New Roman" w:cs="Times New Roman"/>
          <w:i/>
          <w:color w:val="FF0000"/>
          <w:sz w:val="24"/>
          <w:szCs w:val="24"/>
        </w:rPr>
        <w:t xml:space="preserve"> </w:t>
      </w:r>
      <w:r w:rsidRPr="005A0B52">
        <w:rPr>
          <w:rFonts w:ascii="Times New Roman" w:hAnsi="Times New Roman" w:cs="Times New Roman"/>
          <w:i/>
          <w:sz w:val="24"/>
          <w:szCs w:val="24"/>
        </w:rPr>
        <w:t>al., 2007)</w:t>
      </w:r>
      <w:r w:rsidRPr="005A0B52">
        <w:rPr>
          <w:rFonts w:ascii="Times New Roman" w:hAnsi="Times New Roman" w:cs="Times New Roman"/>
          <w:sz w:val="24"/>
          <w:szCs w:val="24"/>
        </w:rPr>
        <w:t xml:space="preserve">.  </w:t>
      </w:r>
    </w:p>
    <w:p w:rsidR="00D32967" w:rsidRPr="005A0B52" w:rsidRDefault="00D32967" w:rsidP="00D32967">
      <w:pPr>
        <w:spacing w:line="360" w:lineRule="auto"/>
        <w:jc w:val="both"/>
        <w:rPr>
          <w:rFonts w:ascii="Times New Roman" w:hAnsi="Times New Roman" w:cs="Times New Roman"/>
          <w:color w:val="FF0000"/>
          <w:sz w:val="24"/>
          <w:szCs w:val="24"/>
          <w:lang w:val="es-ES_tradnl"/>
        </w:rPr>
      </w:pPr>
      <w:r w:rsidRPr="005A0B52">
        <w:rPr>
          <w:rFonts w:ascii="Times New Roman" w:hAnsi="Times New Roman" w:cs="Times New Roman"/>
          <w:sz w:val="24"/>
          <w:szCs w:val="24"/>
        </w:rPr>
        <w:t>Este suelo tiene como propiedades física</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 xml:space="preserve"> textura con valores de arena fina 22</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95%, arena gruesa 0.12%, limo fino 11</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29%, limo grueso 13</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85% y arcilla 50.52%, la plasticidad en su límite superior es de 79</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 xml:space="preserve">09%, en el límite inferior es 41.67% y su índice de plasticidad </w:t>
      </w:r>
      <w:r w:rsidRPr="005A0B52">
        <w:rPr>
          <w:rFonts w:ascii="Times New Roman" w:hAnsi="Times New Roman" w:cs="Times New Roman"/>
          <w:sz w:val="24"/>
          <w:szCs w:val="24"/>
        </w:rPr>
        <w:lastRenderedPageBreak/>
        <w:t>es de 37.32%, presenta un peso específico 2.67 g/cm</w:t>
      </w:r>
      <w:r w:rsidRPr="005A0B52">
        <w:rPr>
          <w:rFonts w:ascii="Times New Roman" w:hAnsi="Times New Roman" w:cs="Times New Roman"/>
          <w:sz w:val="24"/>
          <w:szCs w:val="24"/>
          <w:vertAlign w:val="superscript"/>
        </w:rPr>
        <w:t>3</w:t>
      </w:r>
      <w:r w:rsidRPr="005A0B52">
        <w:rPr>
          <w:rFonts w:ascii="Times New Roman" w:hAnsi="Times New Roman" w:cs="Times New Roman"/>
          <w:sz w:val="24"/>
          <w:szCs w:val="24"/>
        </w:rPr>
        <w:t xml:space="preserve"> y una humedad higroscópica 15.32% </w:t>
      </w:r>
      <w:r w:rsidRPr="005A0B52">
        <w:rPr>
          <w:rFonts w:ascii="Times New Roman" w:hAnsi="Times New Roman" w:cs="Times New Roman"/>
          <w:i/>
          <w:sz w:val="24"/>
          <w:szCs w:val="24"/>
        </w:rPr>
        <w:t>(</w:t>
      </w:r>
      <w:r w:rsidRPr="005A0B52">
        <w:rPr>
          <w:rFonts w:ascii="Times New Roman" w:hAnsi="Times New Roman" w:cs="Times New Roman"/>
          <w:sz w:val="24"/>
          <w:szCs w:val="24"/>
        </w:rPr>
        <w:t>Betancourt</w:t>
      </w:r>
      <w:r w:rsidRPr="005A0B52">
        <w:rPr>
          <w:rFonts w:ascii="Times New Roman" w:hAnsi="Times New Roman" w:cs="Times New Roman"/>
          <w:i/>
          <w:sz w:val="24"/>
          <w:szCs w:val="24"/>
        </w:rPr>
        <w:t xml:space="preserve"> </w:t>
      </w:r>
      <w:r w:rsidRPr="005A0B52">
        <w:rPr>
          <w:rFonts w:ascii="Times New Roman" w:hAnsi="Times New Roman" w:cs="Times New Roman"/>
          <w:bCs/>
          <w:i/>
          <w:sz w:val="24"/>
          <w:szCs w:val="24"/>
          <w:lang w:val="es-ES_tradnl"/>
        </w:rPr>
        <w:t xml:space="preserve">et al., </w:t>
      </w:r>
      <w:r w:rsidRPr="005A0B52">
        <w:rPr>
          <w:rFonts w:ascii="Times New Roman" w:hAnsi="Times New Roman" w:cs="Times New Roman"/>
          <w:i/>
          <w:sz w:val="24"/>
          <w:szCs w:val="24"/>
        </w:rPr>
        <w:t>2010)</w:t>
      </w:r>
      <w:r w:rsidRPr="005A0B52">
        <w:rPr>
          <w:rFonts w:ascii="Times New Roman" w:hAnsi="Times New Roman" w:cs="Times New Roman"/>
          <w:sz w:val="24"/>
          <w:szCs w:val="24"/>
        </w:rPr>
        <w:t xml:space="preserve">. </w:t>
      </w:r>
    </w:p>
    <w:p w:rsidR="00D32967" w:rsidRPr="005A0B52" w:rsidRDefault="00D32967" w:rsidP="00D32967">
      <w:pPr>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El estudio se realizó en la etapa de regionalización con un diseño de bloque al azar de cuatro tratamientos y tres replica.</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Utilizando</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los cultivares C86-12, </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C323-68; SP70-1284 como testigo. El área de las parcelas fue de </w:t>
      </w:r>
      <w:smartTag w:uri="urn:schemas-microsoft-com:office:smarttags" w:element="metricconverter">
        <w:smartTagPr>
          <w:attr w:name="ProductID" w:val="48 m2"/>
        </w:smartTagPr>
        <w:r w:rsidRPr="005A0B52">
          <w:rPr>
            <w:rFonts w:ascii="Times New Roman" w:hAnsi="Times New Roman" w:cs="Times New Roman"/>
            <w:sz w:val="24"/>
            <w:szCs w:val="24"/>
          </w:rPr>
          <w:t>48 m</w:t>
        </w:r>
        <w:r w:rsidRPr="005A0B52">
          <w:rPr>
            <w:rFonts w:ascii="Times New Roman" w:hAnsi="Times New Roman" w:cs="Times New Roman"/>
            <w:sz w:val="24"/>
            <w:szCs w:val="24"/>
            <w:vertAlign w:val="superscript"/>
          </w:rPr>
          <w:t>2</w:t>
        </w:r>
      </w:smartTag>
      <w:r w:rsidRPr="005A0B52">
        <w:rPr>
          <w:rFonts w:ascii="Times New Roman" w:hAnsi="Times New Roman" w:cs="Times New Roman"/>
          <w:sz w:val="24"/>
          <w:szCs w:val="24"/>
        </w:rPr>
        <w:t xml:space="preserve"> donde fueron  evaluadas por un periodo de dos cosechas, primero en la fase de caña planta como primavera de ciclo largo (PCL)</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cosechada a los 19 meses de edad y un retoño (RI) a los 14 meses de edad</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en el periodo comprendido del año 2008 hasta el 2012.</w:t>
      </w:r>
    </w:p>
    <w:p w:rsidR="00D32967" w:rsidRPr="005A0B52" w:rsidRDefault="00D32967" w:rsidP="00D32967">
      <w:pPr>
        <w:autoSpaceDE w:val="0"/>
        <w:autoSpaceDN w:val="0"/>
        <w:adjustRightInd w:val="0"/>
        <w:spacing w:line="360" w:lineRule="auto"/>
        <w:jc w:val="both"/>
        <w:rPr>
          <w:rFonts w:ascii="Times New Roman" w:hAnsi="Times New Roman" w:cs="Times New Roman"/>
          <w:color w:val="FF0000"/>
          <w:sz w:val="24"/>
          <w:szCs w:val="24"/>
        </w:rPr>
      </w:pPr>
      <w:r w:rsidRPr="005A0B52">
        <w:rPr>
          <w:rFonts w:ascii="Times New Roman" w:hAnsi="Times New Roman" w:cs="Times New Roman"/>
          <w:sz w:val="24"/>
          <w:szCs w:val="24"/>
        </w:rPr>
        <w:t xml:space="preserve">En ambos ciclo se evaluó, los componentes del rendimiento agrícola (diámetro, altura y número de tallos por metro lineal). Los indicadores del componente agrícola e industrial, porcentaje de </w:t>
      </w:r>
      <w:proofErr w:type="spellStart"/>
      <w:r w:rsidRPr="005A0B52">
        <w:rPr>
          <w:rFonts w:ascii="Times New Roman" w:hAnsi="Times New Roman" w:cs="Times New Roman"/>
          <w:sz w:val="24"/>
          <w:szCs w:val="24"/>
        </w:rPr>
        <w:t>pol</w:t>
      </w:r>
      <w:proofErr w:type="spellEnd"/>
      <w:r w:rsidRPr="005A0B52">
        <w:rPr>
          <w:rFonts w:ascii="Times New Roman" w:hAnsi="Times New Roman" w:cs="Times New Roman"/>
          <w:sz w:val="24"/>
          <w:szCs w:val="24"/>
        </w:rPr>
        <w:t xml:space="preserve"> en caña (PPC), toneladas de caña por hectárea (</w:t>
      </w:r>
      <w:r w:rsidRPr="005A0B52">
        <w:rPr>
          <w:rFonts w:ascii="Times New Roman" w:hAnsi="Times New Roman" w:cs="Times New Roman"/>
          <w:bCs/>
          <w:sz w:val="24"/>
          <w:szCs w:val="24"/>
        </w:rPr>
        <w:t>caña t ha</w:t>
      </w:r>
      <w:r w:rsidRPr="005A0B52">
        <w:rPr>
          <w:rFonts w:ascii="Times New Roman" w:hAnsi="Times New Roman" w:cs="Times New Roman"/>
          <w:bCs/>
          <w:sz w:val="24"/>
          <w:szCs w:val="24"/>
          <w:vertAlign w:val="superscript"/>
        </w:rPr>
        <w:t>-1</w:t>
      </w:r>
      <w:r w:rsidRPr="005A0B52">
        <w:rPr>
          <w:rFonts w:ascii="Times New Roman" w:hAnsi="Times New Roman" w:cs="Times New Roman"/>
          <w:sz w:val="24"/>
          <w:szCs w:val="24"/>
        </w:rPr>
        <w:t xml:space="preserve">) y toneladas de </w:t>
      </w:r>
      <w:proofErr w:type="spellStart"/>
      <w:r w:rsidRPr="005A0B52">
        <w:rPr>
          <w:rFonts w:ascii="Times New Roman" w:hAnsi="Times New Roman" w:cs="Times New Roman"/>
          <w:sz w:val="24"/>
          <w:szCs w:val="24"/>
        </w:rPr>
        <w:t>pol</w:t>
      </w:r>
      <w:proofErr w:type="spellEnd"/>
      <w:r w:rsidRPr="005A0B52">
        <w:rPr>
          <w:rFonts w:ascii="Times New Roman" w:hAnsi="Times New Roman" w:cs="Times New Roman"/>
          <w:sz w:val="24"/>
          <w:szCs w:val="24"/>
        </w:rPr>
        <w:t xml:space="preserve"> por hectárea (</w:t>
      </w:r>
      <w:r w:rsidRPr="005A0B52">
        <w:rPr>
          <w:rFonts w:ascii="Times New Roman" w:hAnsi="Times New Roman" w:cs="Times New Roman"/>
          <w:bCs/>
          <w:i/>
          <w:sz w:val="24"/>
          <w:szCs w:val="24"/>
        </w:rPr>
        <w:t>t ha</w:t>
      </w:r>
      <w:r w:rsidRPr="005A0B52">
        <w:rPr>
          <w:rFonts w:ascii="Times New Roman" w:hAnsi="Times New Roman" w:cs="Times New Roman"/>
          <w:bCs/>
          <w:i/>
          <w:sz w:val="24"/>
          <w:szCs w:val="24"/>
          <w:vertAlign w:val="superscript"/>
        </w:rPr>
        <w:t>-1</w:t>
      </w:r>
      <w:r w:rsidRPr="005A0B52">
        <w:rPr>
          <w:rFonts w:ascii="Times New Roman" w:hAnsi="Times New Roman" w:cs="Times New Roman"/>
          <w:bCs/>
          <w:i/>
          <w:sz w:val="24"/>
          <w:szCs w:val="24"/>
        </w:rPr>
        <w:t xml:space="preserve"> azúcar</w:t>
      </w:r>
      <w:r w:rsidRPr="005A0B52">
        <w:rPr>
          <w:rFonts w:ascii="Times New Roman" w:hAnsi="Times New Roman" w:cs="Times New Roman"/>
          <w:sz w:val="24"/>
          <w:szCs w:val="24"/>
        </w:rPr>
        <w:t xml:space="preserve">). Además de la curva de madurez en comparación con el cultivar C86-12 de mayor extensión en el país.  También  la resistencia a las principales enfermedades que afectan al cultivo como: el </w:t>
      </w:r>
      <w:r w:rsidRPr="005A0B52">
        <w:rPr>
          <w:rFonts w:ascii="Times New Roman" w:hAnsi="Times New Roman" w:cs="Times New Roman"/>
          <w:bCs/>
          <w:sz w:val="24"/>
          <w:szCs w:val="24"/>
        </w:rPr>
        <w:t>virus del mosaico de la caña de azúcar (</w:t>
      </w:r>
      <w:r w:rsidRPr="005A0B52">
        <w:rPr>
          <w:rFonts w:ascii="Times New Roman" w:hAnsi="Times New Roman" w:cs="Times New Roman"/>
          <w:bCs/>
          <w:i/>
          <w:sz w:val="24"/>
          <w:szCs w:val="24"/>
        </w:rPr>
        <w:t>VMCA</w:t>
      </w:r>
      <w:r w:rsidRPr="005A0B52">
        <w:rPr>
          <w:rFonts w:ascii="Times New Roman" w:hAnsi="Times New Roman" w:cs="Times New Roman"/>
          <w:bCs/>
          <w:sz w:val="24"/>
          <w:szCs w:val="24"/>
        </w:rPr>
        <w:t xml:space="preserve">), el carbón de la caña de azúcar </w:t>
      </w:r>
      <w:r w:rsidRPr="005A0B52">
        <w:rPr>
          <w:rFonts w:ascii="Times New Roman" w:hAnsi="Times New Roman" w:cs="Times New Roman"/>
          <w:snapToGrid w:val="0"/>
          <w:color w:val="000000"/>
          <w:sz w:val="24"/>
          <w:szCs w:val="24"/>
        </w:rPr>
        <w:t>(</w:t>
      </w:r>
      <w:proofErr w:type="spellStart"/>
      <w:r w:rsidRPr="005A0B52">
        <w:rPr>
          <w:rFonts w:ascii="Times New Roman" w:hAnsi="Times New Roman" w:cs="Times New Roman"/>
          <w:i/>
          <w:color w:val="000000"/>
          <w:sz w:val="24"/>
          <w:szCs w:val="24"/>
        </w:rPr>
        <w:t>Sporisorium</w:t>
      </w:r>
      <w:proofErr w:type="spellEnd"/>
      <w:r w:rsidRPr="005A0B52">
        <w:rPr>
          <w:rFonts w:ascii="Times New Roman" w:hAnsi="Times New Roman" w:cs="Times New Roman"/>
          <w:i/>
          <w:color w:val="000000"/>
          <w:sz w:val="24"/>
          <w:szCs w:val="24"/>
        </w:rPr>
        <w:t xml:space="preserve"> </w:t>
      </w:r>
      <w:proofErr w:type="spellStart"/>
      <w:r w:rsidRPr="005A0B52">
        <w:rPr>
          <w:rFonts w:ascii="Times New Roman" w:hAnsi="Times New Roman" w:cs="Times New Roman"/>
          <w:i/>
          <w:color w:val="000000"/>
          <w:sz w:val="24"/>
          <w:szCs w:val="24"/>
        </w:rPr>
        <w:t>scitamineum</w:t>
      </w:r>
      <w:proofErr w:type="spellEnd"/>
      <w:r w:rsidRPr="005A0B52">
        <w:rPr>
          <w:rFonts w:ascii="Times New Roman" w:hAnsi="Times New Roman" w:cs="Times New Roman"/>
          <w:i/>
          <w:color w:val="000000"/>
          <w:sz w:val="24"/>
          <w:szCs w:val="24"/>
        </w:rPr>
        <w:t xml:space="preserve"> </w:t>
      </w:r>
      <w:r w:rsidRPr="005A0B52">
        <w:rPr>
          <w:rFonts w:ascii="Times New Roman" w:hAnsi="Times New Roman" w:cs="Times New Roman"/>
          <w:color w:val="000000"/>
          <w:sz w:val="24"/>
          <w:szCs w:val="24"/>
        </w:rPr>
        <w:t>(</w:t>
      </w:r>
      <w:proofErr w:type="spellStart"/>
      <w:r w:rsidRPr="005A0B52">
        <w:rPr>
          <w:rFonts w:ascii="Times New Roman" w:hAnsi="Times New Roman" w:cs="Times New Roman"/>
          <w:color w:val="000000"/>
          <w:sz w:val="24"/>
          <w:szCs w:val="24"/>
        </w:rPr>
        <w:t>Syd</w:t>
      </w:r>
      <w:proofErr w:type="spellEnd"/>
      <w:r w:rsidRPr="005A0B52">
        <w:rPr>
          <w:rFonts w:ascii="Times New Roman" w:hAnsi="Times New Roman" w:cs="Times New Roman"/>
          <w:color w:val="000000"/>
          <w:sz w:val="24"/>
          <w:szCs w:val="24"/>
        </w:rPr>
        <w:t xml:space="preserve">.) M. </w:t>
      </w:r>
      <w:proofErr w:type="spellStart"/>
      <w:r w:rsidRPr="005A0B52">
        <w:rPr>
          <w:rFonts w:ascii="Times New Roman" w:hAnsi="Times New Roman" w:cs="Times New Roman"/>
          <w:color w:val="000000"/>
          <w:sz w:val="24"/>
          <w:szCs w:val="24"/>
        </w:rPr>
        <w:t>Piepenbr</w:t>
      </w:r>
      <w:proofErr w:type="spellEnd"/>
      <w:r w:rsidRPr="005A0B52">
        <w:rPr>
          <w:rFonts w:ascii="Times New Roman" w:hAnsi="Times New Roman" w:cs="Times New Roman"/>
          <w:color w:val="000000"/>
          <w:sz w:val="24"/>
          <w:szCs w:val="24"/>
        </w:rPr>
        <w:t xml:space="preserve">., M. </w:t>
      </w:r>
      <w:proofErr w:type="spellStart"/>
      <w:r w:rsidRPr="005A0B52">
        <w:rPr>
          <w:rFonts w:ascii="Times New Roman" w:hAnsi="Times New Roman" w:cs="Times New Roman"/>
          <w:color w:val="000000"/>
          <w:sz w:val="24"/>
          <w:szCs w:val="24"/>
        </w:rPr>
        <w:t>Stoll</w:t>
      </w:r>
      <w:proofErr w:type="spellEnd"/>
      <w:r w:rsidRPr="005A0B52">
        <w:rPr>
          <w:rFonts w:ascii="Times New Roman" w:hAnsi="Times New Roman" w:cs="Times New Roman"/>
          <w:color w:val="000000"/>
          <w:sz w:val="24"/>
          <w:szCs w:val="24"/>
        </w:rPr>
        <w:t xml:space="preserve"> &amp; </w:t>
      </w:r>
      <w:proofErr w:type="spellStart"/>
      <w:r w:rsidRPr="005A0B52">
        <w:rPr>
          <w:rFonts w:ascii="Times New Roman" w:hAnsi="Times New Roman" w:cs="Times New Roman"/>
          <w:color w:val="000000"/>
          <w:sz w:val="24"/>
          <w:szCs w:val="24"/>
        </w:rPr>
        <w:t>Oberw</w:t>
      </w:r>
      <w:proofErr w:type="spellEnd"/>
      <w:r w:rsidRPr="005A0B52">
        <w:rPr>
          <w:rFonts w:ascii="Times New Roman" w:hAnsi="Times New Roman" w:cs="Times New Roman"/>
          <w:color w:val="000000"/>
          <w:sz w:val="24"/>
          <w:szCs w:val="24"/>
        </w:rPr>
        <w:t>.)</w:t>
      </w:r>
      <w:r w:rsidRPr="005A0B52">
        <w:rPr>
          <w:rFonts w:ascii="Times New Roman" w:hAnsi="Times New Roman" w:cs="Times New Roman"/>
          <w:bCs/>
          <w:sz w:val="24"/>
          <w:szCs w:val="24"/>
          <w:lang w:val="es-ES_tradnl"/>
        </w:rPr>
        <w:t>, la escaldadura foliar (</w:t>
      </w:r>
      <w:proofErr w:type="spellStart"/>
      <w:r w:rsidRPr="005A0B52">
        <w:rPr>
          <w:rFonts w:ascii="Times New Roman" w:hAnsi="Times New Roman" w:cs="Times New Roman"/>
          <w:bCs/>
          <w:i/>
          <w:sz w:val="24"/>
          <w:szCs w:val="24"/>
          <w:lang w:val="es-ES_tradnl"/>
        </w:rPr>
        <w:t>Xanthomonas</w:t>
      </w:r>
      <w:proofErr w:type="spellEnd"/>
      <w:r w:rsidRPr="005A0B52">
        <w:rPr>
          <w:rFonts w:ascii="Times New Roman" w:hAnsi="Times New Roman" w:cs="Times New Roman"/>
          <w:bCs/>
          <w:i/>
          <w:sz w:val="24"/>
          <w:szCs w:val="24"/>
          <w:lang w:val="es-ES_tradnl"/>
        </w:rPr>
        <w:t xml:space="preserve"> </w:t>
      </w:r>
      <w:proofErr w:type="spellStart"/>
      <w:r w:rsidRPr="005A0B52">
        <w:rPr>
          <w:rFonts w:ascii="Times New Roman" w:hAnsi="Times New Roman" w:cs="Times New Roman"/>
          <w:bCs/>
          <w:i/>
          <w:sz w:val="24"/>
          <w:szCs w:val="24"/>
          <w:lang w:val="es-ES_tradnl"/>
        </w:rPr>
        <w:t>albilineans</w:t>
      </w:r>
      <w:proofErr w:type="spellEnd"/>
      <w:r w:rsidRPr="005A0B52">
        <w:rPr>
          <w:rFonts w:ascii="Times New Roman" w:hAnsi="Times New Roman" w:cs="Times New Roman"/>
          <w:bCs/>
          <w:i/>
          <w:sz w:val="24"/>
          <w:szCs w:val="24"/>
          <w:lang w:val="es-ES_tradnl"/>
        </w:rPr>
        <w:t xml:space="preserve"> (Ashby) </w:t>
      </w:r>
      <w:proofErr w:type="spellStart"/>
      <w:r w:rsidRPr="005A0B52">
        <w:rPr>
          <w:rFonts w:ascii="Times New Roman" w:hAnsi="Times New Roman" w:cs="Times New Roman"/>
          <w:bCs/>
          <w:i/>
          <w:sz w:val="24"/>
          <w:szCs w:val="24"/>
          <w:lang w:val="es-ES_tradnl"/>
        </w:rPr>
        <w:t>Dowson</w:t>
      </w:r>
      <w:proofErr w:type="spellEnd"/>
      <w:r w:rsidRPr="005A0B52">
        <w:rPr>
          <w:rFonts w:ascii="Times New Roman" w:hAnsi="Times New Roman" w:cs="Times New Roman"/>
          <w:bCs/>
          <w:sz w:val="24"/>
          <w:szCs w:val="24"/>
          <w:lang w:val="es-ES_tradnl"/>
        </w:rPr>
        <w:t>)</w:t>
      </w:r>
      <w:r w:rsidRPr="005A0B52">
        <w:rPr>
          <w:rFonts w:ascii="Times New Roman" w:hAnsi="Times New Roman" w:cs="Times New Roman"/>
          <w:sz w:val="24"/>
          <w:szCs w:val="24"/>
        </w:rPr>
        <w:t xml:space="preserve">  y la</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roya parda (</w:t>
      </w:r>
      <w:proofErr w:type="spellStart"/>
      <w:r w:rsidRPr="005A0B52">
        <w:rPr>
          <w:rFonts w:ascii="Times New Roman" w:hAnsi="Times New Roman" w:cs="Times New Roman"/>
          <w:i/>
          <w:sz w:val="24"/>
          <w:szCs w:val="24"/>
        </w:rPr>
        <w:t>Puccinea</w:t>
      </w:r>
      <w:proofErr w:type="spellEnd"/>
      <w:r w:rsidRPr="005A0B52">
        <w:rPr>
          <w:rFonts w:ascii="Times New Roman" w:hAnsi="Times New Roman" w:cs="Times New Roman"/>
          <w:i/>
          <w:sz w:val="24"/>
          <w:szCs w:val="24"/>
        </w:rPr>
        <w:t xml:space="preserve"> </w:t>
      </w:r>
      <w:proofErr w:type="spellStart"/>
      <w:r w:rsidRPr="005A0B52">
        <w:rPr>
          <w:rFonts w:ascii="Times New Roman" w:hAnsi="Times New Roman" w:cs="Times New Roman"/>
          <w:i/>
          <w:sz w:val="24"/>
          <w:szCs w:val="24"/>
        </w:rPr>
        <w:t>melanocephala</w:t>
      </w:r>
      <w:proofErr w:type="spellEnd"/>
      <w:r w:rsidRPr="005A0B52">
        <w:rPr>
          <w:rFonts w:ascii="Times New Roman" w:hAnsi="Times New Roman" w:cs="Times New Roman"/>
          <w:i/>
          <w:sz w:val="24"/>
          <w:szCs w:val="24"/>
        </w:rPr>
        <w:t xml:space="preserve"> H. and P. </w:t>
      </w:r>
      <w:proofErr w:type="spellStart"/>
      <w:r w:rsidRPr="005A0B52">
        <w:rPr>
          <w:rFonts w:ascii="Times New Roman" w:hAnsi="Times New Roman" w:cs="Times New Roman"/>
          <w:i/>
          <w:sz w:val="24"/>
          <w:szCs w:val="24"/>
        </w:rPr>
        <w:t>Sydow</w:t>
      </w:r>
      <w:proofErr w:type="spellEnd"/>
      <w:r w:rsidRPr="005A0B52">
        <w:rPr>
          <w:rFonts w:ascii="Times New Roman" w:hAnsi="Times New Roman" w:cs="Times New Roman"/>
          <w:sz w:val="24"/>
          <w:szCs w:val="24"/>
        </w:rPr>
        <w:t>) tanto en condiciones naturales en el área experimental como en las pruebas estatales de inoculación artificial realizándose en la Estación provincial de investigación de la caña de azúcar de Jovellanos “Antonio Mesa”. Todas</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estas</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evaluaciones se realizaron según la metodología establecida por el INICA (Jorge</w:t>
      </w:r>
      <w:r w:rsidRPr="005A0B52">
        <w:rPr>
          <w:rFonts w:ascii="Times New Roman" w:hAnsi="Times New Roman" w:cs="Times New Roman"/>
          <w:i/>
          <w:sz w:val="24"/>
          <w:szCs w:val="24"/>
        </w:rPr>
        <w:t xml:space="preserve"> et al</w:t>
      </w:r>
      <w:r w:rsidRPr="005A0B52">
        <w:rPr>
          <w:rFonts w:ascii="Times New Roman" w:hAnsi="Times New Roman" w:cs="Times New Roman"/>
          <w:sz w:val="24"/>
          <w:szCs w:val="24"/>
        </w:rPr>
        <w:t>., 2011).</w:t>
      </w:r>
    </w:p>
    <w:p w:rsidR="00D32967" w:rsidRDefault="00D32967" w:rsidP="00D32967">
      <w:pPr>
        <w:autoSpaceDE w:val="0"/>
        <w:autoSpaceDN w:val="0"/>
        <w:adjustRightInd w:val="0"/>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Los datos originales fueron comprobados para su ajuste a la normalidad mediante la prueba de Bartlett. Para el análisis estadístico de los componentes del rendimiento agrícola se realizó un análisis de varianza de clasificación simple y</w:t>
      </w:r>
      <w:r w:rsidRPr="005A0B52">
        <w:rPr>
          <w:rFonts w:ascii="Times New Roman" w:hAnsi="Times New Roman" w:cs="Times New Roman"/>
          <w:spacing w:val="-3"/>
          <w:sz w:val="24"/>
          <w:szCs w:val="24"/>
        </w:rPr>
        <w:t xml:space="preserve"> análisis de varianza factorial para la comparación entre cultivar y cepa, para la comparación de medias se utilizó la prueba de </w:t>
      </w:r>
      <w:proofErr w:type="spellStart"/>
      <w:r w:rsidRPr="005A0B52">
        <w:rPr>
          <w:rFonts w:ascii="Times New Roman" w:hAnsi="Times New Roman" w:cs="Times New Roman"/>
          <w:spacing w:val="-3"/>
          <w:sz w:val="24"/>
          <w:szCs w:val="24"/>
        </w:rPr>
        <w:t>Tukey</w:t>
      </w:r>
      <w:proofErr w:type="spellEnd"/>
      <w:r w:rsidRPr="005A0B52">
        <w:rPr>
          <w:rFonts w:ascii="Times New Roman" w:hAnsi="Times New Roman" w:cs="Times New Roman"/>
          <w:spacing w:val="-3"/>
          <w:sz w:val="24"/>
          <w:szCs w:val="24"/>
        </w:rPr>
        <w:t xml:space="preserve">, para ≤0.05, </w:t>
      </w:r>
      <w:r w:rsidRPr="005A0B52">
        <w:rPr>
          <w:rFonts w:ascii="Times New Roman" w:hAnsi="Times New Roman" w:cs="Times New Roman"/>
          <w:sz w:val="24"/>
          <w:szCs w:val="24"/>
        </w:rPr>
        <w:t xml:space="preserve">se expresan gráficamente en el trabajo. Durante el </w:t>
      </w:r>
      <w:r w:rsidRPr="005A0B52">
        <w:rPr>
          <w:rFonts w:ascii="Times New Roman" w:hAnsi="Times New Roman" w:cs="Times New Roman"/>
          <w:sz w:val="24"/>
          <w:szCs w:val="24"/>
        </w:rPr>
        <w:lastRenderedPageBreak/>
        <w:t>procesamiento estadístico matemático de toda la información se dispuso del paquete estadístico STATGRAPHICS PLUS 5.1.</w:t>
      </w:r>
    </w:p>
    <w:p w:rsidR="00A21A1F" w:rsidRPr="005A0B52" w:rsidRDefault="00A21A1F" w:rsidP="00FF3346">
      <w:pPr>
        <w:spacing w:after="0" w:line="360" w:lineRule="auto"/>
        <w:jc w:val="both"/>
        <w:rPr>
          <w:rFonts w:ascii="Times New Roman" w:hAnsi="Times New Roman" w:cs="Times New Roman"/>
          <w:b/>
          <w:sz w:val="24"/>
          <w:szCs w:val="24"/>
        </w:rPr>
      </w:pPr>
      <w:r w:rsidRPr="005A0B52">
        <w:rPr>
          <w:rFonts w:ascii="Times New Roman" w:hAnsi="Times New Roman" w:cs="Times New Roman"/>
          <w:b/>
          <w:sz w:val="24"/>
          <w:szCs w:val="24"/>
        </w:rPr>
        <w:t>3. Resultados y discusión</w:t>
      </w:r>
    </w:p>
    <w:p w:rsidR="005A0B52" w:rsidRDefault="00D32967" w:rsidP="00BF4353">
      <w:pPr>
        <w:autoSpaceDE w:val="0"/>
        <w:autoSpaceDN w:val="0"/>
        <w:adjustRightInd w:val="0"/>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El cultivar C02-210 superó a C323-68 en diámetro en las dos ciclos de cosecha evaluados,</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presentó</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valores similares a C86-12; SP70-1284 en diámetro y altura de sus tallos en la fase de PCL y RI (Tabla 1). Estos resultados coinciden con Héctor </w:t>
      </w:r>
      <w:r w:rsidRPr="005A0B52">
        <w:rPr>
          <w:rFonts w:ascii="Times New Roman" w:hAnsi="Times New Roman" w:cs="Times New Roman"/>
          <w:i/>
          <w:sz w:val="24"/>
          <w:szCs w:val="24"/>
        </w:rPr>
        <w:t>et al</w:t>
      </w:r>
      <w:r w:rsidRPr="005A0B52">
        <w:rPr>
          <w:rFonts w:ascii="Times New Roman" w:hAnsi="Times New Roman" w:cs="Times New Roman"/>
          <w:sz w:val="24"/>
          <w:szCs w:val="24"/>
        </w:rPr>
        <w:t>., 2010.</w:t>
      </w:r>
    </w:p>
    <w:p w:rsidR="00D32967" w:rsidRPr="00354AE6" w:rsidRDefault="00D32967" w:rsidP="00354AE6">
      <w:pPr>
        <w:autoSpaceDE w:val="0"/>
        <w:autoSpaceDN w:val="0"/>
        <w:adjustRightInd w:val="0"/>
        <w:spacing w:line="360" w:lineRule="auto"/>
        <w:jc w:val="center"/>
        <w:rPr>
          <w:rFonts w:ascii="Times New Roman" w:hAnsi="Times New Roman" w:cs="Times New Roman"/>
          <w:color w:val="FF0000"/>
          <w:sz w:val="24"/>
          <w:szCs w:val="24"/>
        </w:rPr>
      </w:pPr>
      <w:r w:rsidRPr="00354AE6">
        <w:rPr>
          <w:rFonts w:ascii="Times New Roman" w:hAnsi="Times New Roman" w:cs="Times New Roman"/>
          <w:sz w:val="24"/>
          <w:szCs w:val="24"/>
        </w:rPr>
        <w:t xml:space="preserve">Tabla 1. </w:t>
      </w:r>
      <w:r w:rsidR="00D95184" w:rsidRPr="00354AE6">
        <w:rPr>
          <w:rFonts w:ascii="Times New Roman" w:hAnsi="Times New Roman" w:cs="Times New Roman"/>
          <w:sz w:val="24"/>
          <w:szCs w:val="24"/>
        </w:rPr>
        <w:t>Componentes del rendimiento agrícola del cultivar C02-210 de caña de azúcar (</w:t>
      </w:r>
      <w:proofErr w:type="spellStart"/>
      <w:r w:rsidR="00D95184" w:rsidRPr="00354AE6">
        <w:rPr>
          <w:rFonts w:ascii="Times New Roman" w:hAnsi="Times New Roman" w:cs="Times New Roman"/>
          <w:i/>
          <w:sz w:val="24"/>
          <w:szCs w:val="24"/>
        </w:rPr>
        <w:t>Saccharum</w:t>
      </w:r>
      <w:proofErr w:type="spellEnd"/>
      <w:r w:rsidR="00D95184" w:rsidRPr="00354AE6">
        <w:rPr>
          <w:rFonts w:ascii="Times New Roman" w:hAnsi="Times New Roman" w:cs="Times New Roman"/>
          <w:i/>
          <w:sz w:val="24"/>
          <w:szCs w:val="24"/>
        </w:rPr>
        <w:t xml:space="preserve"> </w:t>
      </w:r>
      <w:proofErr w:type="spellStart"/>
      <w:r w:rsidR="00D95184" w:rsidRPr="00354AE6">
        <w:rPr>
          <w:rFonts w:ascii="Times New Roman" w:hAnsi="Times New Roman" w:cs="Times New Roman"/>
          <w:sz w:val="24"/>
          <w:szCs w:val="24"/>
        </w:rPr>
        <w:t>spp</w:t>
      </w:r>
      <w:proofErr w:type="spellEnd"/>
      <w:r w:rsidR="00D95184" w:rsidRPr="00354AE6">
        <w:rPr>
          <w:rFonts w:ascii="Times New Roman" w:hAnsi="Times New Roman" w:cs="Times New Roman"/>
          <w:sz w:val="24"/>
          <w:szCs w:val="24"/>
        </w:rPr>
        <w:t xml:space="preserve">.)  </w:t>
      </w:r>
      <w:proofErr w:type="gramStart"/>
      <w:r w:rsidR="00D95184" w:rsidRPr="00354AE6">
        <w:rPr>
          <w:rFonts w:ascii="Times New Roman" w:hAnsi="Times New Roman" w:cs="Times New Roman"/>
          <w:sz w:val="24"/>
          <w:szCs w:val="24"/>
        </w:rPr>
        <w:t>en</w:t>
      </w:r>
      <w:proofErr w:type="gramEnd"/>
      <w:r w:rsidR="00D95184" w:rsidRPr="00354AE6">
        <w:rPr>
          <w:rFonts w:ascii="Times New Roman" w:hAnsi="Times New Roman" w:cs="Times New Roman"/>
          <w:sz w:val="24"/>
          <w:szCs w:val="24"/>
        </w:rPr>
        <w:t xml:space="preserve"> los dos ciclos de cosecha, primavera de ciclo largo (PCL) y primer retoño (RI).</w:t>
      </w:r>
    </w:p>
    <w:tbl>
      <w:tblPr>
        <w:tblStyle w:val="Tablaconcuadrcula"/>
        <w:tblpPr w:leftFromText="141" w:rightFromText="141" w:vertAnchor="text" w:horzAnchor="page" w:tblpX="2585" w:tblpY="148"/>
        <w:tblW w:w="0" w:type="auto"/>
        <w:tblLayout w:type="fixed"/>
        <w:tblLook w:val="04A0" w:firstRow="1" w:lastRow="0" w:firstColumn="1" w:lastColumn="0" w:noHBand="0" w:noVBand="1"/>
      </w:tblPr>
      <w:tblGrid>
        <w:gridCol w:w="1413"/>
        <w:gridCol w:w="709"/>
        <w:gridCol w:w="708"/>
        <w:gridCol w:w="851"/>
        <w:gridCol w:w="850"/>
        <w:gridCol w:w="851"/>
        <w:gridCol w:w="850"/>
      </w:tblGrid>
      <w:tr w:rsidR="00D32967" w:rsidRPr="005A0B52" w:rsidTr="00561583">
        <w:tc>
          <w:tcPr>
            <w:tcW w:w="1413" w:type="dxa"/>
            <w:vMerge w:val="restart"/>
            <w:vAlign w:val="center"/>
          </w:tcPr>
          <w:p w:rsidR="00D32967" w:rsidRPr="005A0B52" w:rsidRDefault="00D32967" w:rsidP="00FF3B75">
            <w:pPr>
              <w:spacing w:after="160" w:line="360" w:lineRule="auto"/>
              <w:rPr>
                <w:b/>
                <w:sz w:val="24"/>
                <w:szCs w:val="24"/>
              </w:rPr>
            </w:pPr>
            <w:r w:rsidRPr="005A0B52">
              <w:rPr>
                <w:b/>
                <w:sz w:val="24"/>
                <w:szCs w:val="24"/>
              </w:rPr>
              <w:t>Cultivares</w:t>
            </w:r>
          </w:p>
        </w:tc>
        <w:tc>
          <w:tcPr>
            <w:tcW w:w="1417" w:type="dxa"/>
            <w:gridSpan w:val="2"/>
            <w:vAlign w:val="center"/>
          </w:tcPr>
          <w:p w:rsidR="00D32967" w:rsidRPr="005A0B52" w:rsidRDefault="00D32967" w:rsidP="00FF3B75">
            <w:pPr>
              <w:spacing w:line="360" w:lineRule="auto"/>
              <w:jc w:val="center"/>
              <w:rPr>
                <w:b/>
                <w:sz w:val="24"/>
                <w:szCs w:val="24"/>
              </w:rPr>
            </w:pPr>
            <w:r w:rsidRPr="005A0B52">
              <w:rPr>
                <w:b/>
                <w:sz w:val="24"/>
                <w:szCs w:val="24"/>
              </w:rPr>
              <w:t>Tallos/m lineal</w:t>
            </w:r>
          </w:p>
        </w:tc>
        <w:tc>
          <w:tcPr>
            <w:tcW w:w="1701" w:type="dxa"/>
            <w:gridSpan w:val="2"/>
            <w:vAlign w:val="center"/>
          </w:tcPr>
          <w:p w:rsidR="00D32967" w:rsidRPr="005A0B52" w:rsidRDefault="00D32967" w:rsidP="00FF3B75">
            <w:pPr>
              <w:spacing w:line="360" w:lineRule="auto"/>
              <w:jc w:val="center"/>
              <w:rPr>
                <w:b/>
                <w:sz w:val="24"/>
                <w:szCs w:val="24"/>
              </w:rPr>
            </w:pPr>
            <w:r w:rsidRPr="005A0B52">
              <w:rPr>
                <w:b/>
                <w:sz w:val="24"/>
                <w:szCs w:val="24"/>
              </w:rPr>
              <w:t>Altura</w:t>
            </w:r>
          </w:p>
          <w:p w:rsidR="00D32967" w:rsidRPr="005A0B52" w:rsidRDefault="00D32967" w:rsidP="00FF3B75">
            <w:pPr>
              <w:spacing w:line="360" w:lineRule="auto"/>
              <w:jc w:val="center"/>
              <w:rPr>
                <w:b/>
                <w:sz w:val="24"/>
                <w:szCs w:val="24"/>
              </w:rPr>
            </w:pPr>
            <w:r w:rsidRPr="005A0B52">
              <w:rPr>
                <w:b/>
                <w:sz w:val="24"/>
                <w:szCs w:val="24"/>
              </w:rPr>
              <w:t>(cm)</w:t>
            </w:r>
          </w:p>
        </w:tc>
        <w:tc>
          <w:tcPr>
            <w:tcW w:w="1701" w:type="dxa"/>
            <w:gridSpan w:val="2"/>
            <w:vAlign w:val="center"/>
          </w:tcPr>
          <w:p w:rsidR="00D32967" w:rsidRPr="005A0B52" w:rsidRDefault="00D32967" w:rsidP="00FF3B75">
            <w:pPr>
              <w:spacing w:line="360" w:lineRule="auto"/>
              <w:jc w:val="center"/>
              <w:rPr>
                <w:b/>
                <w:sz w:val="24"/>
                <w:szCs w:val="24"/>
              </w:rPr>
            </w:pPr>
            <w:r w:rsidRPr="005A0B52">
              <w:rPr>
                <w:b/>
                <w:sz w:val="24"/>
                <w:szCs w:val="24"/>
              </w:rPr>
              <w:t>Diámetro del tallo</w:t>
            </w:r>
          </w:p>
          <w:p w:rsidR="00D32967" w:rsidRPr="005A0B52" w:rsidRDefault="00D32967" w:rsidP="00FF3B75">
            <w:pPr>
              <w:spacing w:line="360" w:lineRule="auto"/>
              <w:jc w:val="center"/>
              <w:rPr>
                <w:b/>
                <w:sz w:val="24"/>
                <w:szCs w:val="24"/>
              </w:rPr>
            </w:pPr>
            <w:r w:rsidRPr="005A0B52">
              <w:rPr>
                <w:b/>
                <w:sz w:val="24"/>
                <w:szCs w:val="24"/>
              </w:rPr>
              <w:t>(cm)</w:t>
            </w:r>
          </w:p>
        </w:tc>
      </w:tr>
      <w:tr w:rsidR="00D32967" w:rsidRPr="005A0B52" w:rsidTr="00561583">
        <w:tc>
          <w:tcPr>
            <w:tcW w:w="1413" w:type="dxa"/>
            <w:vMerge/>
            <w:vAlign w:val="center"/>
          </w:tcPr>
          <w:p w:rsidR="00D32967" w:rsidRPr="005A0B52" w:rsidRDefault="00D32967" w:rsidP="00FF3B75">
            <w:pPr>
              <w:spacing w:after="160" w:line="360" w:lineRule="auto"/>
              <w:rPr>
                <w:b/>
                <w:sz w:val="24"/>
                <w:szCs w:val="24"/>
              </w:rPr>
            </w:pPr>
          </w:p>
        </w:tc>
        <w:tc>
          <w:tcPr>
            <w:tcW w:w="709" w:type="dxa"/>
            <w:vAlign w:val="center"/>
          </w:tcPr>
          <w:p w:rsidR="00D32967" w:rsidRPr="005A0B52" w:rsidRDefault="00D32967" w:rsidP="00FF3B75">
            <w:pPr>
              <w:spacing w:after="160" w:line="360" w:lineRule="auto"/>
              <w:jc w:val="center"/>
              <w:rPr>
                <w:b/>
                <w:sz w:val="24"/>
                <w:szCs w:val="24"/>
              </w:rPr>
            </w:pPr>
            <w:r w:rsidRPr="005A0B52">
              <w:rPr>
                <w:b/>
                <w:sz w:val="24"/>
                <w:szCs w:val="24"/>
              </w:rPr>
              <w:t>PCL</w:t>
            </w:r>
          </w:p>
        </w:tc>
        <w:tc>
          <w:tcPr>
            <w:tcW w:w="708" w:type="dxa"/>
            <w:vAlign w:val="center"/>
          </w:tcPr>
          <w:p w:rsidR="00D32967" w:rsidRPr="005A0B52" w:rsidRDefault="00D32967" w:rsidP="00FF3B75">
            <w:pPr>
              <w:spacing w:after="160" w:line="360" w:lineRule="auto"/>
              <w:jc w:val="center"/>
              <w:rPr>
                <w:b/>
                <w:sz w:val="24"/>
                <w:szCs w:val="24"/>
              </w:rPr>
            </w:pPr>
            <w:r w:rsidRPr="005A0B52">
              <w:rPr>
                <w:b/>
                <w:sz w:val="24"/>
                <w:szCs w:val="24"/>
              </w:rPr>
              <w:t>RI</w:t>
            </w:r>
          </w:p>
        </w:tc>
        <w:tc>
          <w:tcPr>
            <w:tcW w:w="851" w:type="dxa"/>
            <w:vAlign w:val="center"/>
          </w:tcPr>
          <w:p w:rsidR="00D32967" w:rsidRPr="005A0B52" w:rsidRDefault="00D32967" w:rsidP="00FF3B75">
            <w:pPr>
              <w:spacing w:after="160" w:line="360" w:lineRule="auto"/>
              <w:jc w:val="center"/>
              <w:rPr>
                <w:b/>
                <w:sz w:val="24"/>
                <w:szCs w:val="24"/>
              </w:rPr>
            </w:pPr>
            <w:r w:rsidRPr="005A0B52">
              <w:rPr>
                <w:b/>
                <w:sz w:val="24"/>
                <w:szCs w:val="24"/>
              </w:rPr>
              <w:t>PCL</w:t>
            </w:r>
          </w:p>
        </w:tc>
        <w:tc>
          <w:tcPr>
            <w:tcW w:w="850" w:type="dxa"/>
            <w:vAlign w:val="center"/>
          </w:tcPr>
          <w:p w:rsidR="00D32967" w:rsidRPr="005A0B52" w:rsidRDefault="00D32967" w:rsidP="00FF3B75">
            <w:pPr>
              <w:spacing w:after="160" w:line="360" w:lineRule="auto"/>
              <w:jc w:val="center"/>
              <w:rPr>
                <w:b/>
                <w:sz w:val="24"/>
                <w:szCs w:val="24"/>
              </w:rPr>
            </w:pPr>
            <w:r w:rsidRPr="005A0B52">
              <w:rPr>
                <w:b/>
                <w:sz w:val="24"/>
                <w:szCs w:val="24"/>
              </w:rPr>
              <w:t>RI</w:t>
            </w:r>
          </w:p>
        </w:tc>
        <w:tc>
          <w:tcPr>
            <w:tcW w:w="851" w:type="dxa"/>
            <w:vAlign w:val="center"/>
          </w:tcPr>
          <w:p w:rsidR="00D32967" w:rsidRPr="005A0B52" w:rsidRDefault="00D32967" w:rsidP="00FF3B75">
            <w:pPr>
              <w:spacing w:after="160" w:line="360" w:lineRule="auto"/>
              <w:jc w:val="center"/>
              <w:rPr>
                <w:b/>
                <w:sz w:val="24"/>
                <w:szCs w:val="24"/>
              </w:rPr>
            </w:pPr>
            <w:r w:rsidRPr="005A0B52">
              <w:rPr>
                <w:b/>
                <w:sz w:val="24"/>
                <w:szCs w:val="24"/>
              </w:rPr>
              <w:t>PCL</w:t>
            </w:r>
          </w:p>
        </w:tc>
        <w:tc>
          <w:tcPr>
            <w:tcW w:w="850" w:type="dxa"/>
            <w:vAlign w:val="center"/>
          </w:tcPr>
          <w:p w:rsidR="00D32967" w:rsidRPr="005A0B52" w:rsidRDefault="00D32967" w:rsidP="00FF3B75">
            <w:pPr>
              <w:spacing w:after="160" w:line="360" w:lineRule="auto"/>
              <w:jc w:val="center"/>
              <w:rPr>
                <w:b/>
                <w:sz w:val="24"/>
                <w:szCs w:val="24"/>
              </w:rPr>
            </w:pPr>
            <w:r w:rsidRPr="005A0B52">
              <w:rPr>
                <w:b/>
                <w:sz w:val="24"/>
                <w:szCs w:val="24"/>
              </w:rPr>
              <w:t>RI</w:t>
            </w:r>
          </w:p>
        </w:tc>
      </w:tr>
      <w:tr w:rsidR="00D32967" w:rsidRPr="005A0B52" w:rsidTr="00561583">
        <w:tc>
          <w:tcPr>
            <w:tcW w:w="1413" w:type="dxa"/>
            <w:vAlign w:val="center"/>
          </w:tcPr>
          <w:p w:rsidR="00D32967" w:rsidRPr="005A0B52" w:rsidRDefault="00D32967" w:rsidP="00FF3B75">
            <w:pPr>
              <w:spacing w:after="160" w:line="360" w:lineRule="auto"/>
              <w:rPr>
                <w:b/>
                <w:sz w:val="24"/>
                <w:szCs w:val="24"/>
              </w:rPr>
            </w:pPr>
            <w:r w:rsidRPr="005A0B52">
              <w:rPr>
                <w:b/>
                <w:sz w:val="24"/>
                <w:szCs w:val="24"/>
              </w:rPr>
              <w:t>C02-210</w:t>
            </w:r>
          </w:p>
        </w:tc>
        <w:tc>
          <w:tcPr>
            <w:tcW w:w="709" w:type="dxa"/>
            <w:vAlign w:val="center"/>
          </w:tcPr>
          <w:p w:rsidR="00D32967" w:rsidRPr="005A0B52" w:rsidRDefault="00D32967" w:rsidP="00FF3B75">
            <w:pPr>
              <w:spacing w:after="160" w:line="360" w:lineRule="auto"/>
              <w:rPr>
                <w:sz w:val="24"/>
                <w:szCs w:val="24"/>
              </w:rPr>
            </w:pPr>
            <w:r w:rsidRPr="005A0B52">
              <w:rPr>
                <w:sz w:val="24"/>
                <w:szCs w:val="24"/>
              </w:rPr>
              <w:t xml:space="preserve">14 </w:t>
            </w:r>
            <w:r w:rsidRPr="005A0B52">
              <w:rPr>
                <w:b/>
                <w:sz w:val="24"/>
                <w:szCs w:val="24"/>
              </w:rPr>
              <w:t>a</w:t>
            </w:r>
          </w:p>
        </w:tc>
        <w:tc>
          <w:tcPr>
            <w:tcW w:w="708" w:type="dxa"/>
            <w:vAlign w:val="center"/>
          </w:tcPr>
          <w:p w:rsidR="00D32967" w:rsidRPr="005A0B52" w:rsidRDefault="00D32967" w:rsidP="00FF3B75">
            <w:pPr>
              <w:spacing w:after="160" w:line="360" w:lineRule="auto"/>
              <w:rPr>
                <w:sz w:val="24"/>
                <w:szCs w:val="24"/>
              </w:rPr>
            </w:pPr>
            <w:r w:rsidRPr="005A0B52">
              <w:rPr>
                <w:sz w:val="24"/>
                <w:szCs w:val="24"/>
              </w:rPr>
              <w:t xml:space="preserve">14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270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240</w:t>
            </w:r>
            <w:r w:rsidRPr="005A0B52">
              <w:rPr>
                <w:b/>
                <w:sz w:val="24"/>
                <w:szCs w:val="24"/>
              </w:rPr>
              <w:t xml:space="preserve"> 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3,0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2,8 </w:t>
            </w:r>
            <w:r w:rsidRPr="005A0B52">
              <w:rPr>
                <w:b/>
                <w:sz w:val="24"/>
                <w:szCs w:val="24"/>
              </w:rPr>
              <w:t>a</w:t>
            </w:r>
          </w:p>
        </w:tc>
      </w:tr>
      <w:tr w:rsidR="00D32967" w:rsidRPr="005A0B52" w:rsidTr="00561583">
        <w:tc>
          <w:tcPr>
            <w:tcW w:w="1413" w:type="dxa"/>
            <w:vAlign w:val="center"/>
          </w:tcPr>
          <w:p w:rsidR="00D32967" w:rsidRPr="005A0B52" w:rsidRDefault="00D32967" w:rsidP="00FF3B75">
            <w:pPr>
              <w:spacing w:after="160" w:line="360" w:lineRule="auto"/>
              <w:rPr>
                <w:b/>
                <w:sz w:val="24"/>
                <w:szCs w:val="24"/>
              </w:rPr>
            </w:pPr>
            <w:r w:rsidRPr="005A0B52">
              <w:rPr>
                <w:b/>
                <w:sz w:val="24"/>
                <w:szCs w:val="24"/>
              </w:rPr>
              <w:t>C86-12</w:t>
            </w:r>
          </w:p>
        </w:tc>
        <w:tc>
          <w:tcPr>
            <w:tcW w:w="709" w:type="dxa"/>
            <w:vAlign w:val="center"/>
          </w:tcPr>
          <w:p w:rsidR="00D32967" w:rsidRPr="005A0B52" w:rsidRDefault="00D32967" w:rsidP="00FF3B75">
            <w:pPr>
              <w:spacing w:after="160" w:line="360" w:lineRule="auto"/>
              <w:rPr>
                <w:sz w:val="24"/>
                <w:szCs w:val="24"/>
              </w:rPr>
            </w:pPr>
            <w:r w:rsidRPr="005A0B52">
              <w:rPr>
                <w:sz w:val="24"/>
                <w:szCs w:val="24"/>
              </w:rPr>
              <w:t xml:space="preserve">13 </w:t>
            </w:r>
            <w:r w:rsidRPr="005A0B52">
              <w:rPr>
                <w:b/>
                <w:sz w:val="24"/>
                <w:szCs w:val="24"/>
              </w:rPr>
              <w:t>a</w:t>
            </w:r>
          </w:p>
        </w:tc>
        <w:tc>
          <w:tcPr>
            <w:tcW w:w="708" w:type="dxa"/>
            <w:vAlign w:val="center"/>
          </w:tcPr>
          <w:p w:rsidR="00D32967" w:rsidRPr="005A0B52" w:rsidRDefault="00D32967" w:rsidP="00FF3B75">
            <w:pPr>
              <w:spacing w:after="160" w:line="360" w:lineRule="auto"/>
              <w:rPr>
                <w:sz w:val="24"/>
                <w:szCs w:val="24"/>
              </w:rPr>
            </w:pPr>
            <w:r w:rsidRPr="005A0B52">
              <w:rPr>
                <w:sz w:val="24"/>
                <w:szCs w:val="24"/>
              </w:rPr>
              <w:t xml:space="preserve">12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300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221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3,0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2,8 </w:t>
            </w:r>
            <w:r w:rsidRPr="005A0B52">
              <w:rPr>
                <w:b/>
                <w:sz w:val="24"/>
                <w:szCs w:val="24"/>
              </w:rPr>
              <w:t>a</w:t>
            </w:r>
          </w:p>
        </w:tc>
      </w:tr>
      <w:tr w:rsidR="00D32967" w:rsidRPr="005A0B52" w:rsidTr="00561583">
        <w:tc>
          <w:tcPr>
            <w:tcW w:w="1413" w:type="dxa"/>
            <w:vAlign w:val="center"/>
          </w:tcPr>
          <w:p w:rsidR="00D32967" w:rsidRPr="005A0B52" w:rsidRDefault="00D32967" w:rsidP="00FF3B75">
            <w:pPr>
              <w:spacing w:after="160" w:line="360" w:lineRule="auto"/>
              <w:rPr>
                <w:b/>
                <w:sz w:val="24"/>
                <w:szCs w:val="24"/>
              </w:rPr>
            </w:pPr>
            <w:r w:rsidRPr="005A0B52">
              <w:rPr>
                <w:b/>
                <w:sz w:val="24"/>
                <w:szCs w:val="24"/>
              </w:rPr>
              <w:t>C323-68</w:t>
            </w:r>
          </w:p>
        </w:tc>
        <w:tc>
          <w:tcPr>
            <w:tcW w:w="709" w:type="dxa"/>
            <w:vAlign w:val="center"/>
          </w:tcPr>
          <w:p w:rsidR="00D32967" w:rsidRPr="005A0B52" w:rsidRDefault="00D32967" w:rsidP="00FF3B75">
            <w:pPr>
              <w:spacing w:after="160" w:line="360" w:lineRule="auto"/>
              <w:rPr>
                <w:sz w:val="24"/>
                <w:szCs w:val="24"/>
              </w:rPr>
            </w:pPr>
            <w:r w:rsidRPr="005A0B52">
              <w:rPr>
                <w:sz w:val="24"/>
                <w:szCs w:val="24"/>
              </w:rPr>
              <w:t xml:space="preserve">13 </w:t>
            </w:r>
            <w:r w:rsidRPr="005A0B52">
              <w:rPr>
                <w:b/>
                <w:sz w:val="24"/>
                <w:szCs w:val="24"/>
              </w:rPr>
              <w:t>a</w:t>
            </w:r>
          </w:p>
        </w:tc>
        <w:tc>
          <w:tcPr>
            <w:tcW w:w="708" w:type="dxa"/>
            <w:vAlign w:val="center"/>
          </w:tcPr>
          <w:p w:rsidR="00D32967" w:rsidRPr="005A0B52" w:rsidRDefault="00D32967" w:rsidP="00FF3B75">
            <w:pPr>
              <w:spacing w:after="160" w:line="360" w:lineRule="auto"/>
              <w:rPr>
                <w:sz w:val="24"/>
                <w:szCs w:val="24"/>
              </w:rPr>
            </w:pPr>
            <w:r w:rsidRPr="005A0B52">
              <w:rPr>
                <w:sz w:val="24"/>
                <w:szCs w:val="24"/>
              </w:rPr>
              <w:t xml:space="preserve">13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267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253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2,3</w:t>
            </w:r>
            <w:r w:rsidRPr="005A0B52">
              <w:rPr>
                <w:b/>
                <w:sz w:val="24"/>
                <w:szCs w:val="24"/>
              </w:rPr>
              <w:t xml:space="preserve"> b</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2,3</w:t>
            </w:r>
            <w:r w:rsidRPr="005A0B52">
              <w:rPr>
                <w:b/>
                <w:sz w:val="24"/>
                <w:szCs w:val="24"/>
              </w:rPr>
              <w:t xml:space="preserve"> b</w:t>
            </w:r>
          </w:p>
        </w:tc>
      </w:tr>
      <w:tr w:rsidR="00D32967" w:rsidRPr="005A0B52" w:rsidTr="00561583">
        <w:tc>
          <w:tcPr>
            <w:tcW w:w="1413" w:type="dxa"/>
            <w:vAlign w:val="center"/>
          </w:tcPr>
          <w:p w:rsidR="00D32967" w:rsidRPr="005A0B52" w:rsidRDefault="00D32967" w:rsidP="00FF3B75">
            <w:pPr>
              <w:spacing w:after="160" w:line="360" w:lineRule="auto"/>
              <w:rPr>
                <w:b/>
                <w:sz w:val="24"/>
                <w:szCs w:val="24"/>
              </w:rPr>
            </w:pPr>
            <w:r w:rsidRPr="005A0B52">
              <w:rPr>
                <w:b/>
                <w:sz w:val="24"/>
                <w:szCs w:val="24"/>
              </w:rPr>
              <w:t>SP70-1284</w:t>
            </w:r>
          </w:p>
        </w:tc>
        <w:tc>
          <w:tcPr>
            <w:tcW w:w="709" w:type="dxa"/>
            <w:vAlign w:val="center"/>
          </w:tcPr>
          <w:p w:rsidR="00D32967" w:rsidRPr="005A0B52" w:rsidRDefault="00D32967" w:rsidP="00FF3B75">
            <w:pPr>
              <w:spacing w:after="160" w:line="360" w:lineRule="auto"/>
              <w:rPr>
                <w:sz w:val="24"/>
                <w:szCs w:val="24"/>
              </w:rPr>
            </w:pPr>
            <w:r w:rsidRPr="005A0B52">
              <w:rPr>
                <w:sz w:val="24"/>
                <w:szCs w:val="24"/>
              </w:rPr>
              <w:t xml:space="preserve">14 </w:t>
            </w:r>
            <w:r w:rsidRPr="005A0B52">
              <w:rPr>
                <w:b/>
                <w:sz w:val="24"/>
                <w:szCs w:val="24"/>
              </w:rPr>
              <w:t>a</w:t>
            </w:r>
          </w:p>
        </w:tc>
        <w:tc>
          <w:tcPr>
            <w:tcW w:w="708" w:type="dxa"/>
            <w:vAlign w:val="center"/>
          </w:tcPr>
          <w:p w:rsidR="00D32967" w:rsidRPr="005A0B52" w:rsidRDefault="00D32967" w:rsidP="00FF3B75">
            <w:pPr>
              <w:spacing w:after="160" w:line="360" w:lineRule="auto"/>
              <w:rPr>
                <w:sz w:val="24"/>
                <w:szCs w:val="24"/>
              </w:rPr>
            </w:pPr>
            <w:r w:rsidRPr="005A0B52">
              <w:rPr>
                <w:sz w:val="24"/>
                <w:szCs w:val="24"/>
              </w:rPr>
              <w:t xml:space="preserve">13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296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218 </w:t>
            </w:r>
            <w:r w:rsidRPr="005A0B52">
              <w:rPr>
                <w:b/>
                <w:sz w:val="24"/>
                <w:szCs w:val="24"/>
              </w:rPr>
              <w:t>a</w:t>
            </w:r>
          </w:p>
        </w:tc>
        <w:tc>
          <w:tcPr>
            <w:tcW w:w="851" w:type="dxa"/>
            <w:vAlign w:val="center"/>
          </w:tcPr>
          <w:p w:rsidR="00D32967" w:rsidRPr="005A0B52" w:rsidRDefault="00D32967" w:rsidP="00FF3B75">
            <w:pPr>
              <w:spacing w:after="160" w:line="360" w:lineRule="auto"/>
              <w:rPr>
                <w:sz w:val="24"/>
                <w:szCs w:val="24"/>
              </w:rPr>
            </w:pPr>
            <w:r w:rsidRPr="005A0B52">
              <w:rPr>
                <w:sz w:val="24"/>
                <w:szCs w:val="24"/>
              </w:rPr>
              <w:t xml:space="preserve">2,8 </w:t>
            </w:r>
            <w:r w:rsidRPr="005A0B52">
              <w:rPr>
                <w:b/>
                <w:sz w:val="24"/>
                <w:szCs w:val="24"/>
              </w:rPr>
              <w:t>a</w:t>
            </w:r>
          </w:p>
        </w:tc>
        <w:tc>
          <w:tcPr>
            <w:tcW w:w="850" w:type="dxa"/>
            <w:vAlign w:val="center"/>
          </w:tcPr>
          <w:p w:rsidR="00D32967" w:rsidRPr="005A0B52" w:rsidRDefault="00D32967" w:rsidP="00FF3B75">
            <w:pPr>
              <w:spacing w:after="160" w:line="360" w:lineRule="auto"/>
              <w:rPr>
                <w:sz w:val="24"/>
                <w:szCs w:val="24"/>
              </w:rPr>
            </w:pPr>
            <w:r w:rsidRPr="005A0B52">
              <w:rPr>
                <w:sz w:val="24"/>
                <w:szCs w:val="24"/>
              </w:rPr>
              <w:t xml:space="preserve">2,7 </w:t>
            </w:r>
            <w:r w:rsidRPr="005A0B52">
              <w:rPr>
                <w:b/>
                <w:sz w:val="24"/>
                <w:szCs w:val="24"/>
              </w:rPr>
              <w:t>a</w:t>
            </w:r>
          </w:p>
        </w:tc>
      </w:tr>
    </w:tbl>
    <w:p w:rsidR="00D32967" w:rsidRPr="005A0B52" w:rsidRDefault="00D32967" w:rsidP="00D32967">
      <w:pPr>
        <w:spacing w:line="360" w:lineRule="auto"/>
        <w:rPr>
          <w:rFonts w:ascii="Times New Roman" w:hAnsi="Times New Roman" w:cs="Times New Roman"/>
          <w:b/>
          <w:sz w:val="24"/>
          <w:szCs w:val="24"/>
        </w:rPr>
      </w:pPr>
    </w:p>
    <w:p w:rsidR="00D32967" w:rsidRPr="005A0B52" w:rsidRDefault="00D32967" w:rsidP="00D32967">
      <w:pPr>
        <w:spacing w:line="360" w:lineRule="auto"/>
        <w:rPr>
          <w:rFonts w:ascii="Times New Roman" w:hAnsi="Times New Roman" w:cs="Times New Roman"/>
          <w:b/>
          <w:sz w:val="24"/>
          <w:szCs w:val="24"/>
        </w:rPr>
      </w:pPr>
    </w:p>
    <w:p w:rsidR="00D32967" w:rsidRPr="005A0B52" w:rsidRDefault="00D32967" w:rsidP="00D32967">
      <w:pPr>
        <w:spacing w:line="360" w:lineRule="auto"/>
        <w:rPr>
          <w:rFonts w:ascii="Times New Roman" w:hAnsi="Times New Roman" w:cs="Times New Roman"/>
          <w:b/>
          <w:sz w:val="24"/>
          <w:szCs w:val="24"/>
        </w:rPr>
      </w:pPr>
    </w:p>
    <w:p w:rsidR="00D32967" w:rsidRPr="005A0B52" w:rsidRDefault="00D32967" w:rsidP="00D32967">
      <w:pPr>
        <w:spacing w:line="360" w:lineRule="auto"/>
        <w:rPr>
          <w:rFonts w:ascii="Times New Roman" w:hAnsi="Times New Roman" w:cs="Times New Roman"/>
          <w:b/>
          <w:sz w:val="24"/>
          <w:szCs w:val="24"/>
        </w:rPr>
      </w:pPr>
    </w:p>
    <w:p w:rsidR="00D32967" w:rsidRPr="005A0B52" w:rsidRDefault="00D32967" w:rsidP="00D32967">
      <w:pPr>
        <w:spacing w:line="360" w:lineRule="auto"/>
        <w:rPr>
          <w:rFonts w:ascii="Times New Roman" w:hAnsi="Times New Roman" w:cs="Times New Roman"/>
          <w:b/>
          <w:sz w:val="24"/>
          <w:szCs w:val="24"/>
        </w:rPr>
      </w:pPr>
    </w:p>
    <w:p w:rsidR="00D32967" w:rsidRPr="005A0B52" w:rsidRDefault="00D32967" w:rsidP="00D32967">
      <w:pPr>
        <w:spacing w:line="360" w:lineRule="auto"/>
        <w:rPr>
          <w:rFonts w:ascii="Times New Roman" w:hAnsi="Times New Roman" w:cs="Times New Roman"/>
          <w:b/>
          <w:sz w:val="24"/>
          <w:szCs w:val="24"/>
        </w:rPr>
      </w:pPr>
    </w:p>
    <w:p w:rsidR="00D32967" w:rsidRDefault="00D32967" w:rsidP="00D32967">
      <w:pPr>
        <w:spacing w:line="360" w:lineRule="auto"/>
        <w:rPr>
          <w:rFonts w:ascii="Times New Roman" w:hAnsi="Times New Roman" w:cs="Times New Roman"/>
          <w:b/>
          <w:sz w:val="24"/>
          <w:szCs w:val="24"/>
        </w:rPr>
      </w:pPr>
    </w:p>
    <w:p w:rsidR="00354AE6" w:rsidRPr="005A0B52" w:rsidRDefault="00354AE6" w:rsidP="00D32967">
      <w:pPr>
        <w:spacing w:line="360" w:lineRule="auto"/>
        <w:rPr>
          <w:rFonts w:ascii="Times New Roman" w:hAnsi="Times New Roman" w:cs="Times New Roman"/>
          <w:b/>
          <w:sz w:val="24"/>
          <w:szCs w:val="24"/>
        </w:rPr>
      </w:pPr>
    </w:p>
    <w:p w:rsidR="00D32967" w:rsidRPr="00C23B73" w:rsidRDefault="00D32967" w:rsidP="00354AE6">
      <w:pPr>
        <w:spacing w:line="360" w:lineRule="auto"/>
        <w:jc w:val="center"/>
        <w:rPr>
          <w:rFonts w:ascii="Times New Roman" w:hAnsi="Times New Roman" w:cs="Times New Roman"/>
          <w:sz w:val="20"/>
          <w:szCs w:val="20"/>
        </w:rPr>
      </w:pPr>
      <w:r w:rsidRPr="00C23B73">
        <w:rPr>
          <w:rFonts w:ascii="Times New Roman" w:hAnsi="Times New Roman" w:cs="Times New Roman"/>
          <w:sz w:val="20"/>
          <w:szCs w:val="20"/>
        </w:rPr>
        <w:t xml:space="preserve">Medias con letras distintas en una misma columna, difieren estadísticamente, según la prueba de </w:t>
      </w:r>
      <w:proofErr w:type="spellStart"/>
      <w:r w:rsidRPr="00C23B73">
        <w:rPr>
          <w:rFonts w:ascii="Times New Roman" w:hAnsi="Times New Roman" w:cs="Times New Roman"/>
          <w:sz w:val="20"/>
          <w:szCs w:val="20"/>
        </w:rPr>
        <w:t>Tukey</w:t>
      </w:r>
      <w:proofErr w:type="spellEnd"/>
      <w:r w:rsidRPr="00C23B73">
        <w:rPr>
          <w:rFonts w:ascii="Times New Roman" w:hAnsi="Times New Roman" w:cs="Times New Roman"/>
          <w:sz w:val="20"/>
          <w:szCs w:val="20"/>
        </w:rPr>
        <w:t xml:space="preserve"> para p≤0</w:t>
      </w:r>
      <w:r w:rsidR="005A0B52" w:rsidRPr="00C23B73">
        <w:rPr>
          <w:rFonts w:ascii="Times New Roman" w:hAnsi="Times New Roman" w:cs="Times New Roman"/>
          <w:sz w:val="20"/>
          <w:szCs w:val="20"/>
        </w:rPr>
        <w:t>.</w:t>
      </w:r>
      <w:r w:rsidRPr="00C23B73">
        <w:rPr>
          <w:rFonts w:ascii="Times New Roman" w:hAnsi="Times New Roman" w:cs="Times New Roman"/>
          <w:sz w:val="20"/>
          <w:szCs w:val="20"/>
        </w:rPr>
        <w:t>05.</w:t>
      </w:r>
    </w:p>
    <w:p w:rsidR="00D32967" w:rsidRPr="005A0B52" w:rsidRDefault="00D32967" w:rsidP="00BF4353">
      <w:pPr>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En las dos cosechas realizadas, el rendimiento agrícola (</w:t>
      </w:r>
      <w:r w:rsidRPr="005A0B52">
        <w:rPr>
          <w:rFonts w:ascii="Times New Roman" w:hAnsi="Times New Roman" w:cs="Times New Roman"/>
          <w:bCs/>
          <w:sz w:val="24"/>
          <w:szCs w:val="24"/>
        </w:rPr>
        <w:t>caña t ha</w:t>
      </w:r>
      <w:r w:rsidRPr="005A0B52">
        <w:rPr>
          <w:rFonts w:ascii="Times New Roman" w:hAnsi="Times New Roman" w:cs="Times New Roman"/>
          <w:bCs/>
          <w:sz w:val="24"/>
          <w:szCs w:val="24"/>
          <w:vertAlign w:val="superscript"/>
        </w:rPr>
        <w:t>-1</w:t>
      </w:r>
      <w:r w:rsidRPr="005A0B52">
        <w:rPr>
          <w:rFonts w:ascii="Times New Roman" w:hAnsi="Times New Roman" w:cs="Times New Roman"/>
          <w:sz w:val="24"/>
          <w:szCs w:val="24"/>
        </w:rPr>
        <w:t>) del cultivar C02-210 alcanzó resultados similares al testigo C86-12 sin diferencias estadísticas entre ellos, fue superior a C323-68 en ambos ciclos de cosecha (PCL y RI)</w:t>
      </w:r>
      <w:r w:rsidRPr="005A0B52">
        <w:rPr>
          <w:rFonts w:ascii="Times New Roman" w:hAnsi="Times New Roman" w:cs="Times New Roman"/>
          <w:color w:val="FF0000"/>
          <w:sz w:val="24"/>
          <w:szCs w:val="24"/>
        </w:rPr>
        <w:t>,</w:t>
      </w:r>
      <w:r w:rsidRPr="005A0B52">
        <w:rPr>
          <w:rFonts w:ascii="Times New Roman" w:hAnsi="Times New Roman" w:cs="Times New Roman"/>
          <w:sz w:val="24"/>
          <w:szCs w:val="24"/>
        </w:rPr>
        <w:t xml:space="preserve"> e inferior a SP70-1284 en PCL (Figura 1).</w:t>
      </w:r>
    </w:p>
    <w:p w:rsidR="00D32967" w:rsidRPr="005A0B52" w:rsidRDefault="00D32967" w:rsidP="00BF4353">
      <w:pPr>
        <w:spacing w:line="360" w:lineRule="auto"/>
        <w:jc w:val="both"/>
        <w:rPr>
          <w:rFonts w:ascii="Times New Roman" w:hAnsi="Times New Roman" w:cs="Times New Roman"/>
          <w:color w:val="FF0000"/>
          <w:sz w:val="24"/>
          <w:szCs w:val="24"/>
        </w:rPr>
      </w:pPr>
      <w:r w:rsidRPr="005A0B52">
        <w:rPr>
          <w:rFonts w:ascii="Times New Roman" w:hAnsi="Times New Roman" w:cs="Times New Roman"/>
          <w:sz w:val="24"/>
          <w:szCs w:val="24"/>
        </w:rPr>
        <w:lastRenderedPageBreak/>
        <w:t xml:space="preserve">El cultivar C02-210 mostró buen retoñamiento reflejado, en una menor disminución de </w:t>
      </w:r>
      <w:r w:rsidRPr="005A0B52">
        <w:rPr>
          <w:rFonts w:ascii="Times New Roman" w:hAnsi="Times New Roman" w:cs="Times New Roman"/>
          <w:bCs/>
          <w:sz w:val="24"/>
          <w:szCs w:val="24"/>
        </w:rPr>
        <w:t>caña t ha</w:t>
      </w:r>
      <w:r w:rsidRPr="005A0B52">
        <w:rPr>
          <w:rFonts w:ascii="Times New Roman" w:hAnsi="Times New Roman" w:cs="Times New Roman"/>
          <w:bCs/>
          <w:sz w:val="24"/>
          <w:szCs w:val="24"/>
          <w:vertAlign w:val="superscript"/>
        </w:rPr>
        <w:t xml:space="preserve">-1 </w:t>
      </w:r>
      <w:r w:rsidRPr="005A0B52">
        <w:rPr>
          <w:rFonts w:ascii="Times New Roman" w:hAnsi="Times New Roman" w:cs="Times New Roman"/>
          <w:sz w:val="24"/>
          <w:szCs w:val="24"/>
        </w:rPr>
        <w:t>de una cepa a la otra en comparación con los testigos. Este aspecto reviste gran importancia para estas condiciones de suelo donde los cultivares generalmente declinan los rendimientos con el número de cosechas coincidiendo con resultados de Gómez</w:t>
      </w:r>
      <w:r w:rsidRPr="005A0B52">
        <w:rPr>
          <w:rFonts w:ascii="Times New Roman" w:hAnsi="Times New Roman" w:cs="Times New Roman"/>
          <w:i/>
          <w:sz w:val="24"/>
          <w:szCs w:val="24"/>
        </w:rPr>
        <w:t xml:space="preserve"> et al (</w:t>
      </w:r>
      <w:r w:rsidRPr="005A0B52">
        <w:rPr>
          <w:rFonts w:ascii="Times New Roman" w:hAnsi="Times New Roman" w:cs="Times New Roman"/>
          <w:sz w:val="24"/>
          <w:szCs w:val="24"/>
        </w:rPr>
        <w:t xml:space="preserve">2009 y 2011). </w:t>
      </w:r>
    </w:p>
    <w:p w:rsidR="00D32967" w:rsidRPr="005A0B52" w:rsidRDefault="00D32967" w:rsidP="00D32967">
      <w:pPr>
        <w:spacing w:line="360" w:lineRule="auto"/>
        <w:rPr>
          <w:rFonts w:ascii="Times New Roman" w:hAnsi="Times New Roman" w:cs="Times New Roman"/>
          <w:sz w:val="24"/>
          <w:szCs w:val="24"/>
        </w:rPr>
      </w:pPr>
      <w:r w:rsidRPr="005A0B52">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AA4E82E" wp14:editId="536C25A5">
            <wp:simplePos x="0" y="0"/>
            <wp:positionH relativeFrom="column">
              <wp:posOffset>821690</wp:posOffset>
            </wp:positionH>
            <wp:positionV relativeFrom="paragraph">
              <wp:posOffset>-5080</wp:posOffset>
            </wp:positionV>
            <wp:extent cx="3867785" cy="2070100"/>
            <wp:effectExtent l="0" t="0" r="18415" b="6350"/>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5A0B52">
        <w:rPr>
          <w:rFonts w:ascii="Times New Roman" w:hAnsi="Times New Roman" w:cs="Times New Roman"/>
          <w:sz w:val="24"/>
          <w:szCs w:val="24"/>
        </w:rPr>
        <w:br w:type="textWrapping" w:clear="all"/>
      </w:r>
    </w:p>
    <w:p w:rsidR="00D32967" w:rsidRPr="00C23B73" w:rsidRDefault="00D32967" w:rsidP="00D32967">
      <w:pPr>
        <w:autoSpaceDE w:val="0"/>
        <w:autoSpaceDN w:val="0"/>
        <w:adjustRightInd w:val="0"/>
        <w:spacing w:line="360" w:lineRule="auto"/>
        <w:jc w:val="center"/>
        <w:rPr>
          <w:rFonts w:ascii="Times New Roman" w:hAnsi="Times New Roman" w:cs="Times New Roman"/>
          <w:sz w:val="20"/>
          <w:szCs w:val="20"/>
        </w:rPr>
      </w:pPr>
      <w:r w:rsidRPr="00C23B73">
        <w:rPr>
          <w:rFonts w:ascii="Times New Roman" w:hAnsi="Times New Roman" w:cs="Times New Roman"/>
          <w:sz w:val="20"/>
          <w:szCs w:val="20"/>
        </w:rPr>
        <w:t xml:space="preserve">Columnas con letras distintas difieren estadísticamente según la prueba de </w:t>
      </w:r>
      <w:proofErr w:type="spellStart"/>
      <w:r w:rsidRPr="00C23B73">
        <w:rPr>
          <w:rFonts w:ascii="Times New Roman" w:hAnsi="Times New Roman" w:cs="Times New Roman"/>
          <w:sz w:val="20"/>
          <w:szCs w:val="20"/>
        </w:rPr>
        <w:t>Tukey</w:t>
      </w:r>
      <w:proofErr w:type="spellEnd"/>
      <w:r w:rsidRPr="00C23B73">
        <w:rPr>
          <w:rFonts w:ascii="Times New Roman" w:hAnsi="Times New Roman" w:cs="Times New Roman"/>
          <w:sz w:val="20"/>
          <w:szCs w:val="20"/>
        </w:rPr>
        <w:t xml:space="preserve"> para p≤0,05</w:t>
      </w:r>
    </w:p>
    <w:p w:rsidR="005A0B52" w:rsidRPr="00354AE6" w:rsidRDefault="00D32967" w:rsidP="005A0B52">
      <w:pPr>
        <w:autoSpaceDE w:val="0"/>
        <w:autoSpaceDN w:val="0"/>
        <w:adjustRightInd w:val="0"/>
        <w:jc w:val="both"/>
        <w:rPr>
          <w:rFonts w:ascii="Arial" w:hAnsi="Arial" w:cs="Arial"/>
          <w:b/>
          <w:sz w:val="24"/>
          <w:szCs w:val="24"/>
        </w:rPr>
      </w:pPr>
      <w:r w:rsidRPr="00354AE6">
        <w:rPr>
          <w:rFonts w:ascii="Times New Roman" w:hAnsi="Times New Roman" w:cs="Times New Roman"/>
          <w:sz w:val="24"/>
          <w:szCs w:val="24"/>
        </w:rPr>
        <w:t xml:space="preserve">Figura 1. </w:t>
      </w:r>
      <w:r w:rsidR="005A0B52" w:rsidRPr="00354AE6">
        <w:rPr>
          <w:rFonts w:ascii="Times New Roman" w:hAnsi="Times New Roman" w:cs="Times New Roman"/>
          <w:sz w:val="24"/>
          <w:szCs w:val="24"/>
        </w:rPr>
        <w:t>Rendimiento agrícola (</w:t>
      </w:r>
      <w:r w:rsidR="005A0B52" w:rsidRPr="00354AE6">
        <w:rPr>
          <w:rFonts w:ascii="Times New Roman" w:hAnsi="Times New Roman" w:cs="Times New Roman"/>
          <w:bCs/>
          <w:sz w:val="24"/>
          <w:szCs w:val="24"/>
        </w:rPr>
        <w:t>caña t ha</w:t>
      </w:r>
      <w:r w:rsidR="005A0B52" w:rsidRPr="00354AE6">
        <w:rPr>
          <w:rFonts w:ascii="Times New Roman" w:hAnsi="Times New Roman" w:cs="Times New Roman"/>
          <w:bCs/>
          <w:sz w:val="24"/>
          <w:szCs w:val="24"/>
          <w:vertAlign w:val="superscript"/>
        </w:rPr>
        <w:t>-1</w:t>
      </w:r>
      <w:r w:rsidR="005A0B52" w:rsidRPr="00354AE6">
        <w:rPr>
          <w:rFonts w:ascii="Times New Roman" w:hAnsi="Times New Roman" w:cs="Times New Roman"/>
          <w:sz w:val="24"/>
          <w:szCs w:val="24"/>
        </w:rPr>
        <w:t>) del cultivar C02-210 de caña de azúcar (</w:t>
      </w:r>
      <w:proofErr w:type="spellStart"/>
      <w:r w:rsidR="005A0B52" w:rsidRPr="00354AE6">
        <w:rPr>
          <w:rFonts w:ascii="Times New Roman" w:hAnsi="Times New Roman" w:cs="Times New Roman"/>
          <w:i/>
          <w:sz w:val="24"/>
          <w:szCs w:val="24"/>
        </w:rPr>
        <w:t>Saccharum</w:t>
      </w:r>
      <w:proofErr w:type="spellEnd"/>
      <w:r w:rsidR="005A0B52" w:rsidRPr="00354AE6">
        <w:rPr>
          <w:rFonts w:ascii="Times New Roman" w:hAnsi="Times New Roman" w:cs="Times New Roman"/>
          <w:i/>
          <w:sz w:val="24"/>
          <w:szCs w:val="24"/>
        </w:rPr>
        <w:t xml:space="preserve"> </w:t>
      </w:r>
      <w:proofErr w:type="spellStart"/>
      <w:r w:rsidR="005A0B52" w:rsidRPr="00354AE6">
        <w:rPr>
          <w:rFonts w:ascii="Times New Roman" w:hAnsi="Times New Roman" w:cs="Times New Roman"/>
          <w:sz w:val="24"/>
          <w:szCs w:val="24"/>
        </w:rPr>
        <w:t>spp</w:t>
      </w:r>
      <w:proofErr w:type="spellEnd"/>
      <w:r w:rsidR="005A0B52" w:rsidRPr="00354AE6">
        <w:rPr>
          <w:rFonts w:ascii="Times New Roman" w:hAnsi="Times New Roman" w:cs="Times New Roman"/>
          <w:sz w:val="24"/>
          <w:szCs w:val="24"/>
        </w:rPr>
        <w:t>.) en la cepa de</w:t>
      </w:r>
      <w:r w:rsidR="00AD02E9" w:rsidRPr="00354AE6">
        <w:rPr>
          <w:rFonts w:ascii="Times New Roman" w:hAnsi="Times New Roman" w:cs="Times New Roman"/>
          <w:sz w:val="24"/>
          <w:szCs w:val="24"/>
        </w:rPr>
        <w:t xml:space="preserve"> caña planta</w:t>
      </w:r>
      <w:r w:rsidR="005A0B52" w:rsidRPr="00354AE6">
        <w:rPr>
          <w:rFonts w:ascii="Times New Roman" w:hAnsi="Times New Roman" w:cs="Times New Roman"/>
          <w:sz w:val="24"/>
          <w:szCs w:val="24"/>
        </w:rPr>
        <w:t xml:space="preserve"> primavera de ciclo largo (PCL) y primer retoño (RI).</w:t>
      </w:r>
    </w:p>
    <w:p w:rsidR="00D32967" w:rsidRPr="005A0B52" w:rsidRDefault="00D32967" w:rsidP="00BF4353">
      <w:pPr>
        <w:autoSpaceDE w:val="0"/>
        <w:autoSpaceDN w:val="0"/>
        <w:adjustRightInd w:val="0"/>
        <w:spacing w:line="360" w:lineRule="auto"/>
        <w:jc w:val="both"/>
        <w:rPr>
          <w:rFonts w:ascii="Times New Roman" w:hAnsi="Times New Roman" w:cs="Times New Roman"/>
          <w:bCs/>
          <w:sz w:val="24"/>
          <w:szCs w:val="24"/>
        </w:rPr>
      </w:pPr>
      <w:r w:rsidRPr="005A0B52">
        <w:rPr>
          <w:rFonts w:ascii="Times New Roman" w:hAnsi="Times New Roman" w:cs="Times New Roman"/>
          <w:sz w:val="24"/>
          <w:szCs w:val="24"/>
        </w:rPr>
        <w:t xml:space="preserve">Respecto al rendimiento agroindustrial, C02-210 </w:t>
      </w:r>
      <w:r w:rsidRPr="005A0B52">
        <w:rPr>
          <w:rFonts w:ascii="Times New Roman" w:hAnsi="Times New Roman" w:cs="Times New Roman"/>
          <w:bCs/>
          <w:sz w:val="24"/>
          <w:szCs w:val="24"/>
        </w:rPr>
        <w:t xml:space="preserve">obtuvo resultados similares a C323-68 en la cepa de </w:t>
      </w:r>
      <w:r w:rsidR="00AD02E9">
        <w:rPr>
          <w:rFonts w:ascii="Times New Roman" w:hAnsi="Times New Roman" w:cs="Times New Roman"/>
          <w:bCs/>
          <w:sz w:val="24"/>
          <w:szCs w:val="24"/>
        </w:rPr>
        <w:t>caña planta (PCL)</w:t>
      </w:r>
      <w:r w:rsidRPr="005A0B52">
        <w:rPr>
          <w:rFonts w:ascii="Times New Roman" w:hAnsi="Times New Roman" w:cs="Times New Roman"/>
          <w:bCs/>
          <w:sz w:val="24"/>
          <w:szCs w:val="24"/>
        </w:rPr>
        <w:t xml:space="preserve">, superó a los cultivares C323-68 y la SP70-1284 en la cepa de </w:t>
      </w:r>
      <w:r w:rsidR="00AD02E9">
        <w:rPr>
          <w:rFonts w:ascii="Times New Roman" w:hAnsi="Times New Roman" w:cs="Times New Roman"/>
          <w:bCs/>
          <w:sz w:val="24"/>
          <w:szCs w:val="24"/>
        </w:rPr>
        <w:t>primer retoño (</w:t>
      </w:r>
      <w:r w:rsidRPr="005A0B52">
        <w:rPr>
          <w:rFonts w:ascii="Times New Roman" w:hAnsi="Times New Roman" w:cs="Times New Roman"/>
          <w:bCs/>
          <w:sz w:val="24"/>
          <w:szCs w:val="24"/>
        </w:rPr>
        <w:t>RI</w:t>
      </w:r>
      <w:r w:rsidR="00AD02E9">
        <w:rPr>
          <w:rFonts w:ascii="Times New Roman" w:hAnsi="Times New Roman" w:cs="Times New Roman"/>
          <w:bCs/>
          <w:sz w:val="24"/>
          <w:szCs w:val="24"/>
        </w:rPr>
        <w:t>)</w:t>
      </w:r>
      <w:r w:rsidRPr="005A0B52">
        <w:rPr>
          <w:rFonts w:ascii="Times New Roman" w:hAnsi="Times New Roman" w:cs="Times New Roman"/>
          <w:bCs/>
          <w:sz w:val="24"/>
          <w:szCs w:val="24"/>
        </w:rPr>
        <w:t xml:space="preserve"> existiendo diferencias estadística entre las mismas, presentó</w:t>
      </w:r>
      <w:r w:rsidRPr="005A0B52">
        <w:rPr>
          <w:rFonts w:ascii="Times New Roman" w:hAnsi="Times New Roman" w:cs="Times New Roman"/>
          <w:bCs/>
          <w:color w:val="FF0000"/>
          <w:sz w:val="24"/>
          <w:szCs w:val="24"/>
        </w:rPr>
        <w:t xml:space="preserve"> </w:t>
      </w:r>
      <w:r w:rsidRPr="005A0B52">
        <w:rPr>
          <w:rFonts w:ascii="Times New Roman" w:hAnsi="Times New Roman" w:cs="Times New Roman"/>
          <w:bCs/>
          <w:sz w:val="24"/>
          <w:szCs w:val="24"/>
        </w:rPr>
        <w:t xml:space="preserve">valores inferiores a C86-12 y SP70-1284 en </w:t>
      </w:r>
      <w:r w:rsidR="00AD02E9">
        <w:rPr>
          <w:rFonts w:ascii="Times New Roman" w:hAnsi="Times New Roman" w:cs="Times New Roman"/>
          <w:bCs/>
          <w:sz w:val="24"/>
          <w:szCs w:val="24"/>
        </w:rPr>
        <w:t xml:space="preserve">caña </w:t>
      </w:r>
      <w:r w:rsidR="00354AE6">
        <w:rPr>
          <w:rFonts w:ascii="Times New Roman" w:hAnsi="Times New Roman" w:cs="Times New Roman"/>
          <w:bCs/>
          <w:sz w:val="24"/>
          <w:szCs w:val="24"/>
        </w:rPr>
        <w:t>planta,</w:t>
      </w:r>
      <w:r w:rsidRPr="005A0B52">
        <w:rPr>
          <w:rFonts w:ascii="Times New Roman" w:hAnsi="Times New Roman" w:cs="Times New Roman"/>
          <w:bCs/>
          <w:sz w:val="24"/>
          <w:szCs w:val="24"/>
        </w:rPr>
        <w:t xml:space="preserve"> en </w:t>
      </w:r>
      <w:r w:rsidR="00AD02E9">
        <w:rPr>
          <w:rFonts w:ascii="Times New Roman" w:hAnsi="Times New Roman" w:cs="Times New Roman"/>
          <w:bCs/>
          <w:sz w:val="24"/>
          <w:szCs w:val="24"/>
        </w:rPr>
        <w:t>el primer retoño</w:t>
      </w:r>
      <w:r w:rsidRPr="005A0B52">
        <w:rPr>
          <w:rFonts w:ascii="Times New Roman" w:hAnsi="Times New Roman" w:cs="Times New Roman"/>
          <w:bCs/>
          <w:sz w:val="24"/>
          <w:szCs w:val="24"/>
        </w:rPr>
        <w:t xml:space="preserve"> fue superada por el cultivar C86-12 (Figura 2).</w:t>
      </w:r>
    </w:p>
    <w:p w:rsidR="00D32967" w:rsidRPr="005A0B52" w:rsidRDefault="00D32967" w:rsidP="00D32967">
      <w:pPr>
        <w:autoSpaceDE w:val="0"/>
        <w:autoSpaceDN w:val="0"/>
        <w:adjustRightInd w:val="0"/>
        <w:spacing w:line="360" w:lineRule="auto"/>
        <w:jc w:val="center"/>
        <w:rPr>
          <w:rFonts w:ascii="Times New Roman" w:hAnsi="Times New Roman" w:cs="Times New Roman"/>
          <w:bCs/>
          <w:sz w:val="24"/>
          <w:szCs w:val="24"/>
        </w:rPr>
      </w:pPr>
      <w:r w:rsidRPr="005A0B52">
        <w:rPr>
          <w:rFonts w:ascii="Times New Roman" w:hAnsi="Times New Roman" w:cs="Times New Roman"/>
          <w:noProof/>
          <w:sz w:val="24"/>
          <w:szCs w:val="24"/>
          <w:lang w:val="en-US"/>
        </w:rPr>
        <w:lastRenderedPageBreak/>
        <w:drawing>
          <wp:inline distT="0" distB="0" distL="0" distR="0" wp14:anchorId="76ED0B39" wp14:editId="7ED47334">
            <wp:extent cx="3990975" cy="18097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2967" w:rsidRPr="00C23B73" w:rsidRDefault="00D32967" w:rsidP="00D32967">
      <w:pPr>
        <w:autoSpaceDE w:val="0"/>
        <w:autoSpaceDN w:val="0"/>
        <w:adjustRightInd w:val="0"/>
        <w:spacing w:line="360" w:lineRule="auto"/>
        <w:jc w:val="center"/>
        <w:rPr>
          <w:rFonts w:ascii="Times New Roman" w:hAnsi="Times New Roman" w:cs="Times New Roman"/>
          <w:sz w:val="20"/>
          <w:szCs w:val="20"/>
        </w:rPr>
      </w:pPr>
      <w:r w:rsidRPr="00C23B73">
        <w:rPr>
          <w:rFonts w:ascii="Times New Roman" w:hAnsi="Times New Roman" w:cs="Times New Roman"/>
          <w:sz w:val="20"/>
          <w:szCs w:val="20"/>
        </w:rPr>
        <w:t xml:space="preserve">Columnas con letras distintas difieren estadísticamente según la prueba de </w:t>
      </w:r>
      <w:proofErr w:type="spellStart"/>
      <w:r w:rsidRPr="00C23B73">
        <w:rPr>
          <w:rFonts w:ascii="Times New Roman" w:hAnsi="Times New Roman" w:cs="Times New Roman"/>
          <w:sz w:val="20"/>
          <w:szCs w:val="20"/>
        </w:rPr>
        <w:t>Tukey</w:t>
      </w:r>
      <w:proofErr w:type="spellEnd"/>
      <w:r w:rsidRPr="00C23B73">
        <w:rPr>
          <w:rFonts w:ascii="Times New Roman" w:hAnsi="Times New Roman" w:cs="Times New Roman"/>
          <w:sz w:val="20"/>
          <w:szCs w:val="20"/>
        </w:rPr>
        <w:t xml:space="preserve"> para p≤0</w:t>
      </w:r>
      <w:r w:rsidR="005A0B52" w:rsidRPr="00C23B73">
        <w:rPr>
          <w:rFonts w:ascii="Times New Roman" w:hAnsi="Times New Roman" w:cs="Times New Roman"/>
          <w:sz w:val="20"/>
          <w:szCs w:val="20"/>
        </w:rPr>
        <w:t>.</w:t>
      </w:r>
      <w:r w:rsidRPr="00C23B73">
        <w:rPr>
          <w:rFonts w:ascii="Times New Roman" w:hAnsi="Times New Roman" w:cs="Times New Roman"/>
          <w:sz w:val="20"/>
          <w:szCs w:val="20"/>
        </w:rPr>
        <w:t>05</w:t>
      </w:r>
    </w:p>
    <w:p w:rsidR="005A0B52" w:rsidRPr="00354AE6" w:rsidRDefault="00D32967" w:rsidP="005A0B52">
      <w:pPr>
        <w:jc w:val="both"/>
        <w:rPr>
          <w:rFonts w:ascii="Times New Roman" w:hAnsi="Times New Roman" w:cs="Times New Roman"/>
          <w:sz w:val="24"/>
          <w:szCs w:val="24"/>
        </w:rPr>
      </w:pPr>
      <w:r w:rsidRPr="00354AE6">
        <w:rPr>
          <w:rFonts w:ascii="Times New Roman" w:hAnsi="Times New Roman" w:cs="Times New Roman"/>
          <w:bCs/>
          <w:sz w:val="24"/>
          <w:szCs w:val="24"/>
        </w:rPr>
        <w:t xml:space="preserve">Figura 2. </w:t>
      </w:r>
      <w:r w:rsidR="005A0B52" w:rsidRPr="00354AE6">
        <w:rPr>
          <w:rFonts w:ascii="Times New Roman" w:hAnsi="Times New Roman" w:cs="Times New Roman"/>
          <w:bCs/>
          <w:sz w:val="24"/>
          <w:szCs w:val="24"/>
        </w:rPr>
        <w:t>Rendimiento agroindustrial (t ha</w:t>
      </w:r>
      <w:r w:rsidR="005A0B52" w:rsidRPr="00354AE6">
        <w:rPr>
          <w:rFonts w:ascii="Times New Roman" w:hAnsi="Times New Roman" w:cs="Times New Roman"/>
          <w:bCs/>
          <w:sz w:val="24"/>
          <w:szCs w:val="24"/>
          <w:vertAlign w:val="superscript"/>
        </w:rPr>
        <w:t>-1</w:t>
      </w:r>
      <w:r w:rsidR="005A0B52" w:rsidRPr="00354AE6">
        <w:rPr>
          <w:rFonts w:ascii="Times New Roman" w:hAnsi="Times New Roman" w:cs="Times New Roman"/>
          <w:bCs/>
          <w:sz w:val="24"/>
          <w:szCs w:val="24"/>
        </w:rPr>
        <w:t xml:space="preserve"> azúcar) </w:t>
      </w:r>
      <w:r w:rsidR="005A0B52" w:rsidRPr="00354AE6">
        <w:rPr>
          <w:rFonts w:ascii="Times New Roman" w:hAnsi="Times New Roman" w:cs="Times New Roman"/>
          <w:sz w:val="24"/>
          <w:szCs w:val="24"/>
        </w:rPr>
        <w:t>del cultivar C02-210 de caña de azúcar (</w:t>
      </w:r>
      <w:proofErr w:type="spellStart"/>
      <w:r w:rsidR="005A0B52" w:rsidRPr="00354AE6">
        <w:rPr>
          <w:rFonts w:ascii="Times New Roman" w:hAnsi="Times New Roman" w:cs="Times New Roman"/>
          <w:i/>
          <w:sz w:val="24"/>
          <w:szCs w:val="24"/>
        </w:rPr>
        <w:t>Saccharum</w:t>
      </w:r>
      <w:proofErr w:type="spellEnd"/>
      <w:r w:rsidR="005A0B52" w:rsidRPr="00354AE6">
        <w:rPr>
          <w:rFonts w:ascii="Times New Roman" w:hAnsi="Times New Roman" w:cs="Times New Roman"/>
          <w:i/>
          <w:sz w:val="24"/>
          <w:szCs w:val="24"/>
        </w:rPr>
        <w:t xml:space="preserve"> </w:t>
      </w:r>
      <w:proofErr w:type="spellStart"/>
      <w:r w:rsidR="005A0B52" w:rsidRPr="00354AE6">
        <w:rPr>
          <w:rFonts w:ascii="Times New Roman" w:hAnsi="Times New Roman" w:cs="Times New Roman"/>
          <w:sz w:val="24"/>
          <w:szCs w:val="24"/>
        </w:rPr>
        <w:t>spp</w:t>
      </w:r>
      <w:proofErr w:type="spellEnd"/>
      <w:r w:rsidR="005A0B52" w:rsidRPr="00354AE6">
        <w:rPr>
          <w:rFonts w:ascii="Times New Roman" w:hAnsi="Times New Roman" w:cs="Times New Roman"/>
          <w:sz w:val="24"/>
          <w:szCs w:val="24"/>
        </w:rPr>
        <w:t>.) en la cepa de primavera de ciclo largo (PCL) y primer retoño (RI).</w:t>
      </w:r>
    </w:p>
    <w:p w:rsidR="00D32967" w:rsidRPr="005A0B52" w:rsidRDefault="00D32967" w:rsidP="00BF4353">
      <w:pPr>
        <w:autoSpaceDE w:val="0"/>
        <w:autoSpaceDN w:val="0"/>
        <w:adjustRightInd w:val="0"/>
        <w:spacing w:line="360" w:lineRule="auto"/>
        <w:jc w:val="both"/>
        <w:rPr>
          <w:rFonts w:ascii="Times New Roman" w:hAnsi="Times New Roman" w:cs="Times New Roman"/>
          <w:bCs/>
          <w:sz w:val="24"/>
          <w:szCs w:val="24"/>
        </w:rPr>
      </w:pPr>
      <w:r w:rsidRPr="005A0B52">
        <w:rPr>
          <w:rFonts w:ascii="Times New Roman" w:hAnsi="Times New Roman" w:cs="Times New Roman"/>
          <w:bCs/>
          <w:sz w:val="24"/>
          <w:szCs w:val="24"/>
        </w:rPr>
        <w:t xml:space="preserve">En la figura 3 se muestran los resultados obtenidos para el PCC en ambos ciclos de cosechas donde el cultivar C02-210 obtuvo valores similares a SP70-1284 pero inferiores a los cultivares C86-12 y C323-68 en las cepas </w:t>
      </w:r>
      <w:r w:rsidR="00CD64B6">
        <w:rPr>
          <w:rFonts w:ascii="Times New Roman" w:hAnsi="Times New Roman" w:cs="Times New Roman"/>
          <w:bCs/>
          <w:sz w:val="24"/>
          <w:szCs w:val="24"/>
        </w:rPr>
        <w:t>de caña planta y primer retoño.</w:t>
      </w:r>
      <w:r w:rsidRPr="005A0B52">
        <w:rPr>
          <w:rFonts w:ascii="Times New Roman" w:hAnsi="Times New Roman" w:cs="Times New Roman"/>
          <w:bCs/>
          <w:sz w:val="24"/>
          <w:szCs w:val="24"/>
        </w:rPr>
        <w:t xml:space="preserve"> </w:t>
      </w:r>
    </w:p>
    <w:p w:rsidR="00D32967" w:rsidRPr="005A0B52" w:rsidRDefault="00D32967" w:rsidP="00D32967">
      <w:pPr>
        <w:autoSpaceDE w:val="0"/>
        <w:autoSpaceDN w:val="0"/>
        <w:adjustRightInd w:val="0"/>
        <w:spacing w:line="360" w:lineRule="auto"/>
        <w:jc w:val="center"/>
        <w:rPr>
          <w:rFonts w:ascii="Times New Roman" w:hAnsi="Times New Roman" w:cs="Times New Roman"/>
          <w:bCs/>
          <w:sz w:val="24"/>
          <w:szCs w:val="24"/>
        </w:rPr>
      </w:pPr>
      <w:r w:rsidRPr="005A0B52">
        <w:rPr>
          <w:rFonts w:ascii="Times New Roman" w:hAnsi="Times New Roman" w:cs="Times New Roman"/>
          <w:noProof/>
          <w:sz w:val="24"/>
          <w:szCs w:val="24"/>
          <w:lang w:val="en-US"/>
        </w:rPr>
        <w:drawing>
          <wp:inline distT="0" distB="0" distL="0" distR="0" wp14:anchorId="37548881" wp14:editId="41058505">
            <wp:extent cx="3571875" cy="18954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2967" w:rsidRPr="00C23B73" w:rsidRDefault="00D32967" w:rsidP="00D32967">
      <w:pPr>
        <w:autoSpaceDE w:val="0"/>
        <w:autoSpaceDN w:val="0"/>
        <w:adjustRightInd w:val="0"/>
        <w:spacing w:line="360" w:lineRule="auto"/>
        <w:jc w:val="center"/>
        <w:rPr>
          <w:rFonts w:ascii="Times New Roman" w:hAnsi="Times New Roman" w:cs="Times New Roman"/>
          <w:sz w:val="20"/>
          <w:szCs w:val="20"/>
        </w:rPr>
      </w:pPr>
      <w:r w:rsidRPr="00C23B73">
        <w:rPr>
          <w:rFonts w:ascii="Times New Roman" w:hAnsi="Times New Roman" w:cs="Times New Roman"/>
          <w:sz w:val="20"/>
          <w:szCs w:val="20"/>
        </w:rPr>
        <w:t xml:space="preserve">Columnas con letras distintas difieren estadísticamente según la prueba de </w:t>
      </w:r>
      <w:proofErr w:type="spellStart"/>
      <w:r w:rsidRPr="00C23B73">
        <w:rPr>
          <w:rFonts w:ascii="Times New Roman" w:hAnsi="Times New Roman" w:cs="Times New Roman"/>
          <w:sz w:val="20"/>
          <w:szCs w:val="20"/>
        </w:rPr>
        <w:t>Tukey</w:t>
      </w:r>
      <w:proofErr w:type="spellEnd"/>
      <w:r w:rsidRPr="00C23B73">
        <w:rPr>
          <w:rFonts w:ascii="Times New Roman" w:hAnsi="Times New Roman" w:cs="Times New Roman"/>
          <w:sz w:val="20"/>
          <w:szCs w:val="20"/>
        </w:rPr>
        <w:t xml:space="preserve"> para p≤0</w:t>
      </w:r>
      <w:r w:rsidR="005A0B52" w:rsidRPr="00C23B73">
        <w:rPr>
          <w:rFonts w:ascii="Times New Roman" w:hAnsi="Times New Roman" w:cs="Times New Roman"/>
          <w:sz w:val="20"/>
          <w:szCs w:val="20"/>
        </w:rPr>
        <w:t>.</w:t>
      </w:r>
      <w:r w:rsidRPr="00C23B73">
        <w:rPr>
          <w:rFonts w:ascii="Times New Roman" w:hAnsi="Times New Roman" w:cs="Times New Roman"/>
          <w:sz w:val="20"/>
          <w:szCs w:val="20"/>
        </w:rPr>
        <w:t>05</w:t>
      </w:r>
    </w:p>
    <w:p w:rsidR="00EB55CB" w:rsidRPr="00354AE6" w:rsidRDefault="00D32967" w:rsidP="00EB55CB">
      <w:pPr>
        <w:jc w:val="both"/>
        <w:rPr>
          <w:rFonts w:ascii="Times New Roman" w:hAnsi="Times New Roman" w:cs="Times New Roman"/>
          <w:sz w:val="24"/>
          <w:szCs w:val="24"/>
        </w:rPr>
      </w:pPr>
      <w:r w:rsidRPr="00354AE6">
        <w:rPr>
          <w:rFonts w:ascii="Times New Roman" w:hAnsi="Times New Roman" w:cs="Times New Roman"/>
          <w:bCs/>
          <w:sz w:val="24"/>
          <w:szCs w:val="24"/>
        </w:rPr>
        <w:t xml:space="preserve">Figura 3. </w:t>
      </w:r>
      <w:r w:rsidR="00EB55CB" w:rsidRPr="00354AE6">
        <w:rPr>
          <w:rFonts w:ascii="Times New Roman" w:hAnsi="Times New Roman" w:cs="Times New Roman"/>
          <w:bCs/>
          <w:sz w:val="24"/>
          <w:szCs w:val="24"/>
        </w:rPr>
        <w:t xml:space="preserve">Porcentaje de </w:t>
      </w:r>
      <w:proofErr w:type="spellStart"/>
      <w:r w:rsidR="00EB55CB" w:rsidRPr="00354AE6">
        <w:rPr>
          <w:rFonts w:ascii="Times New Roman" w:hAnsi="Times New Roman" w:cs="Times New Roman"/>
          <w:bCs/>
          <w:sz w:val="24"/>
          <w:szCs w:val="24"/>
        </w:rPr>
        <w:t>pol</w:t>
      </w:r>
      <w:proofErr w:type="spellEnd"/>
      <w:r w:rsidR="00EB55CB" w:rsidRPr="00354AE6">
        <w:rPr>
          <w:rFonts w:ascii="Times New Roman" w:hAnsi="Times New Roman" w:cs="Times New Roman"/>
          <w:bCs/>
          <w:sz w:val="24"/>
          <w:szCs w:val="24"/>
        </w:rPr>
        <w:t xml:space="preserve"> en caña (PPC) </w:t>
      </w:r>
      <w:r w:rsidR="00EB55CB" w:rsidRPr="00354AE6">
        <w:rPr>
          <w:rFonts w:ascii="Times New Roman" w:hAnsi="Times New Roman" w:cs="Times New Roman"/>
          <w:sz w:val="24"/>
          <w:szCs w:val="24"/>
        </w:rPr>
        <w:t>del cultivar C02-210 de caña de azúcar (</w:t>
      </w:r>
      <w:proofErr w:type="spellStart"/>
      <w:r w:rsidR="00EB55CB" w:rsidRPr="00354AE6">
        <w:rPr>
          <w:rFonts w:ascii="Times New Roman" w:hAnsi="Times New Roman" w:cs="Times New Roman"/>
          <w:i/>
          <w:sz w:val="24"/>
          <w:szCs w:val="24"/>
        </w:rPr>
        <w:t>Saccharum</w:t>
      </w:r>
      <w:proofErr w:type="spellEnd"/>
      <w:r w:rsidR="00EB55CB" w:rsidRPr="00354AE6">
        <w:rPr>
          <w:rFonts w:ascii="Times New Roman" w:hAnsi="Times New Roman" w:cs="Times New Roman"/>
          <w:i/>
          <w:sz w:val="24"/>
          <w:szCs w:val="24"/>
        </w:rPr>
        <w:t xml:space="preserve"> </w:t>
      </w:r>
      <w:proofErr w:type="spellStart"/>
      <w:r w:rsidR="00EB55CB" w:rsidRPr="00354AE6">
        <w:rPr>
          <w:rFonts w:ascii="Times New Roman" w:hAnsi="Times New Roman" w:cs="Times New Roman"/>
          <w:sz w:val="24"/>
          <w:szCs w:val="24"/>
        </w:rPr>
        <w:t>spp</w:t>
      </w:r>
      <w:proofErr w:type="spellEnd"/>
      <w:r w:rsidR="00EB55CB" w:rsidRPr="00354AE6">
        <w:rPr>
          <w:rFonts w:ascii="Times New Roman" w:hAnsi="Times New Roman" w:cs="Times New Roman"/>
          <w:sz w:val="24"/>
          <w:szCs w:val="24"/>
        </w:rPr>
        <w:t xml:space="preserve">.) </w:t>
      </w:r>
      <w:r w:rsidR="00EB55CB" w:rsidRPr="00354AE6">
        <w:rPr>
          <w:rFonts w:ascii="Times New Roman" w:hAnsi="Times New Roman" w:cs="Times New Roman"/>
          <w:bCs/>
          <w:sz w:val="24"/>
          <w:szCs w:val="24"/>
        </w:rPr>
        <w:t xml:space="preserve"> </w:t>
      </w:r>
      <w:r w:rsidR="00EB55CB" w:rsidRPr="00354AE6">
        <w:rPr>
          <w:rFonts w:ascii="Times New Roman" w:hAnsi="Times New Roman" w:cs="Times New Roman"/>
          <w:sz w:val="24"/>
          <w:szCs w:val="24"/>
        </w:rPr>
        <w:t>en la cepa de primavera de ciclo largo (PCL) y primer retoño (RI).</w:t>
      </w:r>
    </w:p>
    <w:p w:rsidR="00D32967" w:rsidRPr="005A0B52" w:rsidRDefault="00D32967" w:rsidP="00BF4353">
      <w:pPr>
        <w:autoSpaceDE w:val="0"/>
        <w:autoSpaceDN w:val="0"/>
        <w:adjustRightInd w:val="0"/>
        <w:spacing w:line="360" w:lineRule="auto"/>
        <w:jc w:val="both"/>
        <w:rPr>
          <w:rFonts w:ascii="Times New Roman" w:hAnsi="Times New Roman" w:cs="Times New Roman"/>
          <w:sz w:val="24"/>
          <w:szCs w:val="24"/>
        </w:rPr>
      </w:pPr>
      <w:r w:rsidRPr="005A0B52">
        <w:rPr>
          <w:rFonts w:ascii="Times New Roman" w:hAnsi="Times New Roman" w:cs="Times New Roman"/>
          <w:sz w:val="24"/>
          <w:szCs w:val="24"/>
        </w:rPr>
        <w:t xml:space="preserve">La dinámica de madurez muestra que el cultivar C02-210 expresa su mayor potencial azucarero de mediados a finales de zafra comprendido entre los meses de febrero a abril </w:t>
      </w:r>
      <w:r w:rsidRPr="005A0B52">
        <w:rPr>
          <w:rFonts w:ascii="Times New Roman" w:hAnsi="Times New Roman" w:cs="Times New Roman"/>
          <w:sz w:val="24"/>
          <w:szCs w:val="24"/>
        </w:rPr>
        <w:lastRenderedPageBreak/>
        <w:t xml:space="preserve">como se aprecia en la figura 4. Lo que posibilitaría realizar su cosecha en el periodo más adecuado debido a las condiciones de alta humedad imperantes en estos suelos en el primer periodo de zafra. </w:t>
      </w:r>
    </w:p>
    <w:p w:rsidR="00D32967" w:rsidRPr="005A0B52" w:rsidRDefault="00D32967" w:rsidP="00D32967">
      <w:pPr>
        <w:spacing w:line="360" w:lineRule="auto"/>
        <w:jc w:val="center"/>
        <w:rPr>
          <w:rFonts w:ascii="Times New Roman" w:hAnsi="Times New Roman" w:cs="Times New Roman"/>
          <w:b/>
          <w:sz w:val="24"/>
          <w:szCs w:val="24"/>
        </w:rPr>
      </w:pPr>
      <w:r w:rsidRPr="005A0B52">
        <w:rPr>
          <w:rFonts w:ascii="Times New Roman" w:hAnsi="Times New Roman" w:cs="Times New Roman"/>
          <w:noProof/>
          <w:sz w:val="24"/>
          <w:szCs w:val="24"/>
          <w:lang w:val="en-US"/>
        </w:rPr>
        <w:drawing>
          <wp:inline distT="0" distB="0" distL="0" distR="0" wp14:anchorId="0BCCE796" wp14:editId="4EDD2601">
            <wp:extent cx="4038600" cy="23241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2967" w:rsidRPr="00354AE6" w:rsidRDefault="00D32967" w:rsidP="000B5F6C">
      <w:pPr>
        <w:autoSpaceDE w:val="0"/>
        <w:autoSpaceDN w:val="0"/>
        <w:adjustRightInd w:val="0"/>
        <w:spacing w:line="360" w:lineRule="auto"/>
        <w:jc w:val="center"/>
        <w:rPr>
          <w:rFonts w:ascii="Times New Roman" w:hAnsi="Times New Roman" w:cs="Times New Roman"/>
          <w:b/>
          <w:color w:val="FF0000"/>
          <w:sz w:val="24"/>
          <w:szCs w:val="24"/>
        </w:rPr>
      </w:pPr>
      <w:r w:rsidRPr="00354AE6">
        <w:rPr>
          <w:rFonts w:ascii="Times New Roman" w:hAnsi="Times New Roman" w:cs="Times New Roman"/>
          <w:sz w:val="24"/>
          <w:szCs w:val="24"/>
        </w:rPr>
        <w:t>Figura 4. Dinámica de maduración del cultivar C02-210.</w:t>
      </w:r>
    </w:p>
    <w:p w:rsidR="00D32967" w:rsidRPr="005A0B52" w:rsidRDefault="00D32967" w:rsidP="00BF4353">
      <w:pPr>
        <w:spacing w:line="360" w:lineRule="auto"/>
        <w:jc w:val="both"/>
        <w:rPr>
          <w:rFonts w:ascii="Times New Roman" w:hAnsi="Times New Roman" w:cs="Times New Roman"/>
          <w:color w:val="FF0000"/>
          <w:sz w:val="24"/>
          <w:szCs w:val="24"/>
        </w:rPr>
      </w:pPr>
      <w:r w:rsidRPr="005A0B52">
        <w:rPr>
          <w:rFonts w:ascii="Times New Roman" w:hAnsi="Times New Roman" w:cs="Times New Roman"/>
          <w:sz w:val="24"/>
          <w:szCs w:val="24"/>
        </w:rPr>
        <w:t xml:space="preserve"> La respuesta del cultivar C02-210 ante las principales enfermedades estudiadas resulto resistente a todas ellas a diferencia de los cultivares utilizados como testigo. Esto contribuye de forma positiva a tener una mejor </w:t>
      </w:r>
      <w:proofErr w:type="spellStart"/>
      <w:r w:rsidRPr="005A0B52">
        <w:rPr>
          <w:rFonts w:ascii="Times New Roman" w:hAnsi="Times New Roman" w:cs="Times New Roman"/>
          <w:sz w:val="24"/>
          <w:szCs w:val="24"/>
        </w:rPr>
        <w:t>fitosanidad</w:t>
      </w:r>
      <w:proofErr w:type="spellEnd"/>
      <w:r w:rsidRPr="005A0B52">
        <w:rPr>
          <w:rFonts w:ascii="Times New Roman" w:hAnsi="Times New Roman" w:cs="Times New Roman"/>
          <w:sz w:val="24"/>
          <w:szCs w:val="24"/>
        </w:rPr>
        <w:t xml:space="preserve"> del cultivo como se aprecia en la tabla 2. </w:t>
      </w:r>
    </w:p>
    <w:p w:rsidR="00D32967" w:rsidRPr="00354AE6" w:rsidRDefault="00D32967" w:rsidP="00D32967">
      <w:pPr>
        <w:autoSpaceDE w:val="0"/>
        <w:autoSpaceDN w:val="0"/>
        <w:adjustRightInd w:val="0"/>
        <w:spacing w:line="360" w:lineRule="auto"/>
        <w:rPr>
          <w:rFonts w:ascii="Times New Roman" w:hAnsi="Times New Roman" w:cs="Times New Roman"/>
          <w:b/>
          <w:color w:val="FF0000"/>
          <w:sz w:val="24"/>
          <w:szCs w:val="24"/>
        </w:rPr>
      </w:pPr>
      <w:r w:rsidRPr="00354AE6">
        <w:rPr>
          <w:rFonts w:ascii="Times New Roman" w:hAnsi="Times New Roman" w:cs="Times New Roman"/>
          <w:sz w:val="24"/>
          <w:szCs w:val="24"/>
        </w:rPr>
        <w:t>Tabla 2. Respuesta del cultivar C02-2010 ante la principales enfermedades que afectan al cultivo de la caña de azúcar (</w:t>
      </w:r>
      <w:proofErr w:type="spellStart"/>
      <w:r w:rsidRPr="00354AE6">
        <w:rPr>
          <w:rFonts w:ascii="Times New Roman" w:hAnsi="Times New Roman" w:cs="Times New Roman"/>
          <w:i/>
          <w:sz w:val="24"/>
          <w:szCs w:val="24"/>
        </w:rPr>
        <w:t>Saccharum</w:t>
      </w:r>
      <w:proofErr w:type="spellEnd"/>
      <w:r w:rsidRPr="00354AE6">
        <w:rPr>
          <w:rFonts w:ascii="Times New Roman" w:hAnsi="Times New Roman" w:cs="Times New Roman"/>
          <w:sz w:val="24"/>
          <w:szCs w:val="24"/>
        </w:rPr>
        <w:t xml:space="preserve"> </w:t>
      </w:r>
      <w:proofErr w:type="spellStart"/>
      <w:r w:rsidRPr="00354AE6">
        <w:rPr>
          <w:rFonts w:ascii="Times New Roman" w:hAnsi="Times New Roman" w:cs="Times New Roman"/>
          <w:sz w:val="24"/>
          <w:szCs w:val="24"/>
        </w:rPr>
        <w:t>spp</w:t>
      </w:r>
      <w:proofErr w:type="spellEnd"/>
      <w:r w:rsidRPr="00354AE6">
        <w:rPr>
          <w:rFonts w:ascii="Times New Roman" w:hAnsi="Times New Roman" w:cs="Times New Roman"/>
          <w:sz w:val="24"/>
          <w:szCs w:val="24"/>
        </w:rPr>
        <w:t>).</w:t>
      </w:r>
      <w:r w:rsidRPr="00354AE6">
        <w:rPr>
          <w:rFonts w:ascii="Times New Roman" w:hAnsi="Times New Roman" w:cs="Times New Roman"/>
          <w:b/>
          <w:sz w:val="24"/>
          <w:szCs w:val="24"/>
        </w:rPr>
        <w:t xml:space="preserve"> </w:t>
      </w:r>
    </w:p>
    <w:tbl>
      <w:tblPr>
        <w:tblStyle w:val="Tablaconcuadrcula"/>
        <w:tblW w:w="8359" w:type="dxa"/>
        <w:jc w:val="center"/>
        <w:tblLook w:val="04A0" w:firstRow="1" w:lastRow="0" w:firstColumn="1" w:lastColumn="0" w:noHBand="0" w:noVBand="1"/>
      </w:tblPr>
      <w:tblGrid>
        <w:gridCol w:w="3114"/>
        <w:gridCol w:w="1134"/>
        <w:gridCol w:w="1134"/>
        <w:gridCol w:w="1417"/>
        <w:gridCol w:w="1560"/>
      </w:tblGrid>
      <w:tr w:rsidR="00D32967" w:rsidRPr="005A0B52" w:rsidTr="00FF3B75">
        <w:trPr>
          <w:jc w:val="center"/>
        </w:trPr>
        <w:tc>
          <w:tcPr>
            <w:tcW w:w="3114" w:type="dxa"/>
            <w:vAlign w:val="center"/>
          </w:tcPr>
          <w:p w:rsidR="00D32967" w:rsidRPr="005A0B52" w:rsidRDefault="00D32967" w:rsidP="00FF3B75">
            <w:pPr>
              <w:autoSpaceDE w:val="0"/>
              <w:autoSpaceDN w:val="0"/>
              <w:adjustRightInd w:val="0"/>
              <w:spacing w:line="360" w:lineRule="auto"/>
              <w:jc w:val="center"/>
              <w:rPr>
                <w:b/>
                <w:sz w:val="24"/>
                <w:szCs w:val="24"/>
              </w:rPr>
            </w:pPr>
            <w:r w:rsidRPr="005A0B52">
              <w:rPr>
                <w:b/>
                <w:sz w:val="24"/>
                <w:szCs w:val="24"/>
              </w:rPr>
              <w:t>Enfermedades</w:t>
            </w:r>
          </w:p>
        </w:tc>
        <w:tc>
          <w:tcPr>
            <w:tcW w:w="1134" w:type="dxa"/>
            <w:vAlign w:val="center"/>
          </w:tcPr>
          <w:p w:rsidR="00D32967" w:rsidRPr="005A0B52" w:rsidRDefault="00D32967" w:rsidP="00FF3B75">
            <w:pPr>
              <w:autoSpaceDE w:val="0"/>
              <w:autoSpaceDN w:val="0"/>
              <w:adjustRightInd w:val="0"/>
              <w:spacing w:line="360" w:lineRule="auto"/>
              <w:jc w:val="center"/>
              <w:rPr>
                <w:b/>
                <w:sz w:val="24"/>
                <w:szCs w:val="24"/>
              </w:rPr>
            </w:pPr>
            <w:r w:rsidRPr="005A0B52">
              <w:rPr>
                <w:b/>
                <w:sz w:val="24"/>
                <w:szCs w:val="24"/>
              </w:rPr>
              <w:t>C02-210</w:t>
            </w:r>
          </w:p>
        </w:tc>
        <w:tc>
          <w:tcPr>
            <w:tcW w:w="1134" w:type="dxa"/>
            <w:vAlign w:val="center"/>
          </w:tcPr>
          <w:p w:rsidR="00D32967" w:rsidRPr="005A0B52" w:rsidRDefault="00D32967" w:rsidP="00FF3B75">
            <w:pPr>
              <w:autoSpaceDE w:val="0"/>
              <w:autoSpaceDN w:val="0"/>
              <w:adjustRightInd w:val="0"/>
              <w:spacing w:line="360" w:lineRule="auto"/>
              <w:jc w:val="center"/>
              <w:rPr>
                <w:b/>
                <w:sz w:val="24"/>
                <w:szCs w:val="24"/>
              </w:rPr>
            </w:pPr>
            <w:r w:rsidRPr="005A0B52">
              <w:rPr>
                <w:b/>
                <w:sz w:val="24"/>
                <w:szCs w:val="24"/>
              </w:rPr>
              <w:t>C86-12</w:t>
            </w:r>
          </w:p>
        </w:tc>
        <w:tc>
          <w:tcPr>
            <w:tcW w:w="1417" w:type="dxa"/>
            <w:vAlign w:val="center"/>
          </w:tcPr>
          <w:p w:rsidR="00D32967" w:rsidRPr="005A0B52" w:rsidRDefault="00D32967" w:rsidP="00FF3B75">
            <w:pPr>
              <w:autoSpaceDE w:val="0"/>
              <w:autoSpaceDN w:val="0"/>
              <w:adjustRightInd w:val="0"/>
              <w:spacing w:line="360" w:lineRule="auto"/>
              <w:jc w:val="center"/>
              <w:rPr>
                <w:b/>
                <w:sz w:val="24"/>
                <w:szCs w:val="24"/>
              </w:rPr>
            </w:pPr>
            <w:r w:rsidRPr="005A0B52">
              <w:rPr>
                <w:b/>
                <w:sz w:val="24"/>
                <w:szCs w:val="24"/>
              </w:rPr>
              <w:t>SP70-1284</w:t>
            </w:r>
          </w:p>
        </w:tc>
        <w:tc>
          <w:tcPr>
            <w:tcW w:w="1560" w:type="dxa"/>
            <w:vAlign w:val="center"/>
          </w:tcPr>
          <w:p w:rsidR="00D32967" w:rsidRPr="005A0B52" w:rsidRDefault="00D32967" w:rsidP="00FF3B75">
            <w:pPr>
              <w:autoSpaceDE w:val="0"/>
              <w:autoSpaceDN w:val="0"/>
              <w:adjustRightInd w:val="0"/>
              <w:spacing w:line="360" w:lineRule="auto"/>
              <w:jc w:val="center"/>
              <w:rPr>
                <w:b/>
                <w:sz w:val="24"/>
                <w:szCs w:val="24"/>
              </w:rPr>
            </w:pPr>
            <w:r w:rsidRPr="005A0B52">
              <w:rPr>
                <w:b/>
                <w:sz w:val="24"/>
                <w:szCs w:val="24"/>
              </w:rPr>
              <w:t>C323-68</w:t>
            </w:r>
          </w:p>
        </w:tc>
      </w:tr>
      <w:tr w:rsidR="00D32967" w:rsidRPr="005A0B52" w:rsidTr="00FF3B75">
        <w:trPr>
          <w:jc w:val="center"/>
        </w:trPr>
        <w:tc>
          <w:tcPr>
            <w:tcW w:w="3114" w:type="dxa"/>
            <w:vAlign w:val="center"/>
          </w:tcPr>
          <w:p w:rsidR="00D32967" w:rsidRPr="005A0B52" w:rsidRDefault="00D32967" w:rsidP="00FF3B75">
            <w:pPr>
              <w:autoSpaceDE w:val="0"/>
              <w:autoSpaceDN w:val="0"/>
              <w:adjustRightInd w:val="0"/>
              <w:spacing w:line="360" w:lineRule="auto"/>
              <w:rPr>
                <w:sz w:val="24"/>
                <w:szCs w:val="24"/>
              </w:rPr>
            </w:pPr>
            <w:r w:rsidRPr="005A0B52">
              <w:rPr>
                <w:sz w:val="24"/>
                <w:szCs w:val="24"/>
              </w:rPr>
              <w:t>VMCA</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MR</w:t>
            </w:r>
            <w:r w:rsidRPr="005A0B52">
              <w:rPr>
                <w:color w:val="FF0000"/>
                <w:sz w:val="24"/>
                <w:szCs w:val="24"/>
              </w:rPr>
              <w:t>.</w:t>
            </w:r>
          </w:p>
        </w:tc>
        <w:tc>
          <w:tcPr>
            <w:tcW w:w="1417"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560"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r>
      <w:tr w:rsidR="00D32967" w:rsidRPr="005A0B52" w:rsidTr="00FF3B75">
        <w:trPr>
          <w:jc w:val="center"/>
        </w:trPr>
        <w:tc>
          <w:tcPr>
            <w:tcW w:w="3114" w:type="dxa"/>
            <w:vAlign w:val="center"/>
          </w:tcPr>
          <w:p w:rsidR="00D32967" w:rsidRPr="005A0B52" w:rsidRDefault="00D32967" w:rsidP="00FF3B75">
            <w:pPr>
              <w:autoSpaceDE w:val="0"/>
              <w:autoSpaceDN w:val="0"/>
              <w:adjustRightInd w:val="0"/>
              <w:spacing w:line="360" w:lineRule="auto"/>
              <w:rPr>
                <w:sz w:val="24"/>
                <w:szCs w:val="24"/>
              </w:rPr>
            </w:pPr>
            <w:r w:rsidRPr="005A0B52">
              <w:rPr>
                <w:sz w:val="24"/>
                <w:szCs w:val="24"/>
              </w:rPr>
              <w:t>Roya parda</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417"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S</w:t>
            </w:r>
          </w:p>
        </w:tc>
        <w:tc>
          <w:tcPr>
            <w:tcW w:w="1560"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AS</w:t>
            </w:r>
          </w:p>
        </w:tc>
      </w:tr>
      <w:tr w:rsidR="00D32967" w:rsidRPr="005A0B52" w:rsidTr="00FF3B75">
        <w:trPr>
          <w:jc w:val="center"/>
        </w:trPr>
        <w:tc>
          <w:tcPr>
            <w:tcW w:w="3114" w:type="dxa"/>
            <w:vAlign w:val="center"/>
          </w:tcPr>
          <w:p w:rsidR="00D32967" w:rsidRPr="005A0B52" w:rsidRDefault="00D32967" w:rsidP="00FF3B75">
            <w:pPr>
              <w:autoSpaceDE w:val="0"/>
              <w:autoSpaceDN w:val="0"/>
              <w:adjustRightInd w:val="0"/>
              <w:spacing w:line="360" w:lineRule="auto"/>
              <w:rPr>
                <w:sz w:val="24"/>
                <w:szCs w:val="24"/>
              </w:rPr>
            </w:pPr>
            <w:r w:rsidRPr="005A0B52">
              <w:rPr>
                <w:sz w:val="24"/>
                <w:szCs w:val="24"/>
              </w:rPr>
              <w:t>Carbón de la caña de azúcar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MR</w:t>
            </w:r>
          </w:p>
        </w:tc>
        <w:tc>
          <w:tcPr>
            <w:tcW w:w="1417"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MR</w:t>
            </w:r>
          </w:p>
        </w:tc>
        <w:tc>
          <w:tcPr>
            <w:tcW w:w="1560"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S</w:t>
            </w:r>
          </w:p>
        </w:tc>
      </w:tr>
      <w:tr w:rsidR="00D32967" w:rsidRPr="005A0B52" w:rsidTr="00FF3B75">
        <w:trPr>
          <w:jc w:val="center"/>
        </w:trPr>
        <w:tc>
          <w:tcPr>
            <w:tcW w:w="3114" w:type="dxa"/>
            <w:vAlign w:val="center"/>
          </w:tcPr>
          <w:p w:rsidR="00D32967" w:rsidRPr="005A0B52" w:rsidRDefault="00D32967" w:rsidP="00FF3B75">
            <w:pPr>
              <w:autoSpaceDE w:val="0"/>
              <w:autoSpaceDN w:val="0"/>
              <w:adjustRightInd w:val="0"/>
              <w:spacing w:line="360" w:lineRule="auto"/>
              <w:rPr>
                <w:sz w:val="24"/>
                <w:szCs w:val="24"/>
              </w:rPr>
            </w:pPr>
            <w:r w:rsidRPr="005A0B52">
              <w:rPr>
                <w:sz w:val="24"/>
                <w:szCs w:val="24"/>
              </w:rPr>
              <w:t>Escaldadura foliar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R</w:t>
            </w:r>
          </w:p>
        </w:tc>
        <w:tc>
          <w:tcPr>
            <w:tcW w:w="1134"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MR</w:t>
            </w:r>
            <w:r w:rsidRPr="005A0B52">
              <w:rPr>
                <w:color w:val="FF0000"/>
                <w:sz w:val="24"/>
                <w:szCs w:val="24"/>
              </w:rPr>
              <w:t>.</w:t>
            </w:r>
          </w:p>
        </w:tc>
        <w:tc>
          <w:tcPr>
            <w:tcW w:w="1417"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AS</w:t>
            </w:r>
          </w:p>
        </w:tc>
        <w:tc>
          <w:tcPr>
            <w:tcW w:w="1560" w:type="dxa"/>
            <w:vAlign w:val="center"/>
          </w:tcPr>
          <w:p w:rsidR="00D32967" w:rsidRPr="005A0B52" w:rsidRDefault="00D32967" w:rsidP="00FF3B75">
            <w:pPr>
              <w:autoSpaceDE w:val="0"/>
              <w:autoSpaceDN w:val="0"/>
              <w:adjustRightInd w:val="0"/>
              <w:spacing w:line="360" w:lineRule="auto"/>
              <w:jc w:val="center"/>
              <w:rPr>
                <w:sz w:val="24"/>
                <w:szCs w:val="24"/>
              </w:rPr>
            </w:pPr>
            <w:r w:rsidRPr="005A0B52">
              <w:rPr>
                <w:sz w:val="24"/>
                <w:szCs w:val="24"/>
              </w:rPr>
              <w:t>S</w:t>
            </w:r>
          </w:p>
        </w:tc>
      </w:tr>
    </w:tbl>
    <w:p w:rsidR="00D32967" w:rsidRDefault="00D32967" w:rsidP="000B5F6C">
      <w:pPr>
        <w:autoSpaceDE w:val="0"/>
        <w:autoSpaceDN w:val="0"/>
        <w:adjustRightInd w:val="0"/>
        <w:spacing w:line="360" w:lineRule="auto"/>
        <w:ind w:left="992" w:hanging="992"/>
        <w:jc w:val="both"/>
        <w:rPr>
          <w:rFonts w:ascii="Times New Roman" w:hAnsi="Times New Roman" w:cs="Times New Roman"/>
          <w:color w:val="FF0000"/>
          <w:sz w:val="20"/>
          <w:szCs w:val="20"/>
        </w:rPr>
      </w:pPr>
      <w:r w:rsidRPr="00C23B73">
        <w:rPr>
          <w:rFonts w:ascii="Times New Roman" w:hAnsi="Times New Roman" w:cs="Times New Roman"/>
          <w:sz w:val="20"/>
          <w:szCs w:val="20"/>
        </w:rPr>
        <w:t>Leyenda:</w:t>
      </w:r>
      <w:r w:rsidR="00421041" w:rsidRPr="00C23B73">
        <w:rPr>
          <w:rFonts w:ascii="Times New Roman" w:hAnsi="Times New Roman" w:cs="Times New Roman"/>
          <w:sz w:val="20"/>
          <w:szCs w:val="20"/>
        </w:rPr>
        <w:t xml:space="preserve"> </w:t>
      </w:r>
      <w:r w:rsidRPr="00C23B73">
        <w:rPr>
          <w:rFonts w:ascii="Times New Roman" w:hAnsi="Times New Roman" w:cs="Times New Roman"/>
          <w:sz w:val="20"/>
          <w:szCs w:val="20"/>
        </w:rPr>
        <w:t>AS: altamente susceptible; S: susceptible</w:t>
      </w:r>
      <w:r w:rsidR="00C23B73">
        <w:rPr>
          <w:rFonts w:ascii="Times New Roman" w:hAnsi="Times New Roman" w:cs="Times New Roman"/>
          <w:sz w:val="20"/>
          <w:szCs w:val="20"/>
        </w:rPr>
        <w:t>; MR: moderadamente resistente;</w:t>
      </w:r>
      <w:r w:rsidRPr="00C23B73">
        <w:rPr>
          <w:rFonts w:ascii="Times New Roman" w:hAnsi="Times New Roman" w:cs="Times New Roman"/>
          <w:sz w:val="20"/>
          <w:szCs w:val="20"/>
        </w:rPr>
        <w:t xml:space="preserve"> R: resistente</w:t>
      </w:r>
      <w:r w:rsidRPr="00C23B73">
        <w:rPr>
          <w:rFonts w:ascii="Times New Roman" w:hAnsi="Times New Roman" w:cs="Times New Roman"/>
          <w:color w:val="FF0000"/>
          <w:sz w:val="20"/>
          <w:szCs w:val="20"/>
        </w:rPr>
        <w:t>.</w:t>
      </w:r>
    </w:p>
    <w:p w:rsidR="00C23B73" w:rsidRDefault="00C23B73" w:rsidP="000B5F6C">
      <w:pPr>
        <w:autoSpaceDE w:val="0"/>
        <w:autoSpaceDN w:val="0"/>
        <w:adjustRightInd w:val="0"/>
        <w:spacing w:line="360" w:lineRule="auto"/>
        <w:ind w:left="992" w:hanging="992"/>
        <w:jc w:val="both"/>
        <w:rPr>
          <w:rFonts w:ascii="Times New Roman" w:hAnsi="Times New Roman" w:cs="Times New Roman"/>
          <w:color w:val="FF0000"/>
          <w:sz w:val="20"/>
          <w:szCs w:val="20"/>
        </w:rPr>
      </w:pPr>
    </w:p>
    <w:p w:rsidR="00FF3346" w:rsidRPr="005A0B52" w:rsidRDefault="00FF3346" w:rsidP="00FF3346">
      <w:pPr>
        <w:spacing w:after="0" w:line="360" w:lineRule="auto"/>
        <w:jc w:val="both"/>
        <w:rPr>
          <w:rFonts w:ascii="Times New Roman" w:hAnsi="Times New Roman" w:cs="Times New Roman"/>
          <w:b/>
          <w:sz w:val="24"/>
          <w:szCs w:val="24"/>
        </w:rPr>
      </w:pPr>
      <w:r w:rsidRPr="005A0B52">
        <w:rPr>
          <w:rFonts w:ascii="Times New Roman" w:hAnsi="Times New Roman" w:cs="Times New Roman"/>
          <w:b/>
          <w:sz w:val="24"/>
          <w:szCs w:val="24"/>
        </w:rPr>
        <w:lastRenderedPageBreak/>
        <w:t>4. Conclusiones</w:t>
      </w:r>
    </w:p>
    <w:p w:rsidR="00E43023" w:rsidRPr="005A0B52" w:rsidRDefault="00E43023" w:rsidP="00BF4353">
      <w:pPr>
        <w:numPr>
          <w:ilvl w:val="0"/>
          <w:numId w:val="4"/>
        </w:numPr>
        <w:spacing w:after="0" w:line="360" w:lineRule="auto"/>
        <w:ind w:left="714" w:hanging="357"/>
        <w:jc w:val="both"/>
        <w:rPr>
          <w:rFonts w:ascii="Times New Roman" w:hAnsi="Times New Roman" w:cs="Times New Roman"/>
          <w:sz w:val="24"/>
          <w:szCs w:val="24"/>
        </w:rPr>
      </w:pPr>
      <w:r w:rsidRPr="005A0B52">
        <w:rPr>
          <w:rFonts w:ascii="Times New Roman" w:hAnsi="Times New Roman" w:cs="Times New Roman"/>
          <w:sz w:val="24"/>
          <w:szCs w:val="24"/>
        </w:rPr>
        <w:t>El cultivar C02-210 presenta buena adaptabilidad a las condiciones de suelo de alta hidromorfía. La cosecha se debe realizar desde el segundo periodo de zafra hasta finales de la misma.</w:t>
      </w:r>
    </w:p>
    <w:p w:rsidR="00E43023" w:rsidRPr="005A0B52" w:rsidRDefault="00E43023" w:rsidP="00E43023">
      <w:pPr>
        <w:numPr>
          <w:ilvl w:val="0"/>
          <w:numId w:val="4"/>
        </w:numPr>
        <w:spacing w:after="0" w:line="360" w:lineRule="auto"/>
        <w:ind w:left="714" w:hanging="357"/>
        <w:jc w:val="both"/>
        <w:rPr>
          <w:rFonts w:ascii="Times New Roman" w:hAnsi="Times New Roman" w:cs="Times New Roman"/>
          <w:sz w:val="24"/>
          <w:szCs w:val="24"/>
        </w:rPr>
      </w:pPr>
      <w:r w:rsidRPr="005A0B52">
        <w:rPr>
          <w:rFonts w:ascii="Times New Roman" w:hAnsi="Times New Roman" w:cs="Times New Roman"/>
          <w:sz w:val="24"/>
          <w:szCs w:val="24"/>
        </w:rPr>
        <w:t xml:space="preserve">La respuesta del cultivar C02-210 ante las principales enfermedades que afectan al cultivo en el país es de resistente. </w:t>
      </w:r>
    </w:p>
    <w:p w:rsidR="00FF3346" w:rsidRPr="005A0B52" w:rsidRDefault="00FF3346" w:rsidP="00FF3346">
      <w:pPr>
        <w:spacing w:after="0" w:line="360" w:lineRule="auto"/>
        <w:jc w:val="both"/>
        <w:rPr>
          <w:rFonts w:ascii="Times New Roman" w:hAnsi="Times New Roman" w:cs="Times New Roman"/>
          <w:b/>
          <w:sz w:val="24"/>
          <w:szCs w:val="24"/>
        </w:rPr>
      </w:pPr>
      <w:r w:rsidRPr="005A0B52">
        <w:rPr>
          <w:rFonts w:ascii="Times New Roman" w:hAnsi="Times New Roman" w:cs="Times New Roman"/>
          <w:b/>
          <w:sz w:val="24"/>
          <w:szCs w:val="24"/>
        </w:rPr>
        <w:t>5. Referencias bibliográficas</w:t>
      </w:r>
    </w:p>
    <w:p w:rsidR="00E43023" w:rsidRPr="005A0B52" w:rsidRDefault="00E43023" w:rsidP="00E43023">
      <w:pPr>
        <w:numPr>
          <w:ilvl w:val="0"/>
          <w:numId w:val="5"/>
        </w:numPr>
        <w:spacing w:after="0" w:line="360" w:lineRule="auto"/>
        <w:ind w:left="646"/>
        <w:jc w:val="both"/>
        <w:rPr>
          <w:rFonts w:ascii="Times New Roman" w:hAnsi="Times New Roman" w:cs="Times New Roman"/>
          <w:sz w:val="24"/>
          <w:szCs w:val="24"/>
          <w:lang w:val="en-US" w:eastAsia="es-VE"/>
        </w:rPr>
      </w:pPr>
      <w:proofErr w:type="spellStart"/>
      <w:r w:rsidRPr="005A0B52">
        <w:rPr>
          <w:rFonts w:ascii="Times New Roman" w:hAnsi="Times New Roman" w:cs="Times New Roman"/>
          <w:bCs/>
          <w:sz w:val="24"/>
          <w:szCs w:val="24"/>
          <w:lang w:val="en-US" w:eastAsia="es-VE"/>
        </w:rPr>
        <w:t>Arruda</w:t>
      </w:r>
      <w:proofErr w:type="spellEnd"/>
      <w:r w:rsidRPr="005A0B52">
        <w:rPr>
          <w:rFonts w:ascii="Times New Roman" w:hAnsi="Times New Roman" w:cs="Times New Roman"/>
          <w:bCs/>
          <w:sz w:val="24"/>
          <w:szCs w:val="24"/>
          <w:lang w:val="en-US" w:eastAsia="es-VE"/>
        </w:rPr>
        <w:t xml:space="preserve"> P. “</w:t>
      </w:r>
      <w:r w:rsidRPr="005A0B52">
        <w:rPr>
          <w:rFonts w:ascii="Times New Roman" w:hAnsi="Times New Roman" w:cs="Times New Roman"/>
          <w:sz w:val="24"/>
          <w:szCs w:val="24"/>
          <w:lang w:val="en-US" w:eastAsia="es-VE"/>
        </w:rPr>
        <w:t xml:space="preserve">Perspective of the sugarcane industry in Brazil”. </w:t>
      </w:r>
      <w:r w:rsidRPr="005A0B52">
        <w:rPr>
          <w:rFonts w:ascii="Times New Roman" w:hAnsi="Times New Roman" w:cs="Times New Roman"/>
          <w:i/>
          <w:sz w:val="24"/>
          <w:szCs w:val="24"/>
          <w:lang w:val="en-US" w:eastAsia="es-VE"/>
        </w:rPr>
        <w:t>Tropical plant biology</w:t>
      </w:r>
      <w:r w:rsidRPr="005A0B52">
        <w:rPr>
          <w:rFonts w:ascii="Times New Roman" w:hAnsi="Times New Roman" w:cs="Times New Roman"/>
          <w:sz w:val="24"/>
          <w:szCs w:val="24"/>
          <w:lang w:val="en-US" w:eastAsia="es-VE"/>
        </w:rPr>
        <w:t>, 4: 3–8, 2011.</w:t>
      </w:r>
    </w:p>
    <w:p w:rsidR="00E43023" w:rsidRPr="005A0B52" w:rsidRDefault="00E43023" w:rsidP="00E43023">
      <w:pPr>
        <w:pStyle w:val="Textoindependiente"/>
        <w:numPr>
          <w:ilvl w:val="0"/>
          <w:numId w:val="5"/>
        </w:num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646"/>
        <w:rPr>
          <w:rFonts w:ascii="Times New Roman" w:hAnsi="Times New Roman" w:cs="Times New Roman"/>
          <w:sz w:val="24"/>
          <w:szCs w:val="24"/>
        </w:rPr>
      </w:pPr>
      <w:r w:rsidRPr="005A0B52">
        <w:rPr>
          <w:rFonts w:ascii="Times New Roman" w:hAnsi="Times New Roman" w:cs="Times New Roman"/>
          <w:sz w:val="24"/>
          <w:szCs w:val="24"/>
        </w:rPr>
        <w:t xml:space="preserve">Betancourt Y., Cairo P., Gutiérrez A. y García I. “Las propiedades físicas del suelo para definir la zona de aplicación del laboreo localizado en los suelos arcillosos pesados del norte de Villa Clara. Revista Ciencias Técnicas Agropecuarias, ISSN-1010-2760, RNPS-0111 Vol. 19(1): </w:t>
      </w:r>
      <w:proofErr w:type="spellStart"/>
      <w:r w:rsidRPr="005A0B52">
        <w:rPr>
          <w:rFonts w:ascii="Times New Roman" w:hAnsi="Times New Roman" w:cs="Times New Roman"/>
          <w:sz w:val="24"/>
          <w:szCs w:val="24"/>
        </w:rPr>
        <w:t>pp</w:t>
      </w:r>
      <w:proofErr w:type="spellEnd"/>
      <w:r w:rsidRPr="005A0B52">
        <w:rPr>
          <w:rFonts w:ascii="Times New Roman" w:hAnsi="Times New Roman" w:cs="Times New Roman"/>
          <w:sz w:val="24"/>
          <w:szCs w:val="24"/>
        </w:rPr>
        <w:t xml:space="preserve"> 7-10, 2010.</w:t>
      </w:r>
    </w:p>
    <w:p w:rsidR="00E43023" w:rsidRPr="005A0B52" w:rsidRDefault="00E43023" w:rsidP="00E43023">
      <w:pPr>
        <w:numPr>
          <w:ilvl w:val="0"/>
          <w:numId w:val="5"/>
        </w:numPr>
        <w:autoSpaceDE w:val="0"/>
        <w:autoSpaceDN w:val="0"/>
        <w:adjustRightInd w:val="0"/>
        <w:spacing w:after="0" w:line="360" w:lineRule="auto"/>
        <w:ind w:left="646"/>
        <w:jc w:val="both"/>
        <w:rPr>
          <w:rFonts w:ascii="Times New Roman" w:hAnsi="Times New Roman" w:cs="Times New Roman"/>
          <w:sz w:val="24"/>
          <w:szCs w:val="24"/>
        </w:rPr>
      </w:pPr>
      <w:r w:rsidRPr="005A0B52">
        <w:rPr>
          <w:rFonts w:ascii="Times New Roman" w:hAnsi="Times New Roman" w:cs="Times New Roman"/>
          <w:sz w:val="24"/>
          <w:szCs w:val="24"/>
        </w:rPr>
        <w:t>Cairo</w:t>
      </w:r>
      <w:r w:rsidRPr="005A0B52">
        <w:rPr>
          <w:rFonts w:ascii="Times New Roman" w:hAnsi="Times New Roman" w:cs="Times New Roman"/>
          <w:color w:val="0070C0"/>
          <w:sz w:val="24"/>
          <w:szCs w:val="24"/>
        </w:rPr>
        <w:t xml:space="preserve"> </w:t>
      </w:r>
      <w:r w:rsidRPr="005A0B52">
        <w:rPr>
          <w:rFonts w:ascii="Times New Roman" w:hAnsi="Times New Roman" w:cs="Times New Roman"/>
          <w:sz w:val="24"/>
          <w:szCs w:val="24"/>
        </w:rPr>
        <w:t xml:space="preserve">P. y  </w:t>
      </w:r>
      <w:proofErr w:type="spellStart"/>
      <w:r w:rsidRPr="005A0B52">
        <w:rPr>
          <w:rFonts w:ascii="Times New Roman" w:hAnsi="Times New Roman" w:cs="Times New Roman"/>
          <w:sz w:val="24"/>
          <w:szCs w:val="24"/>
        </w:rPr>
        <w:t>Fundora</w:t>
      </w:r>
      <w:proofErr w:type="spellEnd"/>
      <w:r w:rsidRPr="005A0B52">
        <w:rPr>
          <w:rFonts w:ascii="Times New Roman" w:hAnsi="Times New Roman" w:cs="Times New Roman"/>
          <w:sz w:val="24"/>
          <w:szCs w:val="24"/>
        </w:rPr>
        <w:t xml:space="preserve">, O. </w:t>
      </w:r>
      <w:r w:rsidRPr="005A0B52">
        <w:rPr>
          <w:rFonts w:ascii="Times New Roman" w:hAnsi="Times New Roman" w:cs="Times New Roman"/>
          <w:i/>
          <w:sz w:val="24"/>
          <w:szCs w:val="24"/>
        </w:rPr>
        <w:t>Edafología.</w:t>
      </w:r>
      <w:r w:rsidRPr="005A0B52">
        <w:rPr>
          <w:rFonts w:ascii="Times New Roman" w:hAnsi="Times New Roman" w:cs="Times New Roman"/>
          <w:sz w:val="24"/>
          <w:szCs w:val="24"/>
        </w:rPr>
        <w:t xml:space="preserve"> Primera Parte, 265 pp., Cuarta edición, Editorial Félix Varela, Cuba, 2007.</w:t>
      </w:r>
    </w:p>
    <w:p w:rsidR="00E43023" w:rsidRPr="005A0B52" w:rsidRDefault="00E43023" w:rsidP="00E43023">
      <w:pPr>
        <w:pStyle w:val="Prrafodelista"/>
        <w:numPr>
          <w:ilvl w:val="0"/>
          <w:numId w:val="5"/>
        </w:numPr>
        <w:tabs>
          <w:tab w:val="left" w:pos="720"/>
          <w:tab w:val="left" w:pos="1134"/>
        </w:tabs>
        <w:suppressAutoHyphens/>
        <w:spacing w:after="0" w:line="360" w:lineRule="auto"/>
        <w:ind w:left="646"/>
        <w:jc w:val="both"/>
        <w:rPr>
          <w:rFonts w:ascii="Times New Roman" w:hAnsi="Times New Roman" w:cs="Times New Roman"/>
          <w:spacing w:val="-3"/>
          <w:sz w:val="24"/>
          <w:szCs w:val="24"/>
        </w:rPr>
      </w:pPr>
      <w:r w:rsidRPr="005A0B52">
        <w:rPr>
          <w:rFonts w:ascii="Times New Roman" w:hAnsi="Times New Roman" w:cs="Times New Roman"/>
          <w:sz w:val="24"/>
          <w:szCs w:val="24"/>
        </w:rPr>
        <w:t xml:space="preserve">Gómez J. R., Díaz F. R., García H., Jorge H. y Delgado I.”C89-246 una nueva variedad de caña de azúcar para los suelos de alta hidromorfía o similares a esto en el país. </w:t>
      </w:r>
      <w:r w:rsidRPr="005A0B52">
        <w:rPr>
          <w:rFonts w:ascii="Times New Roman" w:hAnsi="Times New Roman" w:cs="Times New Roman"/>
          <w:sz w:val="24"/>
          <w:szCs w:val="24"/>
          <w:lang w:val="en-US"/>
        </w:rPr>
        <w:t xml:space="preserve">Centro Agrícola 38 (3): 63-66: </w:t>
      </w:r>
      <w:proofErr w:type="spellStart"/>
      <w:proofErr w:type="gramStart"/>
      <w:r w:rsidRPr="005A0B52">
        <w:rPr>
          <w:rFonts w:ascii="Times New Roman" w:hAnsi="Times New Roman" w:cs="Times New Roman"/>
          <w:sz w:val="24"/>
          <w:szCs w:val="24"/>
          <w:lang w:val="en-US"/>
        </w:rPr>
        <w:t>julio</w:t>
      </w:r>
      <w:proofErr w:type="spellEnd"/>
      <w:proofErr w:type="gramEnd"/>
      <w:r w:rsidRPr="005A0B52">
        <w:rPr>
          <w:rFonts w:ascii="Times New Roman" w:hAnsi="Times New Roman" w:cs="Times New Roman"/>
          <w:sz w:val="24"/>
          <w:szCs w:val="24"/>
          <w:lang w:val="en-US"/>
        </w:rPr>
        <w:t xml:space="preserve">. – </w:t>
      </w:r>
      <w:proofErr w:type="gramStart"/>
      <w:r w:rsidRPr="005A0B52">
        <w:rPr>
          <w:rFonts w:ascii="Times New Roman" w:hAnsi="Times New Roman" w:cs="Times New Roman"/>
          <w:sz w:val="24"/>
          <w:szCs w:val="24"/>
          <w:lang w:val="en-US"/>
        </w:rPr>
        <w:t>sept</w:t>
      </w:r>
      <w:proofErr w:type="gramEnd"/>
      <w:r w:rsidRPr="005A0B52">
        <w:rPr>
          <w:rFonts w:ascii="Times New Roman" w:hAnsi="Times New Roman" w:cs="Times New Roman"/>
          <w:sz w:val="24"/>
          <w:szCs w:val="24"/>
          <w:lang w:val="en-US"/>
        </w:rPr>
        <w:t xml:space="preserve">.  2011 ISSN </w:t>
      </w:r>
      <w:proofErr w:type="spellStart"/>
      <w:r w:rsidRPr="005A0B52">
        <w:rPr>
          <w:rFonts w:ascii="Times New Roman" w:hAnsi="Times New Roman" w:cs="Times New Roman"/>
          <w:sz w:val="24"/>
          <w:szCs w:val="24"/>
          <w:lang w:val="en-US"/>
        </w:rPr>
        <w:t>papel</w:t>
      </w:r>
      <w:proofErr w:type="spellEnd"/>
      <w:r w:rsidRPr="005A0B52">
        <w:rPr>
          <w:rFonts w:ascii="Times New Roman" w:hAnsi="Times New Roman" w:cs="Times New Roman"/>
          <w:sz w:val="24"/>
          <w:szCs w:val="24"/>
          <w:lang w:val="en-US"/>
        </w:rPr>
        <w:t xml:space="preserve"> 0253-57-85 ISSN on line 2072-2001 CE: 53, 09 CF: cag 113111807. 2011.</w:t>
      </w:r>
    </w:p>
    <w:p w:rsidR="00E43023" w:rsidRPr="005A0B52" w:rsidRDefault="00E43023" w:rsidP="00E43023">
      <w:pPr>
        <w:pStyle w:val="Prrafodelista"/>
        <w:numPr>
          <w:ilvl w:val="0"/>
          <w:numId w:val="5"/>
        </w:numPr>
        <w:spacing w:after="160" w:line="360" w:lineRule="auto"/>
        <w:ind w:left="646"/>
        <w:jc w:val="both"/>
        <w:rPr>
          <w:rFonts w:ascii="Times New Roman" w:hAnsi="Times New Roman" w:cs="Times New Roman"/>
          <w:bCs/>
          <w:sz w:val="24"/>
          <w:szCs w:val="24"/>
        </w:rPr>
      </w:pPr>
      <w:r w:rsidRPr="005A0B52">
        <w:rPr>
          <w:rFonts w:ascii="Times New Roman" w:hAnsi="Times New Roman" w:cs="Times New Roman"/>
          <w:sz w:val="24"/>
          <w:szCs w:val="24"/>
        </w:rPr>
        <w:t>Gómez J. R., Díaz F. R., García H., Jorge H., Jorge I., Cruz R., Delgado I. y Morales R. “Variedades de madures temprana adaptables a ciclos largos de cosecha en suelos de alta hidromorfía o similares en el país. CENTRO AGRÍCOLA. 36(4): 63-70; oct.-dic., 2009. ISSN: 0253-5785.</w:t>
      </w:r>
      <w:r w:rsidRPr="005A0B52">
        <w:rPr>
          <w:rFonts w:ascii="Times New Roman" w:hAnsi="Times New Roman" w:cs="Times New Roman"/>
          <w:bCs/>
          <w:sz w:val="24"/>
          <w:szCs w:val="24"/>
        </w:rPr>
        <w:t xml:space="preserve"> CE: 28,08 CF: cag114091705., 2009.</w:t>
      </w:r>
    </w:p>
    <w:p w:rsidR="00E43023" w:rsidRPr="005A0B52" w:rsidRDefault="00E43023" w:rsidP="00E43023">
      <w:pPr>
        <w:pStyle w:val="Prrafodelista"/>
        <w:numPr>
          <w:ilvl w:val="0"/>
          <w:numId w:val="5"/>
        </w:numPr>
        <w:tabs>
          <w:tab w:val="left" w:pos="720"/>
          <w:tab w:val="left" w:pos="1134"/>
        </w:tabs>
        <w:suppressAutoHyphens/>
        <w:spacing w:after="0" w:line="360" w:lineRule="auto"/>
        <w:ind w:left="646"/>
        <w:jc w:val="both"/>
        <w:rPr>
          <w:rFonts w:ascii="Times New Roman" w:hAnsi="Times New Roman" w:cs="Times New Roman"/>
          <w:spacing w:val="-3"/>
          <w:sz w:val="24"/>
          <w:szCs w:val="24"/>
        </w:rPr>
      </w:pPr>
      <w:r w:rsidRPr="005A0B52">
        <w:rPr>
          <w:rFonts w:ascii="Times New Roman" w:hAnsi="Times New Roman" w:cs="Times New Roman"/>
          <w:sz w:val="24"/>
          <w:szCs w:val="24"/>
        </w:rPr>
        <w:t>Hernández A., Pérez J.M., Bosch D. y N. Castro. Clasificación de los suelos de Cuba 2015. Instituto nacional de ciencias agrícolas e instituto de suelo. ISBN 978-959-7023-77-7 (INCA) 63 - 67 p. La Habana. Cuba. 2015.</w:t>
      </w:r>
    </w:p>
    <w:p w:rsidR="00E43023" w:rsidRPr="005A0B52" w:rsidRDefault="00E43023" w:rsidP="00E43023">
      <w:pPr>
        <w:pStyle w:val="Default"/>
        <w:numPr>
          <w:ilvl w:val="0"/>
          <w:numId w:val="5"/>
        </w:numPr>
        <w:spacing w:line="360" w:lineRule="auto"/>
        <w:ind w:left="646"/>
        <w:rPr>
          <w:lang w:val="en-US"/>
        </w:rPr>
      </w:pPr>
      <w:proofErr w:type="spellStart"/>
      <w:r w:rsidRPr="005A0B52">
        <w:rPr>
          <w:color w:val="auto"/>
          <w:lang w:val="en-US"/>
        </w:rPr>
        <w:lastRenderedPageBreak/>
        <w:t>Izquierdo</w:t>
      </w:r>
      <w:proofErr w:type="spellEnd"/>
      <w:r w:rsidRPr="005A0B52">
        <w:rPr>
          <w:color w:val="auto"/>
          <w:lang w:val="en-US"/>
        </w:rPr>
        <w:t xml:space="preserve"> </w:t>
      </w:r>
      <w:r w:rsidRPr="005A0B52">
        <w:rPr>
          <w:lang w:val="en-US"/>
        </w:rPr>
        <w:t xml:space="preserve">P., Gutiérrez A., Victoria J.I.; </w:t>
      </w:r>
      <w:proofErr w:type="spellStart"/>
      <w:r w:rsidRPr="005A0B52">
        <w:rPr>
          <w:lang w:val="en-US"/>
        </w:rPr>
        <w:t>Ángel</w:t>
      </w:r>
      <w:proofErr w:type="spellEnd"/>
      <w:r w:rsidRPr="005A0B52">
        <w:rPr>
          <w:lang w:val="en-US"/>
        </w:rPr>
        <w:t xml:space="preserve"> M.C. and </w:t>
      </w:r>
      <w:proofErr w:type="spellStart"/>
      <w:r w:rsidRPr="005A0B52">
        <w:rPr>
          <w:lang w:val="en-US"/>
        </w:rPr>
        <w:t>López</w:t>
      </w:r>
      <w:proofErr w:type="spellEnd"/>
      <w:r w:rsidRPr="005A0B52">
        <w:rPr>
          <w:lang w:val="en-US"/>
        </w:rPr>
        <w:t xml:space="preserve"> J.: “Molecular markers associated with resistance to Sugarcane yellow leaf virus”. </w:t>
      </w:r>
      <w:r w:rsidRPr="005A0B52">
        <w:rPr>
          <w:i/>
          <w:lang w:val="en-US"/>
        </w:rPr>
        <w:t>Proceedings International Society Sugar Cane Technologists</w:t>
      </w:r>
      <w:r w:rsidRPr="005A0B52">
        <w:rPr>
          <w:lang w:val="en-US"/>
        </w:rPr>
        <w:t>, Vol. 28: 10 p., 2013.</w:t>
      </w:r>
    </w:p>
    <w:p w:rsidR="00E43023" w:rsidRPr="005A0B52" w:rsidRDefault="00E43023" w:rsidP="00E43023">
      <w:pPr>
        <w:numPr>
          <w:ilvl w:val="0"/>
          <w:numId w:val="5"/>
        </w:numPr>
        <w:tabs>
          <w:tab w:val="left" w:pos="720"/>
        </w:tabs>
        <w:spacing w:after="0" w:line="360" w:lineRule="auto"/>
        <w:ind w:left="646"/>
        <w:jc w:val="both"/>
        <w:rPr>
          <w:rFonts w:ascii="Times New Roman" w:hAnsi="Times New Roman" w:cs="Times New Roman"/>
          <w:sz w:val="24"/>
          <w:szCs w:val="24"/>
        </w:rPr>
      </w:pPr>
      <w:r w:rsidRPr="005A0B52">
        <w:rPr>
          <w:rFonts w:ascii="Times New Roman" w:hAnsi="Times New Roman" w:cs="Times New Roman"/>
          <w:sz w:val="24"/>
          <w:szCs w:val="24"/>
        </w:rPr>
        <w:t>H. Jorge S., R. González H., I. Jorge G.</w:t>
      </w:r>
      <w:r w:rsidRPr="005A0B52">
        <w:rPr>
          <w:rFonts w:ascii="Times New Roman" w:hAnsi="Times New Roman" w:cs="Times New Roman"/>
          <w:color w:val="FF0000"/>
          <w:sz w:val="24"/>
          <w:szCs w:val="24"/>
        </w:rPr>
        <w:t xml:space="preserve"> </w:t>
      </w:r>
      <w:r w:rsidRPr="005A0B52">
        <w:rPr>
          <w:rFonts w:ascii="Times New Roman" w:hAnsi="Times New Roman" w:cs="Times New Roman"/>
          <w:sz w:val="24"/>
          <w:szCs w:val="24"/>
        </w:rPr>
        <w:t xml:space="preserve">Principios y conceptos básicos para el manejo de variedades y semilla de caña de azúcar en la agroindustria azucarera cubana. PUBLINICA. ISSN 1028-6527. La Habana. Cuba.2010. </w:t>
      </w:r>
    </w:p>
    <w:p w:rsidR="00E43023" w:rsidRPr="005A0B52" w:rsidRDefault="00E43023" w:rsidP="00E43023">
      <w:pPr>
        <w:pStyle w:val="Default"/>
        <w:numPr>
          <w:ilvl w:val="0"/>
          <w:numId w:val="5"/>
        </w:numPr>
        <w:spacing w:line="360" w:lineRule="auto"/>
        <w:ind w:left="646"/>
        <w:rPr>
          <w:color w:val="auto"/>
        </w:rPr>
      </w:pPr>
      <w:r w:rsidRPr="005A0B52">
        <w:rPr>
          <w:bCs/>
          <w:color w:val="auto"/>
        </w:rPr>
        <w:t>Jorge H., Jorge I.M., Mesa J.M. y Bernal N.A.: “</w:t>
      </w:r>
      <w:r w:rsidRPr="005A0B52">
        <w:rPr>
          <w:color w:val="auto"/>
        </w:rPr>
        <w:t xml:space="preserve">Normas y Procedimientos del Programa de </w:t>
      </w:r>
      <w:proofErr w:type="spellStart"/>
      <w:r w:rsidRPr="005A0B52">
        <w:rPr>
          <w:color w:val="auto"/>
        </w:rPr>
        <w:t>Fitomejoramiento</w:t>
      </w:r>
      <w:proofErr w:type="spellEnd"/>
      <w:r w:rsidRPr="005A0B52">
        <w:rPr>
          <w:color w:val="auto"/>
        </w:rPr>
        <w:t xml:space="preserve"> de la Caña de Azúcar en Cuba”. 2da Ed. </w:t>
      </w:r>
      <w:r w:rsidRPr="005A0B52">
        <w:rPr>
          <w:i/>
          <w:color w:val="auto"/>
        </w:rPr>
        <w:t>Boletín Especial Cuba &amp; Caña</w:t>
      </w:r>
      <w:r w:rsidRPr="005A0B52">
        <w:rPr>
          <w:color w:val="auto"/>
        </w:rPr>
        <w:t>: 348p, 2011.</w:t>
      </w:r>
    </w:p>
    <w:p w:rsidR="00E43023" w:rsidRPr="005A0B52" w:rsidRDefault="00E43023" w:rsidP="00E43023">
      <w:pPr>
        <w:numPr>
          <w:ilvl w:val="0"/>
          <w:numId w:val="5"/>
        </w:numPr>
        <w:autoSpaceDE w:val="0"/>
        <w:autoSpaceDN w:val="0"/>
        <w:adjustRightInd w:val="0"/>
        <w:spacing w:after="0" w:line="360" w:lineRule="auto"/>
        <w:ind w:left="646"/>
        <w:jc w:val="both"/>
        <w:rPr>
          <w:rFonts w:ascii="Times New Roman" w:hAnsi="Times New Roman" w:cs="Times New Roman"/>
          <w:sz w:val="24"/>
          <w:szCs w:val="24"/>
          <w:lang w:val="es-VE"/>
        </w:rPr>
      </w:pPr>
      <w:r w:rsidRPr="005A0B52">
        <w:rPr>
          <w:rFonts w:ascii="Times New Roman" w:hAnsi="Times New Roman" w:cs="Times New Roman"/>
          <w:sz w:val="24"/>
          <w:szCs w:val="24"/>
          <w:lang w:val="es-VE" w:eastAsia="es-VE"/>
        </w:rPr>
        <w:t>Jorge H., Suárez O., García H., Santana I. y Jorge I.: “</w:t>
      </w:r>
      <w:r w:rsidRPr="005A0B52">
        <w:rPr>
          <w:rFonts w:ascii="Times New Roman" w:hAnsi="Times New Roman" w:cs="Times New Roman"/>
          <w:bCs/>
          <w:sz w:val="24"/>
          <w:szCs w:val="24"/>
          <w:lang w:val="es-VE" w:eastAsia="es-VE"/>
        </w:rPr>
        <w:t xml:space="preserve">Variedades de caña de azúcar para la alimentación del ganado vacuno. </w:t>
      </w:r>
      <w:r w:rsidRPr="005A0B52">
        <w:rPr>
          <w:rFonts w:ascii="Times New Roman" w:hAnsi="Times New Roman" w:cs="Times New Roman"/>
          <w:bCs/>
          <w:i/>
          <w:sz w:val="24"/>
          <w:szCs w:val="24"/>
          <w:lang w:val="es-VE" w:eastAsia="es-VE"/>
        </w:rPr>
        <w:t xml:space="preserve">Memorias del </w:t>
      </w:r>
      <w:r w:rsidRPr="005A0B52">
        <w:rPr>
          <w:rFonts w:ascii="Times New Roman" w:hAnsi="Times New Roman" w:cs="Times New Roman"/>
          <w:i/>
          <w:sz w:val="24"/>
          <w:szCs w:val="24"/>
          <w:lang w:val="es-VE"/>
        </w:rPr>
        <w:t>48 Congreso de la ATAC</w:t>
      </w:r>
      <w:r w:rsidRPr="005A0B52">
        <w:rPr>
          <w:rFonts w:ascii="Times New Roman" w:hAnsi="Times New Roman" w:cs="Times New Roman"/>
          <w:sz w:val="24"/>
          <w:szCs w:val="24"/>
          <w:lang w:val="es-VE"/>
        </w:rPr>
        <w:t>: 6 p., 2002.</w:t>
      </w:r>
    </w:p>
    <w:p w:rsidR="00E43023" w:rsidRPr="005A0B52" w:rsidRDefault="00E43023" w:rsidP="00E43023">
      <w:pPr>
        <w:numPr>
          <w:ilvl w:val="0"/>
          <w:numId w:val="5"/>
        </w:numPr>
        <w:autoSpaceDE w:val="0"/>
        <w:autoSpaceDN w:val="0"/>
        <w:adjustRightInd w:val="0"/>
        <w:spacing w:after="0" w:line="360" w:lineRule="auto"/>
        <w:ind w:left="646"/>
        <w:jc w:val="both"/>
        <w:rPr>
          <w:rFonts w:ascii="Times New Roman" w:hAnsi="Times New Roman" w:cs="Times New Roman"/>
          <w:sz w:val="24"/>
          <w:szCs w:val="24"/>
          <w:lang w:val="en-US" w:eastAsia="es-VE"/>
        </w:rPr>
      </w:pPr>
      <w:r w:rsidRPr="005A0B52">
        <w:rPr>
          <w:rFonts w:ascii="Times New Roman" w:hAnsi="Times New Roman" w:cs="Times New Roman"/>
          <w:bCs/>
          <w:sz w:val="24"/>
          <w:szCs w:val="24"/>
          <w:lang w:val="en-US" w:eastAsia="es-VE"/>
        </w:rPr>
        <w:t xml:space="preserve">Le </w:t>
      </w:r>
      <w:proofErr w:type="spellStart"/>
      <w:r w:rsidRPr="005A0B52">
        <w:rPr>
          <w:rFonts w:ascii="Times New Roman" w:hAnsi="Times New Roman" w:cs="Times New Roman"/>
          <w:bCs/>
          <w:sz w:val="24"/>
          <w:szCs w:val="24"/>
          <w:lang w:val="en-US" w:eastAsia="es-VE"/>
        </w:rPr>
        <w:t>Cunff</w:t>
      </w:r>
      <w:proofErr w:type="spellEnd"/>
      <w:r w:rsidRPr="005A0B52">
        <w:rPr>
          <w:rFonts w:ascii="Times New Roman" w:hAnsi="Times New Roman" w:cs="Times New Roman"/>
          <w:bCs/>
          <w:sz w:val="24"/>
          <w:szCs w:val="24"/>
          <w:lang w:val="en-US" w:eastAsia="es-VE"/>
        </w:rPr>
        <w:t xml:space="preserve"> L., </w:t>
      </w:r>
      <w:proofErr w:type="spellStart"/>
      <w:r w:rsidRPr="005A0B52">
        <w:rPr>
          <w:rFonts w:ascii="Times New Roman" w:hAnsi="Times New Roman" w:cs="Times New Roman"/>
          <w:bCs/>
          <w:sz w:val="24"/>
          <w:szCs w:val="24"/>
          <w:lang w:val="en-US" w:eastAsia="es-VE"/>
        </w:rPr>
        <w:t>Garsmeur</w:t>
      </w:r>
      <w:proofErr w:type="spellEnd"/>
      <w:r w:rsidRPr="005A0B52">
        <w:rPr>
          <w:rFonts w:ascii="Times New Roman" w:hAnsi="Times New Roman" w:cs="Times New Roman"/>
          <w:bCs/>
          <w:sz w:val="24"/>
          <w:szCs w:val="24"/>
          <w:lang w:val="en-US" w:eastAsia="es-VE"/>
        </w:rPr>
        <w:t xml:space="preserve"> O., </w:t>
      </w:r>
      <w:proofErr w:type="spellStart"/>
      <w:r w:rsidRPr="005A0B52">
        <w:rPr>
          <w:rFonts w:ascii="Times New Roman" w:hAnsi="Times New Roman" w:cs="Times New Roman"/>
          <w:bCs/>
          <w:sz w:val="24"/>
          <w:szCs w:val="24"/>
          <w:lang w:val="en-US" w:eastAsia="es-VE"/>
        </w:rPr>
        <w:t>Raboin</w:t>
      </w:r>
      <w:proofErr w:type="spellEnd"/>
      <w:r w:rsidRPr="005A0B52">
        <w:rPr>
          <w:rFonts w:ascii="Times New Roman" w:hAnsi="Times New Roman" w:cs="Times New Roman"/>
          <w:bCs/>
          <w:sz w:val="24"/>
          <w:szCs w:val="24"/>
          <w:lang w:val="en-US" w:eastAsia="es-VE"/>
        </w:rPr>
        <w:t xml:space="preserve"> L.M.: “</w:t>
      </w:r>
      <w:r w:rsidRPr="005A0B52">
        <w:rPr>
          <w:rFonts w:ascii="Times New Roman" w:hAnsi="Times New Roman" w:cs="Times New Roman"/>
          <w:sz w:val="24"/>
          <w:szCs w:val="24"/>
          <w:lang w:val="en-US" w:eastAsia="es-VE"/>
        </w:rPr>
        <w:t>Diploid/</w:t>
      </w:r>
      <w:proofErr w:type="spellStart"/>
      <w:r w:rsidRPr="005A0B52">
        <w:rPr>
          <w:rFonts w:ascii="Times New Roman" w:hAnsi="Times New Roman" w:cs="Times New Roman"/>
          <w:sz w:val="24"/>
          <w:szCs w:val="24"/>
          <w:lang w:val="en-US" w:eastAsia="es-VE"/>
        </w:rPr>
        <w:t>PolyploidSyntenic</w:t>
      </w:r>
      <w:proofErr w:type="spellEnd"/>
      <w:r w:rsidRPr="005A0B52">
        <w:rPr>
          <w:rFonts w:ascii="Times New Roman" w:hAnsi="Times New Roman" w:cs="Times New Roman"/>
          <w:sz w:val="24"/>
          <w:szCs w:val="24"/>
          <w:lang w:val="en-US" w:eastAsia="es-VE"/>
        </w:rPr>
        <w:t xml:space="preserve"> Shuttle Mapping and Haplotype Specific Chromosome Walking Toward a Rust Resistance Gene (Bru1) in Highly </w:t>
      </w:r>
      <w:proofErr w:type="spellStart"/>
      <w:r w:rsidRPr="005A0B52">
        <w:rPr>
          <w:rFonts w:ascii="Times New Roman" w:hAnsi="Times New Roman" w:cs="Times New Roman"/>
          <w:sz w:val="24"/>
          <w:szCs w:val="24"/>
          <w:lang w:val="en-US" w:eastAsia="es-VE"/>
        </w:rPr>
        <w:t>Polyploid</w:t>
      </w:r>
      <w:proofErr w:type="spellEnd"/>
      <w:r w:rsidRPr="005A0B52">
        <w:rPr>
          <w:rFonts w:ascii="Times New Roman" w:hAnsi="Times New Roman" w:cs="Times New Roman"/>
          <w:sz w:val="24"/>
          <w:szCs w:val="24"/>
          <w:lang w:val="en-US" w:eastAsia="es-VE"/>
        </w:rPr>
        <w:t xml:space="preserve"> Sugarcane (2n-12x-115)”. </w:t>
      </w:r>
      <w:r w:rsidRPr="005A0B52">
        <w:rPr>
          <w:rFonts w:ascii="Times New Roman" w:hAnsi="Times New Roman" w:cs="Times New Roman"/>
          <w:i/>
          <w:sz w:val="24"/>
          <w:szCs w:val="24"/>
          <w:lang w:val="en-US" w:eastAsia="es-VE"/>
        </w:rPr>
        <w:t>Genetics, 180</w:t>
      </w:r>
      <w:r w:rsidRPr="005A0B52">
        <w:rPr>
          <w:rFonts w:ascii="Times New Roman" w:hAnsi="Times New Roman" w:cs="Times New Roman"/>
          <w:sz w:val="24"/>
          <w:szCs w:val="24"/>
          <w:lang w:val="en-US" w:eastAsia="es-VE"/>
        </w:rPr>
        <w:t>: 649-660, 2008.</w:t>
      </w:r>
    </w:p>
    <w:p w:rsidR="00E43023" w:rsidRPr="005A0B52" w:rsidRDefault="00E43023" w:rsidP="00E43023">
      <w:pPr>
        <w:pStyle w:val="Prrafodelista"/>
        <w:numPr>
          <w:ilvl w:val="0"/>
          <w:numId w:val="5"/>
        </w:numPr>
        <w:spacing w:after="160" w:line="360" w:lineRule="auto"/>
        <w:ind w:left="646"/>
        <w:jc w:val="both"/>
        <w:rPr>
          <w:rFonts w:ascii="Times New Roman" w:hAnsi="Times New Roman" w:cs="Times New Roman"/>
          <w:sz w:val="24"/>
          <w:szCs w:val="24"/>
        </w:rPr>
      </w:pPr>
      <w:r w:rsidRPr="005A0B52">
        <w:rPr>
          <w:rFonts w:ascii="Times New Roman" w:hAnsi="Times New Roman" w:cs="Times New Roman"/>
          <w:sz w:val="24"/>
          <w:szCs w:val="24"/>
        </w:rPr>
        <w:t>Martínez R., Betancourt Y., Rodríguez M., Vidal L. y Guillén S. “Fundamentos técnicos para la implementación de un complejo tecnológico cosecha transporte en condiciones de alta humedad de los suelos”.30p, La Habana. Cuba. 2016.</w:t>
      </w:r>
    </w:p>
    <w:p w:rsidR="00E43023" w:rsidRPr="005A0B52" w:rsidRDefault="00E43023" w:rsidP="00E43023">
      <w:pPr>
        <w:pStyle w:val="Prrafodelista"/>
        <w:numPr>
          <w:ilvl w:val="0"/>
          <w:numId w:val="5"/>
        </w:numPr>
        <w:autoSpaceDE w:val="0"/>
        <w:autoSpaceDN w:val="0"/>
        <w:adjustRightInd w:val="0"/>
        <w:spacing w:after="0" w:line="360" w:lineRule="auto"/>
        <w:ind w:left="646"/>
        <w:jc w:val="both"/>
        <w:rPr>
          <w:rFonts w:ascii="Times New Roman" w:hAnsi="Times New Roman" w:cs="Times New Roman"/>
          <w:sz w:val="24"/>
          <w:szCs w:val="24"/>
        </w:rPr>
      </w:pPr>
      <w:r w:rsidRPr="005A0B52">
        <w:rPr>
          <w:rFonts w:ascii="Times New Roman" w:hAnsi="Times New Roman" w:cs="Times New Roman"/>
          <w:sz w:val="24"/>
          <w:szCs w:val="24"/>
        </w:rPr>
        <w:t xml:space="preserve">Mesa J.M. y et. al. “XXIII Reunión Nacional de Variedades, Semilla y Sanidad Vegetal”. </w:t>
      </w:r>
      <w:r w:rsidRPr="005A0B52">
        <w:rPr>
          <w:rFonts w:ascii="Times New Roman" w:hAnsi="Times New Roman" w:cs="Times New Roman"/>
          <w:color w:val="00000A"/>
          <w:sz w:val="24"/>
          <w:szCs w:val="24"/>
          <w:lang w:eastAsia="es-VE"/>
        </w:rPr>
        <w:t>Instituto de investigaciones de la Caña de azúcar, ISSN 1028-6527 La Habana. Cuba. 2016.</w:t>
      </w:r>
    </w:p>
    <w:p w:rsidR="00E43023" w:rsidRPr="005A0B52" w:rsidRDefault="00E43023" w:rsidP="00E43023">
      <w:pPr>
        <w:pStyle w:val="Prrafodelista"/>
        <w:numPr>
          <w:ilvl w:val="0"/>
          <w:numId w:val="5"/>
        </w:numPr>
        <w:autoSpaceDE w:val="0"/>
        <w:autoSpaceDN w:val="0"/>
        <w:adjustRightInd w:val="0"/>
        <w:spacing w:after="0" w:line="360" w:lineRule="auto"/>
        <w:ind w:left="646"/>
        <w:jc w:val="both"/>
        <w:rPr>
          <w:rFonts w:ascii="Times New Roman" w:hAnsi="Times New Roman" w:cs="Times New Roman"/>
          <w:sz w:val="24"/>
          <w:szCs w:val="24"/>
        </w:rPr>
      </w:pPr>
      <w:r w:rsidRPr="005A0B52">
        <w:rPr>
          <w:rFonts w:ascii="Times New Roman" w:hAnsi="Times New Roman" w:cs="Times New Roman"/>
          <w:color w:val="00000A"/>
          <w:sz w:val="24"/>
          <w:szCs w:val="24"/>
          <w:lang w:eastAsia="es-VE"/>
        </w:rPr>
        <w:t>Santana I., González M. y Guillen S. “Instructivo técnico para el manejo de la caña de azúcar” 2da Ed. Instituto de investigaciones de la Caña de azúcar, ISBN 00</w:t>
      </w:r>
      <w:r w:rsidRPr="005A0B52">
        <w:rPr>
          <w:rFonts w:ascii="Times New Roman" w:hAnsi="Times New Roman" w:cs="Times New Roman"/>
          <w:sz w:val="24"/>
          <w:szCs w:val="24"/>
          <w:lang w:eastAsia="es-VE"/>
        </w:rPr>
        <w:t>-</w:t>
      </w:r>
      <w:r w:rsidRPr="005A0B52">
        <w:rPr>
          <w:rFonts w:ascii="Times New Roman" w:hAnsi="Times New Roman" w:cs="Times New Roman"/>
          <w:color w:val="00000A"/>
          <w:sz w:val="24"/>
          <w:szCs w:val="24"/>
          <w:lang w:eastAsia="es-VE"/>
        </w:rPr>
        <w:t>000-000 La Habana. Cuba. 179p, 2012.</w:t>
      </w:r>
    </w:p>
    <w:p w:rsidR="00D36D1C" w:rsidRPr="005A0B52" w:rsidRDefault="00D36D1C" w:rsidP="00E43023">
      <w:pPr>
        <w:pStyle w:val="Prrafodelista"/>
        <w:spacing w:after="0" w:line="360" w:lineRule="auto"/>
        <w:jc w:val="both"/>
        <w:rPr>
          <w:rFonts w:ascii="Times New Roman" w:hAnsi="Times New Roman" w:cs="Times New Roman"/>
          <w:sz w:val="24"/>
          <w:szCs w:val="24"/>
        </w:rPr>
      </w:pPr>
    </w:p>
    <w:sectPr w:rsidR="00D36D1C" w:rsidRPr="005A0B5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B5" w:rsidRDefault="004263B5" w:rsidP="00C8585B">
      <w:pPr>
        <w:spacing w:after="0" w:line="240" w:lineRule="auto"/>
      </w:pPr>
      <w:r>
        <w:separator/>
      </w:r>
    </w:p>
  </w:endnote>
  <w:endnote w:type="continuationSeparator" w:id="0">
    <w:p w:rsidR="004263B5" w:rsidRDefault="004263B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263B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B5" w:rsidRDefault="004263B5" w:rsidP="00C8585B">
      <w:pPr>
        <w:spacing w:after="0" w:line="240" w:lineRule="auto"/>
      </w:pPr>
      <w:r>
        <w:separator/>
      </w:r>
    </w:p>
  </w:footnote>
  <w:footnote w:type="continuationSeparator" w:id="0">
    <w:p w:rsidR="004263B5" w:rsidRDefault="004263B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90309"/>
    <w:multiLevelType w:val="hybridMultilevel"/>
    <w:tmpl w:val="4F3E5E6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57E06471"/>
    <w:multiLevelType w:val="hybridMultilevel"/>
    <w:tmpl w:val="C7B03546"/>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812872"/>
    <w:multiLevelType w:val="hybridMultilevel"/>
    <w:tmpl w:val="D05862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2E3E"/>
    <w:rsid w:val="000A0576"/>
    <w:rsid w:val="000B5F6C"/>
    <w:rsid w:val="000C14DC"/>
    <w:rsid w:val="00103E2A"/>
    <w:rsid w:val="00114C82"/>
    <w:rsid w:val="0011714E"/>
    <w:rsid w:val="0012608A"/>
    <w:rsid w:val="001A6DA7"/>
    <w:rsid w:val="001D6B80"/>
    <w:rsid w:val="002C4923"/>
    <w:rsid w:val="002D52AC"/>
    <w:rsid w:val="002E0882"/>
    <w:rsid w:val="002E272A"/>
    <w:rsid w:val="003068F5"/>
    <w:rsid w:val="00354AE6"/>
    <w:rsid w:val="00362E5F"/>
    <w:rsid w:val="00403285"/>
    <w:rsid w:val="00421041"/>
    <w:rsid w:val="004263B5"/>
    <w:rsid w:val="004B5A7F"/>
    <w:rsid w:val="00561583"/>
    <w:rsid w:val="005754D8"/>
    <w:rsid w:val="005A0B52"/>
    <w:rsid w:val="005C56C8"/>
    <w:rsid w:val="005E2497"/>
    <w:rsid w:val="006271E4"/>
    <w:rsid w:val="006350AB"/>
    <w:rsid w:val="00640758"/>
    <w:rsid w:val="00667F10"/>
    <w:rsid w:val="00712A31"/>
    <w:rsid w:val="007559FA"/>
    <w:rsid w:val="00794E1F"/>
    <w:rsid w:val="00824C05"/>
    <w:rsid w:val="00845985"/>
    <w:rsid w:val="0088159E"/>
    <w:rsid w:val="008A1C16"/>
    <w:rsid w:val="008A2E7E"/>
    <w:rsid w:val="008B06F8"/>
    <w:rsid w:val="009061A5"/>
    <w:rsid w:val="0091621C"/>
    <w:rsid w:val="009178E4"/>
    <w:rsid w:val="009B1EF2"/>
    <w:rsid w:val="009D5E02"/>
    <w:rsid w:val="009D67CD"/>
    <w:rsid w:val="00A156A5"/>
    <w:rsid w:val="00A21A1F"/>
    <w:rsid w:val="00A62A14"/>
    <w:rsid w:val="00AD02E9"/>
    <w:rsid w:val="00B0514A"/>
    <w:rsid w:val="00B2024E"/>
    <w:rsid w:val="00B80E97"/>
    <w:rsid w:val="00BF107B"/>
    <w:rsid w:val="00BF4353"/>
    <w:rsid w:val="00C23B73"/>
    <w:rsid w:val="00C56288"/>
    <w:rsid w:val="00C6208A"/>
    <w:rsid w:val="00C8585B"/>
    <w:rsid w:val="00CD2BC3"/>
    <w:rsid w:val="00CD64B6"/>
    <w:rsid w:val="00D05242"/>
    <w:rsid w:val="00D32967"/>
    <w:rsid w:val="00D36D1C"/>
    <w:rsid w:val="00D73DE9"/>
    <w:rsid w:val="00D95184"/>
    <w:rsid w:val="00E43023"/>
    <w:rsid w:val="00E83573"/>
    <w:rsid w:val="00E912D0"/>
    <w:rsid w:val="00EA1598"/>
    <w:rsid w:val="00EA7584"/>
    <w:rsid w:val="00EB55CB"/>
    <w:rsid w:val="00F17983"/>
    <w:rsid w:val="00F975F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1D6B80"/>
    <w:pPr>
      <w:spacing w:after="0" w:line="240" w:lineRule="auto"/>
    </w:pPr>
    <w:rPr>
      <w:rFonts w:ascii="Times New Roman" w:eastAsia="Times New Roman"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3296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E43023"/>
    <w:pPr>
      <w:autoSpaceDE w:val="0"/>
      <w:autoSpaceDN w:val="0"/>
      <w:adjustRightInd w:val="0"/>
      <w:spacing w:after="0" w:line="240" w:lineRule="auto"/>
      <w:jc w:val="both"/>
    </w:pPr>
    <w:rPr>
      <w:rFonts w:ascii="Times New Roman" w:eastAsia="Calibri" w:hAnsi="Times New Roman" w:cs="Times New Roman"/>
      <w:color w:val="000000"/>
      <w:sz w:val="24"/>
      <w:szCs w:val="24"/>
      <w:lang w:val="es-VE" w:eastAsia="es-VE"/>
    </w:rPr>
  </w:style>
  <w:style w:type="paragraph" w:styleId="Textoindependiente">
    <w:name w:val="Body Text"/>
    <w:basedOn w:val="Normal"/>
    <w:link w:val="TextoindependienteCar"/>
    <w:uiPriority w:val="99"/>
    <w:unhideWhenUsed/>
    <w:rsid w:val="00E43023"/>
    <w:pPr>
      <w:spacing w:after="120" w:line="252" w:lineRule="auto"/>
      <w:jc w:val="both"/>
    </w:pPr>
    <w:rPr>
      <w:rFonts w:eastAsiaTheme="minorEastAsia"/>
    </w:rPr>
  </w:style>
  <w:style w:type="character" w:customStyle="1" w:styleId="TextoindependienteCar">
    <w:name w:val="Texto independiente Car"/>
    <w:basedOn w:val="Fuentedeprrafopredeter"/>
    <w:link w:val="Textoindependiente"/>
    <w:uiPriority w:val="99"/>
    <w:rsid w:val="00E4302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Mis%20Documentos\Ramon\2016\Variedad%20C02-%20210\VBV-4-02\Experimento%202002%20recomend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Mis%20Documentos\Ramon\2016\Variedad%20C02-%20210\VBV-4-02\Experimento%202002%20recomend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Mis%20Documentos\Ramon\2016\Variedad%20C02-%20210\VBV-4-02\Experimento%202002%20recomendar.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910687129774"/>
          <c:y val="0.12922111538814807"/>
          <c:w val="0.65103233553295714"/>
          <c:h val="0.66215979685777426"/>
        </c:manualLayout>
      </c:layout>
      <c:barChart>
        <c:barDir val="col"/>
        <c:grouping val="clustered"/>
        <c:varyColors val="0"/>
        <c:ser>
          <c:idx val="0"/>
          <c:order val="0"/>
          <c:tx>
            <c:strRef>
              <c:f>'Graficos de PCL y RI'!$C$126</c:f>
              <c:strCache>
                <c:ptCount val="1"/>
                <c:pt idx="0">
                  <c:v>C86-12</c:v>
                </c:pt>
              </c:strCache>
            </c:strRef>
          </c:tx>
          <c:spPr>
            <a:solidFill>
              <a:srgbClr val="FF0000"/>
            </a:solidFill>
            <a:ln>
              <a:noFill/>
            </a:ln>
            <a:effectLst/>
          </c:spPr>
          <c:invertIfNegative val="0"/>
          <c:cat>
            <c:strRef>
              <c:f>'Graficos de PCL y RI'!$D$125:$E$125</c:f>
              <c:strCache>
                <c:ptCount val="2"/>
                <c:pt idx="0">
                  <c:v>PCL</c:v>
                </c:pt>
                <c:pt idx="1">
                  <c:v>RI</c:v>
                </c:pt>
              </c:strCache>
            </c:strRef>
          </c:cat>
          <c:val>
            <c:numRef>
              <c:f>'Graficos de PCL y RI'!$D$126:$E$126</c:f>
              <c:numCache>
                <c:formatCode>General</c:formatCode>
                <c:ptCount val="2"/>
                <c:pt idx="0">
                  <c:v>125.48</c:v>
                </c:pt>
                <c:pt idx="1">
                  <c:v>98.42</c:v>
                </c:pt>
              </c:numCache>
            </c:numRef>
          </c:val>
        </c:ser>
        <c:ser>
          <c:idx val="1"/>
          <c:order val="1"/>
          <c:tx>
            <c:strRef>
              <c:f>'Graficos de PCL y RI'!$C$127</c:f>
              <c:strCache>
                <c:ptCount val="1"/>
                <c:pt idx="0">
                  <c:v>SP70-1284</c:v>
                </c:pt>
              </c:strCache>
            </c:strRef>
          </c:tx>
          <c:spPr>
            <a:solidFill>
              <a:srgbClr val="7030A0"/>
            </a:solidFill>
            <a:ln>
              <a:noFill/>
            </a:ln>
            <a:effectLst/>
          </c:spPr>
          <c:invertIfNegative val="0"/>
          <c:cat>
            <c:strRef>
              <c:f>'Graficos de PCL y RI'!$D$125:$E$125</c:f>
              <c:strCache>
                <c:ptCount val="2"/>
                <c:pt idx="0">
                  <c:v>PCL</c:v>
                </c:pt>
                <c:pt idx="1">
                  <c:v>RI</c:v>
                </c:pt>
              </c:strCache>
            </c:strRef>
          </c:cat>
          <c:val>
            <c:numRef>
              <c:f>'Graficos de PCL y RI'!$D$127:$E$127</c:f>
              <c:numCache>
                <c:formatCode>General</c:formatCode>
                <c:ptCount val="2"/>
                <c:pt idx="0">
                  <c:v>157.69999999999999</c:v>
                </c:pt>
                <c:pt idx="1">
                  <c:v>57.39</c:v>
                </c:pt>
              </c:numCache>
            </c:numRef>
          </c:val>
        </c:ser>
        <c:ser>
          <c:idx val="2"/>
          <c:order val="2"/>
          <c:tx>
            <c:strRef>
              <c:f>'Graficos de PCL y RI'!$C$128</c:f>
              <c:strCache>
                <c:ptCount val="1"/>
                <c:pt idx="0">
                  <c:v>C323-68</c:v>
                </c:pt>
              </c:strCache>
            </c:strRef>
          </c:tx>
          <c:spPr>
            <a:solidFill>
              <a:srgbClr val="00B050"/>
            </a:solidFill>
            <a:ln>
              <a:noFill/>
            </a:ln>
            <a:effectLst/>
          </c:spPr>
          <c:invertIfNegative val="0"/>
          <c:cat>
            <c:strRef>
              <c:f>'Graficos de PCL y RI'!$D$125:$E$125</c:f>
              <c:strCache>
                <c:ptCount val="2"/>
                <c:pt idx="0">
                  <c:v>PCL</c:v>
                </c:pt>
                <c:pt idx="1">
                  <c:v>RI</c:v>
                </c:pt>
              </c:strCache>
            </c:strRef>
          </c:cat>
          <c:val>
            <c:numRef>
              <c:f>'Graficos de PCL y RI'!$D$128:$E$128</c:f>
              <c:numCache>
                <c:formatCode>General</c:formatCode>
                <c:ptCount val="2"/>
                <c:pt idx="0">
                  <c:v>104.24</c:v>
                </c:pt>
                <c:pt idx="1">
                  <c:v>87.18</c:v>
                </c:pt>
              </c:numCache>
            </c:numRef>
          </c:val>
        </c:ser>
        <c:ser>
          <c:idx val="3"/>
          <c:order val="3"/>
          <c:tx>
            <c:strRef>
              <c:f>'Graficos de PCL y RI'!$C$129</c:f>
              <c:strCache>
                <c:ptCount val="1"/>
                <c:pt idx="0">
                  <c:v>C02-210</c:v>
                </c:pt>
              </c:strCache>
            </c:strRef>
          </c:tx>
          <c:spPr>
            <a:solidFill>
              <a:srgbClr val="0070C0"/>
            </a:solidFill>
            <a:ln>
              <a:noFill/>
            </a:ln>
            <a:effectLst/>
          </c:spPr>
          <c:invertIfNegative val="0"/>
          <c:cat>
            <c:strRef>
              <c:f>'Graficos de PCL y RI'!$D$125:$E$125</c:f>
              <c:strCache>
                <c:ptCount val="2"/>
                <c:pt idx="0">
                  <c:v>PCL</c:v>
                </c:pt>
                <c:pt idx="1">
                  <c:v>RI</c:v>
                </c:pt>
              </c:strCache>
            </c:strRef>
          </c:cat>
          <c:val>
            <c:numRef>
              <c:f>'Graficos de PCL y RI'!$D$129:$E$129</c:f>
              <c:numCache>
                <c:formatCode>General</c:formatCode>
                <c:ptCount val="2"/>
                <c:pt idx="0">
                  <c:v>120.5</c:v>
                </c:pt>
                <c:pt idx="1">
                  <c:v>98.42</c:v>
                </c:pt>
              </c:numCache>
            </c:numRef>
          </c:val>
        </c:ser>
        <c:dLbls>
          <c:showLegendKey val="0"/>
          <c:showVal val="0"/>
          <c:showCatName val="0"/>
          <c:showSerName val="0"/>
          <c:showPercent val="0"/>
          <c:showBubbleSize val="0"/>
        </c:dLbls>
        <c:gapWidth val="219"/>
        <c:overlap val="-27"/>
        <c:axId val="-1476366496"/>
        <c:axId val="-1476360512"/>
      </c:barChart>
      <c:catAx>
        <c:axId val="-14763664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000" b="1">
                    <a:latin typeface="Times New Roman" panose="02020603050405020304" pitchFamily="18" charset="0"/>
                    <a:cs typeface="Times New Roman" panose="02020603050405020304" pitchFamily="18" charset="0"/>
                  </a:rPr>
                  <a:t>ciclos de plantación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6360512"/>
        <c:crosses val="autoZero"/>
        <c:auto val="1"/>
        <c:lblAlgn val="ctr"/>
        <c:lblOffset val="100"/>
        <c:noMultiLvlLbl val="0"/>
      </c:catAx>
      <c:valAx>
        <c:axId val="-147636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effectLst/>
                    <a:latin typeface="Times New Roman" panose="02020603050405020304" pitchFamily="18" charset="0"/>
                    <a:cs typeface="Times New Roman" panose="02020603050405020304" pitchFamily="18" charset="0"/>
                  </a:rPr>
                  <a:t>caña </a:t>
                </a:r>
                <a:r>
                  <a:rPr lang="es-ES" sz="1000" b="1" i="0" baseline="0">
                    <a:effectLst/>
                    <a:latin typeface="Times New Roman" panose="02020603050405020304" pitchFamily="18" charset="0"/>
                    <a:cs typeface="Times New Roman" panose="02020603050405020304" pitchFamily="18" charset="0"/>
                  </a:rPr>
                  <a:t>t ha</a:t>
                </a:r>
                <a:r>
                  <a:rPr lang="es-ES" sz="1000" b="1" i="0" baseline="30000">
                    <a:effectLst/>
                    <a:latin typeface="Times New Roman" panose="02020603050405020304" pitchFamily="18" charset="0"/>
                    <a:cs typeface="Times New Roman" panose="02020603050405020304" pitchFamily="18" charset="0"/>
                  </a:rPr>
                  <a:t>-1</a:t>
                </a:r>
                <a:endParaRPr lang="es-E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76366496"/>
        <c:crosses val="autoZero"/>
        <c:crossBetween val="between"/>
      </c:valAx>
      <c:spPr>
        <a:noFill/>
        <a:ln>
          <a:noFill/>
        </a:ln>
        <a:effectLst/>
      </c:spPr>
    </c:plotArea>
    <c:legend>
      <c:legendPos val="r"/>
      <c:layout>
        <c:manualLayout>
          <c:xMode val="edge"/>
          <c:yMode val="edge"/>
          <c:x val="0.79244524259029037"/>
          <c:y val="0.13279245257346142"/>
          <c:w val="0.19196021549937836"/>
          <c:h val="0.3004436351986462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894013248344"/>
          <c:y val="0.12481424501655609"/>
          <c:w val="0.65619477565304341"/>
          <c:h val="0.70000308876646833"/>
        </c:manualLayout>
      </c:layout>
      <c:barChart>
        <c:barDir val="col"/>
        <c:grouping val="clustered"/>
        <c:varyColors val="0"/>
        <c:ser>
          <c:idx val="0"/>
          <c:order val="0"/>
          <c:tx>
            <c:strRef>
              <c:f>'Graficos de PCL y RI'!$B$143</c:f>
              <c:strCache>
                <c:ptCount val="1"/>
                <c:pt idx="0">
                  <c:v>C86-12</c:v>
                </c:pt>
              </c:strCache>
            </c:strRef>
          </c:tx>
          <c:spPr>
            <a:solidFill>
              <a:srgbClr val="FF0000"/>
            </a:solidFill>
            <a:ln>
              <a:noFill/>
            </a:ln>
            <a:effectLst/>
          </c:spPr>
          <c:invertIfNegative val="0"/>
          <c:cat>
            <c:strRef>
              <c:f>'Graficos de PCL y RI'!$C$142:$D$142</c:f>
              <c:strCache>
                <c:ptCount val="2"/>
                <c:pt idx="0">
                  <c:v>PCL</c:v>
                </c:pt>
                <c:pt idx="1">
                  <c:v>RI</c:v>
                </c:pt>
              </c:strCache>
            </c:strRef>
          </c:cat>
          <c:val>
            <c:numRef>
              <c:f>'Graficos de PCL y RI'!$C$143:$D$143</c:f>
              <c:numCache>
                <c:formatCode>General</c:formatCode>
                <c:ptCount val="2"/>
                <c:pt idx="0">
                  <c:v>22.68</c:v>
                </c:pt>
                <c:pt idx="1">
                  <c:v>19</c:v>
                </c:pt>
              </c:numCache>
            </c:numRef>
          </c:val>
        </c:ser>
        <c:ser>
          <c:idx val="1"/>
          <c:order val="1"/>
          <c:tx>
            <c:strRef>
              <c:f>'Graficos de PCL y RI'!$B$144</c:f>
              <c:strCache>
                <c:ptCount val="1"/>
                <c:pt idx="0">
                  <c:v>SP70-1284</c:v>
                </c:pt>
              </c:strCache>
            </c:strRef>
          </c:tx>
          <c:spPr>
            <a:solidFill>
              <a:srgbClr val="7030A0"/>
            </a:solidFill>
            <a:ln>
              <a:noFill/>
            </a:ln>
            <a:effectLst/>
          </c:spPr>
          <c:invertIfNegative val="0"/>
          <c:cat>
            <c:strRef>
              <c:f>'Graficos de PCL y RI'!$C$142:$D$142</c:f>
              <c:strCache>
                <c:ptCount val="2"/>
                <c:pt idx="0">
                  <c:v>PCL</c:v>
                </c:pt>
                <c:pt idx="1">
                  <c:v>RI</c:v>
                </c:pt>
              </c:strCache>
            </c:strRef>
          </c:cat>
          <c:val>
            <c:numRef>
              <c:f>'Graficos de PCL y RI'!$C$144:$D$144</c:f>
              <c:numCache>
                <c:formatCode>General</c:formatCode>
                <c:ptCount val="2"/>
                <c:pt idx="0">
                  <c:v>25.38</c:v>
                </c:pt>
                <c:pt idx="1">
                  <c:v>9.84</c:v>
                </c:pt>
              </c:numCache>
            </c:numRef>
          </c:val>
        </c:ser>
        <c:ser>
          <c:idx val="2"/>
          <c:order val="2"/>
          <c:tx>
            <c:strRef>
              <c:f>'Graficos de PCL y RI'!$B$145</c:f>
              <c:strCache>
                <c:ptCount val="1"/>
                <c:pt idx="0">
                  <c:v>C323-68</c:v>
                </c:pt>
              </c:strCache>
            </c:strRef>
          </c:tx>
          <c:spPr>
            <a:solidFill>
              <a:srgbClr val="00B050"/>
            </a:solidFill>
            <a:ln>
              <a:noFill/>
            </a:ln>
            <a:effectLst/>
          </c:spPr>
          <c:invertIfNegative val="0"/>
          <c:cat>
            <c:strRef>
              <c:f>'Graficos de PCL y RI'!$C$142:$D$142</c:f>
              <c:strCache>
                <c:ptCount val="2"/>
                <c:pt idx="0">
                  <c:v>PCL</c:v>
                </c:pt>
                <c:pt idx="1">
                  <c:v>RI</c:v>
                </c:pt>
              </c:strCache>
            </c:strRef>
          </c:cat>
          <c:val>
            <c:numRef>
              <c:f>'Graficos de PCL y RI'!$C$145:$D$145</c:f>
              <c:numCache>
                <c:formatCode>General</c:formatCode>
                <c:ptCount val="2"/>
                <c:pt idx="0">
                  <c:v>18.850000000000001</c:v>
                </c:pt>
                <c:pt idx="1">
                  <c:v>15.44</c:v>
                </c:pt>
              </c:numCache>
            </c:numRef>
          </c:val>
        </c:ser>
        <c:ser>
          <c:idx val="3"/>
          <c:order val="3"/>
          <c:tx>
            <c:strRef>
              <c:f>'Graficos de PCL y RI'!$B$146</c:f>
              <c:strCache>
                <c:ptCount val="1"/>
                <c:pt idx="0">
                  <c:v>C02-210</c:v>
                </c:pt>
              </c:strCache>
            </c:strRef>
          </c:tx>
          <c:spPr>
            <a:solidFill>
              <a:srgbClr val="0070C0"/>
            </a:solidFill>
            <a:ln>
              <a:noFill/>
            </a:ln>
            <a:effectLst/>
          </c:spPr>
          <c:invertIfNegative val="0"/>
          <c:cat>
            <c:strRef>
              <c:f>'Graficos de PCL y RI'!$C$142:$D$142</c:f>
              <c:strCache>
                <c:ptCount val="2"/>
                <c:pt idx="0">
                  <c:v>PCL</c:v>
                </c:pt>
                <c:pt idx="1">
                  <c:v>RI</c:v>
                </c:pt>
              </c:strCache>
            </c:strRef>
          </c:cat>
          <c:val>
            <c:numRef>
              <c:f>'Graficos de PCL y RI'!$C$146:$D$146</c:f>
              <c:numCache>
                <c:formatCode>General</c:formatCode>
                <c:ptCount val="2"/>
                <c:pt idx="0">
                  <c:v>17.260000000000002</c:v>
                </c:pt>
                <c:pt idx="1">
                  <c:v>16.62</c:v>
                </c:pt>
              </c:numCache>
            </c:numRef>
          </c:val>
        </c:ser>
        <c:dLbls>
          <c:showLegendKey val="0"/>
          <c:showVal val="0"/>
          <c:showCatName val="0"/>
          <c:showSerName val="0"/>
          <c:showPercent val="0"/>
          <c:showBubbleSize val="0"/>
        </c:dLbls>
        <c:gapWidth val="219"/>
        <c:overlap val="-27"/>
        <c:axId val="-1481852832"/>
        <c:axId val="-1472884992"/>
      </c:barChart>
      <c:catAx>
        <c:axId val="-148185283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b="1"/>
                  <a:t>Ciclos de plantación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2884992"/>
        <c:crosses val="autoZero"/>
        <c:auto val="1"/>
        <c:lblAlgn val="ctr"/>
        <c:lblOffset val="100"/>
        <c:noMultiLvlLbl val="0"/>
      </c:catAx>
      <c:valAx>
        <c:axId val="-147288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  </a:t>
                </a:r>
                <a:r>
                  <a:rPr lang="es-ES" b="1"/>
                  <a:t>t ha-1 </a:t>
                </a:r>
                <a:r>
                  <a:rPr lang="en-US" b="1"/>
                  <a:t>de azúcar</a:t>
                </a:r>
                <a:endParaRPr lang="es-E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1852832"/>
        <c:crosses val="autoZero"/>
        <c:crossBetween val="between"/>
      </c:valAx>
      <c:spPr>
        <a:noFill/>
        <a:ln>
          <a:noFill/>
        </a:ln>
        <a:effectLst/>
      </c:spPr>
    </c:plotArea>
    <c:legend>
      <c:legendPos val="r"/>
      <c:layout>
        <c:manualLayout>
          <c:xMode val="edge"/>
          <c:yMode val="edge"/>
          <c:x val="0.80226871641044883"/>
          <c:y val="0.13408522437080422"/>
          <c:w val="0.18196185476815399"/>
          <c:h val="0.270442408077217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'Graficos de PCL y RI'!$B$172</c:f>
              <c:strCache>
                <c:ptCount val="1"/>
                <c:pt idx="0">
                  <c:v>C86-12</c:v>
                </c:pt>
              </c:strCache>
            </c:strRef>
          </c:tx>
          <c:spPr>
            <a:solidFill>
              <a:srgbClr val="FF0000"/>
            </a:solidFill>
            <a:ln>
              <a:noFill/>
            </a:ln>
            <a:effectLst/>
          </c:spPr>
          <c:invertIfNegative val="0"/>
          <c:cat>
            <c:strRef>
              <c:f>'Graficos de PCL y RI'!$C$171:$D$171</c:f>
              <c:strCache>
                <c:ptCount val="2"/>
                <c:pt idx="0">
                  <c:v>PCL</c:v>
                </c:pt>
                <c:pt idx="1">
                  <c:v>RI</c:v>
                </c:pt>
              </c:strCache>
            </c:strRef>
          </c:cat>
          <c:val>
            <c:numRef>
              <c:f>'Graficos de PCL y RI'!$C$172:$D$172</c:f>
              <c:numCache>
                <c:formatCode>General</c:formatCode>
                <c:ptCount val="2"/>
                <c:pt idx="0">
                  <c:v>18.149999999999999</c:v>
                </c:pt>
                <c:pt idx="1">
                  <c:v>19.32</c:v>
                </c:pt>
              </c:numCache>
            </c:numRef>
          </c:val>
        </c:ser>
        <c:ser>
          <c:idx val="1"/>
          <c:order val="1"/>
          <c:tx>
            <c:strRef>
              <c:f>'Graficos de PCL y RI'!$B$173</c:f>
              <c:strCache>
                <c:ptCount val="1"/>
                <c:pt idx="0">
                  <c:v>SP70-1284</c:v>
                </c:pt>
              </c:strCache>
            </c:strRef>
          </c:tx>
          <c:spPr>
            <a:solidFill>
              <a:srgbClr val="7030A0"/>
            </a:solidFill>
            <a:ln>
              <a:noFill/>
            </a:ln>
            <a:effectLst/>
          </c:spPr>
          <c:invertIfNegative val="0"/>
          <c:cat>
            <c:strRef>
              <c:f>'Graficos de PCL y RI'!$C$171:$D$171</c:f>
              <c:strCache>
                <c:ptCount val="2"/>
                <c:pt idx="0">
                  <c:v>PCL</c:v>
                </c:pt>
                <c:pt idx="1">
                  <c:v>RI</c:v>
                </c:pt>
              </c:strCache>
            </c:strRef>
          </c:cat>
          <c:val>
            <c:numRef>
              <c:f>'Graficos de PCL y RI'!$C$173:$D$173</c:f>
              <c:numCache>
                <c:formatCode>General</c:formatCode>
                <c:ptCount val="2"/>
                <c:pt idx="0">
                  <c:v>16.079999999999998</c:v>
                </c:pt>
                <c:pt idx="1">
                  <c:v>17.170000000000002</c:v>
                </c:pt>
              </c:numCache>
            </c:numRef>
          </c:val>
        </c:ser>
        <c:ser>
          <c:idx val="2"/>
          <c:order val="2"/>
          <c:tx>
            <c:strRef>
              <c:f>'Graficos de PCL y RI'!$B$174</c:f>
              <c:strCache>
                <c:ptCount val="1"/>
                <c:pt idx="0">
                  <c:v>C323-68</c:v>
                </c:pt>
              </c:strCache>
            </c:strRef>
          </c:tx>
          <c:spPr>
            <a:solidFill>
              <a:srgbClr val="00B050"/>
            </a:solidFill>
            <a:ln>
              <a:noFill/>
            </a:ln>
            <a:effectLst/>
          </c:spPr>
          <c:invertIfNegative val="0"/>
          <c:cat>
            <c:strRef>
              <c:f>'Graficos de PCL y RI'!$C$171:$D$171</c:f>
              <c:strCache>
                <c:ptCount val="2"/>
                <c:pt idx="0">
                  <c:v>PCL</c:v>
                </c:pt>
                <c:pt idx="1">
                  <c:v>RI</c:v>
                </c:pt>
              </c:strCache>
            </c:strRef>
          </c:cat>
          <c:val>
            <c:numRef>
              <c:f>'Graficos de PCL y RI'!$C$174:$D$174</c:f>
              <c:numCache>
                <c:formatCode>General</c:formatCode>
                <c:ptCount val="2"/>
                <c:pt idx="0">
                  <c:v>17.09</c:v>
                </c:pt>
                <c:pt idx="1">
                  <c:v>17.71</c:v>
                </c:pt>
              </c:numCache>
            </c:numRef>
          </c:val>
        </c:ser>
        <c:ser>
          <c:idx val="3"/>
          <c:order val="3"/>
          <c:tx>
            <c:strRef>
              <c:f>'Graficos de PCL y RI'!$B$175</c:f>
              <c:strCache>
                <c:ptCount val="1"/>
                <c:pt idx="0">
                  <c:v>C02-210</c:v>
                </c:pt>
              </c:strCache>
            </c:strRef>
          </c:tx>
          <c:spPr>
            <a:solidFill>
              <a:srgbClr val="0070C0"/>
            </a:solidFill>
            <a:ln>
              <a:noFill/>
            </a:ln>
            <a:effectLst/>
          </c:spPr>
          <c:invertIfNegative val="0"/>
          <c:cat>
            <c:strRef>
              <c:f>'Graficos de PCL y RI'!$C$171:$D$171</c:f>
              <c:strCache>
                <c:ptCount val="2"/>
                <c:pt idx="0">
                  <c:v>PCL</c:v>
                </c:pt>
                <c:pt idx="1">
                  <c:v>RI</c:v>
                </c:pt>
              </c:strCache>
            </c:strRef>
          </c:cat>
          <c:val>
            <c:numRef>
              <c:f>'Graficos de PCL y RI'!$C$175:$D$175</c:f>
              <c:numCache>
                <c:formatCode>General</c:formatCode>
                <c:ptCount val="2"/>
                <c:pt idx="0">
                  <c:v>14.97</c:v>
                </c:pt>
                <c:pt idx="1">
                  <c:v>16.88</c:v>
                </c:pt>
              </c:numCache>
            </c:numRef>
          </c:val>
        </c:ser>
        <c:dLbls>
          <c:showLegendKey val="0"/>
          <c:showVal val="0"/>
          <c:showCatName val="0"/>
          <c:showSerName val="0"/>
          <c:showPercent val="0"/>
          <c:showBubbleSize val="0"/>
        </c:dLbls>
        <c:gapWidth val="219"/>
        <c:overlap val="-27"/>
        <c:axId val="-1541531520"/>
        <c:axId val="-1471084656"/>
      </c:barChart>
      <c:catAx>
        <c:axId val="-15415315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b="1">
                    <a:latin typeface="Times New Roman" panose="02020603050405020304" pitchFamily="18" charset="0"/>
                    <a:cs typeface="Times New Roman" panose="02020603050405020304" pitchFamily="18" charset="0"/>
                  </a:rPr>
                  <a:t>Ciclos de plantación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084656"/>
        <c:crosses val="autoZero"/>
        <c:auto val="1"/>
        <c:lblAlgn val="ctr"/>
        <c:lblOffset val="100"/>
        <c:noMultiLvlLbl val="0"/>
      </c:catAx>
      <c:valAx>
        <c:axId val="-1471084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PPC (%)</a:t>
                </a:r>
                <a:endParaRPr lang="es-E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1531520"/>
        <c:crosses val="autoZero"/>
        <c:crossBetween val="between"/>
      </c:valAx>
      <c:spPr>
        <a:noFill/>
        <a:ln>
          <a:noFill/>
        </a:ln>
        <a:effectLst/>
      </c:spPr>
    </c:plotArea>
    <c:legend>
      <c:legendPos val="r"/>
      <c:layout>
        <c:manualLayout>
          <c:xMode val="edge"/>
          <c:yMode val="edge"/>
          <c:x val="0.78431255468066496"/>
          <c:y val="0.14777085156022163"/>
          <c:w val="0.21568754012750702"/>
          <c:h val="0.324672316723768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b="1"/>
              <a:t>Curva de madurez</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102537182852151E-2"/>
          <c:y val="0.17171296296296323"/>
          <c:w val="0.90286351706036749"/>
          <c:h val="0.61498432487605659"/>
        </c:manualLayout>
      </c:layout>
      <c:lineChart>
        <c:grouping val="standard"/>
        <c:varyColors val="0"/>
        <c:ser>
          <c:idx val="0"/>
          <c:order val="0"/>
          <c:tx>
            <c:strRef>
              <c:f>'210 y 86-12'!$A$7</c:f>
              <c:strCache>
                <c:ptCount val="1"/>
                <c:pt idx="0">
                  <c:v>C02 - 210</c:v>
                </c:pt>
              </c:strCache>
            </c:strRef>
          </c:tx>
          <c:spPr>
            <a:ln w="28575" cap="rnd">
              <a:noFill/>
              <a:round/>
            </a:ln>
            <a:effectLst/>
          </c:spPr>
          <c:marker>
            <c:symbol val="none"/>
          </c:marker>
          <c:trendline>
            <c:name>C02 - 210</c:name>
            <c:spPr>
              <a:ln w="28575" cap="rnd">
                <a:solidFill>
                  <a:srgbClr val="0070C0"/>
                </a:solidFill>
                <a:prstDash val="solid"/>
              </a:ln>
              <a:effectLst/>
            </c:spPr>
            <c:trendlineType val="poly"/>
            <c:order val="2"/>
            <c:dispRSqr val="1"/>
            <c:dispEq val="1"/>
            <c:trendlineLbl>
              <c:layout>
                <c:manualLayout>
                  <c:x val="-0.40091272965879282"/>
                  <c:y val="0.2259900845727621"/>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0"/>
                      <a:t>y = -0,2808x2 + 2,7649x + 11,393</a:t>
                    </a:r>
                    <a:br>
                      <a:rPr lang="en-US" b="0"/>
                    </a:br>
                    <a:r>
                      <a:rPr lang="en-US" b="0"/>
                      <a:t>R² = 0,8385 (</a:t>
                    </a:r>
                    <a:r>
                      <a:rPr lang="en-US" b="1">
                        <a:solidFill>
                          <a:srgbClr val="0070C0"/>
                        </a:solidFill>
                      </a:rPr>
                      <a:t>C02 - 210</a:t>
                    </a:r>
                    <a:r>
                      <a:rPr lang="en-US" b="0"/>
                      <a:t>)</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'210 y 86-12'!$B$6:$H$6</c:f>
              <c:strCache>
                <c:ptCount val="7"/>
                <c:pt idx="0">
                  <c:v>nov.</c:v>
                </c:pt>
                <c:pt idx="1">
                  <c:v>dic.</c:v>
                </c:pt>
                <c:pt idx="2">
                  <c:v>ene.</c:v>
                </c:pt>
                <c:pt idx="3">
                  <c:v>feb.</c:v>
                </c:pt>
                <c:pt idx="4">
                  <c:v>marz.</c:v>
                </c:pt>
                <c:pt idx="5">
                  <c:v>abr.</c:v>
                </c:pt>
                <c:pt idx="6">
                  <c:v>mayo</c:v>
                </c:pt>
              </c:strCache>
            </c:strRef>
          </c:cat>
          <c:val>
            <c:numRef>
              <c:f>'210 y 86-12'!$B$7:$H$7</c:f>
              <c:numCache>
                <c:formatCode>General</c:formatCode>
                <c:ptCount val="7"/>
                <c:pt idx="0">
                  <c:v>14.22</c:v>
                </c:pt>
                <c:pt idx="1">
                  <c:v>15.72</c:v>
                </c:pt>
                <c:pt idx="2">
                  <c:v>16.600000000000001</c:v>
                </c:pt>
                <c:pt idx="3">
                  <c:v>17.47</c:v>
                </c:pt>
                <c:pt idx="4">
                  <c:v>18.670000000000005</c:v>
                </c:pt>
                <c:pt idx="5">
                  <c:v>18.97</c:v>
                </c:pt>
                <c:pt idx="6">
                  <c:v>16.2</c:v>
                </c:pt>
              </c:numCache>
            </c:numRef>
          </c:val>
          <c:smooth val="0"/>
        </c:ser>
        <c:ser>
          <c:idx val="1"/>
          <c:order val="1"/>
          <c:tx>
            <c:strRef>
              <c:f>'210 y 86-12'!$A$8</c:f>
              <c:strCache>
                <c:ptCount val="1"/>
                <c:pt idx="0">
                  <c:v>C86 - 12</c:v>
                </c:pt>
              </c:strCache>
            </c:strRef>
          </c:tx>
          <c:spPr>
            <a:ln w="28575" cap="rnd">
              <a:noFill/>
              <a:round/>
            </a:ln>
            <a:effectLst/>
          </c:spPr>
          <c:marker>
            <c:symbol val="none"/>
          </c:marker>
          <c:trendline>
            <c:name>C86 - 12</c:name>
            <c:spPr>
              <a:ln w="28575" cap="rnd">
                <a:solidFill>
                  <a:srgbClr val="FF0000"/>
                </a:solidFill>
                <a:prstDash val="solid"/>
              </a:ln>
              <a:effectLst/>
            </c:spPr>
            <c:trendlineType val="poly"/>
            <c:order val="2"/>
            <c:dispRSqr val="1"/>
            <c:dispEq val="1"/>
            <c:trendlineLbl>
              <c:layout>
                <c:manualLayout>
                  <c:x val="-9.1272965879265209E-4"/>
                  <c:y val="0.2424806794983961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0"/>
                      <a:t>y = -0,3023x2 + 2,9877x + 11,741</a:t>
                    </a:r>
                    <a:br>
                      <a:rPr lang="en-US" b="0"/>
                    </a:br>
                    <a:r>
                      <a:rPr lang="en-US" b="0"/>
                      <a:t>R² = 0,9068 (</a:t>
                    </a:r>
                    <a:r>
                      <a:rPr lang="en-US" b="1">
                        <a:solidFill>
                          <a:srgbClr val="FF0000"/>
                        </a:solidFill>
                      </a:rPr>
                      <a:t>C86 - 12</a:t>
                    </a:r>
                    <a:r>
                      <a:rPr lang="en-US" b="0"/>
                      <a:t>)</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cat>
            <c:strRef>
              <c:f>'210 y 86-12'!$B$6:$H$6</c:f>
              <c:strCache>
                <c:ptCount val="7"/>
                <c:pt idx="0">
                  <c:v>nov.</c:v>
                </c:pt>
                <c:pt idx="1">
                  <c:v>dic.</c:v>
                </c:pt>
                <c:pt idx="2">
                  <c:v>ene.</c:v>
                </c:pt>
                <c:pt idx="3">
                  <c:v>feb.</c:v>
                </c:pt>
                <c:pt idx="4">
                  <c:v>marz.</c:v>
                </c:pt>
                <c:pt idx="5">
                  <c:v>abr.</c:v>
                </c:pt>
                <c:pt idx="6">
                  <c:v>mayo</c:v>
                </c:pt>
              </c:strCache>
            </c:strRef>
          </c:cat>
          <c:val>
            <c:numRef>
              <c:f>'210 y 86-12'!$B$8:$H$8</c:f>
              <c:numCache>
                <c:formatCode>General</c:formatCode>
                <c:ptCount val="7"/>
                <c:pt idx="0">
                  <c:v>14.56</c:v>
                </c:pt>
                <c:pt idx="1">
                  <c:v>16.68</c:v>
                </c:pt>
                <c:pt idx="2">
                  <c:v>17.59</c:v>
                </c:pt>
                <c:pt idx="3">
                  <c:v>18.22</c:v>
                </c:pt>
                <c:pt idx="4">
                  <c:v>19.68</c:v>
                </c:pt>
                <c:pt idx="5">
                  <c:v>19.5</c:v>
                </c:pt>
                <c:pt idx="6">
                  <c:v>17.3</c:v>
                </c:pt>
              </c:numCache>
            </c:numRef>
          </c:val>
          <c:smooth val="0"/>
        </c:ser>
        <c:dLbls>
          <c:showLegendKey val="0"/>
          <c:showVal val="0"/>
          <c:showCatName val="0"/>
          <c:showSerName val="0"/>
          <c:showPercent val="0"/>
          <c:showBubbleSize val="0"/>
        </c:dLbls>
        <c:smooth val="0"/>
        <c:axId val="-1471087376"/>
        <c:axId val="-1471080304"/>
      </c:lineChart>
      <c:catAx>
        <c:axId val="-147108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080304"/>
        <c:crosses val="autoZero"/>
        <c:auto val="1"/>
        <c:lblAlgn val="ctr"/>
        <c:lblOffset val="100"/>
        <c:noMultiLvlLbl val="0"/>
      </c:catAx>
      <c:valAx>
        <c:axId val="-147108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08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0.63688</cdr:x>
      <cdr:y>0.38176</cdr:y>
    </cdr:from>
    <cdr:to>
      <cdr:x>0.69201</cdr:x>
      <cdr:y>0.49708</cdr:y>
    </cdr:to>
    <cdr:sp macro="" textlink="">
      <cdr:nvSpPr>
        <cdr:cNvPr id="2" name="CuadroTexto 1"/>
        <cdr:cNvSpPr txBox="1"/>
      </cdr:nvSpPr>
      <cdr:spPr>
        <a:xfrm xmlns:a="http://schemas.openxmlformats.org/drawingml/2006/main">
          <a:off x="2638424" y="914400"/>
          <a:ext cx="228393" cy="27622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0.70648</cdr:x>
      <cdr:y>0.31018</cdr:y>
    </cdr:from>
    <cdr:to>
      <cdr:x>0.74724</cdr:x>
      <cdr:y>0.48678</cdr:y>
    </cdr:to>
    <cdr:sp macro="" textlink="">
      <cdr:nvSpPr>
        <cdr:cNvPr id="3" name="CuadroTexto 2"/>
        <cdr:cNvSpPr txBox="1"/>
      </cdr:nvSpPr>
      <cdr:spPr>
        <a:xfrm xmlns:a="http://schemas.openxmlformats.org/drawingml/2006/main">
          <a:off x="2926763" y="742950"/>
          <a:ext cx="168862" cy="42299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0.77931</cdr:x>
      <cdr:y>0.56262</cdr:y>
    </cdr:from>
    <cdr:to>
      <cdr:x>1</cdr:x>
      <cdr:y>0.94433</cdr:y>
    </cdr:to>
    <cdr:sp macro="" textlink="">
      <cdr:nvSpPr>
        <cdr:cNvPr id="4" name="CuadroTexto 3"/>
        <cdr:cNvSpPr txBox="1"/>
      </cdr:nvSpPr>
      <cdr:spPr>
        <a:xfrm xmlns:a="http://schemas.openxmlformats.org/drawingml/2006/main">
          <a:off x="3228974" y="13477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0.26211</cdr:x>
      <cdr:y>0.12328</cdr:y>
    </cdr:from>
    <cdr:to>
      <cdr:x>0.31039</cdr:x>
      <cdr:y>0.2386</cdr:y>
    </cdr:to>
    <cdr:sp macro="" textlink="">
      <cdr:nvSpPr>
        <cdr:cNvPr id="5" name="CuadroTexto 4"/>
        <cdr:cNvSpPr txBox="1"/>
      </cdr:nvSpPr>
      <cdr:spPr>
        <a:xfrm xmlns:a="http://schemas.openxmlformats.org/drawingml/2006/main">
          <a:off x="1085849" y="295275"/>
          <a:ext cx="200025" cy="27622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0.37707</cdr:x>
      <cdr:y>0.27439</cdr:y>
    </cdr:from>
    <cdr:to>
      <cdr:x>0.42995</cdr:x>
      <cdr:y>0.34995</cdr:y>
    </cdr:to>
    <cdr:sp macro="" textlink="">
      <cdr:nvSpPr>
        <cdr:cNvPr id="6" name="CuadroTexto 5"/>
        <cdr:cNvSpPr txBox="1"/>
      </cdr:nvSpPr>
      <cdr:spPr>
        <a:xfrm xmlns:a="http://schemas.openxmlformats.org/drawingml/2006/main">
          <a:off x="1562100" y="657225"/>
          <a:ext cx="219075" cy="180974"/>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t>b</a:t>
          </a:r>
        </a:p>
      </cdr:txBody>
    </cdr:sp>
  </cdr:relSizeAnchor>
  <cdr:relSizeAnchor xmlns:cdr="http://schemas.openxmlformats.org/drawingml/2006/chartDrawing">
    <cdr:from>
      <cdr:x>0.19773</cdr:x>
      <cdr:y>0.26246</cdr:y>
    </cdr:from>
    <cdr:to>
      <cdr:x>0.24601</cdr:x>
      <cdr:y>0.33404</cdr:y>
    </cdr:to>
    <cdr:sp macro="" textlink="">
      <cdr:nvSpPr>
        <cdr:cNvPr id="7" name="CuadroTexto 6"/>
        <cdr:cNvSpPr txBox="1"/>
      </cdr:nvSpPr>
      <cdr:spPr>
        <a:xfrm xmlns:a="http://schemas.openxmlformats.org/drawingml/2006/main">
          <a:off x="819151" y="628650"/>
          <a:ext cx="200024" cy="17145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t>b</a:t>
          </a:r>
        </a:p>
      </cdr:txBody>
    </cdr:sp>
  </cdr:relSizeAnchor>
  <cdr:relSizeAnchor xmlns:cdr="http://schemas.openxmlformats.org/drawingml/2006/chartDrawing">
    <cdr:from>
      <cdr:x>0.32189</cdr:x>
      <cdr:y>0.33802</cdr:y>
    </cdr:from>
    <cdr:to>
      <cdr:x>0.35868</cdr:x>
      <cdr:y>0.40164</cdr:y>
    </cdr:to>
    <cdr:sp macro="" textlink="">
      <cdr:nvSpPr>
        <cdr:cNvPr id="8" name="CuadroTexto 7"/>
        <cdr:cNvSpPr txBox="1"/>
      </cdr:nvSpPr>
      <cdr:spPr>
        <a:xfrm xmlns:a="http://schemas.openxmlformats.org/drawingml/2006/main">
          <a:off x="1333501" y="809625"/>
          <a:ext cx="152399" cy="152399"/>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t>c</a:t>
          </a:r>
        </a:p>
      </cdr:txBody>
    </cdr:sp>
  </cdr:relSizeAnchor>
  <cdr:relSizeAnchor xmlns:cdr="http://schemas.openxmlformats.org/drawingml/2006/chartDrawing">
    <cdr:from>
      <cdr:x>0.52652</cdr:x>
      <cdr:y>0.31018</cdr:y>
    </cdr:from>
    <cdr:to>
      <cdr:x>0.5633</cdr:x>
      <cdr:y>0.48118</cdr:y>
    </cdr:to>
    <cdr:sp macro="" textlink="">
      <cdr:nvSpPr>
        <cdr:cNvPr id="9" name="CuadroTexto 8"/>
        <cdr:cNvSpPr txBox="1"/>
      </cdr:nvSpPr>
      <cdr:spPr>
        <a:xfrm xmlns:a="http://schemas.openxmlformats.org/drawingml/2006/main">
          <a:off x="2181225" y="742951"/>
          <a:ext cx="152400" cy="409574"/>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t>a</a:t>
          </a:r>
        </a:p>
      </cdr:txBody>
    </cdr:sp>
  </cdr:relSizeAnchor>
  <cdr:relSizeAnchor xmlns:cdr="http://schemas.openxmlformats.org/drawingml/2006/chartDrawing">
    <cdr:from>
      <cdr:x>0.58857</cdr:x>
      <cdr:y>0.49693</cdr:y>
    </cdr:from>
    <cdr:to>
      <cdr:x>0.62919</cdr:x>
      <cdr:y>0.56167</cdr:y>
    </cdr:to>
    <cdr:sp macro="" textlink="">
      <cdr:nvSpPr>
        <cdr:cNvPr id="12" name="CuadroTexto 11"/>
        <cdr:cNvSpPr txBox="1"/>
      </cdr:nvSpPr>
      <cdr:spPr>
        <a:xfrm xmlns:a="http://schemas.openxmlformats.org/drawingml/2006/main">
          <a:off x="2276475" y="1028700"/>
          <a:ext cx="157097" cy="134013"/>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0.1596</cdr:x>
      <cdr:y>0.2024</cdr:y>
    </cdr:from>
    <cdr:to>
      <cdr:x>0.21382</cdr:x>
      <cdr:y>0.30299</cdr:y>
    </cdr:to>
    <cdr:sp macro="" textlink="">
      <cdr:nvSpPr>
        <cdr:cNvPr id="2" name="CuadroTexto 1"/>
        <cdr:cNvSpPr txBox="1"/>
      </cdr:nvSpPr>
      <cdr:spPr>
        <a:xfrm xmlns:a="http://schemas.openxmlformats.org/drawingml/2006/main">
          <a:off x="636946" y="366300"/>
          <a:ext cx="216391" cy="182043"/>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0.21616</cdr:x>
      <cdr:y>0.14449</cdr:y>
    </cdr:from>
    <cdr:to>
      <cdr:x>0.2819</cdr:x>
      <cdr:y>0.24211</cdr:y>
    </cdr:to>
    <cdr:sp macro="" textlink="">
      <cdr:nvSpPr>
        <cdr:cNvPr id="3" name="CuadroTexto 2"/>
        <cdr:cNvSpPr txBox="1"/>
      </cdr:nvSpPr>
      <cdr:spPr>
        <a:xfrm xmlns:a="http://schemas.openxmlformats.org/drawingml/2006/main">
          <a:off x="862689" y="261491"/>
          <a:ext cx="262367" cy="176659"/>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0.28</cdr:x>
      <cdr:y>0.28288</cdr:y>
    </cdr:from>
    <cdr:to>
      <cdr:x>0.34286</cdr:x>
      <cdr:y>0.3958</cdr:y>
    </cdr:to>
    <cdr:sp macro="" textlink="">
      <cdr:nvSpPr>
        <cdr:cNvPr id="4" name="CuadroTexto 3"/>
        <cdr:cNvSpPr txBox="1"/>
      </cdr:nvSpPr>
      <cdr:spPr>
        <a:xfrm xmlns:a="http://schemas.openxmlformats.org/drawingml/2006/main">
          <a:off x="1117473" y="511943"/>
          <a:ext cx="250873" cy="204357"/>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0.33624</cdr:x>
      <cdr:y>0.31559</cdr:y>
    </cdr:from>
    <cdr:to>
      <cdr:x>0.4</cdr:x>
      <cdr:y>0.45263</cdr:y>
    </cdr:to>
    <cdr:sp macro="" textlink="">
      <cdr:nvSpPr>
        <cdr:cNvPr id="5" name="CuadroTexto 4"/>
        <cdr:cNvSpPr txBox="1"/>
      </cdr:nvSpPr>
      <cdr:spPr>
        <a:xfrm xmlns:a="http://schemas.openxmlformats.org/drawingml/2006/main">
          <a:off x="1341925" y="571139"/>
          <a:ext cx="254465" cy="248011"/>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0.46943</cdr:x>
      <cdr:y>0.26996</cdr:y>
    </cdr:from>
    <cdr:to>
      <cdr:x>0.5581</cdr:x>
      <cdr:y>0.41463</cdr:y>
    </cdr:to>
    <cdr:sp macro="" textlink="">
      <cdr:nvSpPr>
        <cdr:cNvPr id="6" name="CuadroTexto 5"/>
        <cdr:cNvSpPr txBox="1"/>
      </cdr:nvSpPr>
      <cdr:spPr>
        <a:xfrm xmlns:a="http://schemas.openxmlformats.org/drawingml/2006/main">
          <a:off x="1922668" y="527132"/>
          <a:ext cx="363170" cy="282494"/>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0.53333</cdr:x>
      <cdr:y>0.49183</cdr:y>
    </cdr:from>
    <cdr:to>
      <cdr:x>0.62095</cdr:x>
      <cdr:y>0.62927</cdr:y>
    </cdr:to>
    <cdr:sp macro="" textlink="">
      <cdr:nvSpPr>
        <cdr:cNvPr id="7" name="CuadroTexto 6"/>
        <cdr:cNvSpPr txBox="1"/>
      </cdr:nvSpPr>
      <cdr:spPr>
        <a:xfrm xmlns:a="http://schemas.openxmlformats.org/drawingml/2006/main">
          <a:off x="2184386" y="960360"/>
          <a:ext cx="358870" cy="26836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d</a:t>
          </a:r>
        </a:p>
      </cdr:txBody>
    </cdr:sp>
  </cdr:relSizeAnchor>
  <cdr:relSizeAnchor xmlns:cdr="http://schemas.openxmlformats.org/drawingml/2006/chartDrawing">
    <cdr:from>
      <cdr:x>0.59619</cdr:x>
      <cdr:y>0.34621</cdr:y>
    </cdr:from>
    <cdr:to>
      <cdr:x>0.66977</cdr:x>
      <cdr:y>0.50732</cdr:y>
    </cdr:to>
    <cdr:sp macro="" textlink="">
      <cdr:nvSpPr>
        <cdr:cNvPr id="8" name="CuadroTexto 7"/>
        <cdr:cNvSpPr txBox="1"/>
      </cdr:nvSpPr>
      <cdr:spPr>
        <a:xfrm xmlns:a="http://schemas.openxmlformats.org/drawingml/2006/main">
          <a:off x="2441845" y="676018"/>
          <a:ext cx="301355" cy="314582"/>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0.64847</cdr:x>
      <cdr:y>0.32319</cdr:y>
    </cdr:from>
    <cdr:to>
      <cdr:x>0.73905</cdr:x>
      <cdr:y>0.48669</cdr:y>
    </cdr:to>
    <cdr:sp macro="" textlink="">
      <cdr:nvSpPr>
        <cdr:cNvPr id="9" name="CuadroTexto 8"/>
        <cdr:cNvSpPr txBox="1"/>
      </cdr:nvSpPr>
      <cdr:spPr>
        <a:xfrm xmlns:a="http://schemas.openxmlformats.org/drawingml/2006/main">
          <a:off x="2828918" y="809625"/>
          <a:ext cx="395151" cy="409575"/>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0.18612</cdr:x>
      <cdr:y>0.1658</cdr:y>
    </cdr:from>
    <cdr:to>
      <cdr:x>0.27023</cdr:x>
      <cdr:y>0.25313</cdr:y>
    </cdr:to>
    <cdr:sp macro="" textlink="">
      <cdr:nvSpPr>
        <cdr:cNvPr id="2" name="CuadroTexto 1"/>
        <cdr:cNvSpPr txBox="1"/>
      </cdr:nvSpPr>
      <cdr:spPr>
        <a:xfrm xmlns:a="http://schemas.openxmlformats.org/drawingml/2006/main">
          <a:off x="664797" y="323743"/>
          <a:ext cx="300431" cy="170523"/>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0.49713</cdr:x>
      <cdr:y>0.14608</cdr:y>
    </cdr:from>
    <cdr:to>
      <cdr:x>0.5389</cdr:x>
      <cdr:y>0.23304</cdr:y>
    </cdr:to>
    <cdr:sp macro="" textlink="">
      <cdr:nvSpPr>
        <cdr:cNvPr id="3" name="CuadroTexto 2"/>
        <cdr:cNvSpPr txBox="1"/>
      </cdr:nvSpPr>
      <cdr:spPr>
        <a:xfrm xmlns:a="http://schemas.openxmlformats.org/drawingml/2006/main">
          <a:off x="1775674" y="285246"/>
          <a:ext cx="149198" cy="16980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a</a:t>
          </a:r>
        </a:p>
      </cdr:txBody>
    </cdr:sp>
  </cdr:relSizeAnchor>
  <cdr:relSizeAnchor xmlns:cdr="http://schemas.openxmlformats.org/drawingml/2006/chartDrawing">
    <cdr:from>
      <cdr:x>0.24354</cdr:x>
      <cdr:y>0.22411</cdr:y>
    </cdr:from>
    <cdr:to>
      <cdr:x>0.32324</cdr:x>
      <cdr:y>0.30315</cdr:y>
    </cdr:to>
    <cdr:sp macro="" textlink="">
      <cdr:nvSpPr>
        <cdr:cNvPr id="4" name="CuadroTexto 3"/>
        <cdr:cNvSpPr txBox="1"/>
      </cdr:nvSpPr>
      <cdr:spPr>
        <a:xfrm xmlns:a="http://schemas.openxmlformats.org/drawingml/2006/main">
          <a:off x="869906" y="437597"/>
          <a:ext cx="284679" cy="154336"/>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0.37375</cdr:x>
      <cdr:y>0.22263</cdr:y>
    </cdr:from>
    <cdr:to>
      <cdr:x>0.41138</cdr:x>
      <cdr:y>0.36363</cdr:y>
    </cdr:to>
    <cdr:sp macro="" textlink="">
      <cdr:nvSpPr>
        <cdr:cNvPr id="5" name="CuadroTexto 4"/>
        <cdr:cNvSpPr txBox="1"/>
      </cdr:nvSpPr>
      <cdr:spPr>
        <a:xfrm xmlns:a="http://schemas.openxmlformats.org/drawingml/2006/main">
          <a:off x="1334976" y="434719"/>
          <a:ext cx="134410" cy="275320"/>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0.63677</cdr:x>
      <cdr:y>0.20991</cdr:y>
    </cdr:from>
    <cdr:to>
      <cdr:x>0.70963</cdr:x>
      <cdr:y>0.29067</cdr:y>
    </cdr:to>
    <cdr:sp macro="" textlink="">
      <cdr:nvSpPr>
        <cdr:cNvPr id="6" name="CuadroTexto 5"/>
        <cdr:cNvSpPr txBox="1"/>
      </cdr:nvSpPr>
      <cdr:spPr>
        <a:xfrm xmlns:a="http://schemas.openxmlformats.org/drawingml/2006/main">
          <a:off x="2274451" y="409866"/>
          <a:ext cx="260246" cy="157694"/>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dr:relSizeAnchor xmlns:cdr="http://schemas.openxmlformats.org/drawingml/2006/chartDrawing">
    <cdr:from>
      <cdr:x>0.58673</cdr:x>
      <cdr:y>0.18488</cdr:y>
    </cdr:from>
    <cdr:to>
      <cdr:x>0.66437</cdr:x>
      <cdr:y>0.26702</cdr:y>
    </cdr:to>
    <cdr:sp macro="" textlink="">
      <cdr:nvSpPr>
        <cdr:cNvPr id="7" name="CuadroTexto 6"/>
        <cdr:cNvSpPr txBox="1"/>
      </cdr:nvSpPr>
      <cdr:spPr>
        <a:xfrm xmlns:a="http://schemas.openxmlformats.org/drawingml/2006/main">
          <a:off x="2095738" y="360999"/>
          <a:ext cx="277320" cy="160389"/>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0.29438</cdr:x>
      <cdr:y>0.19758</cdr:y>
    </cdr:from>
    <cdr:to>
      <cdr:x>0.3798</cdr:x>
      <cdr:y>0.28091</cdr:y>
    </cdr:to>
    <cdr:sp macro="" textlink="">
      <cdr:nvSpPr>
        <cdr:cNvPr id="8" name="CuadroTexto 7"/>
        <cdr:cNvSpPr txBox="1"/>
      </cdr:nvSpPr>
      <cdr:spPr>
        <a:xfrm xmlns:a="http://schemas.openxmlformats.org/drawingml/2006/main">
          <a:off x="1051477" y="385798"/>
          <a:ext cx="305109" cy="162712"/>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b</a:t>
          </a:r>
        </a:p>
      </cdr:txBody>
    </cdr:sp>
  </cdr:relSizeAnchor>
  <cdr:relSizeAnchor xmlns:cdr="http://schemas.openxmlformats.org/drawingml/2006/chartDrawing">
    <cdr:from>
      <cdr:x>0.5188</cdr:x>
      <cdr:y>0.20333</cdr:y>
    </cdr:from>
    <cdr:to>
      <cdr:x>0.61917</cdr:x>
      <cdr:y>0.27967</cdr:y>
    </cdr:to>
    <cdr:sp macro="" textlink="">
      <cdr:nvSpPr>
        <cdr:cNvPr id="9" name="CuadroTexto 8"/>
        <cdr:cNvSpPr txBox="1"/>
      </cdr:nvSpPr>
      <cdr:spPr>
        <a:xfrm xmlns:a="http://schemas.openxmlformats.org/drawingml/2006/main">
          <a:off x="1853094" y="397027"/>
          <a:ext cx="358509" cy="149063"/>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s-ES" sz="1100" b="1">
              <a:latin typeface="Arial" panose="020B0604020202020204" pitchFamily="34" charset="0"/>
              <a:cs typeface="Arial" panose="020B0604020202020204" pitchFamily="34" charset="0"/>
            </a:rPr>
            <a:t>c</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2589</Words>
  <Characters>14759</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2</cp:revision>
  <cp:lastPrinted>2017-03-02T19:45:00Z</cp:lastPrinted>
  <dcterms:created xsi:type="dcterms:W3CDTF">2019-05-03T14:58:00Z</dcterms:created>
  <dcterms:modified xsi:type="dcterms:W3CDTF">2019-05-03T14:58:00Z</dcterms:modified>
</cp:coreProperties>
</file>