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8147DE" w:rsidRDefault="009D67CD" w:rsidP="00487407">
      <w:pPr>
        <w:spacing w:after="0"/>
        <w:rPr>
          <w:rFonts w:ascii="Times New Roman" w:hAnsi="Times New Roman" w:cs="Times New Roman"/>
          <w:b/>
          <w:sz w:val="28"/>
          <w:szCs w:val="28"/>
        </w:rPr>
      </w:pPr>
      <w:bookmarkStart w:id="0" w:name="_GoBack"/>
      <w:bookmarkEnd w:id="0"/>
    </w:p>
    <w:p w:rsidR="00487407" w:rsidRPr="008147DE" w:rsidRDefault="00487407" w:rsidP="00487407">
      <w:pPr>
        <w:spacing w:after="0"/>
        <w:jc w:val="center"/>
        <w:rPr>
          <w:rFonts w:ascii="Times New Roman" w:hAnsi="Times New Roman" w:cs="Times New Roman"/>
          <w:b/>
          <w:sz w:val="24"/>
          <w:szCs w:val="24"/>
        </w:rPr>
      </w:pPr>
      <w:r w:rsidRPr="008147DE">
        <w:rPr>
          <w:rFonts w:ascii="Times New Roman" w:hAnsi="Times New Roman" w:cs="Times New Roman"/>
          <w:b/>
          <w:bCs/>
          <w:sz w:val="24"/>
          <w:szCs w:val="24"/>
        </w:rPr>
        <w:t xml:space="preserve">IX SIMPOSIO DE MEDICINA VETERINARIA Y ZOOTECNIA </w:t>
      </w:r>
    </w:p>
    <w:p w:rsidR="00D81DCA" w:rsidRPr="00D81DCA" w:rsidRDefault="00D81DCA" w:rsidP="00667F10">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sz w:val="24"/>
          <w:szCs w:val="24"/>
        </w:rPr>
      </w:pPr>
    </w:p>
    <w:p w:rsidR="008A1C16" w:rsidRPr="008147DE" w:rsidRDefault="008A1C16" w:rsidP="008147DE">
      <w:pPr>
        <w:spacing w:after="0"/>
        <w:jc w:val="center"/>
        <w:rPr>
          <w:rFonts w:ascii="Times New Roman" w:hAnsi="Times New Roman" w:cs="Times New Roman"/>
          <w:b/>
          <w:sz w:val="24"/>
          <w:szCs w:val="24"/>
        </w:rPr>
      </w:pPr>
      <w:r w:rsidRPr="008147DE">
        <w:rPr>
          <w:rFonts w:ascii="Times New Roman" w:hAnsi="Times New Roman" w:cs="Times New Roman"/>
          <w:b/>
          <w:sz w:val="24"/>
          <w:szCs w:val="24"/>
        </w:rPr>
        <w:t>Título</w:t>
      </w:r>
    </w:p>
    <w:p w:rsidR="00487407" w:rsidRPr="00487407" w:rsidRDefault="00487407" w:rsidP="008147DE">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487407">
        <w:rPr>
          <w:rFonts w:ascii="Times New Roman" w:eastAsia="Calibri" w:hAnsi="Times New Roman" w:cs="Times New Roman"/>
          <w:b/>
          <w:bCs/>
          <w:color w:val="000000"/>
          <w:sz w:val="24"/>
          <w:szCs w:val="24"/>
        </w:rPr>
        <w:t>EFECTO DEL MYCOFIX SELECT MTV SOBRE LA OCURRENCIA DE DIARREA</w:t>
      </w:r>
      <w:r w:rsidRPr="008147DE">
        <w:rPr>
          <w:rFonts w:ascii="Times New Roman" w:eastAsia="Calibri" w:hAnsi="Times New Roman" w:cs="Times New Roman"/>
          <w:b/>
          <w:bCs/>
          <w:color w:val="000000"/>
          <w:sz w:val="24"/>
          <w:szCs w:val="24"/>
        </w:rPr>
        <w:t xml:space="preserve"> Y ALGUNOS INDICADORES DE SALUD</w:t>
      </w:r>
    </w:p>
    <w:p w:rsidR="00487407" w:rsidRPr="008147DE" w:rsidRDefault="00487407" w:rsidP="008147DE">
      <w:pPr>
        <w:spacing w:after="0"/>
        <w:jc w:val="center"/>
        <w:rPr>
          <w:rFonts w:ascii="Times New Roman" w:hAnsi="Times New Roman" w:cs="Times New Roman"/>
          <w:b/>
          <w:sz w:val="24"/>
          <w:szCs w:val="24"/>
        </w:rPr>
      </w:pPr>
    </w:p>
    <w:p w:rsidR="008A1C16" w:rsidRPr="008147DE" w:rsidRDefault="008A1C16" w:rsidP="008147DE">
      <w:pPr>
        <w:spacing w:after="0"/>
        <w:jc w:val="center"/>
        <w:rPr>
          <w:rFonts w:ascii="Times New Roman" w:hAnsi="Times New Roman" w:cs="Times New Roman"/>
          <w:b/>
          <w:i/>
          <w:sz w:val="24"/>
          <w:szCs w:val="24"/>
          <w:lang w:val="en-CA"/>
        </w:rPr>
      </w:pPr>
      <w:r w:rsidRPr="008147DE">
        <w:rPr>
          <w:rFonts w:ascii="Times New Roman" w:hAnsi="Times New Roman" w:cs="Times New Roman"/>
          <w:b/>
          <w:i/>
          <w:sz w:val="24"/>
          <w:szCs w:val="24"/>
          <w:lang w:val="en-CA"/>
        </w:rPr>
        <w:t>Title</w:t>
      </w:r>
    </w:p>
    <w:p w:rsidR="00487407" w:rsidRPr="008147DE" w:rsidRDefault="00487407" w:rsidP="0081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 w:eastAsia="es-ES"/>
        </w:rPr>
      </w:pPr>
      <w:r w:rsidRPr="00487407">
        <w:rPr>
          <w:rFonts w:ascii="Times New Roman" w:eastAsia="Times New Roman" w:hAnsi="Times New Roman" w:cs="Times New Roman"/>
          <w:b/>
          <w:sz w:val="24"/>
          <w:szCs w:val="24"/>
          <w:lang w:val="en" w:eastAsia="es-ES"/>
        </w:rPr>
        <w:t>EFFECT OF MYCOFIX SELECT MTV ON THE OCCURRENCE OF DIARRHEA AND SOME HEALTH INDICATORS</w:t>
      </w:r>
    </w:p>
    <w:p w:rsidR="00487407" w:rsidRPr="00487407" w:rsidRDefault="00487407" w:rsidP="00487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eastAsia="es-ES"/>
        </w:rPr>
      </w:pPr>
    </w:p>
    <w:p w:rsidR="00487407" w:rsidRPr="008147DE" w:rsidRDefault="00487407" w:rsidP="00667F10">
      <w:pPr>
        <w:spacing w:after="0"/>
        <w:jc w:val="center"/>
        <w:rPr>
          <w:rFonts w:ascii="Times New Roman" w:hAnsi="Times New Roman" w:cs="Times New Roman"/>
          <w:b/>
          <w:sz w:val="24"/>
          <w:szCs w:val="24"/>
        </w:rPr>
      </w:pPr>
      <w:r w:rsidRPr="008147DE">
        <w:rPr>
          <w:rFonts w:ascii="Times New Roman" w:hAnsi="Times New Roman" w:cs="Times New Roman"/>
          <w:b/>
          <w:sz w:val="24"/>
          <w:szCs w:val="24"/>
        </w:rPr>
        <w:t>Leonel Lazo Pérez</w:t>
      </w:r>
      <w:r w:rsidRPr="008147DE">
        <w:rPr>
          <w:rFonts w:ascii="Times New Roman" w:hAnsi="Times New Roman" w:cs="Times New Roman"/>
          <w:b/>
          <w:sz w:val="24"/>
          <w:szCs w:val="24"/>
          <w:vertAlign w:val="superscript"/>
        </w:rPr>
        <w:t>1</w:t>
      </w:r>
      <w:r w:rsidRPr="008147DE">
        <w:rPr>
          <w:rFonts w:ascii="Times New Roman" w:hAnsi="Times New Roman" w:cs="Times New Roman"/>
          <w:b/>
          <w:sz w:val="24"/>
          <w:szCs w:val="24"/>
        </w:rPr>
        <w:t>, Daniel Peralta Fernández</w:t>
      </w:r>
      <w:r w:rsidRPr="008147DE">
        <w:rPr>
          <w:rFonts w:ascii="Times New Roman" w:hAnsi="Times New Roman" w:cs="Times New Roman"/>
          <w:b/>
          <w:sz w:val="24"/>
          <w:szCs w:val="24"/>
          <w:vertAlign w:val="superscript"/>
        </w:rPr>
        <w:t>2</w:t>
      </w:r>
      <w:r w:rsidRPr="008147DE">
        <w:rPr>
          <w:rFonts w:ascii="Times New Roman" w:hAnsi="Times New Roman" w:cs="Times New Roman"/>
          <w:b/>
          <w:sz w:val="24"/>
          <w:szCs w:val="24"/>
        </w:rPr>
        <w:t xml:space="preserve">, </w:t>
      </w:r>
      <w:r w:rsidR="008147DE" w:rsidRPr="008147DE">
        <w:rPr>
          <w:rFonts w:ascii="Times New Roman" w:hAnsi="Times New Roman" w:cs="Times New Roman"/>
          <w:b/>
          <w:sz w:val="24"/>
          <w:szCs w:val="24"/>
        </w:rPr>
        <w:t>Guillermo Lázaro Fernández Álvarez</w:t>
      </w:r>
      <w:r w:rsidR="00111D55" w:rsidRPr="008147DE">
        <w:rPr>
          <w:rFonts w:ascii="Times New Roman" w:hAnsi="Times New Roman" w:cs="Times New Roman"/>
          <w:b/>
          <w:sz w:val="24"/>
          <w:szCs w:val="24"/>
        </w:rPr>
        <w:t xml:space="preserve"> </w:t>
      </w:r>
      <w:r w:rsidRPr="008147DE">
        <w:rPr>
          <w:rFonts w:ascii="Times New Roman" w:hAnsi="Times New Roman" w:cs="Times New Roman"/>
          <w:b/>
          <w:sz w:val="24"/>
          <w:szCs w:val="24"/>
          <w:vertAlign w:val="superscript"/>
        </w:rPr>
        <w:t>3</w:t>
      </w:r>
      <w:r w:rsidRPr="008147DE">
        <w:rPr>
          <w:rFonts w:ascii="Times New Roman" w:hAnsi="Times New Roman" w:cs="Times New Roman"/>
          <w:b/>
          <w:sz w:val="24"/>
          <w:szCs w:val="24"/>
        </w:rPr>
        <w:t>, Marisol Gutiérrez Parra</w:t>
      </w:r>
      <w:r w:rsidRPr="008147DE">
        <w:rPr>
          <w:rFonts w:ascii="Times New Roman" w:hAnsi="Times New Roman" w:cs="Times New Roman"/>
          <w:b/>
          <w:sz w:val="24"/>
          <w:szCs w:val="24"/>
          <w:vertAlign w:val="superscript"/>
        </w:rPr>
        <w:t>4</w:t>
      </w:r>
      <w:r w:rsidRPr="008147DE">
        <w:rPr>
          <w:rFonts w:ascii="Times New Roman" w:hAnsi="Times New Roman" w:cs="Times New Roman"/>
          <w:b/>
          <w:sz w:val="24"/>
          <w:szCs w:val="24"/>
        </w:rPr>
        <w:t>, Álvaro Áreas Vega</w:t>
      </w:r>
      <w:r w:rsidRPr="008147DE">
        <w:rPr>
          <w:rFonts w:ascii="Times New Roman" w:hAnsi="Times New Roman" w:cs="Times New Roman"/>
          <w:b/>
          <w:sz w:val="24"/>
          <w:szCs w:val="24"/>
          <w:vertAlign w:val="superscript"/>
        </w:rPr>
        <w:t>5</w:t>
      </w:r>
      <w:r w:rsidRPr="008147DE">
        <w:rPr>
          <w:rFonts w:ascii="Times New Roman" w:hAnsi="Times New Roman" w:cs="Times New Roman"/>
          <w:b/>
          <w:sz w:val="24"/>
          <w:szCs w:val="24"/>
        </w:rPr>
        <w:t>.</w:t>
      </w:r>
    </w:p>
    <w:p w:rsidR="009D5E02" w:rsidRPr="00487407" w:rsidRDefault="009D5E02" w:rsidP="00FF3346">
      <w:pPr>
        <w:spacing w:after="0" w:line="360" w:lineRule="auto"/>
        <w:rPr>
          <w:rFonts w:ascii="Times New Roman" w:hAnsi="Times New Roman" w:cs="Times New Roman"/>
          <w:b/>
          <w:sz w:val="24"/>
          <w:szCs w:val="24"/>
        </w:rPr>
      </w:pPr>
    </w:p>
    <w:p w:rsidR="008C6DC2" w:rsidRPr="00487407" w:rsidRDefault="008C6DC2" w:rsidP="00487407">
      <w:pPr>
        <w:pStyle w:val="Prrafodelista"/>
        <w:numPr>
          <w:ilvl w:val="0"/>
          <w:numId w:val="6"/>
        </w:numPr>
        <w:spacing w:after="0" w:line="360" w:lineRule="auto"/>
        <w:jc w:val="both"/>
        <w:rPr>
          <w:rFonts w:ascii="Times New Roman" w:eastAsia="Calibri" w:hAnsi="Times New Roman" w:cs="Times New Roman"/>
          <w:color w:val="000000"/>
          <w:sz w:val="24"/>
          <w:szCs w:val="24"/>
          <w:u w:val="single"/>
        </w:rPr>
      </w:pPr>
      <w:r w:rsidRPr="00487407">
        <w:rPr>
          <w:rFonts w:ascii="Times New Roman" w:eastAsia="Calibri" w:hAnsi="Times New Roman" w:cs="Times New Roman"/>
          <w:color w:val="000000"/>
          <w:sz w:val="24"/>
          <w:szCs w:val="24"/>
        </w:rPr>
        <w:t xml:space="preserve">Universidad </w:t>
      </w:r>
      <w:r w:rsidR="00487407" w:rsidRPr="00487407">
        <w:rPr>
          <w:rFonts w:ascii="Times New Roman" w:eastAsia="Calibri" w:hAnsi="Times New Roman" w:cs="Times New Roman"/>
          <w:color w:val="000000"/>
          <w:sz w:val="24"/>
          <w:szCs w:val="24"/>
        </w:rPr>
        <w:t>Central “Marta Abreu” de Las Villas. Departamento de Medicina Veterinaria y Zootecnia. Facultad de Ciencias Agropecuarias</w:t>
      </w:r>
      <w:r w:rsidRPr="00487407">
        <w:rPr>
          <w:rFonts w:ascii="Times New Roman" w:eastAsia="Calibri" w:hAnsi="Times New Roman" w:cs="Times New Roman"/>
          <w:color w:val="000000"/>
          <w:sz w:val="24"/>
          <w:szCs w:val="24"/>
        </w:rPr>
        <w:t xml:space="preserve">. </w:t>
      </w:r>
      <w:r w:rsidR="00487407" w:rsidRPr="00487407">
        <w:rPr>
          <w:rFonts w:ascii="Times New Roman" w:eastAsia="Calibri" w:hAnsi="Times New Roman" w:cs="Times New Roman"/>
          <w:color w:val="000000"/>
          <w:sz w:val="24"/>
          <w:szCs w:val="24"/>
        </w:rPr>
        <w:t>Cuba.</w:t>
      </w:r>
      <w:r w:rsidRPr="00487407">
        <w:rPr>
          <w:rFonts w:ascii="Times New Roman" w:eastAsia="Calibri" w:hAnsi="Times New Roman" w:cs="Times New Roman"/>
          <w:color w:val="000000"/>
          <w:sz w:val="24"/>
          <w:szCs w:val="24"/>
        </w:rPr>
        <w:t xml:space="preserve"> E-mail: </w:t>
      </w:r>
      <w:hyperlink r:id="rId8" w:history="1">
        <w:r w:rsidR="00487407" w:rsidRPr="00487407">
          <w:rPr>
            <w:rStyle w:val="Hipervnculo"/>
            <w:rFonts w:ascii="Times New Roman" w:eastAsia="Calibri" w:hAnsi="Times New Roman" w:cs="Times New Roman"/>
            <w:sz w:val="24"/>
            <w:szCs w:val="24"/>
          </w:rPr>
          <w:t>lazo@uclv.edu.cu</w:t>
        </w:r>
      </w:hyperlink>
      <w:r w:rsidRPr="00487407">
        <w:rPr>
          <w:rFonts w:ascii="Times New Roman" w:eastAsia="Calibri" w:hAnsi="Times New Roman" w:cs="Times New Roman"/>
          <w:color w:val="000000"/>
          <w:sz w:val="24"/>
          <w:szCs w:val="24"/>
          <w:u w:val="single"/>
        </w:rPr>
        <w:t xml:space="preserve">. </w:t>
      </w:r>
    </w:p>
    <w:p w:rsidR="00487407" w:rsidRDefault="00487407" w:rsidP="00487407">
      <w:pPr>
        <w:pStyle w:val="Prrafodelista"/>
        <w:numPr>
          <w:ilvl w:val="0"/>
          <w:numId w:val="6"/>
        </w:num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Empresa Porcina de Villa Clara</w:t>
      </w:r>
      <w:r w:rsidR="00111D55">
        <w:rPr>
          <w:rFonts w:ascii="Times New Roman" w:eastAsia="Calibri" w:hAnsi="Times New Roman" w:cs="Times New Roman"/>
          <w:color w:val="000000"/>
          <w:sz w:val="24"/>
          <w:szCs w:val="24"/>
        </w:rPr>
        <w:t xml:space="preserve">. Cuba. </w:t>
      </w:r>
    </w:p>
    <w:p w:rsidR="00487407" w:rsidRDefault="00111D55" w:rsidP="00487407">
      <w:pPr>
        <w:pStyle w:val="Prrafodelista"/>
        <w:numPr>
          <w:ilvl w:val="0"/>
          <w:numId w:val="6"/>
        </w:num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Grupo Empresarial AZCUBA. Villa Clara. Cuba.</w:t>
      </w:r>
    </w:p>
    <w:p w:rsidR="00111D55" w:rsidRDefault="00111D55" w:rsidP="00111D55">
      <w:pPr>
        <w:pStyle w:val="Prrafodelista"/>
        <w:numPr>
          <w:ilvl w:val="0"/>
          <w:numId w:val="6"/>
        </w:numPr>
        <w:spacing w:after="0" w:line="360" w:lineRule="auto"/>
        <w:jc w:val="both"/>
        <w:rPr>
          <w:rFonts w:ascii="Times New Roman" w:eastAsia="Calibri" w:hAnsi="Times New Roman" w:cs="Times New Roman"/>
          <w:color w:val="000000"/>
          <w:sz w:val="24"/>
          <w:szCs w:val="24"/>
        </w:rPr>
      </w:pPr>
      <w:r w:rsidRPr="00111D55">
        <w:rPr>
          <w:rFonts w:ascii="Times New Roman" w:eastAsia="Calibri" w:hAnsi="Times New Roman" w:cs="Times New Roman"/>
          <w:color w:val="000000"/>
          <w:sz w:val="24"/>
          <w:szCs w:val="24"/>
        </w:rPr>
        <w:t>Universidad Central “Marta Abreu” de Las Villas. Departamento de Medicina Veterinaria y Zootecnia. Facu</w:t>
      </w:r>
      <w:r w:rsidR="008C29BE">
        <w:rPr>
          <w:rFonts w:ascii="Times New Roman" w:eastAsia="Calibri" w:hAnsi="Times New Roman" w:cs="Times New Roman"/>
          <w:color w:val="000000"/>
          <w:sz w:val="24"/>
          <w:szCs w:val="24"/>
        </w:rPr>
        <w:t xml:space="preserve">ltad de Ciencias Agropecuarias. </w:t>
      </w:r>
      <w:r w:rsidRPr="00111D55">
        <w:rPr>
          <w:rFonts w:ascii="Times New Roman" w:eastAsia="Calibri" w:hAnsi="Times New Roman" w:cs="Times New Roman"/>
          <w:color w:val="000000"/>
          <w:sz w:val="24"/>
          <w:szCs w:val="24"/>
        </w:rPr>
        <w:t>Cuba. E-mail:</w:t>
      </w:r>
      <w:r w:rsidR="008C29BE">
        <w:rPr>
          <w:rFonts w:ascii="Times New Roman" w:eastAsia="Calibri" w:hAnsi="Times New Roman" w:cs="Times New Roman"/>
          <w:color w:val="000000"/>
          <w:sz w:val="24"/>
          <w:szCs w:val="24"/>
        </w:rPr>
        <w:t xml:space="preserve"> </w:t>
      </w:r>
      <w:hyperlink r:id="rId9" w:history="1">
        <w:r w:rsidR="008C29BE" w:rsidRPr="00D36079">
          <w:rPr>
            <w:rStyle w:val="Hipervnculo"/>
            <w:rFonts w:ascii="Times New Roman" w:eastAsia="Calibri" w:hAnsi="Times New Roman" w:cs="Times New Roman"/>
            <w:sz w:val="24"/>
            <w:szCs w:val="24"/>
          </w:rPr>
          <w:t>marisolgp@uclv.cu</w:t>
        </w:r>
      </w:hyperlink>
    </w:p>
    <w:p w:rsidR="008C29BE" w:rsidRDefault="008C29BE" w:rsidP="008C29BE">
      <w:pPr>
        <w:pStyle w:val="Prrafodelista"/>
        <w:numPr>
          <w:ilvl w:val="0"/>
          <w:numId w:val="6"/>
        </w:numPr>
        <w:spacing w:after="0" w:line="360" w:lineRule="auto"/>
        <w:jc w:val="both"/>
        <w:rPr>
          <w:rFonts w:ascii="Times New Roman" w:eastAsia="Calibri" w:hAnsi="Times New Roman" w:cs="Times New Roman"/>
          <w:color w:val="000000"/>
          <w:sz w:val="24"/>
          <w:szCs w:val="24"/>
        </w:rPr>
      </w:pPr>
      <w:r w:rsidRPr="008C29BE">
        <w:rPr>
          <w:rFonts w:ascii="Times New Roman" w:eastAsia="Calibri" w:hAnsi="Times New Roman" w:cs="Times New Roman"/>
          <w:color w:val="000000"/>
          <w:sz w:val="24"/>
          <w:szCs w:val="24"/>
        </w:rPr>
        <w:t>Universidad Central “Marta Abreu” de Las Villas. Departamento de Medicina Veterinaria y Zootecnia. Facultad de Ciencias Agropecuarias. Cuba. E-mail:</w:t>
      </w:r>
      <w:r>
        <w:rPr>
          <w:rFonts w:ascii="Times New Roman" w:eastAsia="Calibri" w:hAnsi="Times New Roman" w:cs="Times New Roman"/>
          <w:color w:val="000000"/>
          <w:sz w:val="24"/>
          <w:szCs w:val="24"/>
        </w:rPr>
        <w:t xml:space="preserve"> </w:t>
      </w:r>
      <w:hyperlink r:id="rId10" w:history="1">
        <w:r w:rsidR="008147DE" w:rsidRPr="00D36079">
          <w:rPr>
            <w:rStyle w:val="Hipervnculo"/>
            <w:rFonts w:ascii="Times New Roman" w:eastAsia="Calibri" w:hAnsi="Times New Roman" w:cs="Times New Roman"/>
            <w:sz w:val="24"/>
            <w:szCs w:val="24"/>
          </w:rPr>
          <w:t>alvaroa@uclv.edu.cu</w:t>
        </w:r>
      </w:hyperlink>
    </w:p>
    <w:p w:rsidR="008C29BE" w:rsidRPr="003F10FD" w:rsidRDefault="008C29BE" w:rsidP="003F10FD">
      <w:pPr>
        <w:spacing w:after="0" w:line="360" w:lineRule="auto"/>
        <w:jc w:val="both"/>
        <w:rPr>
          <w:rFonts w:ascii="Times New Roman" w:eastAsia="Calibri" w:hAnsi="Times New Roman" w:cs="Times New Roman"/>
          <w:color w:val="000000"/>
          <w:sz w:val="24"/>
          <w:szCs w:val="24"/>
        </w:rPr>
      </w:pPr>
    </w:p>
    <w:p w:rsidR="003A2D8B" w:rsidRPr="008147DE" w:rsidRDefault="008A1C16" w:rsidP="008147DE">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8147DE" w:rsidRPr="008147DE">
        <w:rPr>
          <w:rFonts w:ascii="Times New Roman" w:hAnsi="Times New Roman" w:cs="Times New Roman"/>
          <w:color w:val="000000"/>
          <w:sz w:val="24"/>
          <w:szCs w:val="24"/>
        </w:rPr>
        <w:t xml:space="preserve">El objetivo general del presente trabajo fue evaluar el efecto del Mycofix Select MTV en un nivel de inclusión de 0,1% en el alimento sobre la ocurrencia de diarreas y parámetros hematológicos, </w:t>
      </w:r>
      <w:proofErr w:type="spellStart"/>
      <w:r w:rsidR="008147DE" w:rsidRPr="008147DE">
        <w:rPr>
          <w:rFonts w:ascii="Times New Roman" w:hAnsi="Times New Roman" w:cs="Times New Roman"/>
          <w:color w:val="000000"/>
          <w:sz w:val="24"/>
          <w:szCs w:val="24"/>
        </w:rPr>
        <w:t>hemoquimico</w:t>
      </w:r>
      <w:proofErr w:type="spellEnd"/>
      <w:r w:rsidR="008147DE" w:rsidRPr="008147DE">
        <w:rPr>
          <w:rFonts w:ascii="Times New Roman" w:hAnsi="Times New Roman" w:cs="Times New Roman"/>
          <w:color w:val="000000"/>
          <w:sz w:val="24"/>
          <w:szCs w:val="24"/>
        </w:rPr>
        <w:t xml:space="preserve"> en cerdos en crecimiento. El trabajo se realizó en la UEB “Porcino Calabazar”, provincia Villa Clara, Cuba. Se utilizaron 60 cerdos mestizos de la categoría preceba, con edades comprendidas entre 26 y 96 días. Los animales fueron divididos en dos grupos de 30 cerdos cada uno. Al grupo A se le </w:t>
      </w:r>
      <w:r w:rsidR="008147DE" w:rsidRPr="008147DE">
        <w:rPr>
          <w:rFonts w:ascii="Times New Roman" w:hAnsi="Times New Roman" w:cs="Times New Roman"/>
          <w:color w:val="000000"/>
          <w:sz w:val="24"/>
          <w:szCs w:val="24"/>
        </w:rPr>
        <w:lastRenderedPageBreak/>
        <w:t xml:space="preserve">administró un aditivo desactivante de micotoxinas Mycofix Select MTV en un nivel de inclusión de 0,1% en el alimento y el grupo B se utilizó como control. Se determinó la ocurrencia de episodios diarreicos, así como </w:t>
      </w:r>
      <w:r w:rsidR="008147DE">
        <w:rPr>
          <w:rFonts w:ascii="Times New Roman" w:hAnsi="Times New Roman" w:cs="Times New Roman"/>
          <w:color w:val="000000"/>
          <w:sz w:val="24"/>
          <w:szCs w:val="24"/>
        </w:rPr>
        <w:t>la hemoglobina, el hematocrito</w:t>
      </w:r>
      <w:r w:rsidR="008147DE" w:rsidRPr="008147DE">
        <w:rPr>
          <w:rFonts w:ascii="Times New Roman" w:hAnsi="Times New Roman" w:cs="Times New Roman"/>
          <w:color w:val="000000"/>
          <w:sz w:val="24"/>
          <w:szCs w:val="24"/>
        </w:rPr>
        <w:t xml:space="preserve">, el conteo total y diferencial de leucocitos y el nivel de ALAT en sangre. Además, se estimó el riesgo relativo aplicándose un estudio analítico observacional prospectivo de tipo cohorte, para determinar incidencia acumulada. El Mycofix como aditivo en niveles de 0,1% en el pienso disminuye la ocurrencia de diarreas en cerdos en crecimiento, no tuvo efecto sobre los parámetros hematológicos y el </w:t>
      </w:r>
      <w:proofErr w:type="spellStart"/>
      <w:r w:rsidR="008147DE" w:rsidRPr="008147DE">
        <w:rPr>
          <w:rFonts w:ascii="Times New Roman" w:hAnsi="Times New Roman" w:cs="Times New Roman"/>
          <w:color w:val="000000"/>
          <w:sz w:val="24"/>
          <w:szCs w:val="24"/>
        </w:rPr>
        <w:t>hemoquímico</w:t>
      </w:r>
      <w:proofErr w:type="spellEnd"/>
      <w:r w:rsidR="008147DE" w:rsidRPr="008147DE">
        <w:rPr>
          <w:rFonts w:ascii="Times New Roman" w:hAnsi="Times New Roman" w:cs="Times New Roman"/>
          <w:color w:val="000000"/>
          <w:sz w:val="24"/>
          <w:szCs w:val="24"/>
        </w:rPr>
        <w:t xml:space="preserve"> evaluado</w:t>
      </w:r>
      <w:r w:rsidR="008147DE">
        <w:rPr>
          <w:rFonts w:ascii="Times New Roman" w:hAnsi="Times New Roman" w:cs="Times New Roman"/>
          <w:color w:val="000000"/>
          <w:sz w:val="24"/>
          <w:szCs w:val="24"/>
        </w:rPr>
        <w:t>.</w:t>
      </w:r>
    </w:p>
    <w:p w:rsidR="002108BD" w:rsidRDefault="00054CFF" w:rsidP="00990709">
      <w:pPr>
        <w:spacing w:after="120" w:line="360" w:lineRule="auto"/>
        <w:jc w:val="both"/>
        <w:rPr>
          <w:rFonts w:ascii="Times New Roman" w:hAnsi="Times New Roman" w:cs="Times New Roman"/>
          <w:sz w:val="24"/>
          <w:szCs w:val="24"/>
        </w:rPr>
      </w:pPr>
      <w:r w:rsidRPr="00054CFF">
        <w:rPr>
          <w:rFonts w:ascii="Times New Roman" w:hAnsi="Times New Roman" w:cs="Times New Roman"/>
          <w:b/>
          <w:sz w:val="24"/>
          <w:szCs w:val="24"/>
        </w:rPr>
        <w:t>Palabras Clave:</w:t>
      </w:r>
      <w:r w:rsidRPr="00054CFF">
        <w:rPr>
          <w:rFonts w:ascii="Times New Roman" w:hAnsi="Times New Roman" w:cs="Times New Roman"/>
          <w:sz w:val="24"/>
          <w:szCs w:val="24"/>
        </w:rPr>
        <w:t xml:space="preserve"> </w:t>
      </w:r>
      <w:r w:rsidR="008147DE" w:rsidRPr="008147DE">
        <w:rPr>
          <w:rFonts w:ascii="Times New Roman" w:hAnsi="Times New Roman" w:cs="Times New Roman"/>
          <w:sz w:val="24"/>
          <w:szCs w:val="24"/>
        </w:rPr>
        <w:t>aditivo, enteritis, hemoglobina, hematocrito, leucocitos</w:t>
      </w:r>
    </w:p>
    <w:p w:rsidR="001B2171" w:rsidRPr="001B2171" w:rsidRDefault="009061A5" w:rsidP="001B2171">
      <w:pPr>
        <w:pStyle w:val="HTMLconformatoprevio"/>
        <w:spacing w:line="360" w:lineRule="auto"/>
        <w:jc w:val="both"/>
        <w:rPr>
          <w:rFonts w:ascii="Times New Roman" w:hAnsi="Times New Roman" w:cs="Times New Roman"/>
          <w:sz w:val="24"/>
          <w:szCs w:val="24"/>
          <w:lang w:val="en-CA"/>
        </w:rPr>
      </w:pPr>
      <w:r w:rsidRPr="00173281">
        <w:rPr>
          <w:rFonts w:ascii="Times New Roman" w:hAnsi="Times New Roman" w:cs="Times New Roman"/>
          <w:b/>
          <w:i/>
          <w:sz w:val="24"/>
          <w:szCs w:val="24"/>
          <w:lang w:val="en-CA"/>
        </w:rPr>
        <w:t>Abstract:</w:t>
      </w:r>
      <w:r w:rsidRPr="00173281">
        <w:rPr>
          <w:rFonts w:ascii="Times New Roman" w:hAnsi="Times New Roman" w:cs="Times New Roman"/>
          <w:sz w:val="24"/>
          <w:szCs w:val="24"/>
          <w:lang w:val="en-CA"/>
        </w:rPr>
        <w:t xml:space="preserve"> </w:t>
      </w:r>
      <w:r w:rsidR="001B2171" w:rsidRPr="001B2171">
        <w:rPr>
          <w:rFonts w:ascii="Times New Roman" w:hAnsi="Times New Roman" w:cs="Times New Roman"/>
          <w:sz w:val="24"/>
          <w:szCs w:val="24"/>
          <w:lang w:val="en-CA"/>
        </w:rPr>
        <w:t xml:space="preserve">The general objective of this study was to evaluate the effect of Mycofix Select MTV at a level of inclusion of 0.1% in food on the occurrence of diarrhea and haematological parameters, </w:t>
      </w:r>
      <w:proofErr w:type="spellStart"/>
      <w:r w:rsidR="001B2171" w:rsidRPr="001B2171">
        <w:rPr>
          <w:rFonts w:ascii="Times New Roman" w:hAnsi="Times New Roman" w:cs="Times New Roman"/>
          <w:sz w:val="24"/>
          <w:szCs w:val="24"/>
          <w:lang w:val="en-CA"/>
        </w:rPr>
        <w:t>hemochemical</w:t>
      </w:r>
      <w:proofErr w:type="spellEnd"/>
      <w:r w:rsidR="001B2171" w:rsidRPr="001B2171">
        <w:rPr>
          <w:rFonts w:ascii="Times New Roman" w:hAnsi="Times New Roman" w:cs="Times New Roman"/>
          <w:sz w:val="24"/>
          <w:szCs w:val="24"/>
          <w:lang w:val="en-CA"/>
        </w:rPr>
        <w:t xml:space="preserve"> in growing pigs. The work was carried out in the UEB "Porcino Calabazar", Villa Clara province, Cuba. Sixty mestizo pigs of the preceding category were used, with ages ranging from 26 to 96 days. The animals were divided into two groups of 30 pigs each. Group A was given a Mycofix Select MTV mycotoxin deactivating additive at an inclusion level of 0.1% in the feed and group B was used as a control. The occurrence of diarrheal episodes was determined, as well as hemoglobin, hematocrit, total and differential leukocyte count and blood ALAT level. In addition, the relative risk was estimated by applying a prospective observational analytical study of a cohort type to determine cumulative incidence. The Mycofix as additive in levels of 0.1% in the feed decreases the occurrence of diarrhea in growing pigs, had no effect on the hematological parameters and the </w:t>
      </w:r>
      <w:proofErr w:type="spellStart"/>
      <w:r w:rsidR="001B2171" w:rsidRPr="001B2171">
        <w:rPr>
          <w:rFonts w:ascii="Times New Roman" w:hAnsi="Times New Roman" w:cs="Times New Roman"/>
          <w:sz w:val="24"/>
          <w:szCs w:val="24"/>
          <w:lang w:val="en-CA"/>
        </w:rPr>
        <w:t>hemochemical</w:t>
      </w:r>
      <w:proofErr w:type="spellEnd"/>
      <w:r w:rsidR="001B2171" w:rsidRPr="001B2171">
        <w:rPr>
          <w:rFonts w:ascii="Times New Roman" w:hAnsi="Times New Roman" w:cs="Times New Roman"/>
          <w:sz w:val="24"/>
          <w:szCs w:val="24"/>
          <w:lang w:val="en-CA"/>
        </w:rPr>
        <w:t xml:space="preserve"> evaluated.</w:t>
      </w:r>
    </w:p>
    <w:p w:rsidR="00A21A1F" w:rsidRPr="00173281" w:rsidRDefault="001B2171" w:rsidP="001B2171">
      <w:pPr>
        <w:pStyle w:val="HTMLconformatoprevio"/>
        <w:spacing w:line="360" w:lineRule="auto"/>
        <w:jc w:val="both"/>
        <w:rPr>
          <w:rStyle w:val="tlid-translation"/>
          <w:rFonts w:ascii="Times New Roman" w:hAnsi="Times New Roman" w:cs="Times New Roman"/>
          <w:i/>
          <w:sz w:val="24"/>
          <w:szCs w:val="24"/>
          <w:lang w:val="en-CA"/>
        </w:rPr>
      </w:pPr>
      <w:r w:rsidRPr="001B2171">
        <w:rPr>
          <w:rFonts w:ascii="Times New Roman" w:hAnsi="Times New Roman" w:cs="Times New Roman"/>
          <w:sz w:val="24"/>
          <w:szCs w:val="24"/>
          <w:lang w:val="en-CA"/>
        </w:rPr>
        <w:t>Keywords: additive, enteritis, hemoglobin, hematocrit, leukocytes</w:t>
      </w:r>
    </w:p>
    <w:p w:rsidR="00A21A1F" w:rsidRDefault="00A21A1F" w:rsidP="00400719">
      <w:pPr>
        <w:pStyle w:val="Prrafodelista"/>
        <w:numPr>
          <w:ilvl w:val="0"/>
          <w:numId w:val="7"/>
        </w:numPr>
        <w:spacing w:before="120" w:after="0" w:line="360" w:lineRule="auto"/>
        <w:jc w:val="both"/>
        <w:rPr>
          <w:rFonts w:ascii="Times New Roman" w:hAnsi="Times New Roman" w:cs="Times New Roman"/>
          <w:b/>
          <w:sz w:val="24"/>
          <w:szCs w:val="24"/>
        </w:rPr>
      </w:pPr>
      <w:r w:rsidRPr="00400719">
        <w:rPr>
          <w:rFonts w:ascii="Times New Roman" w:hAnsi="Times New Roman" w:cs="Times New Roman"/>
          <w:b/>
          <w:sz w:val="24"/>
          <w:szCs w:val="24"/>
        </w:rPr>
        <w:t>Introducción</w:t>
      </w:r>
    </w:p>
    <w:p w:rsidR="00400719" w:rsidRPr="007A223C" w:rsidRDefault="00400719" w:rsidP="00400719">
      <w:pPr>
        <w:spacing w:before="120" w:after="0" w:line="360" w:lineRule="auto"/>
        <w:jc w:val="both"/>
        <w:rPr>
          <w:rFonts w:ascii="Times New Roman" w:hAnsi="Times New Roman" w:cs="Times New Roman"/>
          <w:sz w:val="24"/>
          <w:szCs w:val="24"/>
        </w:rPr>
      </w:pPr>
      <w:r w:rsidRPr="007A223C">
        <w:rPr>
          <w:rFonts w:ascii="Times New Roman" w:hAnsi="Times New Roman" w:cs="Times New Roman"/>
          <w:sz w:val="24"/>
          <w:szCs w:val="24"/>
        </w:rPr>
        <w:t xml:space="preserve">El periodo del destete es posiblemente el momento más crítico de la producción porcina. El lechón recién destetado se enfrenta a una serie de factores altamente estresantes y debe de poner en marcha toda una batería de mecanismos de adaptación que le permitan superar con éxito la nueva situación. Esta circunstancia supone una limitación en la </w:t>
      </w:r>
      <w:r w:rsidRPr="007A223C">
        <w:rPr>
          <w:rFonts w:ascii="Times New Roman" w:hAnsi="Times New Roman" w:cs="Times New Roman"/>
          <w:sz w:val="24"/>
          <w:szCs w:val="24"/>
        </w:rPr>
        <w:lastRenderedPageBreak/>
        <w:t xml:space="preserve">capacidad de crecimiento del animal durante los primeros días </w:t>
      </w:r>
      <w:proofErr w:type="spellStart"/>
      <w:r w:rsidRPr="007A223C">
        <w:rPr>
          <w:rFonts w:ascii="Times New Roman" w:hAnsi="Times New Roman" w:cs="Times New Roman"/>
          <w:sz w:val="24"/>
          <w:szCs w:val="24"/>
        </w:rPr>
        <w:t>postdestete</w:t>
      </w:r>
      <w:proofErr w:type="spellEnd"/>
      <w:r w:rsidRPr="007A223C">
        <w:rPr>
          <w:rFonts w:ascii="Times New Roman" w:hAnsi="Times New Roman" w:cs="Times New Roman"/>
          <w:sz w:val="24"/>
          <w:szCs w:val="24"/>
        </w:rPr>
        <w:t xml:space="preserve"> lo que se traduce en un aumento de los días de vida necesarios para alcanzar el peso de sacrificio. En el momento del destete, tres son los retos importantes a los que el lechón debe de enfrentarse: cambio de alimentación, cambio de las condiciones ambientales y stress psicológico. La categoría de cerdos en crecimiento requiere de un manejo y alimentación muy estrictos para alcanzar buenos resultados en el comportamiento animal durante toda esta etapa (Cano et al.; 2010).</w:t>
      </w:r>
    </w:p>
    <w:p w:rsidR="00400719" w:rsidRPr="00400719" w:rsidRDefault="00400719" w:rsidP="00400719">
      <w:pPr>
        <w:spacing w:before="120" w:after="0" w:line="360" w:lineRule="auto"/>
        <w:jc w:val="both"/>
        <w:rPr>
          <w:rFonts w:ascii="Times New Roman" w:hAnsi="Times New Roman" w:cs="Times New Roman"/>
          <w:sz w:val="24"/>
          <w:szCs w:val="24"/>
        </w:rPr>
      </w:pPr>
      <w:r w:rsidRPr="00400719">
        <w:rPr>
          <w:rFonts w:ascii="Times New Roman" w:hAnsi="Times New Roman" w:cs="Times New Roman"/>
          <w:sz w:val="24"/>
          <w:szCs w:val="24"/>
        </w:rPr>
        <w:t>La diarrea es una manifestación clínica de uno de los complejos más comunes de enfermedades del cerdo. Su impacto económico es muy importante debido al incremento de la tasa de mortalidad, retardo en el crecimiento, mala conversión alimenticia y adicionalmente por los costos en medicación. Diferentes tipos de agentes pueden producir diarrea, entre ellos hay virales, parasitarios y bacterianos (</w:t>
      </w:r>
      <w:r w:rsidRPr="00416C55">
        <w:rPr>
          <w:rFonts w:ascii="Times New Roman" w:hAnsi="Times New Roman" w:cs="Times New Roman"/>
          <w:sz w:val="24"/>
          <w:szCs w:val="24"/>
        </w:rPr>
        <w:t xml:space="preserve">Carranza </w:t>
      </w:r>
      <w:r w:rsidRPr="00400719">
        <w:rPr>
          <w:rFonts w:ascii="Times New Roman" w:hAnsi="Times New Roman" w:cs="Times New Roman"/>
          <w:sz w:val="24"/>
          <w:szCs w:val="24"/>
        </w:rPr>
        <w:t>et al.; 2006).</w:t>
      </w:r>
    </w:p>
    <w:p w:rsidR="00400719" w:rsidRPr="00400719" w:rsidRDefault="00400719" w:rsidP="00400719">
      <w:pPr>
        <w:spacing w:before="120" w:after="0" w:line="360" w:lineRule="auto"/>
        <w:jc w:val="both"/>
        <w:rPr>
          <w:rFonts w:ascii="Times New Roman" w:hAnsi="Times New Roman" w:cs="Times New Roman"/>
          <w:sz w:val="24"/>
          <w:szCs w:val="24"/>
        </w:rPr>
      </w:pPr>
      <w:r w:rsidRPr="00400719">
        <w:rPr>
          <w:rFonts w:ascii="Times New Roman" w:hAnsi="Times New Roman" w:cs="Times New Roman"/>
          <w:sz w:val="24"/>
          <w:szCs w:val="24"/>
        </w:rPr>
        <w:t xml:space="preserve">Históricamente, los inhibidores del crecimiento y adsorbentes fúngicos figuran como la principal estrategia para el control de micotoxinas; sin embargo, las tecnologías modernas han surgido en los últimos años proporcionando una nueva perspectiva para el control de las micotoxinas en la producción animal. Los inhibidores fúngicos impiden el crecimiento vegetativo de los hongos y, consecuentemente, la formación de micotoxinas durante el almacenamiento de granos, mientras que los adsorbentes operan con eficacia en la eliminación de micotoxinas polares en el tracto digestivo de los animales, ya que la adsorción se hace principalmente por polaridad (carga iónica de </w:t>
      </w:r>
      <w:r>
        <w:rPr>
          <w:rFonts w:ascii="Times New Roman" w:hAnsi="Times New Roman" w:cs="Times New Roman"/>
          <w:sz w:val="24"/>
          <w:szCs w:val="24"/>
        </w:rPr>
        <w:t>las moléculas) (Anónimo, 2015).</w:t>
      </w:r>
    </w:p>
    <w:p w:rsidR="00400719" w:rsidRPr="00400719" w:rsidRDefault="00400719" w:rsidP="00400719">
      <w:pPr>
        <w:spacing w:before="120" w:after="0" w:line="360" w:lineRule="auto"/>
        <w:jc w:val="both"/>
        <w:rPr>
          <w:rFonts w:ascii="Times New Roman" w:hAnsi="Times New Roman" w:cs="Times New Roman"/>
          <w:sz w:val="24"/>
          <w:szCs w:val="24"/>
        </w:rPr>
      </w:pPr>
      <w:r w:rsidRPr="00400719">
        <w:rPr>
          <w:rFonts w:ascii="Times New Roman" w:hAnsi="Times New Roman" w:cs="Times New Roman"/>
          <w:sz w:val="24"/>
          <w:szCs w:val="24"/>
        </w:rPr>
        <w:t xml:space="preserve">Actualmente se han desarrollado productos para combatir dichas dolencias y en Cuba fue evaluado el Mycofix Select MTV en el Instituto de Investigaciones Porcinas (IIP) como parte de un proyecto para solucionar la problemática de la contaminación de los alimentos por hongos productores de micotoxinas, obteniéndose resultados muy positivos en los indicadores zoosanitarios. Por ello se indica el uso del Mycofix Select MTV hasta disponer de los resultados de investigación por los Instituto de </w:t>
      </w:r>
      <w:r w:rsidRPr="00400719">
        <w:rPr>
          <w:rFonts w:ascii="Times New Roman" w:hAnsi="Times New Roman" w:cs="Times New Roman"/>
          <w:sz w:val="24"/>
          <w:szCs w:val="24"/>
        </w:rPr>
        <w:lastRenderedPageBreak/>
        <w:t>Investigaciones Avícola e Instituto de Investigaciones Porcina de otros productos, para evaluar mediante diferentes protocolos las fortalezas y oportunidades del uso de estos aditivos minimizando y/o eliminando el riesgo de presencia de micotoxinas (</w:t>
      </w:r>
      <w:r w:rsidRPr="0078127C">
        <w:rPr>
          <w:rFonts w:ascii="Times New Roman" w:hAnsi="Times New Roman" w:cs="Times New Roman"/>
          <w:sz w:val="24"/>
          <w:szCs w:val="24"/>
        </w:rPr>
        <w:t xml:space="preserve">Gascón, </w:t>
      </w:r>
      <w:r w:rsidRPr="00400719">
        <w:rPr>
          <w:rFonts w:ascii="Times New Roman" w:hAnsi="Times New Roman" w:cs="Times New Roman"/>
          <w:sz w:val="24"/>
          <w:szCs w:val="24"/>
        </w:rPr>
        <w:t>2015).</w:t>
      </w:r>
    </w:p>
    <w:p w:rsidR="00400719" w:rsidRPr="00400719" w:rsidRDefault="00400719" w:rsidP="00400719">
      <w:pPr>
        <w:spacing w:before="120" w:after="0" w:line="360" w:lineRule="auto"/>
        <w:jc w:val="both"/>
        <w:rPr>
          <w:rFonts w:ascii="Times New Roman" w:hAnsi="Times New Roman" w:cs="Times New Roman"/>
          <w:sz w:val="24"/>
          <w:szCs w:val="24"/>
        </w:rPr>
      </w:pPr>
      <w:r w:rsidRPr="00400719">
        <w:rPr>
          <w:rFonts w:ascii="Times New Roman" w:hAnsi="Times New Roman" w:cs="Times New Roman"/>
          <w:sz w:val="24"/>
          <w:szCs w:val="24"/>
        </w:rPr>
        <w:t xml:space="preserve">La mayoría de las investigaciones realizadas con el Mycofix Select MTV se han enfocado a la acción desactivante de </w:t>
      </w:r>
      <w:proofErr w:type="spellStart"/>
      <w:r w:rsidRPr="00400719">
        <w:rPr>
          <w:rFonts w:ascii="Times New Roman" w:hAnsi="Times New Roman" w:cs="Times New Roman"/>
          <w:sz w:val="24"/>
          <w:szCs w:val="24"/>
        </w:rPr>
        <w:t>micotoxinas</w:t>
      </w:r>
      <w:proofErr w:type="spellEnd"/>
      <w:r w:rsidRPr="00400719">
        <w:rPr>
          <w:rFonts w:ascii="Times New Roman" w:hAnsi="Times New Roman" w:cs="Times New Roman"/>
          <w:sz w:val="24"/>
          <w:szCs w:val="24"/>
        </w:rPr>
        <w:t xml:space="preserve"> (</w:t>
      </w:r>
      <w:proofErr w:type="spellStart"/>
      <w:r w:rsidRPr="0078127C">
        <w:rPr>
          <w:rFonts w:ascii="Times New Roman" w:hAnsi="Times New Roman" w:cs="Times New Roman"/>
          <w:sz w:val="24"/>
          <w:szCs w:val="24"/>
        </w:rPr>
        <w:t>Starkl</w:t>
      </w:r>
      <w:proofErr w:type="spellEnd"/>
      <w:r w:rsidRPr="0078127C">
        <w:rPr>
          <w:rFonts w:ascii="Times New Roman" w:hAnsi="Times New Roman" w:cs="Times New Roman"/>
          <w:sz w:val="24"/>
          <w:szCs w:val="24"/>
        </w:rPr>
        <w:t>, 2018</w:t>
      </w:r>
      <w:r w:rsidRPr="00400719">
        <w:rPr>
          <w:rFonts w:ascii="Times New Roman" w:hAnsi="Times New Roman" w:cs="Times New Roman"/>
          <w:sz w:val="24"/>
          <w:szCs w:val="24"/>
        </w:rPr>
        <w:t>) sin embargo, son pocos los estudios avalados científicamente sobre la influencia que pueda ejercer el Mycofix Select MTV sobre los procesos diarreicos en cerdos.</w:t>
      </w:r>
    </w:p>
    <w:p w:rsidR="00400719" w:rsidRPr="00400719" w:rsidRDefault="00400719" w:rsidP="00400719">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general de esta investigación </w:t>
      </w:r>
      <w:r w:rsidRPr="00400719">
        <w:rPr>
          <w:rFonts w:ascii="Times New Roman" w:hAnsi="Times New Roman" w:cs="Times New Roman"/>
          <w:sz w:val="24"/>
          <w:szCs w:val="24"/>
        </w:rPr>
        <w:t>fue determinar el efecto del Mycofix Select MTV sobre la ocurrencia de diarreas, parámetros hematológicos y la enzima (A</w:t>
      </w:r>
      <w:r>
        <w:rPr>
          <w:rFonts w:ascii="Times New Roman" w:hAnsi="Times New Roman" w:cs="Times New Roman"/>
          <w:sz w:val="24"/>
          <w:szCs w:val="24"/>
        </w:rPr>
        <w:t xml:space="preserve">LAT) en cerdos en crecimiento. </w:t>
      </w:r>
    </w:p>
    <w:p w:rsidR="00A21A1F" w:rsidRDefault="00A21A1F" w:rsidP="00400719">
      <w:pPr>
        <w:pStyle w:val="Prrafodelista"/>
        <w:numPr>
          <w:ilvl w:val="0"/>
          <w:numId w:val="7"/>
        </w:numPr>
        <w:spacing w:after="0" w:line="360" w:lineRule="auto"/>
        <w:jc w:val="both"/>
        <w:rPr>
          <w:rFonts w:ascii="Times New Roman" w:hAnsi="Times New Roman" w:cs="Times New Roman"/>
          <w:b/>
          <w:sz w:val="24"/>
          <w:szCs w:val="24"/>
        </w:rPr>
      </w:pPr>
      <w:r w:rsidRPr="00400719">
        <w:rPr>
          <w:rFonts w:ascii="Times New Roman" w:hAnsi="Times New Roman" w:cs="Times New Roman"/>
          <w:b/>
          <w:sz w:val="24"/>
          <w:szCs w:val="24"/>
        </w:rPr>
        <w:t>Metodología</w:t>
      </w:r>
    </w:p>
    <w:p w:rsidR="009825AB" w:rsidRPr="009825AB" w:rsidRDefault="009825AB" w:rsidP="009825AB">
      <w:pPr>
        <w:spacing w:after="0" w:line="360" w:lineRule="auto"/>
        <w:jc w:val="both"/>
        <w:rPr>
          <w:rFonts w:ascii="Times New Roman" w:hAnsi="Times New Roman" w:cs="Times New Roman"/>
          <w:sz w:val="24"/>
          <w:szCs w:val="24"/>
        </w:rPr>
      </w:pPr>
      <w:r w:rsidRPr="009825AB">
        <w:rPr>
          <w:rFonts w:ascii="Times New Roman" w:hAnsi="Times New Roman" w:cs="Times New Roman"/>
          <w:sz w:val="24"/>
          <w:szCs w:val="24"/>
        </w:rPr>
        <w:t xml:space="preserve">El trabajo se realizó en la UEB “Porcino Calabazar” ubicado en el km 7 ½ carretera a Calabazar de </w:t>
      </w:r>
      <w:proofErr w:type="spellStart"/>
      <w:r w:rsidRPr="009825AB">
        <w:rPr>
          <w:rFonts w:ascii="Times New Roman" w:hAnsi="Times New Roman" w:cs="Times New Roman"/>
          <w:sz w:val="24"/>
          <w:szCs w:val="24"/>
        </w:rPr>
        <w:t>Sagua</w:t>
      </w:r>
      <w:proofErr w:type="spellEnd"/>
      <w:r w:rsidRPr="009825AB">
        <w:rPr>
          <w:rFonts w:ascii="Times New Roman" w:hAnsi="Times New Roman" w:cs="Times New Roman"/>
          <w:sz w:val="24"/>
          <w:szCs w:val="24"/>
        </w:rPr>
        <w:t xml:space="preserve">, municipio Encrucijada, provincia Villa Clara, Cuba. En el periodo comprendido del 15 de marzo al 24 de mayo de 2018. Se utilizaron 60 cerdos mestizos de la categoría preceba, provenientes de un cruce entre madres F1 </w:t>
      </w:r>
      <w:proofErr w:type="spellStart"/>
      <w:r w:rsidRPr="009825AB">
        <w:rPr>
          <w:rFonts w:ascii="Times New Roman" w:hAnsi="Times New Roman" w:cs="Times New Roman"/>
          <w:sz w:val="24"/>
          <w:szCs w:val="24"/>
        </w:rPr>
        <w:t>Landrace</w:t>
      </w:r>
      <w:proofErr w:type="spellEnd"/>
      <w:r w:rsidRPr="009825AB">
        <w:rPr>
          <w:rFonts w:ascii="Times New Roman" w:hAnsi="Times New Roman" w:cs="Times New Roman"/>
          <w:sz w:val="24"/>
          <w:szCs w:val="24"/>
        </w:rPr>
        <w:t xml:space="preserve"> x Yorkshire con padres </w:t>
      </w:r>
      <w:proofErr w:type="spellStart"/>
      <w:r w:rsidRPr="009825AB">
        <w:rPr>
          <w:rFonts w:ascii="Times New Roman" w:hAnsi="Times New Roman" w:cs="Times New Roman"/>
          <w:sz w:val="24"/>
          <w:szCs w:val="24"/>
        </w:rPr>
        <w:t>Duroc</w:t>
      </w:r>
      <w:proofErr w:type="spellEnd"/>
      <w:r w:rsidRPr="009825AB">
        <w:rPr>
          <w:rFonts w:ascii="Times New Roman" w:hAnsi="Times New Roman" w:cs="Times New Roman"/>
          <w:sz w:val="24"/>
          <w:szCs w:val="24"/>
        </w:rPr>
        <w:t xml:space="preserve"> Jersey, con edades comprendidas entre 26 y 96 días. Los animales fueron divididos en dos grupos de 30 cerdos cada uno. Al grupo A se le administró un aditivo desactivante de micotoxinas Mycofix Select MTV en un nivel de inclusión de 0,1% en el alimento y el grupo B se utilizó como control.</w:t>
      </w:r>
    </w:p>
    <w:p w:rsidR="009825AB" w:rsidRPr="009825AB" w:rsidRDefault="009825AB" w:rsidP="009825AB">
      <w:pPr>
        <w:spacing w:after="0" w:line="360" w:lineRule="auto"/>
        <w:jc w:val="both"/>
        <w:rPr>
          <w:rFonts w:ascii="Times New Roman" w:hAnsi="Times New Roman" w:cs="Times New Roman"/>
          <w:sz w:val="24"/>
          <w:szCs w:val="24"/>
        </w:rPr>
      </w:pPr>
      <w:r w:rsidRPr="009825AB">
        <w:rPr>
          <w:rFonts w:ascii="Times New Roman" w:hAnsi="Times New Roman" w:cs="Times New Roman"/>
          <w:sz w:val="24"/>
          <w:szCs w:val="24"/>
        </w:rPr>
        <w:t xml:space="preserve">Los animales fueron distribuidos homogéneamente en grupos de seis animales por jaulas de tipo Flat </w:t>
      </w:r>
      <w:proofErr w:type="spellStart"/>
      <w:r w:rsidRPr="009825AB">
        <w:rPr>
          <w:rFonts w:ascii="Times New Roman" w:hAnsi="Times New Roman" w:cs="Times New Roman"/>
          <w:sz w:val="24"/>
          <w:szCs w:val="24"/>
        </w:rPr>
        <w:t>deck</w:t>
      </w:r>
      <w:proofErr w:type="spellEnd"/>
      <w:r w:rsidRPr="009825AB">
        <w:rPr>
          <w:rFonts w:ascii="Times New Roman" w:hAnsi="Times New Roman" w:cs="Times New Roman"/>
          <w:sz w:val="24"/>
          <w:szCs w:val="24"/>
        </w:rPr>
        <w:t xml:space="preserve"> con un frente de comedero de 18 cm. En cada grupo fue alojado un 50% de hembras y un 50% de machos, estos últimos castrados. Los animales se identificaron por muescas en las orejas. El agua estuvo a disposición por el sistema de bebederos de tetinas. Recibieron dos raciones diarias de alimento balanceado (pienso de inicio y de crecimiento) con 210 g/kg de PB y 180 g/kg de PB respectivamente, 14.2 MJ/kg MS en ambos casos. Desde los 26 hasta los 75 días de edad consumieron pienso de inicio y de 76 a 96 días, consumieron pienso de crecimiento (tabla 2).</w:t>
      </w:r>
    </w:p>
    <w:p w:rsidR="009825AB" w:rsidRDefault="009825AB" w:rsidP="009825AB">
      <w:pPr>
        <w:spacing w:after="0" w:line="360" w:lineRule="auto"/>
        <w:jc w:val="both"/>
        <w:rPr>
          <w:rFonts w:ascii="Times New Roman" w:hAnsi="Times New Roman" w:cs="Times New Roman"/>
          <w:sz w:val="24"/>
          <w:szCs w:val="24"/>
        </w:rPr>
      </w:pPr>
      <w:r w:rsidRPr="009825AB">
        <w:rPr>
          <w:rFonts w:ascii="Times New Roman" w:hAnsi="Times New Roman" w:cs="Times New Roman"/>
          <w:sz w:val="24"/>
          <w:szCs w:val="24"/>
        </w:rPr>
        <w:t>Tabla 1. Tecnología de alimentación en preceba (Manual de Crianza Porcina, 2008).</w:t>
      </w:r>
    </w:p>
    <w:p w:rsidR="00EB1FFA" w:rsidRPr="009825AB" w:rsidRDefault="00EB1FFA" w:rsidP="009825AB">
      <w:pPr>
        <w:spacing w:after="0" w:line="360" w:lineRule="auto"/>
        <w:jc w:val="both"/>
        <w:rPr>
          <w:rFonts w:ascii="Times New Roman" w:hAnsi="Times New Roman" w:cs="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242"/>
        <w:gridCol w:w="1560"/>
        <w:gridCol w:w="2268"/>
        <w:gridCol w:w="2126"/>
      </w:tblGrid>
      <w:tr w:rsidR="00EB1FFA" w:rsidRPr="00EB1FFA" w:rsidTr="00EF4246">
        <w:trPr>
          <w:trHeight w:val="229"/>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Sección</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Edad(días )</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Consumo Kg / día</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Tipo de pienso</w:t>
            </w:r>
          </w:p>
        </w:tc>
      </w:tr>
      <w:tr w:rsidR="00EB1FFA" w:rsidRPr="00EB1FFA" w:rsidTr="00EF4246">
        <w:trPr>
          <w:trHeight w:val="23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1</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26-33</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0.15</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Pre-inicio o inicio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2</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34-37</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0.25</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Pienso inicio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3</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38-40</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0.35</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Pienso inicio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4</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41-44</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0.45</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Pienso inicio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5</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45-47</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0.60</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Pienso inicio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6</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48-54</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0.75</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Pienso inicio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7</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55-61</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1.00</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Pienso inicio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8</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62-68</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1.20</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Pienso inicio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9</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69-75</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1.40</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Pienso inicio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10</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76-82</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1.60</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Crecimiento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11</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83-89</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1.80</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Crecimiento</w:t>
            </w:r>
          </w:p>
        </w:tc>
      </w:tr>
      <w:tr w:rsidR="00EB1FFA" w:rsidRPr="00EB1FFA" w:rsidTr="00EF4246">
        <w:trPr>
          <w:trHeight w:val="103"/>
        </w:trPr>
        <w:tc>
          <w:tcPr>
            <w:tcW w:w="1242"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b/>
                <w:bCs/>
              </w:rPr>
              <w:t>12</w:t>
            </w:r>
          </w:p>
        </w:tc>
        <w:tc>
          <w:tcPr>
            <w:tcW w:w="1560"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90-96</w:t>
            </w:r>
          </w:p>
        </w:tc>
        <w:tc>
          <w:tcPr>
            <w:tcW w:w="2268"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2.00</w:t>
            </w:r>
          </w:p>
        </w:tc>
        <w:tc>
          <w:tcPr>
            <w:tcW w:w="2126" w:type="dxa"/>
          </w:tcPr>
          <w:p w:rsidR="00EB1FFA" w:rsidRPr="00EB1FFA" w:rsidRDefault="00EB1FFA" w:rsidP="00EF4246">
            <w:pPr>
              <w:pStyle w:val="Default"/>
              <w:jc w:val="center"/>
              <w:rPr>
                <w:rFonts w:ascii="Times New Roman" w:hAnsi="Times New Roman" w:cs="Times New Roman"/>
              </w:rPr>
            </w:pPr>
            <w:r w:rsidRPr="00EB1FFA">
              <w:rPr>
                <w:rFonts w:ascii="Times New Roman" w:hAnsi="Times New Roman" w:cs="Times New Roman"/>
              </w:rPr>
              <w:t>Crecimiento</w:t>
            </w:r>
          </w:p>
        </w:tc>
      </w:tr>
    </w:tbl>
    <w:p w:rsidR="009825AB" w:rsidRPr="009825AB" w:rsidRDefault="009825AB" w:rsidP="009825AB">
      <w:pPr>
        <w:spacing w:after="0" w:line="360" w:lineRule="auto"/>
        <w:jc w:val="both"/>
        <w:rPr>
          <w:rFonts w:ascii="Times New Roman" w:hAnsi="Times New Roman" w:cs="Times New Roman"/>
          <w:sz w:val="24"/>
          <w:szCs w:val="24"/>
        </w:rPr>
      </w:pPr>
    </w:p>
    <w:p w:rsidR="009825AB" w:rsidRPr="009825AB" w:rsidRDefault="009825AB" w:rsidP="009825AB">
      <w:pPr>
        <w:spacing w:after="0" w:line="360" w:lineRule="auto"/>
        <w:jc w:val="both"/>
        <w:rPr>
          <w:rFonts w:ascii="Times New Roman" w:hAnsi="Times New Roman" w:cs="Times New Roman"/>
          <w:sz w:val="24"/>
          <w:szCs w:val="24"/>
        </w:rPr>
      </w:pPr>
      <w:r w:rsidRPr="009825AB">
        <w:rPr>
          <w:rFonts w:ascii="Times New Roman" w:hAnsi="Times New Roman" w:cs="Times New Roman"/>
          <w:sz w:val="24"/>
          <w:szCs w:val="24"/>
        </w:rPr>
        <w:t>La granulometría del pienso consumido estaba según lo establecido para esta categoría (2%), lo cual fue determinado con un tamiz 2.38.</w:t>
      </w:r>
    </w:p>
    <w:p w:rsidR="00EB1FFA" w:rsidRDefault="009825AB" w:rsidP="009825AB">
      <w:pPr>
        <w:spacing w:after="0" w:line="360" w:lineRule="auto"/>
        <w:jc w:val="both"/>
        <w:rPr>
          <w:rFonts w:ascii="Times New Roman" w:hAnsi="Times New Roman" w:cs="Times New Roman"/>
          <w:sz w:val="24"/>
          <w:szCs w:val="24"/>
        </w:rPr>
      </w:pPr>
      <w:r w:rsidRPr="009825AB">
        <w:rPr>
          <w:rFonts w:ascii="Times New Roman" w:hAnsi="Times New Roman" w:cs="Times New Roman"/>
          <w:sz w:val="24"/>
          <w:szCs w:val="24"/>
        </w:rPr>
        <w:t>La composición bromatoló</w:t>
      </w:r>
      <w:r w:rsidR="00EB1FFA">
        <w:rPr>
          <w:rFonts w:ascii="Times New Roman" w:hAnsi="Times New Roman" w:cs="Times New Roman"/>
          <w:sz w:val="24"/>
          <w:szCs w:val="24"/>
        </w:rPr>
        <w:t>gica del alimento empleado fue:</w:t>
      </w:r>
    </w:p>
    <w:p w:rsidR="00EB1FFA" w:rsidRDefault="00EB1FFA" w:rsidP="009825AB">
      <w:pPr>
        <w:spacing w:after="0" w:line="360" w:lineRule="auto"/>
        <w:jc w:val="both"/>
        <w:rPr>
          <w:rFonts w:ascii="Times New Roman" w:hAnsi="Times New Roman" w:cs="Times New Roman"/>
          <w:sz w:val="24"/>
          <w:szCs w:val="24"/>
        </w:rPr>
      </w:pPr>
    </w:p>
    <w:p w:rsidR="009825AB" w:rsidRDefault="009825AB" w:rsidP="009825AB">
      <w:pPr>
        <w:spacing w:after="0" w:line="360" w:lineRule="auto"/>
        <w:jc w:val="both"/>
        <w:rPr>
          <w:rFonts w:ascii="Times New Roman" w:hAnsi="Times New Roman" w:cs="Times New Roman"/>
          <w:sz w:val="24"/>
          <w:szCs w:val="24"/>
        </w:rPr>
      </w:pPr>
      <w:r w:rsidRPr="009825AB">
        <w:rPr>
          <w:rFonts w:ascii="Times New Roman" w:hAnsi="Times New Roman" w:cs="Times New Roman"/>
          <w:sz w:val="24"/>
          <w:szCs w:val="24"/>
        </w:rPr>
        <w:t>Tabla 2. Composición bromatológica del alimento balanceado.</w:t>
      </w:r>
    </w:p>
    <w:p w:rsidR="00EB1FFA" w:rsidRPr="009825AB" w:rsidRDefault="00EB1FFA" w:rsidP="009825AB">
      <w:pPr>
        <w:spacing w:after="0" w:line="360" w:lineRule="auto"/>
        <w:jc w:val="both"/>
        <w:rPr>
          <w:rFonts w:ascii="Times New Roman" w:hAnsi="Times New Roman" w:cs="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18"/>
        <w:gridCol w:w="2693"/>
        <w:gridCol w:w="2268"/>
      </w:tblGrid>
      <w:tr w:rsidR="00EB1FFA" w:rsidRPr="00EB1FFA" w:rsidTr="00EB1FFA">
        <w:trPr>
          <w:trHeight w:val="448"/>
        </w:trPr>
        <w:tc>
          <w:tcPr>
            <w:tcW w:w="251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Materia prima</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Porcentaje de</w:t>
            </w:r>
          </w:p>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Inclusión pienso de inicio</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Porcentaje de</w:t>
            </w:r>
          </w:p>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Inclusión pienso de crecimiento</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Soya</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44.80</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26.824</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Maíz</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50.89</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69.631</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Fosfato mono cálcico</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1.00</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0.875</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Carbonato de calcio</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1.10</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1.505</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Pre mezcla</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0.25</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0.35</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Cloruro de sodio</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0.45</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0,50</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Cloruro de colina</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0.11</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0.115</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Lisina</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0.40</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0.183</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Metionina</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1.00</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0.017</w:t>
            </w:r>
          </w:p>
        </w:tc>
      </w:tr>
      <w:tr w:rsidR="00EB1FFA" w:rsidRPr="00EB1FFA" w:rsidTr="00EB1FFA">
        <w:trPr>
          <w:trHeight w:val="113"/>
        </w:trPr>
        <w:tc>
          <w:tcPr>
            <w:tcW w:w="251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Cs/>
              </w:rPr>
              <w:t>Total</w:t>
            </w:r>
          </w:p>
        </w:tc>
        <w:tc>
          <w:tcPr>
            <w:tcW w:w="2693"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100.00</w:t>
            </w:r>
          </w:p>
        </w:tc>
        <w:tc>
          <w:tcPr>
            <w:tcW w:w="2268"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100.00</w:t>
            </w:r>
          </w:p>
        </w:tc>
      </w:tr>
    </w:tbl>
    <w:p w:rsidR="00EB1FFA" w:rsidRDefault="00EB1FFA" w:rsidP="009825AB">
      <w:pPr>
        <w:spacing w:after="0" w:line="360" w:lineRule="auto"/>
        <w:jc w:val="both"/>
        <w:rPr>
          <w:rFonts w:ascii="Times New Roman" w:hAnsi="Times New Roman" w:cs="Times New Roman"/>
          <w:sz w:val="24"/>
          <w:szCs w:val="24"/>
        </w:rPr>
      </w:pPr>
    </w:p>
    <w:p w:rsidR="00EB1FFA" w:rsidRPr="00EB1FFA" w:rsidRDefault="00EB1FFA" w:rsidP="00EB1FFA">
      <w:pPr>
        <w:spacing w:after="0" w:line="360" w:lineRule="auto"/>
        <w:jc w:val="both"/>
        <w:rPr>
          <w:rFonts w:ascii="Times New Roman" w:hAnsi="Times New Roman" w:cs="Times New Roman"/>
          <w:sz w:val="24"/>
          <w:szCs w:val="24"/>
        </w:rPr>
      </w:pPr>
      <w:r w:rsidRPr="00EB1FFA">
        <w:rPr>
          <w:rFonts w:ascii="Times New Roman" w:hAnsi="Times New Roman" w:cs="Times New Roman"/>
          <w:sz w:val="24"/>
          <w:szCs w:val="24"/>
        </w:rPr>
        <w:t xml:space="preserve">Se determinó la ocurrencia de episodios diarreicos, según Thrusfield, (2007). Además, se estimó el riesgo relativo (RR) mediante la conformación de tablas de contingencia </w:t>
      </w:r>
      <w:r w:rsidRPr="00EB1FFA">
        <w:rPr>
          <w:rFonts w:ascii="Times New Roman" w:hAnsi="Times New Roman" w:cs="Times New Roman"/>
          <w:sz w:val="24"/>
          <w:szCs w:val="24"/>
        </w:rPr>
        <w:lastRenderedPageBreak/>
        <w:t>2x2 (Thrusfield, 2007), aplicándose un estudio analítico observacional prospectivo de tipo cohorte, para determinar incidencia acumulada.</w:t>
      </w:r>
    </w:p>
    <w:p w:rsidR="00EB1FFA" w:rsidRDefault="00EB1FFA" w:rsidP="00EB1FFA">
      <w:pPr>
        <w:spacing w:after="0" w:line="360" w:lineRule="auto"/>
        <w:jc w:val="both"/>
        <w:rPr>
          <w:rFonts w:ascii="Times New Roman" w:hAnsi="Times New Roman" w:cs="Times New Roman"/>
          <w:sz w:val="24"/>
          <w:szCs w:val="24"/>
        </w:rPr>
      </w:pPr>
      <w:r w:rsidRPr="00EB1FFA">
        <w:rPr>
          <w:rFonts w:ascii="Times New Roman" w:hAnsi="Times New Roman" w:cs="Times New Roman"/>
          <w:sz w:val="24"/>
          <w:szCs w:val="24"/>
        </w:rPr>
        <w:t>Tabla 3. Tabla de contingencia 2x2.</w:t>
      </w:r>
    </w:p>
    <w:p w:rsidR="00EB1FFA" w:rsidRDefault="00EB1FFA" w:rsidP="00EB1FFA">
      <w:pPr>
        <w:spacing w:after="0" w:line="360" w:lineRule="auto"/>
        <w:jc w:val="both"/>
        <w:rPr>
          <w:rFonts w:ascii="Times New Roman" w:hAnsi="Times New Roman" w:cs="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668"/>
        <w:gridCol w:w="1417"/>
        <w:gridCol w:w="1701"/>
        <w:gridCol w:w="2126"/>
      </w:tblGrid>
      <w:tr w:rsidR="00EB1FFA" w:rsidTr="00EB1FFA">
        <w:trPr>
          <w:trHeight w:val="112"/>
        </w:trPr>
        <w:tc>
          <w:tcPr>
            <w:tcW w:w="166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
                <w:bCs/>
              </w:rPr>
              <w:t>Clasificación</w:t>
            </w:r>
          </w:p>
        </w:tc>
        <w:tc>
          <w:tcPr>
            <w:tcW w:w="1417"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b/>
                <w:bCs/>
              </w:rPr>
              <w:t>Afectados</w:t>
            </w:r>
          </w:p>
        </w:tc>
        <w:tc>
          <w:tcPr>
            <w:tcW w:w="1701"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b/>
                <w:bCs/>
              </w:rPr>
              <w:t>No afectados</w:t>
            </w:r>
          </w:p>
        </w:tc>
        <w:tc>
          <w:tcPr>
            <w:tcW w:w="2126"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b/>
                <w:bCs/>
              </w:rPr>
              <w:t>Total</w:t>
            </w:r>
          </w:p>
        </w:tc>
      </w:tr>
      <w:tr w:rsidR="00EB1FFA" w:rsidTr="00EB1FFA">
        <w:trPr>
          <w:trHeight w:val="113"/>
        </w:trPr>
        <w:tc>
          <w:tcPr>
            <w:tcW w:w="166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
                <w:bCs/>
              </w:rPr>
              <w:t>Expuestos</w:t>
            </w:r>
          </w:p>
        </w:tc>
        <w:tc>
          <w:tcPr>
            <w:tcW w:w="1417"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a</w:t>
            </w:r>
          </w:p>
        </w:tc>
        <w:tc>
          <w:tcPr>
            <w:tcW w:w="1701"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b</w:t>
            </w:r>
          </w:p>
        </w:tc>
        <w:tc>
          <w:tcPr>
            <w:tcW w:w="2126"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(a + b)</w:t>
            </w:r>
          </w:p>
        </w:tc>
      </w:tr>
      <w:tr w:rsidR="00EB1FFA" w:rsidTr="00EB1FFA">
        <w:trPr>
          <w:trHeight w:val="113"/>
        </w:trPr>
        <w:tc>
          <w:tcPr>
            <w:tcW w:w="166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
                <w:bCs/>
              </w:rPr>
              <w:t>No expuestos</w:t>
            </w:r>
          </w:p>
        </w:tc>
        <w:tc>
          <w:tcPr>
            <w:tcW w:w="1417"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c</w:t>
            </w:r>
          </w:p>
        </w:tc>
        <w:tc>
          <w:tcPr>
            <w:tcW w:w="1701"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d</w:t>
            </w:r>
          </w:p>
        </w:tc>
        <w:tc>
          <w:tcPr>
            <w:tcW w:w="2126"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(c + d)</w:t>
            </w:r>
          </w:p>
        </w:tc>
      </w:tr>
      <w:tr w:rsidR="00EB1FFA" w:rsidTr="00EB1FFA">
        <w:trPr>
          <w:trHeight w:val="113"/>
        </w:trPr>
        <w:tc>
          <w:tcPr>
            <w:tcW w:w="1668" w:type="dxa"/>
          </w:tcPr>
          <w:p w:rsidR="00EB1FFA" w:rsidRPr="00EB1FFA" w:rsidRDefault="00EB1FFA" w:rsidP="00EB1FFA">
            <w:pPr>
              <w:pStyle w:val="Default"/>
              <w:jc w:val="both"/>
              <w:rPr>
                <w:rFonts w:ascii="Times New Roman" w:hAnsi="Times New Roman" w:cs="Times New Roman"/>
              </w:rPr>
            </w:pPr>
            <w:r w:rsidRPr="00EB1FFA">
              <w:rPr>
                <w:rFonts w:ascii="Times New Roman" w:hAnsi="Times New Roman" w:cs="Times New Roman"/>
                <w:b/>
                <w:bCs/>
              </w:rPr>
              <w:t>Total</w:t>
            </w:r>
          </w:p>
        </w:tc>
        <w:tc>
          <w:tcPr>
            <w:tcW w:w="1417"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(a + c)</w:t>
            </w:r>
          </w:p>
        </w:tc>
        <w:tc>
          <w:tcPr>
            <w:tcW w:w="1701"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(b + d)</w:t>
            </w:r>
          </w:p>
        </w:tc>
        <w:tc>
          <w:tcPr>
            <w:tcW w:w="2126" w:type="dxa"/>
          </w:tcPr>
          <w:p w:rsidR="00EB1FFA" w:rsidRPr="00EB1FFA" w:rsidRDefault="00EB1FFA" w:rsidP="00EB1FFA">
            <w:pPr>
              <w:pStyle w:val="Default"/>
              <w:jc w:val="center"/>
              <w:rPr>
                <w:rFonts w:ascii="Times New Roman" w:hAnsi="Times New Roman" w:cs="Times New Roman"/>
              </w:rPr>
            </w:pPr>
            <w:r w:rsidRPr="00EB1FFA">
              <w:rPr>
                <w:rFonts w:ascii="Times New Roman" w:hAnsi="Times New Roman" w:cs="Times New Roman"/>
              </w:rPr>
              <w:t>(a + c)(b + d)</w:t>
            </w:r>
          </w:p>
        </w:tc>
      </w:tr>
    </w:tbl>
    <w:p w:rsidR="00EB1FFA" w:rsidRDefault="00EB1FFA" w:rsidP="00EB1FFA">
      <w:pPr>
        <w:spacing w:after="0" w:line="360" w:lineRule="auto"/>
        <w:jc w:val="both"/>
        <w:rPr>
          <w:rFonts w:ascii="Times New Roman" w:hAnsi="Times New Roman" w:cs="Times New Roman"/>
          <w:sz w:val="24"/>
          <w:szCs w:val="24"/>
        </w:rPr>
      </w:pPr>
    </w:p>
    <w:p w:rsidR="0001405B" w:rsidRPr="0001405B" w:rsidRDefault="0001405B" w:rsidP="0001405B">
      <w:pPr>
        <w:spacing w:after="0" w:line="360" w:lineRule="auto"/>
        <w:jc w:val="both"/>
        <w:rPr>
          <w:rFonts w:ascii="Times New Roman" w:hAnsi="Times New Roman" w:cs="Times New Roman"/>
          <w:sz w:val="24"/>
          <w:szCs w:val="24"/>
        </w:rPr>
      </w:pPr>
      <w:r w:rsidRPr="0001405B">
        <w:rPr>
          <w:rFonts w:ascii="Times New Roman" w:hAnsi="Times New Roman" w:cs="Times New Roman"/>
          <w:sz w:val="24"/>
          <w:szCs w:val="24"/>
        </w:rPr>
        <w:t>La incidencia acumulada (episodios de diarrea) entre los cerdos que consumen alimento con Mycofix Select MTV (p1) se pudo dar por la ecuación P1 ═ a / (a + b). La incidencia acumulada entre los cerdos que no consumieron alimento con Mycofix Select MTV se expresó mediante P2 ═ c / (c + d). Asimismo, el riesgo relativo (RR) se determinó por RR ═ p1 / p2. La fracción prevenible en expuesto (FPE) viene dada por FPE = 1 – R, mientras que la reducción relativa de riesgo (RRR) se estimó por RRR = 1- RR*100; la reducción absoluta de riesgo (RAR) por RAR = RE / RNE. Y el número necesario de pacientes (animales) a tratar por NNPT = 1 / RAR. Se empleó para estos cálculos un programa para análisis epidemiológico de datos tabulados (EPIDAT) versión 3.1.</w:t>
      </w:r>
    </w:p>
    <w:p w:rsidR="0001405B" w:rsidRPr="0001405B" w:rsidRDefault="0001405B" w:rsidP="0001405B">
      <w:pPr>
        <w:spacing w:after="0" w:line="360" w:lineRule="auto"/>
        <w:jc w:val="both"/>
        <w:rPr>
          <w:rFonts w:ascii="Times New Roman" w:hAnsi="Times New Roman" w:cs="Times New Roman"/>
          <w:sz w:val="24"/>
          <w:szCs w:val="24"/>
        </w:rPr>
      </w:pPr>
      <w:r w:rsidRPr="0001405B">
        <w:rPr>
          <w:rFonts w:ascii="Times New Roman" w:hAnsi="Times New Roman" w:cs="Times New Roman"/>
          <w:sz w:val="24"/>
          <w:szCs w:val="24"/>
        </w:rPr>
        <w:t xml:space="preserve">En el momento del destete (26 días) se tomaron muestras en el 43% del total de animales en cada grupo y a los 96 días, el 33% en cada grupo. Para los análisis hematológicos se tomaron en cada animal 2 mL de sangre por </w:t>
      </w:r>
      <w:proofErr w:type="spellStart"/>
      <w:r w:rsidRPr="0001405B">
        <w:rPr>
          <w:rFonts w:ascii="Times New Roman" w:hAnsi="Times New Roman" w:cs="Times New Roman"/>
          <w:sz w:val="24"/>
          <w:szCs w:val="24"/>
        </w:rPr>
        <w:t>venopuntura</w:t>
      </w:r>
      <w:proofErr w:type="spellEnd"/>
      <w:r w:rsidRPr="0001405B">
        <w:rPr>
          <w:rFonts w:ascii="Times New Roman" w:hAnsi="Times New Roman" w:cs="Times New Roman"/>
          <w:sz w:val="24"/>
          <w:szCs w:val="24"/>
        </w:rPr>
        <w:t xml:space="preserve"> del seno venoso orbital después del ayuno nocturno a las 8:00 am, con una aguja tipo California y se depositaron en tubos de cristal 40 x 20 mm con EDTA (1mg/mL de sangre), previamente tapados y esterilizados. Para el análisis bioquímico se colocaron 2 </w:t>
      </w:r>
      <w:proofErr w:type="spellStart"/>
      <w:r w:rsidRPr="0001405B">
        <w:rPr>
          <w:rFonts w:ascii="Times New Roman" w:hAnsi="Times New Roman" w:cs="Times New Roman"/>
          <w:sz w:val="24"/>
          <w:szCs w:val="24"/>
        </w:rPr>
        <w:t>mL</w:t>
      </w:r>
      <w:proofErr w:type="spellEnd"/>
      <w:r w:rsidRPr="0001405B">
        <w:rPr>
          <w:rFonts w:ascii="Times New Roman" w:hAnsi="Times New Roman" w:cs="Times New Roman"/>
          <w:sz w:val="24"/>
          <w:szCs w:val="24"/>
        </w:rPr>
        <w:t xml:space="preserve"> en tub</w:t>
      </w:r>
      <w:r w:rsidR="008A65E9">
        <w:rPr>
          <w:rFonts w:ascii="Times New Roman" w:hAnsi="Times New Roman" w:cs="Times New Roman"/>
          <w:sz w:val="24"/>
          <w:szCs w:val="24"/>
        </w:rPr>
        <w:t xml:space="preserve">os </w:t>
      </w:r>
      <w:proofErr w:type="spellStart"/>
      <w:r w:rsidR="008A65E9">
        <w:rPr>
          <w:rFonts w:ascii="Times New Roman" w:hAnsi="Times New Roman" w:cs="Times New Roman"/>
          <w:sz w:val="24"/>
          <w:szCs w:val="24"/>
        </w:rPr>
        <w:t>Ependors</w:t>
      </w:r>
      <w:proofErr w:type="spellEnd"/>
      <w:r w:rsidR="008A65E9">
        <w:rPr>
          <w:rFonts w:ascii="Times New Roman" w:hAnsi="Times New Roman" w:cs="Times New Roman"/>
          <w:sz w:val="24"/>
          <w:szCs w:val="24"/>
        </w:rPr>
        <w:t xml:space="preserve"> sin anticoagulante, </w:t>
      </w:r>
      <w:r w:rsidRPr="0001405B">
        <w:rPr>
          <w:rFonts w:ascii="Times New Roman" w:hAnsi="Times New Roman" w:cs="Times New Roman"/>
          <w:sz w:val="24"/>
          <w:szCs w:val="24"/>
        </w:rPr>
        <w:t>posteriormente se centrifugaron a 3500 g (1500 rpm) durante 10 minutos, obteniéndose el suero sanguíneo, el que se analizó inmediatamente.</w:t>
      </w:r>
    </w:p>
    <w:p w:rsidR="0001405B" w:rsidRPr="0001405B" w:rsidRDefault="0001405B" w:rsidP="0001405B">
      <w:pPr>
        <w:spacing w:after="0" w:line="360" w:lineRule="auto"/>
        <w:jc w:val="both"/>
        <w:rPr>
          <w:rFonts w:ascii="Times New Roman" w:hAnsi="Times New Roman" w:cs="Times New Roman"/>
          <w:sz w:val="24"/>
          <w:szCs w:val="24"/>
        </w:rPr>
      </w:pPr>
      <w:r w:rsidRPr="0001405B">
        <w:rPr>
          <w:rFonts w:ascii="Times New Roman" w:hAnsi="Times New Roman" w:cs="Times New Roman"/>
          <w:sz w:val="24"/>
          <w:szCs w:val="24"/>
        </w:rPr>
        <w:t xml:space="preserve">Las determinaciones hematológicas hemoglobina (Hb) por el método de </w:t>
      </w:r>
      <w:proofErr w:type="spellStart"/>
      <w:r w:rsidRPr="0001405B">
        <w:rPr>
          <w:rFonts w:ascii="Times New Roman" w:hAnsi="Times New Roman" w:cs="Times New Roman"/>
          <w:sz w:val="24"/>
          <w:szCs w:val="24"/>
        </w:rPr>
        <w:t>cianometahemoglobina</w:t>
      </w:r>
      <w:proofErr w:type="spellEnd"/>
      <w:r w:rsidRPr="0001405B">
        <w:rPr>
          <w:rFonts w:ascii="Times New Roman" w:hAnsi="Times New Roman" w:cs="Times New Roman"/>
          <w:sz w:val="24"/>
          <w:szCs w:val="24"/>
        </w:rPr>
        <w:t xml:space="preserve"> (</w:t>
      </w:r>
      <w:proofErr w:type="spellStart"/>
      <w:r w:rsidRPr="0001405B">
        <w:rPr>
          <w:rFonts w:ascii="Times New Roman" w:hAnsi="Times New Roman" w:cs="Times New Roman"/>
          <w:sz w:val="24"/>
          <w:szCs w:val="24"/>
        </w:rPr>
        <w:t>Natelson</w:t>
      </w:r>
      <w:proofErr w:type="spellEnd"/>
      <w:r w:rsidRPr="0001405B">
        <w:rPr>
          <w:rFonts w:ascii="Times New Roman" w:hAnsi="Times New Roman" w:cs="Times New Roman"/>
          <w:sz w:val="24"/>
          <w:szCs w:val="24"/>
        </w:rPr>
        <w:t xml:space="preserve">, 1964), hematocrito (Hto) (Sippel,1959), conteo total de leucocitos (CTL) con la cámara de </w:t>
      </w:r>
      <w:proofErr w:type="spellStart"/>
      <w:r w:rsidRPr="0001405B">
        <w:rPr>
          <w:rFonts w:ascii="Times New Roman" w:hAnsi="Times New Roman" w:cs="Times New Roman"/>
          <w:sz w:val="24"/>
          <w:szCs w:val="24"/>
        </w:rPr>
        <w:t>Newbauer</w:t>
      </w:r>
      <w:proofErr w:type="spellEnd"/>
      <w:r w:rsidRPr="0001405B">
        <w:rPr>
          <w:rFonts w:ascii="Times New Roman" w:hAnsi="Times New Roman" w:cs="Times New Roman"/>
          <w:sz w:val="24"/>
          <w:szCs w:val="24"/>
        </w:rPr>
        <w:t xml:space="preserve"> y el diferencial (linfocitos, neutrófilos, </w:t>
      </w:r>
      <w:r w:rsidRPr="0001405B">
        <w:rPr>
          <w:rFonts w:ascii="Times New Roman" w:hAnsi="Times New Roman" w:cs="Times New Roman"/>
          <w:sz w:val="24"/>
          <w:szCs w:val="24"/>
        </w:rPr>
        <w:lastRenderedPageBreak/>
        <w:t xml:space="preserve">basófilos y eosinófilos) sobre frotis teñidos por el método de </w:t>
      </w:r>
      <w:proofErr w:type="spellStart"/>
      <w:r w:rsidRPr="0001405B">
        <w:rPr>
          <w:rFonts w:ascii="Times New Roman" w:hAnsi="Times New Roman" w:cs="Times New Roman"/>
          <w:sz w:val="24"/>
          <w:szCs w:val="24"/>
        </w:rPr>
        <w:t>Giemsa</w:t>
      </w:r>
      <w:proofErr w:type="spellEnd"/>
      <w:r w:rsidRPr="0001405B">
        <w:rPr>
          <w:rFonts w:ascii="Times New Roman" w:hAnsi="Times New Roman" w:cs="Times New Roman"/>
          <w:sz w:val="24"/>
          <w:szCs w:val="24"/>
        </w:rPr>
        <w:t xml:space="preserve"> (</w:t>
      </w:r>
      <w:proofErr w:type="spellStart"/>
      <w:r w:rsidRPr="0001405B">
        <w:rPr>
          <w:rFonts w:ascii="Times New Roman" w:hAnsi="Times New Roman" w:cs="Times New Roman"/>
          <w:sz w:val="24"/>
          <w:szCs w:val="24"/>
        </w:rPr>
        <w:t>Coffin</w:t>
      </w:r>
      <w:proofErr w:type="spellEnd"/>
      <w:r w:rsidRPr="0001405B">
        <w:rPr>
          <w:rFonts w:ascii="Times New Roman" w:hAnsi="Times New Roman" w:cs="Times New Roman"/>
          <w:sz w:val="24"/>
          <w:szCs w:val="24"/>
        </w:rPr>
        <w:t xml:space="preserve">, 1996). La determinación de </w:t>
      </w:r>
      <w:proofErr w:type="spellStart"/>
      <w:r w:rsidRPr="0001405B">
        <w:rPr>
          <w:rFonts w:ascii="Times New Roman" w:hAnsi="Times New Roman" w:cs="Times New Roman"/>
          <w:sz w:val="24"/>
          <w:szCs w:val="24"/>
        </w:rPr>
        <w:t>alanina</w:t>
      </w:r>
      <w:proofErr w:type="spellEnd"/>
      <w:r w:rsidRPr="0001405B">
        <w:rPr>
          <w:rFonts w:ascii="Times New Roman" w:hAnsi="Times New Roman" w:cs="Times New Roman"/>
          <w:sz w:val="24"/>
          <w:szCs w:val="24"/>
        </w:rPr>
        <w:t xml:space="preserve"> amino </w:t>
      </w:r>
      <w:proofErr w:type="spellStart"/>
      <w:r w:rsidRPr="0001405B">
        <w:rPr>
          <w:rFonts w:ascii="Times New Roman" w:hAnsi="Times New Roman" w:cs="Times New Roman"/>
          <w:sz w:val="24"/>
          <w:szCs w:val="24"/>
        </w:rPr>
        <w:t>transferasa</w:t>
      </w:r>
      <w:proofErr w:type="spellEnd"/>
      <w:r w:rsidRPr="0001405B">
        <w:rPr>
          <w:rFonts w:ascii="Times New Roman" w:hAnsi="Times New Roman" w:cs="Times New Roman"/>
          <w:sz w:val="24"/>
          <w:szCs w:val="24"/>
        </w:rPr>
        <w:t xml:space="preserve"> (ALAT) se realizó en un analizador bioquímico Hitachi 902 (Roche </w:t>
      </w:r>
      <w:proofErr w:type="spellStart"/>
      <w:r w:rsidRPr="0001405B">
        <w:rPr>
          <w:rFonts w:ascii="Times New Roman" w:hAnsi="Times New Roman" w:cs="Times New Roman"/>
          <w:sz w:val="24"/>
          <w:szCs w:val="24"/>
        </w:rPr>
        <w:t>Diagnostic</w:t>
      </w:r>
      <w:proofErr w:type="spellEnd"/>
      <w:r w:rsidRPr="0001405B">
        <w:rPr>
          <w:rFonts w:ascii="Times New Roman" w:hAnsi="Times New Roman" w:cs="Times New Roman"/>
          <w:sz w:val="24"/>
          <w:szCs w:val="24"/>
        </w:rPr>
        <w:t xml:space="preserve">, Tokio, Japón) equipos diagnósticos </w:t>
      </w:r>
      <w:proofErr w:type="spellStart"/>
      <w:r w:rsidRPr="0001405B">
        <w:rPr>
          <w:rFonts w:ascii="Times New Roman" w:hAnsi="Times New Roman" w:cs="Times New Roman"/>
          <w:sz w:val="24"/>
          <w:szCs w:val="24"/>
        </w:rPr>
        <w:t>Helfa</w:t>
      </w:r>
      <w:proofErr w:type="spellEnd"/>
      <w:r w:rsidRPr="0001405B">
        <w:rPr>
          <w:rFonts w:ascii="Times New Roman" w:hAnsi="Times New Roman" w:cs="Times New Roman"/>
          <w:sz w:val="24"/>
          <w:szCs w:val="24"/>
        </w:rPr>
        <w:t xml:space="preserve"> (EPB Carlos J. </w:t>
      </w:r>
      <w:proofErr w:type="spellStart"/>
      <w:r w:rsidRPr="0001405B">
        <w:rPr>
          <w:rFonts w:ascii="Times New Roman" w:hAnsi="Times New Roman" w:cs="Times New Roman"/>
          <w:sz w:val="24"/>
          <w:szCs w:val="24"/>
        </w:rPr>
        <w:t>Finlay</w:t>
      </w:r>
      <w:proofErr w:type="spellEnd"/>
      <w:r w:rsidRPr="0001405B">
        <w:rPr>
          <w:rFonts w:ascii="Times New Roman" w:hAnsi="Times New Roman" w:cs="Times New Roman"/>
          <w:sz w:val="24"/>
          <w:szCs w:val="24"/>
        </w:rPr>
        <w:t>, Habana, Cuba, según los procedimientos de fabricante.</w:t>
      </w:r>
    </w:p>
    <w:p w:rsidR="008A65E9" w:rsidRDefault="0001405B" w:rsidP="009825AB">
      <w:pPr>
        <w:spacing w:after="0" w:line="360" w:lineRule="auto"/>
        <w:jc w:val="both"/>
        <w:rPr>
          <w:rFonts w:ascii="Times New Roman" w:hAnsi="Times New Roman" w:cs="Times New Roman"/>
          <w:sz w:val="24"/>
          <w:szCs w:val="24"/>
        </w:rPr>
      </w:pPr>
      <w:r w:rsidRPr="0001405B">
        <w:rPr>
          <w:rFonts w:ascii="Times New Roman" w:hAnsi="Times New Roman" w:cs="Times New Roman"/>
          <w:sz w:val="24"/>
          <w:szCs w:val="24"/>
        </w:rPr>
        <w:t xml:space="preserve">Para el análisis estadístico de los resultados se empleó el paquete estadístico STATGRAPHICS Plus 15.1 y se realizó una prueba de test para la comparación de medias en los valores de hemoglobina, hematocrito, leucocitos totales entre el grupo tratado y el control, en dos muestreos (antes y al final del experimento). Se hizo una distribución de frecuencia para calcular el porcentaje de leucopenia y linfocitosis en ambos grupos de animales (tratados y testigos) así como una comparación de proporción binomial del </w:t>
      </w:r>
      <w:proofErr w:type="spellStart"/>
      <w:r w:rsidRPr="0001405B">
        <w:rPr>
          <w:rFonts w:ascii="Times New Roman" w:hAnsi="Times New Roman" w:cs="Times New Roman"/>
          <w:sz w:val="24"/>
          <w:szCs w:val="24"/>
        </w:rPr>
        <w:t>porcentale</w:t>
      </w:r>
      <w:proofErr w:type="spellEnd"/>
      <w:r w:rsidRPr="0001405B">
        <w:rPr>
          <w:rFonts w:ascii="Times New Roman" w:hAnsi="Times New Roman" w:cs="Times New Roman"/>
          <w:sz w:val="24"/>
          <w:szCs w:val="24"/>
        </w:rPr>
        <w:t xml:space="preserve"> de animales con linfocitosis en cada grupo, al final del experimento. Se aplicó una prueba de test para la comparación de medias en los valores de ALAT al final de la etapa experimental.</w:t>
      </w:r>
    </w:p>
    <w:p w:rsidR="009825AB" w:rsidRPr="009825AB" w:rsidRDefault="009825AB" w:rsidP="009825AB">
      <w:pPr>
        <w:spacing w:after="0" w:line="360" w:lineRule="auto"/>
        <w:jc w:val="both"/>
        <w:rPr>
          <w:rFonts w:ascii="Times New Roman" w:hAnsi="Times New Roman" w:cs="Times New Roman"/>
          <w:sz w:val="24"/>
          <w:szCs w:val="24"/>
        </w:rPr>
      </w:pPr>
      <w:r w:rsidRPr="009825AB">
        <w:rPr>
          <w:rFonts w:ascii="Times New Roman" w:hAnsi="Times New Roman" w:cs="Times New Roman"/>
          <w:sz w:val="24"/>
          <w:szCs w:val="24"/>
        </w:rPr>
        <w:t>Criterios de inclusión: En todos los casos se utilizaron cerdos mestizos; con una edad comprendida entre 26 y 96 días, clínicamente sanos, según la aplicación de las invariantes funcionales de ejecución del método clínico (Cuesta et al.; 2015) y que no estuvieran bajo tratamiento médico.</w:t>
      </w:r>
    </w:p>
    <w:p w:rsidR="009825AB" w:rsidRPr="009825AB" w:rsidRDefault="009825AB" w:rsidP="009825AB">
      <w:pPr>
        <w:spacing w:after="0" w:line="360" w:lineRule="auto"/>
        <w:jc w:val="both"/>
        <w:rPr>
          <w:rFonts w:ascii="Times New Roman" w:hAnsi="Times New Roman" w:cs="Times New Roman"/>
          <w:sz w:val="24"/>
          <w:szCs w:val="24"/>
        </w:rPr>
      </w:pPr>
      <w:r w:rsidRPr="009825AB">
        <w:rPr>
          <w:rFonts w:ascii="Times New Roman" w:hAnsi="Times New Roman" w:cs="Times New Roman"/>
          <w:sz w:val="24"/>
          <w:szCs w:val="24"/>
        </w:rPr>
        <w:t>Criterios de exclusión: Animales que no cumplieron con los criterios de inclusión.</w:t>
      </w:r>
    </w:p>
    <w:p w:rsidR="009825AB" w:rsidRPr="00EB1FFA" w:rsidRDefault="009825AB" w:rsidP="009825AB">
      <w:pPr>
        <w:spacing w:after="0" w:line="360" w:lineRule="auto"/>
        <w:jc w:val="both"/>
        <w:rPr>
          <w:rFonts w:ascii="Times New Roman" w:hAnsi="Times New Roman" w:cs="Times New Roman"/>
          <w:sz w:val="24"/>
          <w:szCs w:val="24"/>
        </w:rPr>
      </w:pPr>
      <w:r w:rsidRPr="009825AB">
        <w:rPr>
          <w:rFonts w:ascii="Times New Roman" w:hAnsi="Times New Roman" w:cs="Times New Roman"/>
          <w:sz w:val="24"/>
          <w:szCs w:val="24"/>
        </w:rPr>
        <w:t>Criterios de salida: el incumplimiento de las indicaciones médicas preestablecidas (tratamiento medicamentoso), el sacrificio sanitario o la muerte del animal.</w:t>
      </w:r>
    </w:p>
    <w:p w:rsidR="0043544A" w:rsidRPr="00EB1FFA" w:rsidRDefault="00A21A1F" w:rsidP="00EB1FFA">
      <w:pPr>
        <w:pStyle w:val="Prrafodelista"/>
        <w:numPr>
          <w:ilvl w:val="0"/>
          <w:numId w:val="7"/>
        </w:numPr>
        <w:spacing w:after="0" w:line="360" w:lineRule="auto"/>
        <w:jc w:val="both"/>
        <w:rPr>
          <w:rFonts w:ascii="Times New Roman" w:hAnsi="Times New Roman" w:cs="Times New Roman"/>
          <w:b/>
          <w:sz w:val="24"/>
          <w:szCs w:val="24"/>
        </w:rPr>
      </w:pPr>
      <w:r w:rsidRPr="00EB1FFA">
        <w:rPr>
          <w:rFonts w:ascii="Times New Roman" w:hAnsi="Times New Roman" w:cs="Times New Roman"/>
          <w:b/>
          <w:sz w:val="24"/>
          <w:szCs w:val="24"/>
        </w:rPr>
        <w:t>Resultados y discusión</w:t>
      </w:r>
    </w:p>
    <w:p w:rsidR="00313F9E" w:rsidRPr="00313F9E" w:rsidRDefault="00313F9E" w:rsidP="00313F9E">
      <w:pPr>
        <w:spacing w:after="0" w:line="360" w:lineRule="auto"/>
        <w:jc w:val="both"/>
        <w:rPr>
          <w:rFonts w:ascii="Times New Roman" w:hAnsi="Times New Roman" w:cs="Times New Roman"/>
          <w:sz w:val="24"/>
          <w:szCs w:val="24"/>
        </w:rPr>
      </w:pPr>
      <w:r w:rsidRPr="00313F9E">
        <w:rPr>
          <w:rFonts w:ascii="Times New Roman" w:hAnsi="Times New Roman" w:cs="Times New Roman"/>
          <w:sz w:val="24"/>
          <w:szCs w:val="24"/>
        </w:rPr>
        <w:t>En la tabla 4 se observa que en los primeros 21 días de iniciado el experimento hubo gran ocurrencia de procesos diarreicos, fundamentalmente en la primera semana. En el grupo de cerdos que consumieron pienso con el aditivo Mycofix Select MTV la ocurrencia de diarreas fue inferior al grupo control. La prevalencia de procesos diarreicos en los cerdos que consumieron el pienso con el aditivo desde el destete hasta los 96 días de edad, fue de 33,3%, mientras que en el grupo control alcanzó un valor de 83,3%.</w:t>
      </w:r>
    </w:p>
    <w:p w:rsidR="00EB1FFA" w:rsidRDefault="00313F9E" w:rsidP="00313F9E">
      <w:pPr>
        <w:spacing w:after="0" w:line="360" w:lineRule="auto"/>
        <w:jc w:val="both"/>
        <w:rPr>
          <w:rFonts w:ascii="Times New Roman" w:hAnsi="Times New Roman" w:cs="Times New Roman"/>
          <w:sz w:val="24"/>
          <w:szCs w:val="24"/>
        </w:rPr>
      </w:pPr>
      <w:r w:rsidRPr="00313F9E">
        <w:rPr>
          <w:rFonts w:ascii="Times New Roman" w:hAnsi="Times New Roman" w:cs="Times New Roman"/>
          <w:sz w:val="24"/>
          <w:szCs w:val="24"/>
        </w:rPr>
        <w:t xml:space="preserve">Tabla 4. Prevalencia de procesos diarreicos en las primeras tres semanas </w:t>
      </w:r>
      <w:proofErr w:type="spellStart"/>
      <w:r w:rsidRPr="00313F9E">
        <w:rPr>
          <w:rFonts w:ascii="Times New Roman" w:hAnsi="Times New Roman" w:cs="Times New Roman"/>
          <w:sz w:val="24"/>
          <w:szCs w:val="24"/>
        </w:rPr>
        <w:t>posdestete</w:t>
      </w:r>
      <w:proofErr w:type="spellEnd"/>
      <w:r w:rsidRPr="00313F9E">
        <w:rPr>
          <w:rFonts w:ascii="Times New Roman" w:hAnsi="Times New Roman" w:cs="Times New Roman"/>
          <w:sz w:val="24"/>
          <w:szCs w:val="24"/>
        </w:rPr>
        <w:t>.</w:t>
      </w:r>
    </w:p>
    <w:p w:rsidR="00313F9E" w:rsidRPr="00313F9E" w:rsidRDefault="00313F9E" w:rsidP="00313F9E">
      <w:pPr>
        <w:spacing w:after="0" w:line="360" w:lineRule="auto"/>
        <w:jc w:val="both"/>
        <w:rPr>
          <w:rFonts w:ascii="Times New Roman" w:hAnsi="Times New Roman" w:cs="Times New Roman"/>
          <w:sz w:val="24"/>
          <w:szCs w:val="24"/>
        </w:rPr>
      </w:pPr>
    </w:p>
    <w:tbl>
      <w:tblPr>
        <w:tblW w:w="8755" w:type="dxa"/>
        <w:tblBorders>
          <w:top w:val="nil"/>
          <w:left w:val="nil"/>
          <w:bottom w:val="nil"/>
          <w:right w:val="nil"/>
        </w:tblBorders>
        <w:tblLayout w:type="fixed"/>
        <w:tblLook w:val="0000" w:firstRow="0" w:lastRow="0" w:firstColumn="0" w:lastColumn="0" w:noHBand="0" w:noVBand="0"/>
      </w:tblPr>
      <w:tblGrid>
        <w:gridCol w:w="1242"/>
        <w:gridCol w:w="567"/>
        <w:gridCol w:w="1843"/>
        <w:gridCol w:w="1843"/>
        <w:gridCol w:w="1843"/>
        <w:gridCol w:w="1417"/>
      </w:tblGrid>
      <w:tr w:rsidR="00313F9E" w:rsidRPr="00313F9E" w:rsidTr="00313F9E">
        <w:trPr>
          <w:trHeight w:val="326"/>
        </w:trPr>
        <w:tc>
          <w:tcPr>
            <w:tcW w:w="1242" w:type="dxa"/>
          </w:tcPr>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Grupos </w:t>
            </w:r>
          </w:p>
        </w:tc>
        <w:tc>
          <w:tcPr>
            <w:tcW w:w="567" w:type="dxa"/>
          </w:tcPr>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n </w:t>
            </w:r>
          </w:p>
        </w:tc>
        <w:tc>
          <w:tcPr>
            <w:tcW w:w="1843" w:type="dxa"/>
          </w:tcPr>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Prevalencia % </w:t>
            </w:r>
          </w:p>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26 - 33 días </w:t>
            </w:r>
          </w:p>
        </w:tc>
        <w:tc>
          <w:tcPr>
            <w:tcW w:w="1843" w:type="dxa"/>
          </w:tcPr>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Prevalencia % </w:t>
            </w:r>
          </w:p>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34 - 41 días </w:t>
            </w:r>
          </w:p>
        </w:tc>
        <w:tc>
          <w:tcPr>
            <w:tcW w:w="1843" w:type="dxa"/>
          </w:tcPr>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Prevalencia % </w:t>
            </w:r>
          </w:p>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42 - 49 días </w:t>
            </w:r>
          </w:p>
        </w:tc>
        <w:tc>
          <w:tcPr>
            <w:tcW w:w="1417" w:type="dxa"/>
          </w:tcPr>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Prevalencia de periodo </w:t>
            </w:r>
          </w:p>
        </w:tc>
      </w:tr>
      <w:tr w:rsidR="00313F9E" w:rsidRPr="00313F9E" w:rsidTr="00313F9E">
        <w:trPr>
          <w:trHeight w:val="94"/>
        </w:trPr>
        <w:tc>
          <w:tcPr>
            <w:tcW w:w="1242" w:type="dxa"/>
          </w:tcPr>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Tratados </w:t>
            </w:r>
          </w:p>
        </w:tc>
        <w:tc>
          <w:tcPr>
            <w:tcW w:w="567"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30</w:t>
            </w:r>
          </w:p>
        </w:tc>
        <w:tc>
          <w:tcPr>
            <w:tcW w:w="1843"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13,33</w:t>
            </w:r>
          </w:p>
        </w:tc>
        <w:tc>
          <w:tcPr>
            <w:tcW w:w="1843"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6,66</w:t>
            </w:r>
          </w:p>
        </w:tc>
        <w:tc>
          <w:tcPr>
            <w:tcW w:w="1843"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6,66</w:t>
            </w:r>
          </w:p>
        </w:tc>
        <w:tc>
          <w:tcPr>
            <w:tcW w:w="1417"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33,3</w:t>
            </w:r>
          </w:p>
        </w:tc>
      </w:tr>
      <w:tr w:rsidR="00313F9E" w:rsidRPr="00313F9E" w:rsidTr="00313F9E">
        <w:trPr>
          <w:trHeight w:val="94"/>
        </w:trPr>
        <w:tc>
          <w:tcPr>
            <w:tcW w:w="1242" w:type="dxa"/>
          </w:tcPr>
          <w:p w:rsidR="00313F9E" w:rsidRPr="00313F9E" w:rsidRDefault="00313F9E" w:rsidP="00313F9E">
            <w:pPr>
              <w:autoSpaceDE w:val="0"/>
              <w:autoSpaceDN w:val="0"/>
              <w:adjustRightInd w:val="0"/>
              <w:spacing w:after="0" w:line="240" w:lineRule="auto"/>
              <w:rPr>
                <w:rFonts w:ascii="Times New Roman" w:hAnsi="Times New Roman" w:cs="Times New Roman"/>
                <w:color w:val="000000"/>
                <w:sz w:val="24"/>
                <w:szCs w:val="24"/>
              </w:rPr>
            </w:pPr>
            <w:r w:rsidRPr="00313F9E">
              <w:rPr>
                <w:rFonts w:ascii="Times New Roman" w:hAnsi="Times New Roman" w:cs="Times New Roman"/>
                <w:b/>
                <w:bCs/>
                <w:color w:val="000000"/>
                <w:sz w:val="24"/>
                <w:szCs w:val="24"/>
              </w:rPr>
              <w:t xml:space="preserve">Control </w:t>
            </w:r>
          </w:p>
        </w:tc>
        <w:tc>
          <w:tcPr>
            <w:tcW w:w="567"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30</w:t>
            </w:r>
          </w:p>
        </w:tc>
        <w:tc>
          <w:tcPr>
            <w:tcW w:w="1843"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30,00</w:t>
            </w:r>
          </w:p>
        </w:tc>
        <w:tc>
          <w:tcPr>
            <w:tcW w:w="1843"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13,33</w:t>
            </w:r>
          </w:p>
        </w:tc>
        <w:tc>
          <w:tcPr>
            <w:tcW w:w="1843"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6,66</w:t>
            </w:r>
          </w:p>
        </w:tc>
        <w:tc>
          <w:tcPr>
            <w:tcW w:w="1417" w:type="dxa"/>
          </w:tcPr>
          <w:p w:rsidR="00313F9E" w:rsidRPr="00313F9E" w:rsidRDefault="00313F9E" w:rsidP="00313F9E">
            <w:pPr>
              <w:autoSpaceDE w:val="0"/>
              <w:autoSpaceDN w:val="0"/>
              <w:adjustRightInd w:val="0"/>
              <w:spacing w:after="0" w:line="240" w:lineRule="auto"/>
              <w:jc w:val="center"/>
              <w:rPr>
                <w:rFonts w:ascii="Times New Roman" w:hAnsi="Times New Roman" w:cs="Times New Roman"/>
                <w:color w:val="000000"/>
                <w:sz w:val="24"/>
                <w:szCs w:val="24"/>
              </w:rPr>
            </w:pPr>
            <w:r w:rsidRPr="00313F9E">
              <w:rPr>
                <w:rFonts w:ascii="Times New Roman" w:hAnsi="Times New Roman" w:cs="Times New Roman"/>
                <w:color w:val="000000"/>
                <w:sz w:val="24"/>
                <w:szCs w:val="24"/>
              </w:rPr>
              <w:t>83,3</w:t>
            </w:r>
          </w:p>
        </w:tc>
      </w:tr>
    </w:tbl>
    <w:p w:rsidR="00313F9E" w:rsidRDefault="00313F9E" w:rsidP="00313F9E">
      <w:pPr>
        <w:spacing w:after="0" w:line="360" w:lineRule="auto"/>
        <w:jc w:val="both"/>
        <w:rPr>
          <w:rFonts w:ascii="Times New Roman" w:hAnsi="Times New Roman" w:cs="Times New Roman"/>
          <w:b/>
          <w:sz w:val="24"/>
          <w:szCs w:val="24"/>
        </w:rPr>
      </w:pPr>
    </w:p>
    <w:p w:rsidR="00BF181F" w:rsidRPr="00BF181F" w:rsidRDefault="00BF181F" w:rsidP="00BF181F">
      <w:pPr>
        <w:spacing w:after="0" w:line="360" w:lineRule="auto"/>
        <w:jc w:val="both"/>
        <w:rPr>
          <w:rFonts w:ascii="Times New Roman" w:hAnsi="Times New Roman" w:cs="Times New Roman"/>
          <w:sz w:val="24"/>
          <w:szCs w:val="24"/>
        </w:rPr>
      </w:pPr>
      <w:r w:rsidRPr="00BF181F">
        <w:rPr>
          <w:rFonts w:ascii="Times New Roman" w:hAnsi="Times New Roman" w:cs="Times New Roman"/>
          <w:sz w:val="24"/>
          <w:szCs w:val="24"/>
        </w:rPr>
        <w:t xml:space="preserve">Tales resultados pudieran estar atribuidos a los efectos del aditivo (Mycofix Select MTV) que según </w:t>
      </w:r>
      <w:proofErr w:type="spellStart"/>
      <w:r w:rsidRPr="00BF181F">
        <w:rPr>
          <w:rFonts w:ascii="Times New Roman" w:hAnsi="Times New Roman" w:cs="Times New Roman"/>
          <w:sz w:val="24"/>
          <w:szCs w:val="24"/>
        </w:rPr>
        <w:t>Starkl</w:t>
      </w:r>
      <w:proofErr w:type="spellEnd"/>
      <w:r w:rsidRPr="00BF181F">
        <w:rPr>
          <w:rFonts w:ascii="Times New Roman" w:hAnsi="Times New Roman" w:cs="Times New Roman"/>
          <w:sz w:val="24"/>
          <w:szCs w:val="24"/>
        </w:rPr>
        <w:t xml:space="preserve"> (2018) tiene un componente “</w:t>
      </w:r>
      <w:proofErr w:type="spellStart"/>
      <w:r w:rsidRPr="00BF181F">
        <w:rPr>
          <w:rFonts w:ascii="Times New Roman" w:hAnsi="Times New Roman" w:cs="Times New Roman"/>
          <w:sz w:val="24"/>
          <w:szCs w:val="24"/>
        </w:rPr>
        <w:t>secuestrante</w:t>
      </w:r>
      <w:proofErr w:type="spellEnd"/>
      <w:r w:rsidRPr="00BF181F">
        <w:rPr>
          <w:rFonts w:ascii="Times New Roman" w:hAnsi="Times New Roman" w:cs="Times New Roman"/>
          <w:sz w:val="24"/>
          <w:szCs w:val="24"/>
        </w:rPr>
        <w:t xml:space="preserve">”: una bentonita con excelente calidad para adsorber las </w:t>
      </w:r>
      <w:proofErr w:type="spellStart"/>
      <w:r w:rsidRPr="00BF181F">
        <w:rPr>
          <w:rFonts w:ascii="Times New Roman" w:hAnsi="Times New Roman" w:cs="Times New Roman"/>
          <w:sz w:val="24"/>
          <w:szCs w:val="24"/>
        </w:rPr>
        <w:t>aflatoxinas</w:t>
      </w:r>
      <w:proofErr w:type="spellEnd"/>
      <w:r w:rsidRPr="00BF181F">
        <w:rPr>
          <w:rFonts w:ascii="Times New Roman" w:hAnsi="Times New Roman" w:cs="Times New Roman"/>
          <w:sz w:val="24"/>
          <w:szCs w:val="24"/>
        </w:rPr>
        <w:t xml:space="preserve">, además la levadura MTV, productora de enzimas para </w:t>
      </w:r>
      <w:proofErr w:type="spellStart"/>
      <w:r w:rsidRPr="00BF181F">
        <w:rPr>
          <w:rFonts w:ascii="Times New Roman" w:hAnsi="Times New Roman" w:cs="Times New Roman"/>
          <w:sz w:val="24"/>
          <w:szCs w:val="24"/>
        </w:rPr>
        <w:t>biotransformar</w:t>
      </w:r>
      <w:proofErr w:type="spellEnd"/>
      <w:r w:rsidRPr="00BF181F">
        <w:rPr>
          <w:rFonts w:ascii="Times New Roman" w:hAnsi="Times New Roman" w:cs="Times New Roman"/>
          <w:sz w:val="24"/>
          <w:szCs w:val="24"/>
        </w:rPr>
        <w:t xml:space="preserve"> </w:t>
      </w:r>
      <w:proofErr w:type="spellStart"/>
      <w:r w:rsidRPr="00BF181F">
        <w:rPr>
          <w:rFonts w:ascii="Times New Roman" w:hAnsi="Times New Roman" w:cs="Times New Roman"/>
          <w:sz w:val="24"/>
          <w:szCs w:val="24"/>
        </w:rPr>
        <w:t>zearalenona</w:t>
      </w:r>
      <w:proofErr w:type="spellEnd"/>
      <w:r w:rsidRPr="00BF181F">
        <w:rPr>
          <w:rFonts w:ascii="Times New Roman" w:hAnsi="Times New Roman" w:cs="Times New Roman"/>
          <w:sz w:val="24"/>
          <w:szCs w:val="24"/>
        </w:rPr>
        <w:t xml:space="preserve"> y </w:t>
      </w:r>
      <w:proofErr w:type="spellStart"/>
      <w:r w:rsidRPr="00BF181F">
        <w:rPr>
          <w:rFonts w:ascii="Times New Roman" w:hAnsi="Times New Roman" w:cs="Times New Roman"/>
          <w:sz w:val="24"/>
          <w:szCs w:val="24"/>
        </w:rPr>
        <w:t>ocratoxina</w:t>
      </w:r>
      <w:proofErr w:type="spellEnd"/>
      <w:r w:rsidRPr="00BF181F">
        <w:rPr>
          <w:rFonts w:ascii="Times New Roman" w:hAnsi="Times New Roman" w:cs="Times New Roman"/>
          <w:sz w:val="24"/>
          <w:szCs w:val="24"/>
        </w:rPr>
        <w:t xml:space="preserve"> A, y el BIOMIN BBSH 797, una bacteria que produce </w:t>
      </w:r>
      <w:proofErr w:type="spellStart"/>
      <w:r w:rsidRPr="00BF181F">
        <w:rPr>
          <w:rFonts w:ascii="Times New Roman" w:hAnsi="Times New Roman" w:cs="Times New Roman"/>
          <w:sz w:val="24"/>
          <w:szCs w:val="24"/>
        </w:rPr>
        <w:t>epoxidasas</w:t>
      </w:r>
      <w:proofErr w:type="spellEnd"/>
      <w:r w:rsidRPr="00BF181F">
        <w:rPr>
          <w:rFonts w:ascii="Times New Roman" w:hAnsi="Times New Roman" w:cs="Times New Roman"/>
          <w:sz w:val="24"/>
          <w:szCs w:val="24"/>
        </w:rPr>
        <w:t xml:space="preserve"> para </w:t>
      </w:r>
      <w:proofErr w:type="spellStart"/>
      <w:r w:rsidRPr="00BF181F">
        <w:rPr>
          <w:rFonts w:ascii="Times New Roman" w:hAnsi="Times New Roman" w:cs="Times New Roman"/>
          <w:sz w:val="24"/>
          <w:szCs w:val="24"/>
        </w:rPr>
        <w:t>biotransformar</w:t>
      </w:r>
      <w:proofErr w:type="spellEnd"/>
      <w:r w:rsidRPr="00BF181F">
        <w:rPr>
          <w:rFonts w:ascii="Times New Roman" w:hAnsi="Times New Roman" w:cs="Times New Roman"/>
          <w:sz w:val="24"/>
          <w:szCs w:val="24"/>
        </w:rPr>
        <w:t xml:space="preserve"> todos los </w:t>
      </w:r>
      <w:proofErr w:type="spellStart"/>
      <w:r w:rsidRPr="00BF181F">
        <w:rPr>
          <w:rFonts w:ascii="Times New Roman" w:hAnsi="Times New Roman" w:cs="Times New Roman"/>
          <w:sz w:val="24"/>
          <w:szCs w:val="24"/>
        </w:rPr>
        <w:t>tricotecenos</w:t>
      </w:r>
      <w:proofErr w:type="spellEnd"/>
      <w:r w:rsidRPr="00BF181F">
        <w:rPr>
          <w:rFonts w:ascii="Times New Roman" w:hAnsi="Times New Roman" w:cs="Times New Roman"/>
          <w:sz w:val="24"/>
          <w:szCs w:val="24"/>
        </w:rPr>
        <w:t xml:space="preserve"> como Toxina T-2, </w:t>
      </w:r>
      <w:proofErr w:type="spellStart"/>
      <w:r w:rsidRPr="00BF181F">
        <w:rPr>
          <w:rFonts w:ascii="Times New Roman" w:hAnsi="Times New Roman" w:cs="Times New Roman"/>
          <w:sz w:val="24"/>
          <w:szCs w:val="24"/>
        </w:rPr>
        <w:t>deoxinivalenol</w:t>
      </w:r>
      <w:proofErr w:type="spellEnd"/>
      <w:r w:rsidRPr="00BF181F">
        <w:rPr>
          <w:rFonts w:ascii="Times New Roman" w:hAnsi="Times New Roman" w:cs="Times New Roman"/>
          <w:sz w:val="24"/>
          <w:szCs w:val="24"/>
        </w:rPr>
        <w:t xml:space="preserve"> y otros a metabolitos no tóxicos.</w:t>
      </w:r>
    </w:p>
    <w:p w:rsidR="00BF181F" w:rsidRPr="00BF181F" w:rsidRDefault="00BF181F" w:rsidP="00BF181F">
      <w:pPr>
        <w:spacing w:after="0" w:line="360" w:lineRule="auto"/>
        <w:jc w:val="both"/>
        <w:rPr>
          <w:rFonts w:ascii="Times New Roman" w:hAnsi="Times New Roman" w:cs="Times New Roman"/>
          <w:sz w:val="24"/>
          <w:szCs w:val="24"/>
        </w:rPr>
      </w:pPr>
      <w:r w:rsidRPr="00BF181F">
        <w:rPr>
          <w:rFonts w:ascii="Times New Roman" w:hAnsi="Times New Roman" w:cs="Times New Roman"/>
          <w:sz w:val="24"/>
          <w:szCs w:val="24"/>
        </w:rPr>
        <w:t xml:space="preserve">Todos estos efectos que ejerce sobre las micotoxinas, también pudieran influir sobre las toxinas liberadas por bacterias como E. coli muy frecuentes en los procesos entéricos </w:t>
      </w:r>
      <w:proofErr w:type="spellStart"/>
      <w:r w:rsidRPr="00BF181F">
        <w:rPr>
          <w:rFonts w:ascii="Times New Roman" w:hAnsi="Times New Roman" w:cs="Times New Roman"/>
          <w:sz w:val="24"/>
          <w:szCs w:val="24"/>
        </w:rPr>
        <w:t>posdestete</w:t>
      </w:r>
      <w:proofErr w:type="spellEnd"/>
      <w:r w:rsidRPr="00BF181F">
        <w:rPr>
          <w:rFonts w:ascii="Times New Roman" w:hAnsi="Times New Roman" w:cs="Times New Roman"/>
          <w:sz w:val="24"/>
          <w:szCs w:val="24"/>
        </w:rPr>
        <w:t xml:space="preserve">. El Mycofix Select MTV contiene Tierra Diatomea, que es un antiparasitario natural, además controla diarreas como agente </w:t>
      </w:r>
      <w:proofErr w:type="spellStart"/>
      <w:r w:rsidRPr="00BF181F">
        <w:rPr>
          <w:rFonts w:ascii="Times New Roman" w:hAnsi="Times New Roman" w:cs="Times New Roman"/>
          <w:sz w:val="24"/>
          <w:szCs w:val="24"/>
        </w:rPr>
        <w:t>secuestrante</w:t>
      </w:r>
      <w:proofErr w:type="spellEnd"/>
      <w:r w:rsidRPr="00BF181F">
        <w:rPr>
          <w:rFonts w:ascii="Times New Roman" w:hAnsi="Times New Roman" w:cs="Times New Roman"/>
          <w:sz w:val="24"/>
          <w:szCs w:val="24"/>
        </w:rPr>
        <w:t xml:space="preserve"> de las toxinas bacterianas, captura las toxinas antes que estas se adhieran a las vellosidades intestinales y provoquen daños, arrastrándolas con las</w:t>
      </w:r>
      <w:r>
        <w:rPr>
          <w:rFonts w:ascii="Times New Roman" w:hAnsi="Times New Roman" w:cs="Times New Roman"/>
          <w:sz w:val="24"/>
          <w:szCs w:val="24"/>
        </w:rPr>
        <w:t xml:space="preserve"> heces (Espinosa y Jana, 2011).</w:t>
      </w:r>
    </w:p>
    <w:p w:rsidR="00BF181F" w:rsidRPr="00BF181F" w:rsidRDefault="00BF181F" w:rsidP="00BF181F">
      <w:pPr>
        <w:spacing w:after="0" w:line="360" w:lineRule="auto"/>
        <w:jc w:val="both"/>
        <w:rPr>
          <w:rFonts w:ascii="Times New Roman" w:hAnsi="Times New Roman" w:cs="Times New Roman"/>
          <w:sz w:val="24"/>
          <w:szCs w:val="24"/>
        </w:rPr>
      </w:pPr>
      <w:r w:rsidRPr="00BF181F">
        <w:rPr>
          <w:rFonts w:ascii="Times New Roman" w:hAnsi="Times New Roman" w:cs="Times New Roman"/>
          <w:sz w:val="24"/>
          <w:szCs w:val="24"/>
        </w:rPr>
        <w:t xml:space="preserve">La Bentonita actúa como </w:t>
      </w:r>
      <w:proofErr w:type="spellStart"/>
      <w:r w:rsidRPr="00BF181F">
        <w:rPr>
          <w:rFonts w:ascii="Times New Roman" w:hAnsi="Times New Roman" w:cs="Times New Roman"/>
          <w:sz w:val="24"/>
          <w:szCs w:val="24"/>
        </w:rPr>
        <w:t>atrapador</w:t>
      </w:r>
      <w:proofErr w:type="spellEnd"/>
      <w:r w:rsidRPr="00BF181F">
        <w:rPr>
          <w:rFonts w:ascii="Times New Roman" w:hAnsi="Times New Roman" w:cs="Times New Roman"/>
          <w:sz w:val="24"/>
          <w:szCs w:val="24"/>
        </w:rPr>
        <w:t xml:space="preserve"> de toxinas, no pudiendo estas, por tanto, atravesar las paredes intestinales. Además, sirve de soporte de vitaminas, sales minerales y otros aditivos; el alimento mezclado con Bentonita, debido a su gran capacidad de adsorción, permanece más tiempo en la zona intestinal y permite que se adsorba el exceso de agua (</w:t>
      </w:r>
      <w:proofErr w:type="spellStart"/>
      <w:r w:rsidRPr="00BF181F">
        <w:rPr>
          <w:rFonts w:ascii="Times New Roman" w:hAnsi="Times New Roman" w:cs="Times New Roman"/>
          <w:sz w:val="24"/>
          <w:szCs w:val="24"/>
        </w:rPr>
        <w:t>Bradanovic</w:t>
      </w:r>
      <w:proofErr w:type="spellEnd"/>
      <w:r w:rsidRPr="00BF181F">
        <w:rPr>
          <w:rFonts w:ascii="Times New Roman" w:hAnsi="Times New Roman" w:cs="Times New Roman"/>
          <w:sz w:val="24"/>
          <w:szCs w:val="24"/>
        </w:rPr>
        <w:t>, 2018).</w:t>
      </w:r>
    </w:p>
    <w:p w:rsidR="00BF181F" w:rsidRPr="00BF181F" w:rsidRDefault="00BF181F" w:rsidP="00BF181F">
      <w:pPr>
        <w:spacing w:after="0" w:line="360" w:lineRule="auto"/>
        <w:jc w:val="both"/>
        <w:rPr>
          <w:rFonts w:ascii="Times New Roman" w:hAnsi="Times New Roman" w:cs="Times New Roman"/>
          <w:sz w:val="24"/>
          <w:szCs w:val="24"/>
        </w:rPr>
      </w:pPr>
      <w:r w:rsidRPr="00BF181F">
        <w:rPr>
          <w:rFonts w:ascii="Times New Roman" w:hAnsi="Times New Roman" w:cs="Times New Roman"/>
          <w:sz w:val="24"/>
          <w:szCs w:val="24"/>
        </w:rPr>
        <w:t xml:space="preserve">Las Sustancias </w:t>
      </w:r>
      <w:proofErr w:type="spellStart"/>
      <w:r w:rsidRPr="00BF181F">
        <w:rPr>
          <w:rFonts w:ascii="Times New Roman" w:hAnsi="Times New Roman" w:cs="Times New Roman"/>
          <w:sz w:val="24"/>
          <w:szCs w:val="24"/>
        </w:rPr>
        <w:t>ficofíticas</w:t>
      </w:r>
      <w:proofErr w:type="spellEnd"/>
      <w:r w:rsidRPr="00BF181F">
        <w:rPr>
          <w:rFonts w:ascii="Times New Roman" w:hAnsi="Times New Roman" w:cs="Times New Roman"/>
          <w:sz w:val="24"/>
          <w:szCs w:val="24"/>
        </w:rPr>
        <w:t xml:space="preserve"> (plantas y algas) tienen efecto </w:t>
      </w:r>
      <w:proofErr w:type="spellStart"/>
      <w:r w:rsidRPr="00BF181F">
        <w:rPr>
          <w:rFonts w:ascii="Times New Roman" w:hAnsi="Times New Roman" w:cs="Times New Roman"/>
          <w:sz w:val="24"/>
          <w:szCs w:val="24"/>
        </w:rPr>
        <w:t>inmunomodulador</w:t>
      </w:r>
      <w:proofErr w:type="spellEnd"/>
      <w:r w:rsidRPr="00BF181F">
        <w:rPr>
          <w:rFonts w:ascii="Times New Roman" w:hAnsi="Times New Roman" w:cs="Times New Roman"/>
          <w:sz w:val="24"/>
          <w:szCs w:val="24"/>
        </w:rPr>
        <w:t xml:space="preserve"> (Gascón, 2015). El </w:t>
      </w:r>
      <w:proofErr w:type="spellStart"/>
      <w:r w:rsidRPr="00BF181F">
        <w:rPr>
          <w:rFonts w:ascii="Times New Roman" w:hAnsi="Times New Roman" w:cs="Times New Roman"/>
          <w:sz w:val="24"/>
          <w:szCs w:val="24"/>
        </w:rPr>
        <w:t>Biomin</w:t>
      </w:r>
      <w:proofErr w:type="spellEnd"/>
      <w:r w:rsidRPr="00BF181F">
        <w:rPr>
          <w:rFonts w:ascii="Times New Roman" w:hAnsi="Times New Roman" w:cs="Times New Roman"/>
          <w:sz w:val="24"/>
          <w:szCs w:val="24"/>
        </w:rPr>
        <w:t xml:space="preserve"> MTV (levadura) y </w:t>
      </w:r>
      <w:proofErr w:type="spellStart"/>
      <w:r w:rsidRPr="00BF181F">
        <w:rPr>
          <w:rFonts w:ascii="Times New Roman" w:hAnsi="Times New Roman" w:cs="Times New Roman"/>
          <w:sz w:val="24"/>
          <w:szCs w:val="24"/>
        </w:rPr>
        <w:t>Biomin</w:t>
      </w:r>
      <w:proofErr w:type="spellEnd"/>
      <w:r w:rsidRPr="00BF181F">
        <w:rPr>
          <w:rFonts w:ascii="Times New Roman" w:hAnsi="Times New Roman" w:cs="Times New Roman"/>
          <w:sz w:val="24"/>
          <w:szCs w:val="24"/>
        </w:rPr>
        <w:t xml:space="preserve"> BBSH 797 (bacteria) ambas producen sustancias que ejercen un efecto prebiótico (</w:t>
      </w:r>
      <w:proofErr w:type="spellStart"/>
      <w:r w:rsidRPr="00BF181F">
        <w:rPr>
          <w:rFonts w:ascii="Times New Roman" w:hAnsi="Times New Roman" w:cs="Times New Roman"/>
          <w:sz w:val="24"/>
          <w:szCs w:val="24"/>
        </w:rPr>
        <w:t>Starkl</w:t>
      </w:r>
      <w:proofErr w:type="spellEnd"/>
      <w:r w:rsidRPr="00BF181F">
        <w:rPr>
          <w:rFonts w:ascii="Times New Roman" w:hAnsi="Times New Roman" w:cs="Times New Roman"/>
          <w:sz w:val="24"/>
          <w:szCs w:val="24"/>
        </w:rPr>
        <w:t>, 2018).</w:t>
      </w:r>
    </w:p>
    <w:p w:rsidR="00BF181F" w:rsidRPr="00BF181F" w:rsidRDefault="00BF181F" w:rsidP="00BF181F">
      <w:pPr>
        <w:spacing w:after="0" w:line="360" w:lineRule="auto"/>
        <w:jc w:val="both"/>
        <w:rPr>
          <w:rFonts w:ascii="Times New Roman" w:hAnsi="Times New Roman" w:cs="Times New Roman"/>
          <w:sz w:val="24"/>
          <w:szCs w:val="24"/>
        </w:rPr>
      </w:pPr>
      <w:r w:rsidRPr="00BF181F">
        <w:rPr>
          <w:rFonts w:ascii="Times New Roman" w:hAnsi="Times New Roman" w:cs="Times New Roman"/>
          <w:sz w:val="24"/>
          <w:szCs w:val="24"/>
        </w:rPr>
        <w:t xml:space="preserve">En estudios epidemiológicos previos, realizados por otros autores, que abarcaron varios años, se reporta alta prevalencia de diarrea </w:t>
      </w:r>
      <w:proofErr w:type="spellStart"/>
      <w:r w:rsidRPr="00BF181F">
        <w:rPr>
          <w:rFonts w:ascii="Times New Roman" w:hAnsi="Times New Roman" w:cs="Times New Roman"/>
          <w:sz w:val="24"/>
          <w:szCs w:val="24"/>
        </w:rPr>
        <w:t>posdestete</w:t>
      </w:r>
      <w:proofErr w:type="spellEnd"/>
      <w:r w:rsidRPr="00BF181F">
        <w:rPr>
          <w:rFonts w:ascii="Times New Roman" w:hAnsi="Times New Roman" w:cs="Times New Roman"/>
          <w:sz w:val="24"/>
          <w:szCs w:val="24"/>
        </w:rPr>
        <w:t xml:space="preserve"> en cerdos de diferentes granjas porcinas en Villa Clara, con predominio de E. </w:t>
      </w:r>
      <w:proofErr w:type="spellStart"/>
      <w:r w:rsidRPr="00BF181F">
        <w:rPr>
          <w:rFonts w:ascii="Times New Roman" w:hAnsi="Times New Roman" w:cs="Times New Roman"/>
          <w:sz w:val="24"/>
          <w:szCs w:val="24"/>
        </w:rPr>
        <w:t>coli</w:t>
      </w:r>
      <w:proofErr w:type="spellEnd"/>
      <w:r w:rsidRPr="00BF181F">
        <w:rPr>
          <w:rFonts w:ascii="Times New Roman" w:hAnsi="Times New Roman" w:cs="Times New Roman"/>
          <w:sz w:val="24"/>
          <w:szCs w:val="24"/>
        </w:rPr>
        <w:t xml:space="preserve"> </w:t>
      </w:r>
      <w:proofErr w:type="spellStart"/>
      <w:r w:rsidRPr="00BF181F">
        <w:rPr>
          <w:rFonts w:ascii="Times New Roman" w:hAnsi="Times New Roman" w:cs="Times New Roman"/>
          <w:sz w:val="24"/>
          <w:szCs w:val="24"/>
        </w:rPr>
        <w:t>enterotoxigénica</w:t>
      </w:r>
      <w:proofErr w:type="spellEnd"/>
      <w:r w:rsidRPr="00BF181F">
        <w:rPr>
          <w:rFonts w:ascii="Times New Roman" w:hAnsi="Times New Roman" w:cs="Times New Roman"/>
          <w:sz w:val="24"/>
          <w:szCs w:val="24"/>
        </w:rPr>
        <w:t xml:space="preserve"> y </w:t>
      </w:r>
      <w:proofErr w:type="spellStart"/>
      <w:r w:rsidRPr="00BF181F">
        <w:rPr>
          <w:rFonts w:ascii="Times New Roman" w:hAnsi="Times New Roman" w:cs="Times New Roman"/>
          <w:sz w:val="24"/>
          <w:szCs w:val="24"/>
        </w:rPr>
        <w:t>verotoxigénica</w:t>
      </w:r>
      <w:proofErr w:type="spellEnd"/>
      <w:r w:rsidRPr="00BF181F">
        <w:rPr>
          <w:rFonts w:ascii="Times New Roman" w:hAnsi="Times New Roman" w:cs="Times New Roman"/>
          <w:sz w:val="24"/>
          <w:szCs w:val="24"/>
        </w:rPr>
        <w:t xml:space="preserve"> </w:t>
      </w:r>
      <w:r w:rsidRPr="00BF181F">
        <w:rPr>
          <w:rFonts w:ascii="Times New Roman" w:hAnsi="Times New Roman" w:cs="Times New Roman"/>
          <w:sz w:val="24"/>
          <w:szCs w:val="24"/>
        </w:rPr>
        <w:lastRenderedPageBreak/>
        <w:t xml:space="preserve">(Lazo et al, 2008) así como, Rotavirus, Coronavirus, </w:t>
      </w:r>
      <w:proofErr w:type="spellStart"/>
      <w:r w:rsidRPr="00BF181F">
        <w:rPr>
          <w:rFonts w:ascii="Times New Roman" w:hAnsi="Times New Roman" w:cs="Times New Roman"/>
          <w:sz w:val="24"/>
          <w:szCs w:val="24"/>
        </w:rPr>
        <w:t>Criptosporidium</w:t>
      </w:r>
      <w:proofErr w:type="spellEnd"/>
      <w:r w:rsidRPr="00BF181F">
        <w:rPr>
          <w:rFonts w:ascii="Times New Roman" w:hAnsi="Times New Roman" w:cs="Times New Roman"/>
          <w:sz w:val="24"/>
          <w:szCs w:val="24"/>
        </w:rPr>
        <w:t xml:space="preserve">, </w:t>
      </w:r>
      <w:proofErr w:type="spellStart"/>
      <w:r w:rsidRPr="00BF181F">
        <w:rPr>
          <w:rFonts w:ascii="Times New Roman" w:hAnsi="Times New Roman" w:cs="Times New Roman"/>
          <w:sz w:val="24"/>
          <w:szCs w:val="24"/>
        </w:rPr>
        <w:t>Isospora</w:t>
      </w:r>
      <w:proofErr w:type="spellEnd"/>
      <w:r w:rsidRPr="00BF181F">
        <w:rPr>
          <w:rFonts w:ascii="Times New Roman" w:hAnsi="Times New Roman" w:cs="Times New Roman"/>
          <w:sz w:val="24"/>
          <w:szCs w:val="24"/>
        </w:rPr>
        <w:t xml:space="preserve"> </w:t>
      </w:r>
      <w:proofErr w:type="spellStart"/>
      <w:r w:rsidRPr="00BF181F">
        <w:rPr>
          <w:rFonts w:ascii="Times New Roman" w:hAnsi="Times New Roman" w:cs="Times New Roman"/>
          <w:sz w:val="24"/>
          <w:szCs w:val="24"/>
        </w:rPr>
        <w:t>suis</w:t>
      </w:r>
      <w:proofErr w:type="spellEnd"/>
      <w:r w:rsidRPr="00BF181F">
        <w:rPr>
          <w:rFonts w:ascii="Times New Roman" w:hAnsi="Times New Roman" w:cs="Times New Roman"/>
          <w:sz w:val="24"/>
          <w:szCs w:val="24"/>
        </w:rPr>
        <w:t xml:space="preserve"> y </w:t>
      </w:r>
      <w:proofErr w:type="spellStart"/>
      <w:r w:rsidRPr="00BF181F">
        <w:rPr>
          <w:rFonts w:ascii="Times New Roman" w:hAnsi="Times New Roman" w:cs="Times New Roman"/>
          <w:sz w:val="24"/>
          <w:szCs w:val="24"/>
        </w:rPr>
        <w:t>Clostridium</w:t>
      </w:r>
      <w:proofErr w:type="spellEnd"/>
      <w:r w:rsidRPr="00BF181F">
        <w:rPr>
          <w:rFonts w:ascii="Times New Roman" w:hAnsi="Times New Roman" w:cs="Times New Roman"/>
          <w:sz w:val="24"/>
          <w:szCs w:val="24"/>
        </w:rPr>
        <w:t xml:space="preserve"> </w:t>
      </w:r>
      <w:proofErr w:type="spellStart"/>
      <w:r w:rsidRPr="00BF181F">
        <w:rPr>
          <w:rFonts w:ascii="Times New Roman" w:hAnsi="Times New Roman" w:cs="Times New Roman"/>
          <w:sz w:val="24"/>
          <w:szCs w:val="24"/>
        </w:rPr>
        <w:t>perfringens</w:t>
      </w:r>
      <w:proofErr w:type="spellEnd"/>
      <w:r w:rsidRPr="00BF181F">
        <w:rPr>
          <w:rFonts w:ascii="Times New Roman" w:hAnsi="Times New Roman" w:cs="Times New Roman"/>
          <w:sz w:val="24"/>
          <w:szCs w:val="24"/>
        </w:rPr>
        <w:t xml:space="preserve"> alfa </w:t>
      </w:r>
      <w:proofErr w:type="spellStart"/>
      <w:r w:rsidRPr="00BF181F">
        <w:rPr>
          <w:rFonts w:ascii="Times New Roman" w:hAnsi="Times New Roman" w:cs="Times New Roman"/>
          <w:sz w:val="24"/>
          <w:szCs w:val="24"/>
        </w:rPr>
        <w:t>toxigénico</w:t>
      </w:r>
      <w:proofErr w:type="spellEnd"/>
      <w:r w:rsidRPr="00BF181F">
        <w:rPr>
          <w:rFonts w:ascii="Times New Roman" w:hAnsi="Times New Roman" w:cs="Times New Roman"/>
          <w:sz w:val="24"/>
          <w:szCs w:val="24"/>
        </w:rPr>
        <w:t xml:space="preserve"> (de la Fe et al.; 2012).</w:t>
      </w:r>
    </w:p>
    <w:p w:rsidR="00BF181F" w:rsidRPr="00BF181F" w:rsidRDefault="00BF181F" w:rsidP="00BF181F">
      <w:pPr>
        <w:spacing w:after="0" w:line="360" w:lineRule="auto"/>
        <w:jc w:val="both"/>
        <w:rPr>
          <w:rFonts w:ascii="Times New Roman" w:hAnsi="Times New Roman" w:cs="Times New Roman"/>
          <w:sz w:val="24"/>
          <w:szCs w:val="24"/>
        </w:rPr>
      </w:pPr>
      <w:r w:rsidRPr="00BF181F">
        <w:rPr>
          <w:rFonts w:ascii="Times New Roman" w:hAnsi="Times New Roman" w:cs="Times New Roman"/>
          <w:sz w:val="24"/>
          <w:szCs w:val="24"/>
        </w:rPr>
        <w:t>No obstante, por el diagnóstico clínico y epizootiológico de campo (características de la consistencia y color de las heces, la edad de los cerdos y el momento crítico del destete) pudiera inferirse que los procesos diarreicos que padecían los cerdos recién destetados pudieran estar asociados a gastroenteritis de origen bacteriano, viral y/o parasitario. Además, se corroboró, mediante análisis hematológico, la presencia de animales con linfocitosis neutropénica frecuente en inmunodeficiencias y procesos entéricos, linfocitosis y leucopenia, lo cual es frecuente en procesos virales. No se observó la presencia de hemoparásitos en el 100 por ciento de los animales investigados.</w:t>
      </w:r>
    </w:p>
    <w:p w:rsidR="00BF181F" w:rsidRPr="00BF181F" w:rsidRDefault="00BF181F" w:rsidP="00BF181F">
      <w:pPr>
        <w:spacing w:after="0" w:line="360" w:lineRule="auto"/>
        <w:jc w:val="both"/>
        <w:rPr>
          <w:rFonts w:ascii="Times New Roman" w:hAnsi="Times New Roman" w:cs="Times New Roman"/>
          <w:sz w:val="24"/>
          <w:szCs w:val="24"/>
        </w:rPr>
      </w:pPr>
      <w:r w:rsidRPr="00BF181F">
        <w:rPr>
          <w:rFonts w:ascii="Times New Roman" w:hAnsi="Times New Roman" w:cs="Times New Roman"/>
          <w:sz w:val="24"/>
          <w:szCs w:val="24"/>
        </w:rPr>
        <w:t>Como se puede observar, en la tabla 6, el riesgo de padecer procesos diarreicos en los cerdos que consumen alimento con el Mycofix Select MTV es menor que en el</w:t>
      </w:r>
      <w:r w:rsidRPr="00BF181F">
        <w:rPr>
          <w:rFonts w:ascii="Times New Roman" w:hAnsi="Times New Roman" w:cs="Times New Roman"/>
          <w:b/>
          <w:sz w:val="24"/>
          <w:szCs w:val="24"/>
        </w:rPr>
        <w:t xml:space="preserve"> </w:t>
      </w:r>
      <w:r w:rsidRPr="00BF181F">
        <w:rPr>
          <w:rFonts w:ascii="Times New Roman" w:hAnsi="Times New Roman" w:cs="Times New Roman"/>
          <w:sz w:val="24"/>
          <w:szCs w:val="24"/>
        </w:rPr>
        <w:t>grupo control. El Mycofix Select MTV es un factor de protección (riesgo relativo, RR = 0,40). Esta asociación es estadística (IC: 0,23 -0,68) y altamente significativa (p ≤ 0,001). Resultados que pudieran estar atribuidos al efecto protector del Mycofix Select MTV ante las toxinas que son liberadas por bacterias y hon</w:t>
      </w:r>
      <w:r>
        <w:rPr>
          <w:rFonts w:ascii="Times New Roman" w:hAnsi="Times New Roman" w:cs="Times New Roman"/>
          <w:sz w:val="24"/>
          <w:szCs w:val="24"/>
        </w:rPr>
        <w:t>gos en los procesos diarreicos.</w:t>
      </w:r>
    </w:p>
    <w:p w:rsidR="00BF181F" w:rsidRDefault="00BF181F" w:rsidP="00BF18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Tabla 5</w:t>
      </w:r>
      <w:r w:rsidRPr="00BF181F">
        <w:rPr>
          <w:rFonts w:ascii="Times New Roman" w:hAnsi="Times New Roman" w:cs="Times New Roman"/>
          <w:b/>
          <w:sz w:val="24"/>
          <w:szCs w:val="24"/>
        </w:rPr>
        <w:t>. Análisis de riesgo y asociación entre el empleo del aditivo Mycofix Select MTV y la ocurrencia de diarreas.</w:t>
      </w:r>
    </w:p>
    <w:p w:rsidR="00BF181F" w:rsidRDefault="00BF181F" w:rsidP="00BF181F">
      <w:pPr>
        <w:spacing w:after="0" w:line="360" w:lineRule="auto"/>
        <w:jc w:val="both"/>
        <w:rPr>
          <w:rFonts w:ascii="Times New Roman" w:hAnsi="Times New Roman" w:cs="Times New Roman"/>
          <w:b/>
          <w:sz w:val="24"/>
          <w:szCs w:val="24"/>
        </w:rPr>
      </w:pPr>
    </w:p>
    <w:tbl>
      <w:tblPr>
        <w:tblW w:w="9039" w:type="dxa"/>
        <w:tblBorders>
          <w:top w:val="nil"/>
          <w:left w:val="nil"/>
          <w:bottom w:val="nil"/>
          <w:right w:val="nil"/>
        </w:tblBorders>
        <w:tblLayout w:type="fixed"/>
        <w:tblLook w:val="0000" w:firstRow="0" w:lastRow="0" w:firstColumn="0" w:lastColumn="0" w:noHBand="0" w:noVBand="0"/>
      </w:tblPr>
      <w:tblGrid>
        <w:gridCol w:w="1242"/>
        <w:gridCol w:w="709"/>
        <w:gridCol w:w="1418"/>
        <w:gridCol w:w="850"/>
        <w:gridCol w:w="851"/>
        <w:gridCol w:w="708"/>
        <w:gridCol w:w="1276"/>
        <w:gridCol w:w="567"/>
        <w:gridCol w:w="1418"/>
      </w:tblGrid>
      <w:tr w:rsidR="00BF181F" w:rsidRPr="00BF181F" w:rsidTr="00BF181F">
        <w:trPr>
          <w:trHeight w:val="266"/>
        </w:trPr>
        <w:tc>
          <w:tcPr>
            <w:tcW w:w="3369" w:type="dxa"/>
            <w:gridSpan w:val="3"/>
          </w:tcPr>
          <w:p w:rsidR="00BF181F" w:rsidRPr="00BF181F" w:rsidRDefault="00BF181F" w:rsidP="00BF181F">
            <w:pPr>
              <w:autoSpaceDE w:val="0"/>
              <w:autoSpaceDN w:val="0"/>
              <w:adjustRightInd w:val="0"/>
              <w:spacing w:after="0" w:line="240" w:lineRule="auto"/>
              <w:jc w:val="center"/>
              <w:rPr>
                <w:rFonts w:ascii="Times New Roman" w:hAnsi="Times New Roman" w:cs="Times New Roman"/>
                <w:color w:val="000000"/>
                <w:sz w:val="24"/>
                <w:szCs w:val="24"/>
              </w:rPr>
            </w:pPr>
            <w:r w:rsidRPr="00BF181F">
              <w:rPr>
                <w:rFonts w:ascii="Times New Roman" w:hAnsi="Times New Roman" w:cs="Times New Roman"/>
                <w:b/>
                <w:bCs/>
                <w:color w:val="000000"/>
                <w:sz w:val="24"/>
                <w:szCs w:val="24"/>
              </w:rPr>
              <w:t>Asociación</w:t>
            </w:r>
          </w:p>
        </w:tc>
        <w:tc>
          <w:tcPr>
            <w:tcW w:w="2409" w:type="dxa"/>
            <w:gridSpan w:val="3"/>
          </w:tcPr>
          <w:p w:rsidR="00BF181F" w:rsidRPr="00BF181F" w:rsidRDefault="00BF181F" w:rsidP="00BF181F">
            <w:pPr>
              <w:autoSpaceDE w:val="0"/>
              <w:autoSpaceDN w:val="0"/>
              <w:adjustRightInd w:val="0"/>
              <w:spacing w:after="0" w:line="240" w:lineRule="auto"/>
              <w:jc w:val="center"/>
              <w:rPr>
                <w:rFonts w:ascii="Times New Roman" w:hAnsi="Times New Roman" w:cs="Times New Roman"/>
                <w:color w:val="000000"/>
                <w:sz w:val="24"/>
                <w:szCs w:val="24"/>
              </w:rPr>
            </w:pPr>
            <w:r w:rsidRPr="00BF181F">
              <w:rPr>
                <w:rFonts w:ascii="Times New Roman" w:hAnsi="Times New Roman" w:cs="Times New Roman"/>
                <w:b/>
                <w:bCs/>
                <w:color w:val="000000"/>
                <w:sz w:val="24"/>
                <w:szCs w:val="24"/>
              </w:rPr>
              <w:t>Significación estadística</w:t>
            </w:r>
          </w:p>
        </w:tc>
        <w:tc>
          <w:tcPr>
            <w:tcW w:w="3261" w:type="dxa"/>
            <w:gridSpan w:val="3"/>
          </w:tcPr>
          <w:p w:rsidR="00BF181F" w:rsidRPr="00BF181F" w:rsidRDefault="00BF181F" w:rsidP="00BF181F">
            <w:pPr>
              <w:autoSpaceDE w:val="0"/>
              <w:autoSpaceDN w:val="0"/>
              <w:adjustRightInd w:val="0"/>
              <w:spacing w:after="0" w:line="240" w:lineRule="auto"/>
              <w:jc w:val="center"/>
              <w:rPr>
                <w:rFonts w:ascii="Times New Roman" w:hAnsi="Times New Roman" w:cs="Times New Roman"/>
                <w:color w:val="000000"/>
                <w:sz w:val="24"/>
                <w:szCs w:val="24"/>
              </w:rPr>
            </w:pPr>
            <w:r w:rsidRPr="00BF181F">
              <w:rPr>
                <w:rFonts w:ascii="Times New Roman" w:hAnsi="Times New Roman" w:cs="Times New Roman"/>
                <w:color w:val="000000"/>
                <w:sz w:val="24"/>
                <w:szCs w:val="24"/>
              </w:rPr>
              <w:t>Medidas de impacto</w:t>
            </w:r>
          </w:p>
        </w:tc>
      </w:tr>
      <w:tr w:rsidR="00BF181F" w:rsidRPr="00BF181F" w:rsidTr="00BF181F">
        <w:trPr>
          <w:trHeight w:val="411"/>
        </w:trPr>
        <w:tc>
          <w:tcPr>
            <w:tcW w:w="1242"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b/>
                <w:bCs/>
                <w:color w:val="000000"/>
                <w:sz w:val="24"/>
                <w:szCs w:val="24"/>
              </w:rPr>
              <w:t xml:space="preserve">Grupo </w:t>
            </w:r>
          </w:p>
        </w:tc>
        <w:tc>
          <w:tcPr>
            <w:tcW w:w="709"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RR </w:t>
            </w:r>
          </w:p>
        </w:tc>
        <w:tc>
          <w:tcPr>
            <w:tcW w:w="1418"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IC:(95%) </w:t>
            </w:r>
          </w:p>
        </w:tc>
        <w:tc>
          <w:tcPr>
            <w:tcW w:w="850"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b/>
                <w:bCs/>
                <w:color w:val="000000"/>
                <w:sz w:val="24"/>
                <w:szCs w:val="24"/>
              </w:rPr>
              <w:t xml:space="preserve">X2 </w:t>
            </w:r>
          </w:p>
        </w:tc>
        <w:tc>
          <w:tcPr>
            <w:tcW w:w="851"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Valor de p </w:t>
            </w:r>
          </w:p>
        </w:tc>
        <w:tc>
          <w:tcPr>
            <w:tcW w:w="708"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FPE </w:t>
            </w:r>
          </w:p>
        </w:tc>
        <w:tc>
          <w:tcPr>
            <w:tcW w:w="1276"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IC: 95% </w:t>
            </w:r>
          </w:p>
        </w:tc>
        <w:tc>
          <w:tcPr>
            <w:tcW w:w="567"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FPP </w:t>
            </w:r>
          </w:p>
        </w:tc>
        <w:tc>
          <w:tcPr>
            <w:tcW w:w="1418"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IC: 95% </w:t>
            </w:r>
          </w:p>
        </w:tc>
      </w:tr>
      <w:tr w:rsidR="00BF181F" w:rsidRPr="00BF181F" w:rsidTr="00BF181F">
        <w:trPr>
          <w:trHeight w:val="94"/>
        </w:trPr>
        <w:tc>
          <w:tcPr>
            <w:tcW w:w="1242"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b/>
                <w:bCs/>
                <w:color w:val="000000"/>
                <w:sz w:val="24"/>
                <w:szCs w:val="24"/>
              </w:rPr>
              <w:t xml:space="preserve">Tratados </w:t>
            </w:r>
          </w:p>
        </w:tc>
        <w:tc>
          <w:tcPr>
            <w:tcW w:w="709"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0,40 </w:t>
            </w:r>
          </w:p>
        </w:tc>
        <w:tc>
          <w:tcPr>
            <w:tcW w:w="1418"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0,23 – 0,68 </w:t>
            </w:r>
          </w:p>
        </w:tc>
        <w:tc>
          <w:tcPr>
            <w:tcW w:w="850"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15,42 </w:t>
            </w:r>
          </w:p>
        </w:tc>
        <w:tc>
          <w:tcPr>
            <w:tcW w:w="851"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0,000 </w:t>
            </w:r>
          </w:p>
        </w:tc>
        <w:tc>
          <w:tcPr>
            <w:tcW w:w="708"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60 </w:t>
            </w:r>
          </w:p>
        </w:tc>
        <w:tc>
          <w:tcPr>
            <w:tcW w:w="1276"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0,31-0,76 </w:t>
            </w:r>
          </w:p>
        </w:tc>
        <w:tc>
          <w:tcPr>
            <w:tcW w:w="567"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30 </w:t>
            </w:r>
          </w:p>
        </w:tc>
        <w:tc>
          <w:tcPr>
            <w:tcW w:w="1418" w:type="dxa"/>
          </w:tcPr>
          <w:p w:rsidR="00BF181F" w:rsidRPr="00BF181F" w:rsidRDefault="00BF181F" w:rsidP="00BF181F">
            <w:pPr>
              <w:autoSpaceDE w:val="0"/>
              <w:autoSpaceDN w:val="0"/>
              <w:adjustRightInd w:val="0"/>
              <w:spacing w:after="0" w:line="240" w:lineRule="auto"/>
              <w:rPr>
                <w:rFonts w:ascii="Times New Roman" w:hAnsi="Times New Roman" w:cs="Times New Roman"/>
                <w:color w:val="000000"/>
                <w:sz w:val="24"/>
                <w:szCs w:val="24"/>
              </w:rPr>
            </w:pPr>
            <w:r w:rsidRPr="00BF181F">
              <w:rPr>
                <w:rFonts w:ascii="Times New Roman" w:hAnsi="Times New Roman" w:cs="Times New Roman"/>
                <w:color w:val="000000"/>
                <w:sz w:val="24"/>
                <w:szCs w:val="24"/>
              </w:rPr>
              <w:t xml:space="preserve">0,15-0,38 </w:t>
            </w:r>
          </w:p>
        </w:tc>
      </w:tr>
    </w:tbl>
    <w:p w:rsidR="00BF181F" w:rsidRDefault="00BF181F" w:rsidP="00BF181F">
      <w:pPr>
        <w:spacing w:after="0" w:line="360" w:lineRule="auto"/>
        <w:jc w:val="both"/>
        <w:rPr>
          <w:rFonts w:ascii="Times New Roman" w:hAnsi="Times New Roman" w:cs="Times New Roman"/>
          <w:b/>
          <w:sz w:val="24"/>
          <w:szCs w:val="24"/>
        </w:rPr>
      </w:pPr>
    </w:p>
    <w:p w:rsidR="00FE5419" w:rsidRPr="005E1AD3" w:rsidRDefault="00FE5419" w:rsidP="00FE5419">
      <w:pPr>
        <w:spacing w:after="0" w:line="360" w:lineRule="auto"/>
        <w:jc w:val="both"/>
        <w:rPr>
          <w:rFonts w:ascii="Times New Roman" w:hAnsi="Times New Roman" w:cs="Times New Roman"/>
          <w:b/>
          <w:sz w:val="20"/>
          <w:szCs w:val="20"/>
        </w:rPr>
      </w:pPr>
      <w:r w:rsidRPr="005E1AD3">
        <w:rPr>
          <w:rFonts w:ascii="Times New Roman" w:hAnsi="Times New Roman" w:cs="Times New Roman"/>
          <w:b/>
          <w:sz w:val="20"/>
          <w:szCs w:val="20"/>
        </w:rPr>
        <w:t>Leyenda: RR: Riesgo relativo, IC: Intervalo de Confianza, FPE: Fracción Prevenible en Expuestos, FPP: Fracción Prevenida en la Población.</w:t>
      </w:r>
    </w:p>
    <w:p w:rsidR="00FE5419" w:rsidRPr="00FE5419" w:rsidRDefault="00FE5419" w:rsidP="00FE5419">
      <w:pPr>
        <w:spacing w:after="0" w:line="360" w:lineRule="auto"/>
        <w:jc w:val="both"/>
        <w:rPr>
          <w:rFonts w:ascii="Times New Roman" w:hAnsi="Times New Roman" w:cs="Times New Roman"/>
          <w:sz w:val="24"/>
          <w:szCs w:val="24"/>
        </w:rPr>
      </w:pPr>
      <w:r w:rsidRPr="00FE5419">
        <w:rPr>
          <w:rFonts w:ascii="Times New Roman" w:hAnsi="Times New Roman" w:cs="Times New Roman"/>
          <w:sz w:val="24"/>
          <w:szCs w:val="24"/>
        </w:rPr>
        <w:t>Como medida de impacto al emplear el aditivo se logró prevenir un 60% de los procesos diarreicos en los animales expuestos al producto y un 30% en toda la población.</w:t>
      </w:r>
    </w:p>
    <w:p w:rsidR="00FE5419" w:rsidRDefault="005E1AD3" w:rsidP="00FE5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FE5419" w:rsidRPr="00FE5419">
        <w:rPr>
          <w:rFonts w:ascii="Times New Roman" w:hAnsi="Times New Roman" w:cs="Times New Roman"/>
          <w:sz w:val="24"/>
          <w:szCs w:val="24"/>
        </w:rPr>
        <w:t>a reducción relativa de riesgo ante el padecimiento de procesos diarreicos refleja que el empleo del aditivo en el alimento reduce el riesgo de diarrea en un 60%, mientras que la reducción absoluta de riesgo destaca que por cada 100 animales tratados el riesgo se reduce en 39 cerdos.</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La cantidad de animales que es necesario tratar (NNPT) para reducir un caso de diarrea es de 0.025. Es decir, por cada 10</w:t>
      </w:r>
      <w:r>
        <w:rPr>
          <w:rFonts w:ascii="Times New Roman" w:hAnsi="Times New Roman" w:cs="Times New Roman"/>
          <w:sz w:val="24"/>
          <w:szCs w:val="24"/>
        </w:rPr>
        <w:t xml:space="preserve">0 cerdos tratados se evitan dos </w:t>
      </w:r>
      <w:r w:rsidRPr="005E1AD3">
        <w:rPr>
          <w:rFonts w:ascii="Times New Roman" w:hAnsi="Times New Roman" w:cs="Times New Roman"/>
          <w:sz w:val="24"/>
          <w:szCs w:val="24"/>
        </w:rPr>
        <w:t>casos de diarrea, la eficacia y efecto protector de un tratamiento es mayor en la medida que el NNPT se acerque a uno.</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 xml:space="preserve">En Cuba se han efectuado varios estudios con el Mycofix Select MTV en diferentes categorías de cerdos, para evaluar el impacto de la incorporación del producto en los indicadores productivos y reproductivos, se obtuvo una mejora en el indicador parto por cubriciones (eficiencia económica) de 8,5%, peso al destete con un 5,6%, y el peso de salida de la preceba en un 13,9% (García et al, 2015). Sin embargo, no existen antecedentes de investigaciones que muestren el efecto del aditivo sobre la ocurrencia de diarreas e indicadores de salud expresados en parámetros hematológicos y </w:t>
      </w:r>
      <w:proofErr w:type="spellStart"/>
      <w:r w:rsidRPr="005E1AD3">
        <w:rPr>
          <w:rFonts w:ascii="Times New Roman" w:hAnsi="Times New Roman" w:cs="Times New Roman"/>
          <w:sz w:val="24"/>
          <w:szCs w:val="24"/>
        </w:rPr>
        <w:t>hemoquímicos</w:t>
      </w:r>
      <w:proofErr w:type="spellEnd"/>
      <w:r w:rsidRPr="005E1AD3">
        <w:rPr>
          <w:rFonts w:ascii="Times New Roman" w:hAnsi="Times New Roman" w:cs="Times New Roman"/>
          <w:sz w:val="24"/>
          <w:szCs w:val="24"/>
        </w:rPr>
        <w:t>.</w:t>
      </w:r>
    </w:p>
    <w:p w:rsidR="005E1AD3" w:rsidRPr="005E1AD3" w:rsidRDefault="005E1AD3" w:rsidP="005E1A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tabla 6</w:t>
      </w:r>
      <w:r w:rsidRPr="005E1AD3">
        <w:rPr>
          <w:rFonts w:ascii="Times New Roman" w:hAnsi="Times New Roman" w:cs="Times New Roman"/>
          <w:sz w:val="24"/>
          <w:szCs w:val="24"/>
        </w:rPr>
        <w:t xml:space="preserve"> muestra los valores de hemoglobina, hematocrito y leucocitos totales en ambos grupos, en el momento del destete (26 días de edad) y al concluir el experimento (96 días de edad). Los parámetros hematológicos evaluados no mostraron diferencias significativas entre grupos (p ≥ 0.05).</w:t>
      </w:r>
    </w:p>
    <w:p w:rsidR="005E1AD3" w:rsidRDefault="005E1AD3" w:rsidP="005E1A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Tabla 6</w:t>
      </w:r>
      <w:r w:rsidRPr="005E1AD3">
        <w:rPr>
          <w:rFonts w:ascii="Times New Roman" w:hAnsi="Times New Roman" w:cs="Times New Roman"/>
          <w:sz w:val="24"/>
          <w:szCs w:val="24"/>
        </w:rPr>
        <w:t>. Valores medios de los parámetros hematológicos en ambos grupos.</w:t>
      </w:r>
    </w:p>
    <w:tbl>
      <w:tblPr>
        <w:tblStyle w:val="Tablaconcuadrcula"/>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35"/>
        <w:gridCol w:w="992"/>
        <w:gridCol w:w="992"/>
        <w:gridCol w:w="984"/>
        <w:gridCol w:w="8"/>
        <w:gridCol w:w="993"/>
        <w:gridCol w:w="1417"/>
      </w:tblGrid>
      <w:tr w:rsidR="00BC7508" w:rsidRPr="005E1AD3" w:rsidTr="00BC7508">
        <w:trPr>
          <w:trHeight w:val="288"/>
        </w:trPr>
        <w:tc>
          <w:tcPr>
            <w:tcW w:w="2235" w:type="dxa"/>
            <w:tcBorders>
              <w:top w:val="single" w:sz="4" w:space="0" w:color="auto"/>
            </w:tcBorders>
          </w:tcPr>
          <w:p w:rsidR="00BC7508" w:rsidRPr="005E1AD3" w:rsidRDefault="00BC7508" w:rsidP="00BC7508">
            <w:pPr>
              <w:autoSpaceDE w:val="0"/>
              <w:autoSpaceDN w:val="0"/>
              <w:adjustRightInd w:val="0"/>
              <w:jc w:val="center"/>
              <w:rPr>
                <w:rFonts w:ascii="Times New Roman" w:hAnsi="Times New Roman" w:cs="Times New Roman"/>
                <w:color w:val="000000"/>
                <w:sz w:val="24"/>
                <w:szCs w:val="24"/>
              </w:rPr>
            </w:pPr>
          </w:p>
        </w:tc>
        <w:tc>
          <w:tcPr>
            <w:tcW w:w="1984" w:type="dxa"/>
            <w:gridSpan w:val="2"/>
            <w:tcBorders>
              <w:top w:val="single" w:sz="4" w:space="0" w:color="auto"/>
            </w:tcBorders>
          </w:tcPr>
          <w:p w:rsidR="00BC7508" w:rsidRPr="005E1AD3" w:rsidRDefault="00BC7508"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Tratados</w:t>
            </w:r>
          </w:p>
        </w:tc>
        <w:tc>
          <w:tcPr>
            <w:tcW w:w="1985" w:type="dxa"/>
            <w:gridSpan w:val="3"/>
            <w:tcBorders>
              <w:top w:val="single" w:sz="4" w:space="0" w:color="auto"/>
            </w:tcBorders>
          </w:tcPr>
          <w:p w:rsidR="00BC7508" w:rsidRPr="005E1AD3" w:rsidRDefault="00BC7508"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Control</w:t>
            </w:r>
          </w:p>
        </w:tc>
        <w:tc>
          <w:tcPr>
            <w:tcW w:w="1417" w:type="dxa"/>
            <w:tcBorders>
              <w:top w:val="single" w:sz="4" w:space="0" w:color="auto"/>
            </w:tcBorders>
          </w:tcPr>
          <w:p w:rsidR="00BC7508" w:rsidRPr="005E1AD3" w:rsidRDefault="00BC7508" w:rsidP="00BC7508">
            <w:pPr>
              <w:autoSpaceDE w:val="0"/>
              <w:autoSpaceDN w:val="0"/>
              <w:adjustRightInd w:val="0"/>
              <w:rPr>
                <w:rFonts w:ascii="Times New Roman" w:hAnsi="Times New Roman" w:cs="Times New Roman"/>
                <w:color w:val="000000"/>
                <w:sz w:val="24"/>
                <w:szCs w:val="24"/>
              </w:rPr>
            </w:pPr>
          </w:p>
        </w:tc>
      </w:tr>
      <w:tr w:rsidR="001C0209" w:rsidRPr="005E1AD3" w:rsidTr="00BC7508">
        <w:trPr>
          <w:trHeight w:val="252"/>
        </w:trPr>
        <w:tc>
          <w:tcPr>
            <w:tcW w:w="2235" w:type="dxa"/>
            <w:tcBorders>
              <w:bottom w:val="single" w:sz="4" w:space="0" w:color="auto"/>
            </w:tcBorders>
          </w:tcPr>
          <w:p w:rsidR="001C0209" w:rsidRPr="005E1AD3" w:rsidRDefault="001C0209" w:rsidP="00BC750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92" w:type="dxa"/>
            <w:tcBorders>
              <w:bottom w:val="single" w:sz="4" w:space="0" w:color="auto"/>
            </w:tcBorders>
          </w:tcPr>
          <w:p w:rsidR="001C0209" w:rsidRPr="005E1AD3" w:rsidRDefault="001C0209" w:rsidP="00BC750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Media</w:t>
            </w:r>
          </w:p>
        </w:tc>
        <w:tc>
          <w:tcPr>
            <w:tcW w:w="992" w:type="dxa"/>
            <w:tcBorders>
              <w:bottom w:val="single" w:sz="4" w:space="0" w:color="auto"/>
            </w:tcBorders>
          </w:tcPr>
          <w:p w:rsidR="001C0209" w:rsidRPr="005E1AD3" w:rsidRDefault="001C0209" w:rsidP="00BC7508">
            <w:pPr>
              <w:autoSpaceDE w:val="0"/>
              <w:autoSpaceDN w:val="0"/>
              <w:adjustRightInd w:val="0"/>
              <w:ind w:left="84"/>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ES±</w:t>
            </w:r>
          </w:p>
        </w:tc>
        <w:tc>
          <w:tcPr>
            <w:tcW w:w="984" w:type="dxa"/>
            <w:tcBorders>
              <w:bottom w:val="single" w:sz="4" w:space="0" w:color="auto"/>
            </w:tcBorders>
          </w:tcPr>
          <w:p w:rsidR="001C0209" w:rsidRPr="005E1AD3" w:rsidRDefault="001C0209" w:rsidP="00BC750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Media</w:t>
            </w:r>
          </w:p>
        </w:tc>
        <w:tc>
          <w:tcPr>
            <w:tcW w:w="1001" w:type="dxa"/>
            <w:gridSpan w:val="2"/>
            <w:tcBorders>
              <w:bottom w:val="single" w:sz="4" w:space="0" w:color="auto"/>
            </w:tcBorders>
          </w:tcPr>
          <w:p w:rsidR="001C0209" w:rsidRPr="005E1AD3" w:rsidRDefault="001C0209" w:rsidP="00BC7508">
            <w:pPr>
              <w:autoSpaceDE w:val="0"/>
              <w:autoSpaceDN w:val="0"/>
              <w:adjustRightInd w:val="0"/>
              <w:ind w:left="48"/>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ES±</w:t>
            </w:r>
          </w:p>
        </w:tc>
        <w:tc>
          <w:tcPr>
            <w:tcW w:w="1417" w:type="dxa"/>
            <w:tcBorders>
              <w:bottom w:val="single" w:sz="4" w:space="0" w:color="auto"/>
            </w:tcBorders>
          </w:tcPr>
          <w:p w:rsidR="001C0209" w:rsidRPr="005E1AD3" w:rsidRDefault="001C0209" w:rsidP="00BC7508">
            <w:pPr>
              <w:autoSpaceDE w:val="0"/>
              <w:autoSpaceDN w:val="0"/>
              <w:adjustRightInd w:val="0"/>
              <w:ind w:left="60"/>
              <w:jc w:val="center"/>
              <w:rPr>
                <w:rFonts w:ascii="Times New Roman" w:hAnsi="Times New Roman" w:cs="Times New Roman"/>
                <w:color w:val="000000"/>
                <w:sz w:val="24"/>
                <w:szCs w:val="24"/>
              </w:rPr>
            </w:pPr>
            <w:r w:rsidRPr="001C0209">
              <w:rPr>
                <w:rFonts w:ascii="Times New Roman" w:hAnsi="Times New Roman" w:cs="Times New Roman"/>
                <w:color w:val="000000"/>
                <w:sz w:val="24"/>
                <w:szCs w:val="24"/>
              </w:rPr>
              <w:t>Valor de p</w:t>
            </w:r>
          </w:p>
        </w:tc>
      </w:tr>
      <w:tr w:rsidR="005E1AD3" w:rsidRPr="005E1AD3" w:rsidTr="00BC7508">
        <w:trPr>
          <w:trHeight w:val="250"/>
        </w:trPr>
        <w:tc>
          <w:tcPr>
            <w:tcW w:w="2235" w:type="dxa"/>
            <w:tcBorders>
              <w:top w:val="single" w:sz="4" w:space="0" w:color="auto"/>
            </w:tcBorders>
          </w:tcPr>
          <w:p w:rsidR="005E1AD3" w:rsidRPr="005E1AD3" w:rsidRDefault="005E1AD3" w:rsidP="00BC7508">
            <w:pPr>
              <w:autoSpaceDE w:val="0"/>
              <w:autoSpaceDN w:val="0"/>
              <w:adjustRightInd w:val="0"/>
              <w:rPr>
                <w:rFonts w:ascii="Times New Roman" w:hAnsi="Times New Roman" w:cs="Times New Roman"/>
                <w:color w:val="000000"/>
                <w:sz w:val="24"/>
                <w:szCs w:val="24"/>
              </w:rPr>
            </w:pPr>
            <w:r w:rsidRPr="005E1AD3">
              <w:rPr>
                <w:rFonts w:ascii="Times New Roman" w:hAnsi="Times New Roman" w:cs="Times New Roman"/>
                <w:color w:val="000000"/>
                <w:sz w:val="24"/>
                <w:szCs w:val="24"/>
              </w:rPr>
              <w:t xml:space="preserve">Hemoglobina a los 26 días, g/L </w:t>
            </w:r>
          </w:p>
        </w:tc>
        <w:tc>
          <w:tcPr>
            <w:tcW w:w="992" w:type="dxa"/>
            <w:tcBorders>
              <w:top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90.0</w:t>
            </w:r>
          </w:p>
        </w:tc>
        <w:tc>
          <w:tcPr>
            <w:tcW w:w="992" w:type="dxa"/>
            <w:tcBorders>
              <w:top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10.08</w:t>
            </w:r>
          </w:p>
        </w:tc>
        <w:tc>
          <w:tcPr>
            <w:tcW w:w="992" w:type="dxa"/>
            <w:gridSpan w:val="2"/>
            <w:tcBorders>
              <w:top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89.7</w:t>
            </w:r>
          </w:p>
        </w:tc>
        <w:tc>
          <w:tcPr>
            <w:tcW w:w="993" w:type="dxa"/>
            <w:tcBorders>
              <w:top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16.12</w:t>
            </w:r>
          </w:p>
        </w:tc>
        <w:tc>
          <w:tcPr>
            <w:tcW w:w="1417" w:type="dxa"/>
            <w:tcBorders>
              <w:top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0.956</w:t>
            </w:r>
          </w:p>
        </w:tc>
      </w:tr>
      <w:tr w:rsidR="005E1AD3" w:rsidRPr="005E1AD3" w:rsidTr="00BC7508">
        <w:trPr>
          <w:trHeight w:val="314"/>
        </w:trPr>
        <w:tc>
          <w:tcPr>
            <w:tcW w:w="2235" w:type="dxa"/>
          </w:tcPr>
          <w:p w:rsidR="005E1AD3" w:rsidRPr="005E1AD3" w:rsidRDefault="005E1AD3" w:rsidP="00BC7508">
            <w:pPr>
              <w:autoSpaceDE w:val="0"/>
              <w:autoSpaceDN w:val="0"/>
              <w:adjustRightInd w:val="0"/>
              <w:rPr>
                <w:rFonts w:ascii="Times New Roman" w:hAnsi="Times New Roman" w:cs="Times New Roman"/>
                <w:color w:val="000000"/>
                <w:sz w:val="24"/>
                <w:szCs w:val="24"/>
              </w:rPr>
            </w:pPr>
            <w:r w:rsidRPr="005E1AD3">
              <w:rPr>
                <w:rFonts w:ascii="Times New Roman" w:hAnsi="Times New Roman" w:cs="Times New Roman"/>
                <w:color w:val="000000"/>
                <w:sz w:val="24"/>
                <w:szCs w:val="24"/>
              </w:rPr>
              <w:t xml:space="preserve">Hemoglobina a los 96 días, g/L </w:t>
            </w:r>
          </w:p>
        </w:tc>
        <w:tc>
          <w:tcPr>
            <w:tcW w:w="992"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122.43</w:t>
            </w:r>
          </w:p>
        </w:tc>
        <w:tc>
          <w:tcPr>
            <w:tcW w:w="992"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5.93</w:t>
            </w:r>
          </w:p>
        </w:tc>
        <w:tc>
          <w:tcPr>
            <w:tcW w:w="992" w:type="dxa"/>
            <w:gridSpan w:val="2"/>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115.40</w:t>
            </w:r>
          </w:p>
        </w:tc>
        <w:tc>
          <w:tcPr>
            <w:tcW w:w="993"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9.55</w:t>
            </w:r>
          </w:p>
        </w:tc>
        <w:tc>
          <w:tcPr>
            <w:tcW w:w="1417"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0.060</w:t>
            </w:r>
          </w:p>
        </w:tc>
      </w:tr>
      <w:tr w:rsidR="005E1AD3" w:rsidRPr="005E1AD3" w:rsidTr="00BC7508">
        <w:trPr>
          <w:trHeight w:val="250"/>
        </w:trPr>
        <w:tc>
          <w:tcPr>
            <w:tcW w:w="2235" w:type="dxa"/>
          </w:tcPr>
          <w:p w:rsidR="005E1AD3" w:rsidRPr="005E1AD3" w:rsidRDefault="005E1AD3" w:rsidP="00BC7508">
            <w:pPr>
              <w:autoSpaceDE w:val="0"/>
              <w:autoSpaceDN w:val="0"/>
              <w:adjustRightInd w:val="0"/>
              <w:rPr>
                <w:rFonts w:ascii="Times New Roman" w:hAnsi="Times New Roman" w:cs="Times New Roman"/>
                <w:color w:val="000000"/>
                <w:sz w:val="24"/>
                <w:szCs w:val="24"/>
              </w:rPr>
            </w:pPr>
            <w:r w:rsidRPr="005E1AD3">
              <w:rPr>
                <w:rFonts w:ascii="Times New Roman" w:hAnsi="Times New Roman" w:cs="Times New Roman"/>
                <w:color w:val="000000"/>
                <w:sz w:val="24"/>
                <w:szCs w:val="24"/>
              </w:rPr>
              <w:t xml:space="preserve">Hematocrito a los 26 días, L/L </w:t>
            </w:r>
          </w:p>
        </w:tc>
        <w:tc>
          <w:tcPr>
            <w:tcW w:w="992"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0.26</w:t>
            </w:r>
          </w:p>
        </w:tc>
        <w:tc>
          <w:tcPr>
            <w:tcW w:w="992"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0.02</w:t>
            </w:r>
          </w:p>
        </w:tc>
        <w:tc>
          <w:tcPr>
            <w:tcW w:w="992" w:type="dxa"/>
            <w:gridSpan w:val="2"/>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0.26</w:t>
            </w:r>
          </w:p>
        </w:tc>
        <w:tc>
          <w:tcPr>
            <w:tcW w:w="993"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0.04</w:t>
            </w:r>
          </w:p>
        </w:tc>
        <w:tc>
          <w:tcPr>
            <w:tcW w:w="1417"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0.958</w:t>
            </w:r>
          </w:p>
        </w:tc>
      </w:tr>
      <w:tr w:rsidR="005E1AD3" w:rsidRPr="005E1AD3" w:rsidTr="00BC7508">
        <w:trPr>
          <w:trHeight w:val="314"/>
        </w:trPr>
        <w:tc>
          <w:tcPr>
            <w:tcW w:w="2235" w:type="dxa"/>
          </w:tcPr>
          <w:p w:rsidR="005E1AD3" w:rsidRPr="005E1AD3" w:rsidRDefault="005E1AD3" w:rsidP="00BC7508">
            <w:pPr>
              <w:autoSpaceDE w:val="0"/>
              <w:autoSpaceDN w:val="0"/>
              <w:adjustRightInd w:val="0"/>
              <w:rPr>
                <w:rFonts w:ascii="Times New Roman" w:hAnsi="Times New Roman" w:cs="Times New Roman"/>
                <w:color w:val="000000"/>
                <w:sz w:val="24"/>
                <w:szCs w:val="24"/>
              </w:rPr>
            </w:pPr>
            <w:r w:rsidRPr="005E1AD3">
              <w:rPr>
                <w:rFonts w:ascii="Times New Roman" w:hAnsi="Times New Roman" w:cs="Times New Roman"/>
                <w:color w:val="000000"/>
                <w:sz w:val="24"/>
                <w:szCs w:val="24"/>
              </w:rPr>
              <w:t xml:space="preserve">Hematocrito a los 96 días, L/L </w:t>
            </w:r>
          </w:p>
        </w:tc>
        <w:tc>
          <w:tcPr>
            <w:tcW w:w="992"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0.39</w:t>
            </w:r>
          </w:p>
        </w:tc>
        <w:tc>
          <w:tcPr>
            <w:tcW w:w="992"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0.01</w:t>
            </w:r>
          </w:p>
        </w:tc>
        <w:tc>
          <w:tcPr>
            <w:tcW w:w="992" w:type="dxa"/>
            <w:gridSpan w:val="2"/>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0.37</w:t>
            </w:r>
          </w:p>
        </w:tc>
        <w:tc>
          <w:tcPr>
            <w:tcW w:w="993"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0.03</w:t>
            </w:r>
          </w:p>
        </w:tc>
        <w:tc>
          <w:tcPr>
            <w:tcW w:w="1417"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0.106</w:t>
            </w:r>
          </w:p>
        </w:tc>
      </w:tr>
      <w:tr w:rsidR="005E1AD3" w:rsidRPr="005E1AD3" w:rsidTr="00BC7508">
        <w:trPr>
          <w:trHeight w:val="250"/>
        </w:trPr>
        <w:tc>
          <w:tcPr>
            <w:tcW w:w="2235" w:type="dxa"/>
          </w:tcPr>
          <w:p w:rsidR="005E1AD3" w:rsidRPr="005E1AD3" w:rsidRDefault="005E1AD3" w:rsidP="00BC7508">
            <w:pPr>
              <w:autoSpaceDE w:val="0"/>
              <w:autoSpaceDN w:val="0"/>
              <w:adjustRightInd w:val="0"/>
              <w:rPr>
                <w:rFonts w:ascii="Times New Roman" w:hAnsi="Times New Roman" w:cs="Times New Roman"/>
                <w:color w:val="000000"/>
                <w:sz w:val="24"/>
                <w:szCs w:val="24"/>
              </w:rPr>
            </w:pPr>
            <w:r w:rsidRPr="005E1AD3">
              <w:rPr>
                <w:rFonts w:ascii="Times New Roman" w:hAnsi="Times New Roman" w:cs="Times New Roman"/>
                <w:color w:val="000000"/>
                <w:sz w:val="24"/>
                <w:szCs w:val="24"/>
              </w:rPr>
              <w:t>Leucocitos Totales a los 26 días, x10</w:t>
            </w:r>
            <w:r w:rsidRPr="002B5BB1">
              <w:rPr>
                <w:rFonts w:ascii="Times New Roman" w:hAnsi="Times New Roman" w:cs="Times New Roman"/>
                <w:color w:val="000000"/>
                <w:sz w:val="24"/>
                <w:szCs w:val="24"/>
                <w:vertAlign w:val="superscript"/>
              </w:rPr>
              <w:t>9</w:t>
            </w:r>
            <w:r w:rsidRPr="005E1AD3">
              <w:rPr>
                <w:rFonts w:ascii="Times New Roman" w:hAnsi="Times New Roman" w:cs="Times New Roman"/>
                <w:color w:val="000000"/>
                <w:sz w:val="24"/>
                <w:szCs w:val="24"/>
              </w:rPr>
              <w:t xml:space="preserve"> </w:t>
            </w:r>
          </w:p>
        </w:tc>
        <w:tc>
          <w:tcPr>
            <w:tcW w:w="992"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8,61</w:t>
            </w:r>
          </w:p>
        </w:tc>
        <w:tc>
          <w:tcPr>
            <w:tcW w:w="992"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1,29</w:t>
            </w:r>
          </w:p>
        </w:tc>
        <w:tc>
          <w:tcPr>
            <w:tcW w:w="992" w:type="dxa"/>
            <w:gridSpan w:val="2"/>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7,74</w:t>
            </w:r>
          </w:p>
        </w:tc>
        <w:tc>
          <w:tcPr>
            <w:tcW w:w="993"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1,45</w:t>
            </w:r>
          </w:p>
        </w:tc>
        <w:tc>
          <w:tcPr>
            <w:tcW w:w="1417" w:type="dxa"/>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0,125</w:t>
            </w:r>
          </w:p>
        </w:tc>
      </w:tr>
      <w:tr w:rsidR="005E1AD3" w:rsidRPr="005E1AD3" w:rsidTr="00BC7508">
        <w:trPr>
          <w:trHeight w:val="315"/>
        </w:trPr>
        <w:tc>
          <w:tcPr>
            <w:tcW w:w="2235" w:type="dxa"/>
            <w:tcBorders>
              <w:bottom w:val="single" w:sz="4" w:space="0" w:color="auto"/>
            </w:tcBorders>
          </w:tcPr>
          <w:p w:rsidR="005E1AD3" w:rsidRPr="005E1AD3" w:rsidRDefault="005E1AD3" w:rsidP="00BC7508">
            <w:pPr>
              <w:autoSpaceDE w:val="0"/>
              <w:autoSpaceDN w:val="0"/>
              <w:adjustRightInd w:val="0"/>
              <w:rPr>
                <w:rFonts w:ascii="Times New Roman" w:hAnsi="Times New Roman" w:cs="Times New Roman"/>
                <w:color w:val="000000"/>
                <w:sz w:val="24"/>
                <w:szCs w:val="24"/>
              </w:rPr>
            </w:pPr>
            <w:r w:rsidRPr="005E1AD3">
              <w:rPr>
                <w:rFonts w:ascii="Times New Roman" w:hAnsi="Times New Roman" w:cs="Times New Roman"/>
                <w:color w:val="000000"/>
                <w:sz w:val="24"/>
                <w:szCs w:val="24"/>
              </w:rPr>
              <w:lastRenderedPageBreak/>
              <w:t>Leucocitos Totales a los 96 días, x10</w:t>
            </w:r>
            <w:r w:rsidRPr="002B5BB1">
              <w:rPr>
                <w:rFonts w:ascii="Times New Roman" w:hAnsi="Times New Roman" w:cs="Times New Roman"/>
                <w:color w:val="000000"/>
                <w:sz w:val="24"/>
                <w:szCs w:val="24"/>
                <w:vertAlign w:val="superscript"/>
              </w:rPr>
              <w:t>9</w:t>
            </w:r>
            <w:r w:rsidRPr="005E1AD3">
              <w:rPr>
                <w:rFonts w:ascii="Times New Roman" w:hAnsi="Times New Roman" w:cs="Times New Roman"/>
                <w:color w:val="000000"/>
                <w:sz w:val="24"/>
                <w:szCs w:val="24"/>
              </w:rPr>
              <w:t xml:space="preserve"> </w:t>
            </w:r>
          </w:p>
        </w:tc>
        <w:tc>
          <w:tcPr>
            <w:tcW w:w="992" w:type="dxa"/>
            <w:tcBorders>
              <w:bottom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17,13</w:t>
            </w:r>
          </w:p>
        </w:tc>
        <w:tc>
          <w:tcPr>
            <w:tcW w:w="992" w:type="dxa"/>
            <w:tcBorders>
              <w:bottom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2,90</w:t>
            </w:r>
          </w:p>
        </w:tc>
        <w:tc>
          <w:tcPr>
            <w:tcW w:w="992" w:type="dxa"/>
            <w:gridSpan w:val="2"/>
            <w:tcBorders>
              <w:bottom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15,89</w:t>
            </w:r>
          </w:p>
        </w:tc>
        <w:tc>
          <w:tcPr>
            <w:tcW w:w="993" w:type="dxa"/>
            <w:tcBorders>
              <w:bottom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3,29</w:t>
            </w:r>
          </w:p>
        </w:tc>
        <w:tc>
          <w:tcPr>
            <w:tcW w:w="1417" w:type="dxa"/>
            <w:tcBorders>
              <w:bottom w:val="single" w:sz="4" w:space="0" w:color="auto"/>
            </w:tcBorders>
          </w:tcPr>
          <w:p w:rsidR="005E1AD3" w:rsidRPr="005E1AD3" w:rsidRDefault="005E1AD3" w:rsidP="00BC7508">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0,374</w:t>
            </w:r>
          </w:p>
        </w:tc>
      </w:tr>
    </w:tbl>
    <w:p w:rsidR="005E1AD3" w:rsidRDefault="005E1AD3" w:rsidP="005E1AD3">
      <w:pPr>
        <w:spacing w:after="0" w:line="360" w:lineRule="auto"/>
        <w:jc w:val="both"/>
        <w:rPr>
          <w:rFonts w:ascii="Times New Roman" w:hAnsi="Times New Roman" w:cs="Times New Roman"/>
          <w:sz w:val="24"/>
          <w:szCs w:val="24"/>
        </w:rPr>
      </w:pPr>
    </w:p>
    <w:p w:rsidR="00FE5419" w:rsidRDefault="005E1AD3" w:rsidP="00FE5419">
      <w:pPr>
        <w:spacing w:after="0" w:line="360" w:lineRule="auto"/>
        <w:jc w:val="both"/>
        <w:rPr>
          <w:rFonts w:ascii="Times New Roman" w:hAnsi="Times New Roman" w:cs="Times New Roman"/>
          <w:b/>
        </w:rPr>
      </w:pPr>
      <w:r w:rsidRPr="005E1AD3">
        <w:rPr>
          <w:rFonts w:ascii="Times New Roman" w:hAnsi="Times New Roman" w:cs="Times New Roman"/>
          <w:b/>
        </w:rPr>
        <w:t>Leyenda: A los 26 días la n = 13 cerdos en cada grupo. A los 96 días la n= 10 cerdos en cada grupo. Prueba estadística test de media.</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A los 26 días de edad (momento del destete) los cerdos de ambos grupos manifestaron ligera anemia (84,6% del total de animales muestreados presentaban valores de hemoglobina y hematocrito en el límite inferior o critico al valor fisiológico para la especie, según los parámetros de referencia establecidos por Espinosa et al, (2008) y Cooper et al.; (2014).</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 xml:space="preserve">Los valores de hemoglobina hallados en los cerdos en crecimiento (96 días) en este estudio, son similares a los reportados por </w:t>
      </w:r>
      <w:proofErr w:type="spellStart"/>
      <w:r w:rsidRPr="005E1AD3">
        <w:rPr>
          <w:rFonts w:ascii="Times New Roman" w:hAnsi="Times New Roman" w:cs="Times New Roman"/>
          <w:sz w:val="24"/>
          <w:szCs w:val="24"/>
        </w:rPr>
        <w:t>Bellezze</w:t>
      </w:r>
      <w:proofErr w:type="spellEnd"/>
      <w:r w:rsidRPr="005E1AD3">
        <w:rPr>
          <w:rFonts w:ascii="Times New Roman" w:hAnsi="Times New Roman" w:cs="Times New Roman"/>
          <w:sz w:val="24"/>
          <w:szCs w:val="24"/>
        </w:rPr>
        <w:t xml:space="preserve"> et al.; (2007) en cerdas en condiciones de producción intensiva (113,3 g/L) y por </w:t>
      </w:r>
      <w:proofErr w:type="spellStart"/>
      <w:r w:rsidRPr="005E1AD3">
        <w:rPr>
          <w:rFonts w:ascii="Times New Roman" w:hAnsi="Times New Roman" w:cs="Times New Roman"/>
          <w:sz w:val="24"/>
          <w:szCs w:val="24"/>
        </w:rPr>
        <w:t>Dal</w:t>
      </w:r>
      <w:proofErr w:type="spellEnd"/>
      <w:r w:rsidRPr="005E1AD3">
        <w:rPr>
          <w:rFonts w:ascii="Times New Roman" w:hAnsi="Times New Roman" w:cs="Times New Roman"/>
          <w:sz w:val="24"/>
          <w:szCs w:val="24"/>
        </w:rPr>
        <w:t xml:space="preserve"> </w:t>
      </w:r>
      <w:proofErr w:type="spellStart"/>
      <w:r w:rsidRPr="005E1AD3">
        <w:rPr>
          <w:rFonts w:ascii="Times New Roman" w:hAnsi="Times New Roman" w:cs="Times New Roman"/>
          <w:sz w:val="24"/>
          <w:szCs w:val="24"/>
        </w:rPr>
        <w:t>Masette</w:t>
      </w:r>
      <w:proofErr w:type="spellEnd"/>
      <w:r w:rsidRPr="005E1AD3">
        <w:rPr>
          <w:rFonts w:ascii="Times New Roman" w:hAnsi="Times New Roman" w:cs="Times New Roman"/>
          <w:sz w:val="24"/>
          <w:szCs w:val="24"/>
        </w:rPr>
        <w:t xml:space="preserve"> et al.; (2012) quienes hallaron valores de 108,2 g/L en cerdos en crecimiento.</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 xml:space="preserve">En un estudio realizado en cerdos destetados en México, González (2012) encontraron valores superiores a los mostrados en este estudio (146,4 g/L) al igual que Colina, (2010) quien halló 120,1 g/L y Corredor (2012) 136 g/L. </w:t>
      </w:r>
      <w:proofErr w:type="spellStart"/>
      <w:r w:rsidRPr="005E1AD3">
        <w:rPr>
          <w:rFonts w:ascii="Times New Roman" w:hAnsi="Times New Roman" w:cs="Times New Roman"/>
          <w:sz w:val="24"/>
          <w:szCs w:val="24"/>
        </w:rPr>
        <w:t>Pighin</w:t>
      </w:r>
      <w:proofErr w:type="spellEnd"/>
      <w:r w:rsidRPr="005E1AD3">
        <w:rPr>
          <w:rFonts w:ascii="Times New Roman" w:hAnsi="Times New Roman" w:cs="Times New Roman"/>
          <w:sz w:val="24"/>
          <w:szCs w:val="24"/>
        </w:rPr>
        <w:t xml:space="preserve"> et al., (2010) hallaron valores de hemoglobina inferiores a estos (66,3-95,3 g/L) en lechones destetados en producción intensiva en Argentina.</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Los parámetros hematológicos varían con la edad, estado fisiológico, raza, sexo, nutrición, clima, estrés y tipo de producción. Sin embargo, en esta especie es importante considerar, que los lechones nacen con escasas reservas de hierro (40 a 50 mg), lo cual puede provocar anemia. El lechón recibe a través de la leche materna 1 mg/día y sus necesidades son de 7 mg de hierro, en promedio. Por lo tanto, esto implica que en pocos días las reservas se consumirán y los lechones sufrirán de anemia nutricional por falta de este mineral (</w:t>
      </w:r>
      <w:proofErr w:type="spellStart"/>
      <w:r w:rsidRPr="005E1AD3">
        <w:rPr>
          <w:rFonts w:ascii="Times New Roman" w:hAnsi="Times New Roman" w:cs="Times New Roman"/>
          <w:sz w:val="24"/>
          <w:szCs w:val="24"/>
        </w:rPr>
        <w:t>Schalm</w:t>
      </w:r>
      <w:proofErr w:type="spellEnd"/>
      <w:r w:rsidRPr="005E1AD3">
        <w:rPr>
          <w:rFonts w:ascii="Times New Roman" w:hAnsi="Times New Roman" w:cs="Times New Roman"/>
          <w:sz w:val="24"/>
          <w:szCs w:val="24"/>
        </w:rPr>
        <w:t xml:space="preserve"> 2006).</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 xml:space="preserve">Coincidimos con los criterios de </w:t>
      </w:r>
      <w:proofErr w:type="spellStart"/>
      <w:r w:rsidRPr="005E1AD3">
        <w:rPr>
          <w:rFonts w:ascii="Times New Roman" w:hAnsi="Times New Roman" w:cs="Times New Roman"/>
          <w:sz w:val="24"/>
          <w:szCs w:val="24"/>
        </w:rPr>
        <w:t>Bellezze</w:t>
      </w:r>
      <w:proofErr w:type="spellEnd"/>
      <w:r w:rsidRPr="005E1AD3">
        <w:rPr>
          <w:rFonts w:ascii="Times New Roman" w:hAnsi="Times New Roman" w:cs="Times New Roman"/>
          <w:sz w:val="24"/>
          <w:szCs w:val="24"/>
        </w:rPr>
        <w:t xml:space="preserve"> et al.; (2017) quien plantea que los lechones lactantes poseen requerimientos de hierro mayores a los ofrecidos por la dieta láctea. En sistemas intensivos se restringe el acceso de los animales a la tierra, y al hierro que pueden ingerir con esta.</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lastRenderedPageBreak/>
        <w:t xml:space="preserve">Estos resultados pudieran atribuirse al sistema de crianza en </w:t>
      </w:r>
      <w:proofErr w:type="spellStart"/>
      <w:r w:rsidRPr="005E1AD3">
        <w:rPr>
          <w:rFonts w:ascii="Times New Roman" w:hAnsi="Times New Roman" w:cs="Times New Roman"/>
          <w:sz w:val="24"/>
          <w:szCs w:val="24"/>
        </w:rPr>
        <w:t>Flact</w:t>
      </w:r>
      <w:proofErr w:type="spellEnd"/>
      <w:r w:rsidRPr="005E1AD3">
        <w:rPr>
          <w:rFonts w:ascii="Times New Roman" w:hAnsi="Times New Roman" w:cs="Times New Roman"/>
          <w:sz w:val="24"/>
          <w:szCs w:val="24"/>
        </w:rPr>
        <w:t xml:space="preserve"> </w:t>
      </w:r>
      <w:proofErr w:type="spellStart"/>
      <w:r w:rsidRPr="005E1AD3">
        <w:rPr>
          <w:rFonts w:ascii="Times New Roman" w:hAnsi="Times New Roman" w:cs="Times New Roman"/>
          <w:sz w:val="24"/>
          <w:szCs w:val="24"/>
        </w:rPr>
        <w:t>deck</w:t>
      </w:r>
      <w:proofErr w:type="spellEnd"/>
      <w:r w:rsidRPr="005E1AD3">
        <w:rPr>
          <w:rFonts w:ascii="Times New Roman" w:hAnsi="Times New Roman" w:cs="Times New Roman"/>
          <w:sz w:val="24"/>
          <w:szCs w:val="24"/>
        </w:rPr>
        <w:t xml:space="preserve">, que proporciona bajos niveles de hierro a los cerditos. Aunque a los cerdos se les administró </w:t>
      </w:r>
      <w:proofErr w:type="spellStart"/>
      <w:r w:rsidRPr="005E1AD3">
        <w:rPr>
          <w:rFonts w:ascii="Times New Roman" w:hAnsi="Times New Roman" w:cs="Times New Roman"/>
          <w:sz w:val="24"/>
          <w:szCs w:val="24"/>
        </w:rPr>
        <w:t>dextrana</w:t>
      </w:r>
      <w:proofErr w:type="spellEnd"/>
      <w:r w:rsidRPr="005E1AD3">
        <w:rPr>
          <w:rFonts w:ascii="Times New Roman" w:hAnsi="Times New Roman" w:cs="Times New Roman"/>
          <w:sz w:val="24"/>
          <w:szCs w:val="24"/>
        </w:rPr>
        <w:t xml:space="preserve"> con hierro en dosis de 150 mg por animal a los tres días de nacido. En sistemas en confinamiento es habitual la inyección intramuscular de preparados de Fe </w:t>
      </w:r>
      <w:proofErr w:type="spellStart"/>
      <w:r w:rsidRPr="005E1AD3">
        <w:rPr>
          <w:rFonts w:ascii="Times New Roman" w:hAnsi="Times New Roman" w:cs="Times New Roman"/>
          <w:sz w:val="24"/>
          <w:szCs w:val="24"/>
        </w:rPr>
        <w:t>dextrano</w:t>
      </w:r>
      <w:proofErr w:type="spellEnd"/>
      <w:r w:rsidRPr="005E1AD3">
        <w:rPr>
          <w:rFonts w:ascii="Times New Roman" w:hAnsi="Times New Roman" w:cs="Times New Roman"/>
          <w:sz w:val="24"/>
          <w:szCs w:val="24"/>
        </w:rPr>
        <w:t xml:space="preserve"> en los tres primeros días de vida para cubrir los requerimientos de este mineral, mientras que en los sistemas a campo el</w:t>
      </w:r>
      <w:r w:rsidR="00BA6CED">
        <w:rPr>
          <w:rFonts w:ascii="Times New Roman" w:hAnsi="Times New Roman" w:cs="Times New Roman"/>
          <w:sz w:val="24"/>
          <w:szCs w:val="24"/>
        </w:rPr>
        <w:t xml:space="preserve"> </w:t>
      </w:r>
      <w:r w:rsidRPr="005E1AD3">
        <w:rPr>
          <w:rFonts w:ascii="Times New Roman" w:hAnsi="Times New Roman" w:cs="Times New Roman"/>
          <w:sz w:val="24"/>
          <w:szCs w:val="24"/>
        </w:rPr>
        <w:t>lechón lo incorpora a través del hábito de hozar, y suponiendo que en el suelo existen cantidades suficientes de Fe, no es común suministrarlo (</w:t>
      </w:r>
      <w:proofErr w:type="spellStart"/>
      <w:r w:rsidRPr="005E1AD3">
        <w:rPr>
          <w:rFonts w:ascii="Times New Roman" w:hAnsi="Times New Roman" w:cs="Times New Roman"/>
          <w:sz w:val="24"/>
          <w:szCs w:val="24"/>
        </w:rPr>
        <w:t>Dal</w:t>
      </w:r>
      <w:proofErr w:type="spellEnd"/>
      <w:r w:rsidRPr="005E1AD3">
        <w:rPr>
          <w:rFonts w:ascii="Times New Roman" w:hAnsi="Times New Roman" w:cs="Times New Roman"/>
          <w:sz w:val="24"/>
          <w:szCs w:val="24"/>
        </w:rPr>
        <w:t xml:space="preserve"> </w:t>
      </w:r>
      <w:proofErr w:type="spellStart"/>
      <w:r w:rsidRPr="005E1AD3">
        <w:rPr>
          <w:rFonts w:ascii="Times New Roman" w:hAnsi="Times New Roman" w:cs="Times New Roman"/>
          <w:sz w:val="24"/>
          <w:szCs w:val="24"/>
        </w:rPr>
        <w:t>Macette</w:t>
      </w:r>
      <w:proofErr w:type="spellEnd"/>
      <w:r w:rsidRPr="005E1AD3">
        <w:rPr>
          <w:rFonts w:ascii="Times New Roman" w:hAnsi="Times New Roman" w:cs="Times New Roman"/>
          <w:sz w:val="24"/>
          <w:szCs w:val="24"/>
        </w:rPr>
        <w:t xml:space="preserve"> et al.; 2012).</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Sin embargo, a los 96 días de edad los valores de hemoglobina y hematocrito mostraron niveles dentro del rango fisiológico para la especie, en ambos grupos, sin diferencias significativas, estando dentro de los parámetros de referencia establecidos por Espinosa et al.; (2008) y Cooper et al.; (2014).</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 xml:space="preserve">Resultado que pudiera atribuirse a que, a esta edad, el sistema digestivo de los cerdos está más desarrollado y por consiguiente es mejor la asimilación de los nutrientes, además la </w:t>
      </w:r>
      <w:proofErr w:type="spellStart"/>
      <w:r w:rsidRPr="005E1AD3">
        <w:rPr>
          <w:rFonts w:ascii="Times New Roman" w:hAnsi="Times New Roman" w:cs="Times New Roman"/>
          <w:sz w:val="24"/>
          <w:szCs w:val="24"/>
        </w:rPr>
        <w:t>microbiota</w:t>
      </w:r>
      <w:proofErr w:type="spellEnd"/>
      <w:r w:rsidRPr="005E1AD3">
        <w:rPr>
          <w:rFonts w:ascii="Times New Roman" w:hAnsi="Times New Roman" w:cs="Times New Roman"/>
          <w:sz w:val="24"/>
          <w:szCs w:val="24"/>
        </w:rPr>
        <w:t xml:space="preserve"> intestinal tiene mayor madurez y facilita la mejor absorción de vitaminas. Todo lo cual se traduce en una mejor incorporación de sustancias necesarias para el metabolismo y transportación de nutrientes, que incluyen los </w:t>
      </w:r>
      <w:proofErr w:type="spellStart"/>
      <w:r w:rsidRPr="005E1AD3">
        <w:rPr>
          <w:rFonts w:ascii="Times New Roman" w:hAnsi="Times New Roman" w:cs="Times New Roman"/>
          <w:sz w:val="24"/>
          <w:szCs w:val="24"/>
        </w:rPr>
        <w:t>microelementos</w:t>
      </w:r>
      <w:proofErr w:type="spellEnd"/>
      <w:r w:rsidRPr="005E1AD3">
        <w:rPr>
          <w:rFonts w:ascii="Times New Roman" w:hAnsi="Times New Roman" w:cs="Times New Roman"/>
          <w:sz w:val="24"/>
          <w:szCs w:val="24"/>
        </w:rPr>
        <w:t>.</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 xml:space="preserve">Los valores de hematocrito hallados en este estudio fueron similares a los encontrados por González et al; (2012) valores promedio de 39,9 L/L en un estudio realizado con cerdos de cruce comercial </w:t>
      </w:r>
      <w:proofErr w:type="spellStart"/>
      <w:r w:rsidRPr="005E1AD3">
        <w:rPr>
          <w:rFonts w:ascii="Times New Roman" w:hAnsi="Times New Roman" w:cs="Times New Roman"/>
          <w:sz w:val="24"/>
          <w:szCs w:val="24"/>
        </w:rPr>
        <w:t>Yorshire</w:t>
      </w:r>
      <w:proofErr w:type="spellEnd"/>
      <w:r w:rsidRPr="005E1AD3">
        <w:rPr>
          <w:rFonts w:ascii="Times New Roman" w:hAnsi="Times New Roman" w:cs="Times New Roman"/>
          <w:sz w:val="24"/>
          <w:szCs w:val="24"/>
        </w:rPr>
        <w:t xml:space="preserve"> x </w:t>
      </w:r>
      <w:proofErr w:type="spellStart"/>
      <w:r w:rsidRPr="005E1AD3">
        <w:rPr>
          <w:rFonts w:ascii="Times New Roman" w:hAnsi="Times New Roman" w:cs="Times New Roman"/>
          <w:sz w:val="24"/>
          <w:szCs w:val="24"/>
        </w:rPr>
        <w:t>Landrace</w:t>
      </w:r>
      <w:proofErr w:type="spellEnd"/>
      <w:r w:rsidRPr="005E1AD3">
        <w:rPr>
          <w:rFonts w:ascii="Times New Roman" w:hAnsi="Times New Roman" w:cs="Times New Roman"/>
          <w:sz w:val="24"/>
          <w:szCs w:val="24"/>
        </w:rPr>
        <w:t xml:space="preserve"> de aproximadamente 12,0 kg de peso vivo y ocho semanas de edad. Al igual que, </w:t>
      </w:r>
      <w:proofErr w:type="spellStart"/>
      <w:r w:rsidRPr="005E1AD3">
        <w:rPr>
          <w:rFonts w:ascii="Times New Roman" w:hAnsi="Times New Roman" w:cs="Times New Roman"/>
          <w:sz w:val="24"/>
          <w:szCs w:val="24"/>
        </w:rPr>
        <w:t>Dal</w:t>
      </w:r>
      <w:proofErr w:type="spellEnd"/>
      <w:r w:rsidRPr="005E1AD3">
        <w:rPr>
          <w:rFonts w:ascii="Times New Roman" w:hAnsi="Times New Roman" w:cs="Times New Roman"/>
          <w:sz w:val="24"/>
          <w:szCs w:val="24"/>
        </w:rPr>
        <w:t xml:space="preserve"> </w:t>
      </w:r>
      <w:proofErr w:type="spellStart"/>
      <w:r w:rsidRPr="005E1AD3">
        <w:rPr>
          <w:rFonts w:ascii="Times New Roman" w:hAnsi="Times New Roman" w:cs="Times New Roman"/>
          <w:sz w:val="24"/>
          <w:szCs w:val="24"/>
        </w:rPr>
        <w:t>Masette</w:t>
      </w:r>
      <w:proofErr w:type="spellEnd"/>
      <w:r w:rsidRPr="005E1AD3">
        <w:rPr>
          <w:rFonts w:ascii="Times New Roman" w:hAnsi="Times New Roman" w:cs="Times New Roman"/>
          <w:sz w:val="24"/>
          <w:szCs w:val="24"/>
        </w:rPr>
        <w:t xml:space="preserve"> (2012) reporta 35,74 L/L en lechones lactantes y </w:t>
      </w:r>
      <w:proofErr w:type="spellStart"/>
      <w:r w:rsidRPr="005E1AD3">
        <w:rPr>
          <w:rFonts w:ascii="Times New Roman" w:hAnsi="Times New Roman" w:cs="Times New Roman"/>
          <w:sz w:val="24"/>
          <w:szCs w:val="24"/>
        </w:rPr>
        <w:t>Bellezze</w:t>
      </w:r>
      <w:proofErr w:type="spellEnd"/>
      <w:r w:rsidRPr="005E1AD3">
        <w:rPr>
          <w:rFonts w:ascii="Times New Roman" w:hAnsi="Times New Roman" w:cs="Times New Roman"/>
          <w:sz w:val="24"/>
          <w:szCs w:val="24"/>
        </w:rPr>
        <w:t xml:space="preserve"> et al.; (2017) encontraron valores de 33,32 L/L.</w:t>
      </w:r>
    </w:p>
    <w:p w:rsidR="005E1AD3" w:rsidRP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Los valores de leucocitos totales en el 100% de los cerdos en ambos grupos estuvieron por debajo de los parámetros fisiológicos a los 26 días de edad, y dentro del rango para la especie a los 96 días. Tomando como referencia 0,11-0,22 x 10</w:t>
      </w:r>
      <w:r w:rsidRPr="002B5BB1">
        <w:rPr>
          <w:rFonts w:ascii="Times New Roman" w:hAnsi="Times New Roman" w:cs="Times New Roman"/>
          <w:sz w:val="24"/>
          <w:szCs w:val="24"/>
          <w:vertAlign w:val="superscript"/>
        </w:rPr>
        <w:t>9</w:t>
      </w:r>
      <w:r w:rsidRPr="005E1AD3">
        <w:rPr>
          <w:rFonts w:ascii="Times New Roman" w:hAnsi="Times New Roman" w:cs="Times New Roman"/>
          <w:sz w:val="24"/>
          <w:szCs w:val="24"/>
        </w:rPr>
        <w:t>, Cuesta, (2015). Los valores bajos de leucocitos totales a los 26 días de edad, han sido observados en cerdos en estudios realizados en otros países; Corredor (2012) observó valores de leucocitos totales de 5,16 x 10</w:t>
      </w:r>
      <w:r w:rsidRPr="002B5BB1">
        <w:rPr>
          <w:rFonts w:ascii="Times New Roman" w:hAnsi="Times New Roman" w:cs="Times New Roman"/>
          <w:sz w:val="24"/>
          <w:szCs w:val="24"/>
          <w:vertAlign w:val="superscript"/>
        </w:rPr>
        <w:t>9</w:t>
      </w:r>
      <w:r w:rsidRPr="005E1AD3">
        <w:rPr>
          <w:rFonts w:ascii="Times New Roman" w:hAnsi="Times New Roman" w:cs="Times New Roman"/>
          <w:sz w:val="24"/>
          <w:szCs w:val="24"/>
        </w:rPr>
        <w:t>. González (2012) encontró valores de 8,48 x 10</w:t>
      </w:r>
      <w:r w:rsidRPr="002B5BB1">
        <w:rPr>
          <w:rFonts w:ascii="Times New Roman" w:hAnsi="Times New Roman" w:cs="Times New Roman"/>
          <w:sz w:val="24"/>
          <w:szCs w:val="24"/>
          <w:vertAlign w:val="superscript"/>
        </w:rPr>
        <w:t>9</w:t>
      </w:r>
      <w:r w:rsidRPr="005E1AD3">
        <w:rPr>
          <w:rFonts w:ascii="Times New Roman" w:hAnsi="Times New Roman" w:cs="Times New Roman"/>
          <w:sz w:val="24"/>
          <w:szCs w:val="24"/>
        </w:rPr>
        <w:t xml:space="preserve">. Sin embargo otro autor Rincón-Castrillón (2011) encontró valores más bajos a los hallados en este </w:t>
      </w:r>
      <w:r w:rsidRPr="005E1AD3">
        <w:rPr>
          <w:rFonts w:ascii="Times New Roman" w:hAnsi="Times New Roman" w:cs="Times New Roman"/>
          <w:sz w:val="24"/>
          <w:szCs w:val="24"/>
        </w:rPr>
        <w:lastRenderedPageBreak/>
        <w:t xml:space="preserve">estudio, pero en cerdos de ceba y </w:t>
      </w:r>
      <w:proofErr w:type="spellStart"/>
      <w:r w:rsidRPr="005E1AD3">
        <w:rPr>
          <w:rFonts w:ascii="Times New Roman" w:hAnsi="Times New Roman" w:cs="Times New Roman"/>
          <w:sz w:val="24"/>
          <w:szCs w:val="24"/>
        </w:rPr>
        <w:t>Bellezze</w:t>
      </w:r>
      <w:proofErr w:type="spellEnd"/>
      <w:r w:rsidRPr="005E1AD3">
        <w:rPr>
          <w:rFonts w:ascii="Times New Roman" w:hAnsi="Times New Roman" w:cs="Times New Roman"/>
          <w:sz w:val="24"/>
          <w:szCs w:val="24"/>
        </w:rPr>
        <w:t xml:space="preserve"> (2017) halló valores de 14,27 x 10</w:t>
      </w:r>
      <w:r w:rsidRPr="002B5BB1">
        <w:rPr>
          <w:rFonts w:ascii="Times New Roman" w:hAnsi="Times New Roman" w:cs="Times New Roman"/>
          <w:sz w:val="24"/>
          <w:szCs w:val="24"/>
          <w:vertAlign w:val="superscript"/>
        </w:rPr>
        <w:t>9</w:t>
      </w:r>
      <w:r w:rsidRPr="005E1AD3">
        <w:rPr>
          <w:rFonts w:ascii="Times New Roman" w:hAnsi="Times New Roman" w:cs="Times New Roman"/>
          <w:sz w:val="24"/>
          <w:szCs w:val="24"/>
        </w:rPr>
        <w:t>, o sea, superiores a este estudio.</w:t>
      </w:r>
    </w:p>
    <w:p w:rsidR="005E1AD3" w:rsidRDefault="005E1AD3" w:rsidP="005E1AD3">
      <w:pPr>
        <w:spacing w:after="0" w:line="360" w:lineRule="auto"/>
        <w:jc w:val="both"/>
        <w:rPr>
          <w:rFonts w:ascii="Times New Roman" w:hAnsi="Times New Roman" w:cs="Times New Roman"/>
          <w:sz w:val="24"/>
          <w:szCs w:val="24"/>
        </w:rPr>
      </w:pPr>
      <w:r w:rsidRPr="005E1AD3">
        <w:rPr>
          <w:rFonts w:ascii="Times New Roman" w:hAnsi="Times New Roman" w:cs="Times New Roman"/>
          <w:sz w:val="24"/>
          <w:szCs w:val="24"/>
        </w:rPr>
        <w:t>La leucopenia manifiesta en ambos grupos a los 26 días, pudiera atribuirse a la circulación de agentes virales que interactúan con la población de cerdos, entre ellos el virus de la Peste Porcina Clásica,</w:t>
      </w:r>
      <w:r w:rsidR="00426E27">
        <w:rPr>
          <w:rFonts w:ascii="Times New Roman" w:hAnsi="Times New Roman" w:cs="Times New Roman"/>
          <w:sz w:val="24"/>
          <w:szCs w:val="24"/>
        </w:rPr>
        <w:t xml:space="preserve"> cuya enfermedad es endémica en </w:t>
      </w:r>
      <w:r w:rsidRPr="005E1AD3">
        <w:rPr>
          <w:rFonts w:ascii="Times New Roman" w:hAnsi="Times New Roman" w:cs="Times New Roman"/>
          <w:sz w:val="24"/>
          <w:szCs w:val="24"/>
        </w:rPr>
        <w:t>Cuba (Arredondo et al.; 2010); y otros virus como rotavirus, coronavirus, etc. que participan en los procesos diarreicos frecuentes en cerdos en crecimiento en la provincia de Villa Clara (de la Fe et al.; 2012).</w:t>
      </w:r>
    </w:p>
    <w:p w:rsidR="00426E27" w:rsidRPr="00426E27" w:rsidRDefault="00426E27" w:rsidP="00426E27">
      <w:pPr>
        <w:spacing w:after="0" w:line="360" w:lineRule="auto"/>
        <w:jc w:val="both"/>
        <w:rPr>
          <w:rFonts w:ascii="Times New Roman" w:hAnsi="Times New Roman" w:cs="Times New Roman"/>
          <w:sz w:val="24"/>
          <w:szCs w:val="24"/>
        </w:rPr>
      </w:pPr>
      <w:r w:rsidRPr="00426E27">
        <w:rPr>
          <w:rFonts w:ascii="Times New Roman" w:hAnsi="Times New Roman" w:cs="Times New Roman"/>
          <w:sz w:val="24"/>
          <w:szCs w:val="24"/>
        </w:rPr>
        <w:t>Antes del inicio del ensayo en el grupo escogido para el tratamiento, mostraron linfocitosis el 33,33% de los cerdos y en el grupo escogido para el control un 23,07%, sin diferencias estadísticamente significativas (p&gt;0,05). Lo cual evidencia que en el momento del destete, un porcentaje de cerdos de ambos grupos presentaban linfocitosis.</w:t>
      </w:r>
    </w:p>
    <w:p w:rsidR="00426E27" w:rsidRPr="00426E27" w:rsidRDefault="00426E27" w:rsidP="00426E27">
      <w:pPr>
        <w:spacing w:after="0" w:line="360" w:lineRule="auto"/>
        <w:jc w:val="both"/>
        <w:rPr>
          <w:rFonts w:ascii="Times New Roman" w:hAnsi="Times New Roman" w:cs="Times New Roman"/>
          <w:sz w:val="24"/>
          <w:szCs w:val="24"/>
        </w:rPr>
      </w:pPr>
      <w:r w:rsidRPr="00426E27">
        <w:rPr>
          <w:rFonts w:ascii="Times New Roman" w:hAnsi="Times New Roman" w:cs="Times New Roman"/>
          <w:sz w:val="24"/>
          <w:szCs w:val="24"/>
        </w:rPr>
        <w:t>En la figura 3 se muestran los resultados del conteo diferencial de leucocitos, expresado en el porcentaje de animales con linfocitosis en ambos grupos a los 96 días de edad.</w:t>
      </w:r>
    </w:p>
    <w:p w:rsidR="00426E27" w:rsidRDefault="00426E27" w:rsidP="00426E27">
      <w:pPr>
        <w:spacing w:after="0" w:line="360" w:lineRule="auto"/>
        <w:jc w:val="both"/>
        <w:rPr>
          <w:rFonts w:ascii="Times New Roman" w:hAnsi="Times New Roman" w:cs="Times New Roman"/>
          <w:sz w:val="24"/>
          <w:szCs w:val="24"/>
        </w:rPr>
      </w:pPr>
      <w:r w:rsidRPr="00426E27">
        <w:rPr>
          <w:rFonts w:ascii="Times New Roman" w:hAnsi="Times New Roman" w:cs="Times New Roman"/>
          <w:sz w:val="24"/>
          <w:szCs w:val="24"/>
        </w:rPr>
        <w:t xml:space="preserve">En el grupo tratado mostraron linfocitosis en el 76,92% de los cerdos y en el grupo control el 62,5%, sin diferencias estadísticamente significativas (p&gt;0,05) lo cual indica la posible persistencia de las causas que pudieron dar lugar a dicho proceso en ambos grupos de cerdos; incluyendo los procesos diarreicos que se presentaron fundamentalmente en las primeras dos semanas </w:t>
      </w:r>
      <w:proofErr w:type="spellStart"/>
      <w:r w:rsidRPr="00426E27">
        <w:rPr>
          <w:rFonts w:ascii="Times New Roman" w:hAnsi="Times New Roman" w:cs="Times New Roman"/>
          <w:sz w:val="24"/>
          <w:szCs w:val="24"/>
        </w:rPr>
        <w:t>posdestete</w:t>
      </w:r>
      <w:proofErr w:type="spellEnd"/>
      <w:r w:rsidRPr="00426E27">
        <w:rPr>
          <w:rFonts w:ascii="Times New Roman" w:hAnsi="Times New Roman" w:cs="Times New Roman"/>
          <w:sz w:val="24"/>
          <w:szCs w:val="24"/>
        </w:rPr>
        <w:t xml:space="preserve"> y continuaron hasta la cuarta semana.</w:t>
      </w:r>
    </w:p>
    <w:p w:rsidR="00426E27" w:rsidRPr="00426E27" w:rsidRDefault="00426E27" w:rsidP="00426E27">
      <w:pPr>
        <w:spacing w:after="0" w:line="360" w:lineRule="auto"/>
        <w:jc w:val="both"/>
        <w:rPr>
          <w:rFonts w:ascii="Times New Roman" w:hAnsi="Times New Roman" w:cs="Times New Roman"/>
          <w:sz w:val="24"/>
          <w:szCs w:val="24"/>
        </w:rPr>
      </w:pPr>
      <w:r w:rsidRPr="00426E27">
        <w:rPr>
          <w:rFonts w:ascii="Times New Roman" w:hAnsi="Times New Roman" w:cs="Times New Roman"/>
          <w:sz w:val="24"/>
          <w:szCs w:val="24"/>
        </w:rPr>
        <w:t>De acuerdo al análisis integral aplicando el método clínico, o sea, al tener en cuenta los datos de la anamnesis y las exploraciones clínicas realizadas en los animales, la leucopenia pudiera estar atribuida a procesos virales, inmunodeficiencia y la linfocitosis a los procesos entéricos de posible causa infecciosa a los cuales pudieron estar expuestos los cerdos.</w:t>
      </w:r>
    </w:p>
    <w:p w:rsidR="00426E27" w:rsidRPr="00426E27" w:rsidRDefault="00426E27" w:rsidP="00426E27">
      <w:pPr>
        <w:spacing w:after="0" w:line="360" w:lineRule="auto"/>
        <w:jc w:val="both"/>
        <w:rPr>
          <w:rFonts w:ascii="Times New Roman" w:hAnsi="Times New Roman" w:cs="Times New Roman"/>
          <w:sz w:val="24"/>
          <w:szCs w:val="24"/>
        </w:rPr>
      </w:pPr>
      <w:r w:rsidRPr="00426E27">
        <w:rPr>
          <w:rFonts w:ascii="Times New Roman" w:hAnsi="Times New Roman" w:cs="Times New Roman"/>
          <w:sz w:val="24"/>
          <w:szCs w:val="24"/>
        </w:rPr>
        <w:t>Nuestros resultados coinciden con Dueñas et al., (2018) quienes, al analizar el perfil hematológico en cerdos en un territorio de Cienfuegos, Cuba; mostraron casos de anemia, leucopenia y linfocitosis compatible con procesos virales y procesos infecciosos agudos.</w:t>
      </w:r>
    </w:p>
    <w:p w:rsidR="00426E27" w:rsidRDefault="00426E27" w:rsidP="00426E27">
      <w:pPr>
        <w:spacing w:after="0" w:line="360" w:lineRule="auto"/>
        <w:jc w:val="both"/>
        <w:rPr>
          <w:rFonts w:ascii="Times New Roman" w:hAnsi="Times New Roman" w:cs="Times New Roman"/>
          <w:sz w:val="24"/>
          <w:szCs w:val="24"/>
        </w:rPr>
      </w:pPr>
      <w:r w:rsidRPr="00426E27">
        <w:rPr>
          <w:rFonts w:ascii="Times New Roman" w:hAnsi="Times New Roman" w:cs="Times New Roman"/>
          <w:sz w:val="24"/>
          <w:szCs w:val="24"/>
        </w:rPr>
        <w:lastRenderedPageBreak/>
        <w:t>Los valores de ALAT en el suero sanguíneo de los cerdos tratados y control estuvieron en el rango de los parámetros fisiológicos para la especie y no mostraron dif</w:t>
      </w:r>
      <w:r>
        <w:rPr>
          <w:rFonts w:ascii="Times New Roman" w:hAnsi="Times New Roman" w:cs="Times New Roman"/>
          <w:sz w:val="24"/>
          <w:szCs w:val="24"/>
        </w:rPr>
        <w:t>erencias significativas (tabla 7</w:t>
      </w:r>
      <w:r w:rsidRPr="00426E27">
        <w:rPr>
          <w:rFonts w:ascii="Times New Roman" w:hAnsi="Times New Roman" w:cs="Times New Roman"/>
          <w:sz w:val="24"/>
          <w:szCs w:val="24"/>
        </w:rPr>
        <w:t>).</w:t>
      </w:r>
    </w:p>
    <w:p w:rsidR="00426E27" w:rsidRDefault="00517B8C" w:rsidP="00426E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Tabla 7</w:t>
      </w:r>
      <w:r w:rsidRPr="00517B8C">
        <w:rPr>
          <w:rFonts w:ascii="Times New Roman" w:hAnsi="Times New Roman" w:cs="Times New Roman"/>
          <w:sz w:val="24"/>
          <w:szCs w:val="24"/>
        </w:rPr>
        <w:t>. Valores medios de la ALAT en ambos grupos a los 96 días de edad.</w:t>
      </w:r>
    </w:p>
    <w:tbl>
      <w:tblPr>
        <w:tblStyle w:val="Tablaconcuadrcula"/>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692"/>
        <w:gridCol w:w="543"/>
        <w:gridCol w:w="992"/>
        <w:gridCol w:w="992"/>
        <w:gridCol w:w="984"/>
        <w:gridCol w:w="8"/>
        <w:gridCol w:w="993"/>
        <w:gridCol w:w="1417"/>
      </w:tblGrid>
      <w:tr w:rsidR="00BC7508" w:rsidRPr="005E1AD3" w:rsidTr="00BC7508">
        <w:trPr>
          <w:trHeight w:val="288"/>
        </w:trPr>
        <w:tc>
          <w:tcPr>
            <w:tcW w:w="1692" w:type="dxa"/>
            <w:tcBorders>
              <w:top w:val="single" w:sz="4" w:space="0" w:color="auto"/>
              <w:right w:val="single" w:sz="4" w:space="0" w:color="auto"/>
            </w:tcBorders>
          </w:tcPr>
          <w:p w:rsidR="00BC7508" w:rsidRPr="005E1AD3" w:rsidRDefault="00BC7508" w:rsidP="000504AB">
            <w:pPr>
              <w:autoSpaceDE w:val="0"/>
              <w:autoSpaceDN w:val="0"/>
              <w:adjustRightInd w:val="0"/>
              <w:jc w:val="center"/>
              <w:rPr>
                <w:rFonts w:ascii="Times New Roman" w:hAnsi="Times New Roman" w:cs="Times New Roman"/>
                <w:color w:val="000000"/>
                <w:sz w:val="24"/>
                <w:szCs w:val="24"/>
              </w:rPr>
            </w:pPr>
          </w:p>
        </w:tc>
        <w:tc>
          <w:tcPr>
            <w:tcW w:w="543" w:type="dxa"/>
            <w:tcBorders>
              <w:top w:val="single" w:sz="4" w:space="0" w:color="auto"/>
              <w:left w:val="single" w:sz="4" w:space="0" w:color="auto"/>
            </w:tcBorders>
          </w:tcPr>
          <w:p w:rsidR="00BC7508" w:rsidRPr="005E1AD3" w:rsidRDefault="00BC7508" w:rsidP="000504AB">
            <w:pPr>
              <w:autoSpaceDE w:val="0"/>
              <w:autoSpaceDN w:val="0"/>
              <w:adjustRightInd w:val="0"/>
              <w:jc w:val="center"/>
              <w:rPr>
                <w:rFonts w:ascii="Times New Roman" w:hAnsi="Times New Roman" w:cs="Times New Roman"/>
                <w:color w:val="000000"/>
                <w:sz w:val="24"/>
                <w:szCs w:val="24"/>
              </w:rPr>
            </w:pPr>
          </w:p>
        </w:tc>
        <w:tc>
          <w:tcPr>
            <w:tcW w:w="1984" w:type="dxa"/>
            <w:gridSpan w:val="2"/>
            <w:tcBorders>
              <w:top w:val="single" w:sz="4" w:space="0" w:color="auto"/>
            </w:tcBorders>
          </w:tcPr>
          <w:p w:rsidR="00BC7508" w:rsidRPr="005E1AD3" w:rsidRDefault="00BC7508" w:rsidP="000504AB">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Tratados</w:t>
            </w:r>
          </w:p>
        </w:tc>
        <w:tc>
          <w:tcPr>
            <w:tcW w:w="1985" w:type="dxa"/>
            <w:gridSpan w:val="3"/>
            <w:tcBorders>
              <w:top w:val="single" w:sz="4" w:space="0" w:color="auto"/>
            </w:tcBorders>
          </w:tcPr>
          <w:p w:rsidR="00BC7508" w:rsidRPr="005E1AD3" w:rsidRDefault="00BC7508" w:rsidP="000504AB">
            <w:pPr>
              <w:autoSpaceDE w:val="0"/>
              <w:autoSpaceDN w:val="0"/>
              <w:adjustRightInd w:val="0"/>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Control</w:t>
            </w:r>
          </w:p>
        </w:tc>
        <w:tc>
          <w:tcPr>
            <w:tcW w:w="1417" w:type="dxa"/>
            <w:tcBorders>
              <w:top w:val="single" w:sz="4" w:space="0" w:color="auto"/>
            </w:tcBorders>
          </w:tcPr>
          <w:p w:rsidR="00BC7508" w:rsidRPr="005E1AD3" w:rsidRDefault="00BC7508" w:rsidP="000504AB">
            <w:pPr>
              <w:autoSpaceDE w:val="0"/>
              <w:autoSpaceDN w:val="0"/>
              <w:adjustRightInd w:val="0"/>
              <w:rPr>
                <w:rFonts w:ascii="Times New Roman" w:hAnsi="Times New Roman" w:cs="Times New Roman"/>
                <w:color w:val="000000"/>
                <w:sz w:val="24"/>
                <w:szCs w:val="24"/>
              </w:rPr>
            </w:pPr>
          </w:p>
        </w:tc>
      </w:tr>
      <w:tr w:rsidR="00BC7508" w:rsidRPr="005E1AD3" w:rsidTr="00BC7508">
        <w:trPr>
          <w:trHeight w:val="252"/>
        </w:trPr>
        <w:tc>
          <w:tcPr>
            <w:tcW w:w="1692" w:type="dxa"/>
            <w:tcBorders>
              <w:bottom w:val="single" w:sz="4" w:space="0" w:color="auto"/>
              <w:right w:val="single" w:sz="4" w:space="0" w:color="auto"/>
            </w:tcBorders>
          </w:tcPr>
          <w:p w:rsidR="00BC7508" w:rsidRPr="005E1AD3" w:rsidRDefault="00BC7508" w:rsidP="000504A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43" w:type="dxa"/>
            <w:tcBorders>
              <w:left w:val="single" w:sz="4" w:space="0" w:color="auto"/>
              <w:bottom w:val="single" w:sz="4" w:space="0" w:color="auto"/>
            </w:tcBorders>
          </w:tcPr>
          <w:p w:rsidR="00BC7508" w:rsidRPr="005E1AD3" w:rsidRDefault="00BC7508" w:rsidP="00BC750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992" w:type="dxa"/>
            <w:tcBorders>
              <w:bottom w:val="single" w:sz="4" w:space="0" w:color="auto"/>
            </w:tcBorders>
          </w:tcPr>
          <w:p w:rsidR="00BC7508" w:rsidRPr="005E1AD3" w:rsidRDefault="00BC7508" w:rsidP="00BC750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Media</w:t>
            </w:r>
          </w:p>
        </w:tc>
        <w:tc>
          <w:tcPr>
            <w:tcW w:w="992" w:type="dxa"/>
            <w:tcBorders>
              <w:bottom w:val="single" w:sz="4" w:space="0" w:color="auto"/>
            </w:tcBorders>
          </w:tcPr>
          <w:p w:rsidR="00BC7508" w:rsidRPr="005E1AD3" w:rsidRDefault="00BC7508" w:rsidP="00BC7508">
            <w:pPr>
              <w:autoSpaceDE w:val="0"/>
              <w:autoSpaceDN w:val="0"/>
              <w:adjustRightInd w:val="0"/>
              <w:ind w:left="84"/>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ES±</w:t>
            </w:r>
          </w:p>
        </w:tc>
        <w:tc>
          <w:tcPr>
            <w:tcW w:w="984" w:type="dxa"/>
            <w:tcBorders>
              <w:bottom w:val="single" w:sz="4" w:space="0" w:color="auto"/>
            </w:tcBorders>
          </w:tcPr>
          <w:p w:rsidR="00BC7508" w:rsidRPr="005E1AD3" w:rsidRDefault="00BC7508" w:rsidP="00BC750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Media</w:t>
            </w:r>
          </w:p>
        </w:tc>
        <w:tc>
          <w:tcPr>
            <w:tcW w:w="1001" w:type="dxa"/>
            <w:gridSpan w:val="2"/>
            <w:tcBorders>
              <w:bottom w:val="single" w:sz="4" w:space="0" w:color="auto"/>
            </w:tcBorders>
          </w:tcPr>
          <w:p w:rsidR="00BC7508" w:rsidRPr="005E1AD3" w:rsidRDefault="00BC7508" w:rsidP="00BC7508">
            <w:pPr>
              <w:autoSpaceDE w:val="0"/>
              <w:autoSpaceDN w:val="0"/>
              <w:adjustRightInd w:val="0"/>
              <w:ind w:left="48"/>
              <w:jc w:val="center"/>
              <w:rPr>
                <w:rFonts w:ascii="Times New Roman" w:hAnsi="Times New Roman" w:cs="Times New Roman"/>
                <w:color w:val="000000"/>
                <w:sz w:val="24"/>
                <w:szCs w:val="24"/>
              </w:rPr>
            </w:pPr>
            <w:r w:rsidRPr="005E1AD3">
              <w:rPr>
                <w:rFonts w:ascii="Times New Roman" w:hAnsi="Times New Roman" w:cs="Times New Roman"/>
                <w:color w:val="000000"/>
                <w:sz w:val="24"/>
                <w:szCs w:val="24"/>
              </w:rPr>
              <w:t>ES±</w:t>
            </w:r>
          </w:p>
        </w:tc>
        <w:tc>
          <w:tcPr>
            <w:tcW w:w="1417" w:type="dxa"/>
            <w:tcBorders>
              <w:bottom w:val="single" w:sz="4" w:space="0" w:color="auto"/>
            </w:tcBorders>
          </w:tcPr>
          <w:p w:rsidR="00BC7508" w:rsidRPr="005E1AD3" w:rsidRDefault="00BC7508" w:rsidP="00BC7508">
            <w:pPr>
              <w:autoSpaceDE w:val="0"/>
              <w:autoSpaceDN w:val="0"/>
              <w:adjustRightInd w:val="0"/>
              <w:ind w:left="60"/>
              <w:jc w:val="center"/>
              <w:rPr>
                <w:rFonts w:ascii="Times New Roman" w:hAnsi="Times New Roman" w:cs="Times New Roman"/>
                <w:color w:val="000000"/>
                <w:sz w:val="24"/>
                <w:szCs w:val="24"/>
              </w:rPr>
            </w:pPr>
            <w:r w:rsidRPr="001C0209">
              <w:rPr>
                <w:rFonts w:ascii="Times New Roman" w:hAnsi="Times New Roman" w:cs="Times New Roman"/>
                <w:color w:val="000000"/>
                <w:sz w:val="24"/>
                <w:szCs w:val="24"/>
              </w:rPr>
              <w:t>Valor de p</w:t>
            </w:r>
          </w:p>
        </w:tc>
      </w:tr>
      <w:tr w:rsidR="00BC7508" w:rsidRPr="005E1AD3" w:rsidTr="00BC7508">
        <w:trPr>
          <w:trHeight w:val="250"/>
        </w:trPr>
        <w:tc>
          <w:tcPr>
            <w:tcW w:w="1692" w:type="dxa"/>
            <w:tcBorders>
              <w:top w:val="single" w:sz="4" w:space="0" w:color="auto"/>
              <w:bottom w:val="single" w:sz="4" w:space="0" w:color="auto"/>
              <w:right w:val="single" w:sz="4" w:space="0" w:color="auto"/>
            </w:tcBorders>
          </w:tcPr>
          <w:p w:rsidR="00BC7508" w:rsidRPr="005E1AD3" w:rsidRDefault="00BC7508" w:rsidP="000504AB">
            <w:pPr>
              <w:autoSpaceDE w:val="0"/>
              <w:autoSpaceDN w:val="0"/>
              <w:adjustRightInd w:val="0"/>
              <w:rPr>
                <w:rFonts w:ascii="Times New Roman" w:hAnsi="Times New Roman" w:cs="Times New Roman"/>
                <w:color w:val="000000"/>
                <w:sz w:val="24"/>
                <w:szCs w:val="24"/>
              </w:rPr>
            </w:pPr>
            <w:r w:rsidRPr="002451BE">
              <w:rPr>
                <w:rFonts w:ascii="Times New Roman" w:hAnsi="Times New Roman" w:cs="Times New Roman"/>
                <w:b/>
                <w:bCs/>
                <w:color w:val="000000"/>
                <w:sz w:val="24"/>
                <w:szCs w:val="24"/>
              </w:rPr>
              <w:t>ALAT (UI)</w:t>
            </w:r>
          </w:p>
        </w:tc>
        <w:tc>
          <w:tcPr>
            <w:tcW w:w="543" w:type="dxa"/>
            <w:tcBorders>
              <w:top w:val="single" w:sz="4" w:space="0" w:color="auto"/>
              <w:left w:val="single" w:sz="4" w:space="0" w:color="auto"/>
              <w:bottom w:val="single" w:sz="4" w:space="0" w:color="auto"/>
            </w:tcBorders>
          </w:tcPr>
          <w:p w:rsidR="00BC7508" w:rsidRPr="005E1AD3" w:rsidRDefault="00BC7508" w:rsidP="00BC750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92" w:type="dxa"/>
            <w:tcBorders>
              <w:top w:val="single" w:sz="4" w:space="0" w:color="auto"/>
              <w:bottom w:val="single" w:sz="4" w:space="0" w:color="auto"/>
            </w:tcBorders>
          </w:tcPr>
          <w:p w:rsidR="00BC7508" w:rsidRPr="002451BE" w:rsidRDefault="00BC7508" w:rsidP="00BC7508">
            <w:pPr>
              <w:autoSpaceDE w:val="0"/>
              <w:autoSpaceDN w:val="0"/>
              <w:adjustRightInd w:val="0"/>
              <w:jc w:val="center"/>
              <w:rPr>
                <w:rFonts w:ascii="Times New Roman" w:hAnsi="Times New Roman" w:cs="Times New Roman"/>
                <w:color w:val="000000"/>
                <w:sz w:val="24"/>
                <w:szCs w:val="24"/>
              </w:rPr>
            </w:pPr>
            <w:r w:rsidRPr="002451BE">
              <w:rPr>
                <w:rFonts w:ascii="Times New Roman" w:hAnsi="Times New Roman" w:cs="Times New Roman"/>
                <w:color w:val="000000"/>
                <w:sz w:val="24"/>
                <w:szCs w:val="24"/>
              </w:rPr>
              <w:t>25.43</w:t>
            </w:r>
          </w:p>
        </w:tc>
        <w:tc>
          <w:tcPr>
            <w:tcW w:w="992" w:type="dxa"/>
            <w:tcBorders>
              <w:top w:val="single" w:sz="4" w:space="0" w:color="auto"/>
              <w:bottom w:val="single" w:sz="4" w:space="0" w:color="auto"/>
            </w:tcBorders>
          </w:tcPr>
          <w:p w:rsidR="00BC7508" w:rsidRPr="002451BE" w:rsidRDefault="00BC7508" w:rsidP="00BC7508">
            <w:pPr>
              <w:autoSpaceDE w:val="0"/>
              <w:autoSpaceDN w:val="0"/>
              <w:adjustRightInd w:val="0"/>
              <w:jc w:val="center"/>
              <w:rPr>
                <w:rFonts w:ascii="Times New Roman" w:hAnsi="Times New Roman" w:cs="Times New Roman"/>
                <w:color w:val="000000"/>
                <w:sz w:val="24"/>
                <w:szCs w:val="24"/>
              </w:rPr>
            </w:pPr>
            <w:r w:rsidRPr="002451BE">
              <w:rPr>
                <w:rFonts w:ascii="Times New Roman" w:hAnsi="Times New Roman" w:cs="Times New Roman"/>
                <w:color w:val="000000"/>
                <w:sz w:val="24"/>
                <w:szCs w:val="24"/>
              </w:rPr>
              <w:t>4.04</w:t>
            </w:r>
          </w:p>
        </w:tc>
        <w:tc>
          <w:tcPr>
            <w:tcW w:w="992" w:type="dxa"/>
            <w:gridSpan w:val="2"/>
            <w:tcBorders>
              <w:top w:val="single" w:sz="4" w:space="0" w:color="auto"/>
              <w:bottom w:val="single" w:sz="4" w:space="0" w:color="auto"/>
            </w:tcBorders>
          </w:tcPr>
          <w:p w:rsidR="00BC7508" w:rsidRPr="002451BE" w:rsidRDefault="00BC7508" w:rsidP="00BC7508">
            <w:pPr>
              <w:autoSpaceDE w:val="0"/>
              <w:autoSpaceDN w:val="0"/>
              <w:adjustRightInd w:val="0"/>
              <w:jc w:val="center"/>
              <w:rPr>
                <w:rFonts w:ascii="Times New Roman" w:hAnsi="Times New Roman" w:cs="Times New Roman"/>
                <w:color w:val="000000"/>
                <w:sz w:val="24"/>
                <w:szCs w:val="24"/>
              </w:rPr>
            </w:pPr>
            <w:r w:rsidRPr="002451BE">
              <w:rPr>
                <w:rFonts w:ascii="Times New Roman" w:hAnsi="Times New Roman" w:cs="Times New Roman"/>
                <w:color w:val="000000"/>
                <w:sz w:val="24"/>
                <w:szCs w:val="24"/>
              </w:rPr>
              <w:t>25.83</w:t>
            </w:r>
          </w:p>
        </w:tc>
        <w:tc>
          <w:tcPr>
            <w:tcW w:w="993" w:type="dxa"/>
            <w:tcBorders>
              <w:top w:val="single" w:sz="4" w:space="0" w:color="auto"/>
              <w:bottom w:val="single" w:sz="4" w:space="0" w:color="auto"/>
            </w:tcBorders>
          </w:tcPr>
          <w:p w:rsidR="00BC7508" w:rsidRPr="002451BE" w:rsidRDefault="00BC7508" w:rsidP="00BC7508">
            <w:pPr>
              <w:autoSpaceDE w:val="0"/>
              <w:autoSpaceDN w:val="0"/>
              <w:adjustRightInd w:val="0"/>
              <w:jc w:val="center"/>
              <w:rPr>
                <w:rFonts w:ascii="Times New Roman" w:hAnsi="Times New Roman" w:cs="Times New Roman"/>
                <w:color w:val="000000"/>
                <w:sz w:val="24"/>
                <w:szCs w:val="24"/>
              </w:rPr>
            </w:pPr>
            <w:r w:rsidRPr="002451BE">
              <w:rPr>
                <w:rFonts w:ascii="Times New Roman" w:hAnsi="Times New Roman" w:cs="Times New Roman"/>
                <w:color w:val="000000"/>
                <w:sz w:val="24"/>
                <w:szCs w:val="24"/>
              </w:rPr>
              <w:t>5.70</w:t>
            </w:r>
          </w:p>
        </w:tc>
        <w:tc>
          <w:tcPr>
            <w:tcW w:w="1417" w:type="dxa"/>
            <w:tcBorders>
              <w:top w:val="single" w:sz="4" w:space="0" w:color="auto"/>
              <w:bottom w:val="single" w:sz="4" w:space="0" w:color="auto"/>
            </w:tcBorders>
          </w:tcPr>
          <w:p w:rsidR="00BC7508" w:rsidRPr="005E1AD3" w:rsidRDefault="00BC7508" w:rsidP="00BC7508">
            <w:pPr>
              <w:autoSpaceDE w:val="0"/>
              <w:autoSpaceDN w:val="0"/>
              <w:adjustRightInd w:val="0"/>
              <w:jc w:val="center"/>
              <w:rPr>
                <w:rFonts w:ascii="Times New Roman" w:hAnsi="Times New Roman" w:cs="Times New Roman"/>
                <w:color w:val="000000"/>
                <w:sz w:val="24"/>
                <w:szCs w:val="24"/>
              </w:rPr>
            </w:pPr>
            <w:r w:rsidRPr="00BC7508">
              <w:rPr>
                <w:rFonts w:ascii="Times New Roman" w:hAnsi="Times New Roman" w:cs="Times New Roman"/>
                <w:color w:val="000000"/>
                <w:sz w:val="24"/>
                <w:szCs w:val="24"/>
              </w:rPr>
              <w:t>0.06</w:t>
            </w:r>
          </w:p>
        </w:tc>
      </w:tr>
    </w:tbl>
    <w:p w:rsidR="00517B8C" w:rsidRDefault="00927B7D" w:rsidP="00426E27">
      <w:pPr>
        <w:spacing w:after="0" w:line="360" w:lineRule="auto"/>
        <w:jc w:val="both"/>
        <w:rPr>
          <w:rFonts w:ascii="Times New Roman" w:hAnsi="Times New Roman" w:cs="Times New Roman"/>
          <w:b/>
        </w:rPr>
      </w:pPr>
      <w:r w:rsidRPr="00927B7D">
        <w:rPr>
          <w:rFonts w:ascii="Times New Roman" w:hAnsi="Times New Roman" w:cs="Times New Roman"/>
          <w:b/>
        </w:rPr>
        <w:t>Leyenda: Prueba estadística test de media.</w:t>
      </w:r>
    </w:p>
    <w:p w:rsidR="00BA6CED" w:rsidRPr="00BA6CED" w:rsidRDefault="00BA6CED" w:rsidP="00BA6CED">
      <w:pPr>
        <w:spacing w:after="0" w:line="360" w:lineRule="auto"/>
        <w:jc w:val="both"/>
        <w:rPr>
          <w:rFonts w:ascii="Times New Roman" w:hAnsi="Times New Roman" w:cs="Times New Roman"/>
          <w:sz w:val="24"/>
          <w:szCs w:val="24"/>
        </w:rPr>
      </w:pPr>
      <w:r w:rsidRPr="00BA6CED">
        <w:rPr>
          <w:rFonts w:ascii="Times New Roman" w:hAnsi="Times New Roman" w:cs="Times New Roman"/>
          <w:sz w:val="24"/>
          <w:szCs w:val="24"/>
        </w:rPr>
        <w:t>Resultados que pudieran atribuirse a que en la población de cerdos investigados no hubo ninguna alteración hepática que generara incremento en los niveles de esta enzima. Por otra parte, en las exploraciones clínicas realizadas, no se observaron síntomas asociados a lesiones hepáticas.</w:t>
      </w:r>
    </w:p>
    <w:p w:rsidR="00BA6CED" w:rsidRDefault="00BA6CED" w:rsidP="00BA6CED">
      <w:pPr>
        <w:spacing w:after="0" w:line="360" w:lineRule="auto"/>
        <w:jc w:val="both"/>
        <w:rPr>
          <w:rFonts w:ascii="Times New Roman" w:hAnsi="Times New Roman" w:cs="Times New Roman"/>
          <w:sz w:val="24"/>
          <w:szCs w:val="24"/>
        </w:rPr>
      </w:pPr>
      <w:r w:rsidRPr="00BA6CED">
        <w:rPr>
          <w:rFonts w:ascii="Times New Roman" w:hAnsi="Times New Roman" w:cs="Times New Roman"/>
          <w:sz w:val="24"/>
          <w:szCs w:val="24"/>
        </w:rPr>
        <w:t xml:space="preserve">Con relación al parámetro </w:t>
      </w:r>
      <w:proofErr w:type="spellStart"/>
      <w:r w:rsidRPr="00BA6CED">
        <w:rPr>
          <w:rFonts w:ascii="Times New Roman" w:hAnsi="Times New Roman" w:cs="Times New Roman"/>
          <w:sz w:val="24"/>
          <w:szCs w:val="24"/>
        </w:rPr>
        <w:t>hemoquímico</w:t>
      </w:r>
      <w:proofErr w:type="spellEnd"/>
      <w:r w:rsidRPr="00BA6CED">
        <w:rPr>
          <w:rFonts w:ascii="Times New Roman" w:hAnsi="Times New Roman" w:cs="Times New Roman"/>
          <w:sz w:val="24"/>
          <w:szCs w:val="24"/>
        </w:rPr>
        <w:t xml:space="preserve"> (ALAT) Zapata y Fajardo, (2004), </w:t>
      </w:r>
      <w:proofErr w:type="spellStart"/>
      <w:r w:rsidRPr="00BA6CED">
        <w:rPr>
          <w:rFonts w:ascii="Times New Roman" w:hAnsi="Times New Roman" w:cs="Times New Roman"/>
          <w:sz w:val="24"/>
          <w:szCs w:val="24"/>
        </w:rPr>
        <w:t>Mariella</w:t>
      </w:r>
      <w:proofErr w:type="spellEnd"/>
      <w:r w:rsidRPr="00BA6CED">
        <w:rPr>
          <w:rFonts w:ascii="Times New Roman" w:hAnsi="Times New Roman" w:cs="Times New Roman"/>
          <w:sz w:val="24"/>
          <w:szCs w:val="24"/>
        </w:rPr>
        <w:t xml:space="preserve"> et al.; (2004), </w:t>
      </w:r>
      <w:proofErr w:type="spellStart"/>
      <w:r w:rsidRPr="00BA6CED">
        <w:rPr>
          <w:rFonts w:ascii="Times New Roman" w:hAnsi="Times New Roman" w:cs="Times New Roman"/>
          <w:sz w:val="24"/>
          <w:szCs w:val="24"/>
        </w:rPr>
        <w:t>Kaneko</w:t>
      </w:r>
      <w:proofErr w:type="spellEnd"/>
      <w:r w:rsidRPr="00BA6CED">
        <w:rPr>
          <w:rFonts w:ascii="Times New Roman" w:hAnsi="Times New Roman" w:cs="Times New Roman"/>
          <w:sz w:val="24"/>
          <w:szCs w:val="24"/>
        </w:rPr>
        <w:t xml:space="preserve"> et al.; (2008) y Reinoso 2013 al determinar niveles de ALAT en el suero sanguíneo de cerdos, reportaron valores dentro del rango encontrado en este estudio.</w:t>
      </w:r>
    </w:p>
    <w:p w:rsidR="00BA6CED" w:rsidRPr="00BA6CED" w:rsidRDefault="00BA6CED" w:rsidP="00BA6CED">
      <w:pPr>
        <w:pStyle w:val="Prrafodelista"/>
        <w:numPr>
          <w:ilvl w:val="0"/>
          <w:numId w:val="7"/>
        </w:numPr>
        <w:spacing w:after="0" w:line="360" w:lineRule="auto"/>
        <w:jc w:val="both"/>
        <w:rPr>
          <w:rFonts w:ascii="Times New Roman" w:hAnsi="Times New Roman" w:cs="Times New Roman"/>
          <w:b/>
          <w:sz w:val="24"/>
          <w:szCs w:val="24"/>
        </w:rPr>
      </w:pPr>
      <w:r w:rsidRPr="00BA6CED">
        <w:rPr>
          <w:rFonts w:ascii="Times New Roman" w:hAnsi="Times New Roman" w:cs="Times New Roman"/>
          <w:b/>
          <w:sz w:val="24"/>
          <w:szCs w:val="24"/>
        </w:rPr>
        <w:t>Conclusiones</w:t>
      </w:r>
    </w:p>
    <w:p w:rsidR="00BA6CED" w:rsidRDefault="00BA6CED" w:rsidP="00BA6CED">
      <w:pPr>
        <w:spacing w:after="0" w:line="360" w:lineRule="auto"/>
        <w:jc w:val="both"/>
        <w:rPr>
          <w:rFonts w:ascii="Times New Roman" w:hAnsi="Times New Roman" w:cs="Times New Roman"/>
          <w:sz w:val="24"/>
          <w:szCs w:val="24"/>
        </w:rPr>
      </w:pPr>
      <w:r w:rsidRPr="00BA6CED">
        <w:rPr>
          <w:rFonts w:ascii="Times New Roman" w:hAnsi="Times New Roman" w:cs="Times New Roman"/>
          <w:sz w:val="24"/>
          <w:szCs w:val="24"/>
        </w:rPr>
        <w:t xml:space="preserve">El Mycofix como aditivo en niveles de 0,1% en el pienso disminuye la ocurrencia de diarreas en cerdos en crecimiento y no tuvo efecto sobre los parámetros hematológicos y el </w:t>
      </w:r>
      <w:proofErr w:type="spellStart"/>
      <w:r w:rsidRPr="00BA6CED">
        <w:rPr>
          <w:rFonts w:ascii="Times New Roman" w:hAnsi="Times New Roman" w:cs="Times New Roman"/>
          <w:sz w:val="24"/>
          <w:szCs w:val="24"/>
        </w:rPr>
        <w:t>hemoquímico</w:t>
      </w:r>
      <w:proofErr w:type="spellEnd"/>
      <w:r w:rsidRPr="00BA6CED">
        <w:rPr>
          <w:rFonts w:ascii="Times New Roman" w:hAnsi="Times New Roman" w:cs="Times New Roman"/>
          <w:sz w:val="24"/>
          <w:szCs w:val="24"/>
        </w:rPr>
        <w:t xml:space="preserve"> evaluado (enzima ALAT).</w:t>
      </w:r>
    </w:p>
    <w:p w:rsidR="00BA6CED" w:rsidRPr="00BA6CED" w:rsidRDefault="00BA6CED" w:rsidP="00BA6CED">
      <w:pPr>
        <w:spacing w:after="0" w:line="360" w:lineRule="auto"/>
        <w:jc w:val="both"/>
        <w:rPr>
          <w:rFonts w:ascii="Times New Roman" w:hAnsi="Times New Roman" w:cs="Times New Roman"/>
          <w:sz w:val="24"/>
          <w:szCs w:val="24"/>
        </w:rPr>
      </w:pPr>
    </w:p>
    <w:p w:rsidR="00F473A2" w:rsidRPr="003F10FD" w:rsidRDefault="00FF3346" w:rsidP="00F473A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473A2" w:rsidRPr="002B5BB1" w:rsidRDefault="00F473A2" w:rsidP="00F473A2">
      <w:pPr>
        <w:autoSpaceDE w:val="0"/>
        <w:autoSpaceDN w:val="0"/>
        <w:adjustRightInd w:val="0"/>
        <w:spacing w:after="0" w:line="240" w:lineRule="auto"/>
        <w:jc w:val="both"/>
        <w:rPr>
          <w:rFonts w:ascii="Times New Roman" w:hAnsi="Times New Roman" w:cs="Times New Roman"/>
          <w:color w:val="FF0000"/>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ANÓNIMO</w:t>
      </w:r>
      <w:r w:rsidRPr="00416C55">
        <w:rPr>
          <w:rFonts w:ascii="Times New Roman" w:hAnsi="Times New Roman" w:cs="Times New Roman"/>
          <w:color w:val="000000"/>
        </w:rPr>
        <w:t xml:space="preserve">. </w:t>
      </w:r>
      <w:r w:rsidRPr="00416C55">
        <w:rPr>
          <w:rFonts w:ascii="Times New Roman" w:hAnsi="Times New Roman" w:cs="Times New Roman"/>
          <w:i/>
          <w:color w:val="000000"/>
        </w:rPr>
        <w:t>Nuevas perspectivas en el control de micotoxinas.</w:t>
      </w:r>
      <w:r w:rsidRPr="00416C55">
        <w:rPr>
          <w:rFonts w:ascii="Times New Roman" w:hAnsi="Times New Roman" w:cs="Times New Roman"/>
          <w:color w:val="000000"/>
        </w:rPr>
        <w:t xml:space="preserve"> </w:t>
      </w:r>
      <w:r w:rsidRPr="00D16A8A">
        <w:rPr>
          <w:rFonts w:ascii="Times New Roman" w:hAnsi="Times New Roman" w:cs="Times New Roman"/>
          <w:color w:val="000000"/>
        </w:rPr>
        <w:t>2015</w:t>
      </w:r>
      <w:r>
        <w:rPr>
          <w:rFonts w:ascii="Times New Roman" w:hAnsi="Times New Roman" w:cs="Times New Roman"/>
          <w:color w:val="000000"/>
        </w:rPr>
        <w:t>.</w:t>
      </w:r>
    </w:p>
    <w:p w:rsidR="00F473A2" w:rsidRPr="00416C55"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sidRPr="0041462D">
        <w:rPr>
          <w:rFonts w:ascii="Times New Roman" w:hAnsi="Times New Roman" w:cs="Times New Roman"/>
          <w:color w:val="000000"/>
        </w:rPr>
        <w:t xml:space="preserve">BELLEZZE, J.; ROLDÁN, V.P.; LUNA, M.L.; AGOSTO, M.; CAMPÁ, M.; MANNI D.; STORANI, G.; </w:t>
      </w:r>
      <w:r>
        <w:rPr>
          <w:rFonts w:ascii="Times New Roman" w:hAnsi="Times New Roman" w:cs="Times New Roman"/>
          <w:color w:val="000000"/>
        </w:rPr>
        <w:t>SILVETTI, J.; GON, M.; MANNI, C</w:t>
      </w:r>
      <w:r w:rsidRPr="0041462D">
        <w:rPr>
          <w:rFonts w:ascii="Times New Roman" w:hAnsi="Times New Roman" w:cs="Times New Roman"/>
          <w:color w:val="000000"/>
        </w:rPr>
        <w:t xml:space="preserve">. </w:t>
      </w:r>
      <w:r w:rsidRPr="0041462D">
        <w:rPr>
          <w:rFonts w:ascii="Times New Roman" w:hAnsi="Times New Roman" w:cs="Times New Roman"/>
          <w:i/>
          <w:color w:val="000000"/>
        </w:rPr>
        <w:t>Perfil hematológico de cerdas gestantes en producción intensiva del litoral argentino.</w:t>
      </w:r>
      <w:r w:rsidRPr="0041462D">
        <w:rPr>
          <w:rFonts w:ascii="Times New Roman" w:hAnsi="Times New Roman" w:cs="Times New Roman"/>
          <w:color w:val="000000"/>
        </w:rPr>
        <w:t xml:space="preserve"> V jornada de difusión de la investigación y la extensión. Esperanza, Santa Fe. Argentina. </w:t>
      </w:r>
      <w:r w:rsidRPr="00D16A8A">
        <w:rPr>
          <w:rFonts w:ascii="Times New Roman" w:hAnsi="Times New Roman" w:cs="Times New Roman"/>
          <w:color w:val="000000"/>
        </w:rPr>
        <w:t>2017</w:t>
      </w:r>
      <w:r>
        <w:rPr>
          <w:rFonts w:ascii="Times New Roman" w:hAnsi="Times New Roman" w:cs="Times New Roman"/>
          <w:color w:val="000000"/>
        </w:rPr>
        <w:t>.</w:t>
      </w:r>
    </w:p>
    <w:p w:rsidR="00F473A2" w:rsidRPr="0041462D"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sidRPr="00D16A8A">
        <w:rPr>
          <w:rFonts w:ascii="Times New Roman" w:hAnsi="Times New Roman" w:cs="Times New Roman"/>
          <w:color w:val="000000"/>
        </w:rPr>
        <w:t>CANO, G.; CASAUS C.; MARTÍNEZ C.:</w:t>
      </w:r>
      <w:r w:rsidRPr="003F10FD">
        <w:rPr>
          <w:rFonts w:ascii="Times New Roman" w:hAnsi="Times New Roman" w:cs="Times New Roman"/>
          <w:color w:val="000000"/>
        </w:rPr>
        <w:t xml:space="preserve"> </w:t>
      </w:r>
      <w:r w:rsidRPr="003F10FD">
        <w:rPr>
          <w:rFonts w:ascii="Times New Roman" w:hAnsi="Times New Roman" w:cs="Times New Roman"/>
          <w:i/>
          <w:color w:val="000000"/>
        </w:rPr>
        <w:t>Manejo e instalaciones en el periodo de transición</w:t>
      </w:r>
      <w:r w:rsidRPr="003F10FD">
        <w:rPr>
          <w:rFonts w:ascii="Times New Roman" w:hAnsi="Times New Roman" w:cs="Times New Roman"/>
          <w:color w:val="000000"/>
        </w:rPr>
        <w:t xml:space="preserve">. Enero. No. 2 INFO INGASO, p 8. </w:t>
      </w:r>
      <w:r w:rsidRPr="00D16A8A">
        <w:rPr>
          <w:rFonts w:ascii="Times New Roman" w:hAnsi="Times New Roman" w:cs="Times New Roman"/>
          <w:color w:val="000000"/>
        </w:rPr>
        <w:t>2010.</w:t>
      </w:r>
    </w:p>
    <w:p w:rsidR="00F473A2" w:rsidRPr="00D16A8A"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sidRPr="00D16A8A">
        <w:rPr>
          <w:rFonts w:ascii="Times New Roman" w:hAnsi="Times New Roman" w:cs="Times New Roman"/>
          <w:color w:val="000000"/>
        </w:rPr>
        <w:t xml:space="preserve">CARRANZA A. I., CORRALES J. P., AMBROGI, A.: </w:t>
      </w:r>
      <w:r w:rsidRPr="007A223C">
        <w:rPr>
          <w:rFonts w:ascii="Times New Roman" w:hAnsi="Times New Roman" w:cs="Times New Roman"/>
          <w:i/>
          <w:color w:val="000000"/>
        </w:rPr>
        <w:t>Enfermedades que producen diarrea en cerdos en las eta</w:t>
      </w:r>
      <w:r w:rsidRPr="00D16A8A">
        <w:rPr>
          <w:rFonts w:ascii="Times New Roman" w:hAnsi="Times New Roman" w:cs="Times New Roman"/>
          <w:i/>
          <w:color w:val="000000"/>
        </w:rPr>
        <w:t>pas de desarrollo y terminación</w:t>
      </w:r>
      <w:r w:rsidRPr="007A223C">
        <w:rPr>
          <w:rFonts w:ascii="Times New Roman" w:hAnsi="Times New Roman" w:cs="Times New Roman"/>
          <w:i/>
          <w:color w:val="000000"/>
        </w:rPr>
        <w:t>.</w:t>
      </w:r>
      <w:r w:rsidRPr="007A223C">
        <w:rPr>
          <w:rFonts w:ascii="Times New Roman" w:hAnsi="Times New Roman" w:cs="Times New Roman"/>
          <w:color w:val="000000"/>
        </w:rPr>
        <w:t xml:space="preserve"> Vº Congreso de Producción Porcina del </w:t>
      </w:r>
      <w:r w:rsidRPr="007A223C">
        <w:rPr>
          <w:rFonts w:ascii="Times New Roman" w:hAnsi="Times New Roman" w:cs="Times New Roman"/>
          <w:color w:val="000000"/>
        </w:rPr>
        <w:lastRenderedPageBreak/>
        <w:t xml:space="preserve">Mercosur. Dpto. de Patología Animal. </w:t>
      </w:r>
      <w:proofErr w:type="spellStart"/>
      <w:r w:rsidRPr="007A223C">
        <w:rPr>
          <w:rFonts w:ascii="Times New Roman" w:hAnsi="Times New Roman" w:cs="Times New Roman"/>
          <w:color w:val="000000"/>
        </w:rPr>
        <w:t>Fac</w:t>
      </w:r>
      <w:proofErr w:type="spellEnd"/>
      <w:r w:rsidRPr="007A223C">
        <w:rPr>
          <w:rFonts w:ascii="Times New Roman" w:hAnsi="Times New Roman" w:cs="Times New Roman"/>
          <w:color w:val="000000"/>
        </w:rPr>
        <w:t xml:space="preserve"> de Agronomía y Veterinaria. UNRC. Río Cuarto. </w:t>
      </w:r>
      <w:r w:rsidRPr="00D16A8A">
        <w:rPr>
          <w:rFonts w:ascii="Times New Roman" w:hAnsi="Times New Roman" w:cs="Times New Roman"/>
          <w:color w:val="000000"/>
        </w:rPr>
        <w:t xml:space="preserve">2006. </w:t>
      </w:r>
      <w:r w:rsidRPr="007A223C">
        <w:rPr>
          <w:rFonts w:ascii="Times New Roman" w:hAnsi="Times New Roman" w:cs="Times New Roman"/>
          <w:color w:val="000000"/>
        </w:rPr>
        <w:t xml:space="preserve">Disponible en: www.produccion-animal.com.ar. Consultado el 5 de junio de 2018. </w:t>
      </w:r>
    </w:p>
    <w:p w:rsidR="00F473A2" w:rsidRPr="00D16A8A"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COFFIN, D. L</w:t>
      </w:r>
      <w:r w:rsidRPr="00B27528">
        <w:rPr>
          <w:rFonts w:ascii="Times New Roman" w:hAnsi="Times New Roman" w:cs="Times New Roman"/>
          <w:color w:val="000000"/>
        </w:rPr>
        <w:t xml:space="preserve">. Laboratorio clínico en Medicina Veterinaria. Prensa Médica Mexicana. Pp. 125. </w:t>
      </w:r>
      <w:r w:rsidRPr="00D16A8A">
        <w:rPr>
          <w:rFonts w:ascii="Times New Roman" w:hAnsi="Times New Roman" w:cs="Times New Roman"/>
          <w:color w:val="000000"/>
        </w:rPr>
        <w:t>1996</w:t>
      </w:r>
      <w:r>
        <w:rPr>
          <w:rFonts w:ascii="Times New Roman" w:hAnsi="Times New Roman" w:cs="Times New Roman"/>
          <w:color w:val="000000"/>
        </w:rPr>
        <w:t>.</w:t>
      </w:r>
    </w:p>
    <w:p w:rsidR="00F473A2" w:rsidRPr="00B27528"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Default="00F473A2" w:rsidP="00F473A2">
      <w:pPr>
        <w:autoSpaceDE w:val="0"/>
        <w:autoSpaceDN w:val="0"/>
        <w:adjustRightInd w:val="0"/>
        <w:spacing w:after="0" w:line="240" w:lineRule="auto"/>
        <w:jc w:val="both"/>
        <w:rPr>
          <w:rFonts w:ascii="Times New Roman" w:hAnsi="Times New Roman" w:cs="Times New Roman"/>
          <w:lang w:val="en-US"/>
        </w:rPr>
      </w:pPr>
      <w:r w:rsidRPr="0041462D">
        <w:rPr>
          <w:rFonts w:ascii="Times New Roman" w:hAnsi="Times New Roman" w:cs="Times New Roman"/>
          <w:color w:val="000000"/>
          <w:lang w:val="en-US"/>
        </w:rPr>
        <w:t>COLINA, J., RICO, D., ARAQUE, H., RUEDA, E., LEÓN, M., TOVAR, C., Y ROSSINI, M.</w:t>
      </w:r>
      <w:r>
        <w:rPr>
          <w:rFonts w:ascii="Times New Roman" w:hAnsi="Times New Roman" w:cs="Times New Roman"/>
          <w:color w:val="000000"/>
          <w:lang w:val="en-US"/>
        </w:rPr>
        <w:t xml:space="preserve"> </w:t>
      </w:r>
      <w:r w:rsidRPr="0041462D">
        <w:rPr>
          <w:rFonts w:ascii="Times New Roman" w:hAnsi="Times New Roman" w:cs="Times New Roman"/>
          <w:i/>
          <w:color w:val="000000"/>
          <w:lang w:val="en-US"/>
        </w:rPr>
        <w:t xml:space="preserve">Hematology, Blood Metabolites and Organ Weights of </w:t>
      </w:r>
      <w:r w:rsidRPr="0041462D">
        <w:rPr>
          <w:rFonts w:ascii="Times New Roman" w:hAnsi="Times New Roman" w:cs="Times New Roman"/>
          <w:i/>
          <w:lang w:val="en-US"/>
        </w:rPr>
        <w:t>Growing Pigs Fed Peach-Palm Meal</w:t>
      </w:r>
      <w:r w:rsidRPr="0041462D">
        <w:rPr>
          <w:rFonts w:ascii="Times New Roman" w:hAnsi="Times New Roman" w:cs="Times New Roman"/>
          <w:lang w:val="en-US"/>
        </w:rPr>
        <w:t xml:space="preserve"> (</w:t>
      </w:r>
      <w:proofErr w:type="spellStart"/>
      <w:r w:rsidRPr="0041462D">
        <w:rPr>
          <w:rFonts w:ascii="Times New Roman" w:hAnsi="Times New Roman" w:cs="Times New Roman"/>
          <w:lang w:val="en-US"/>
        </w:rPr>
        <w:t>Bactris</w:t>
      </w:r>
      <w:proofErr w:type="spellEnd"/>
      <w:r w:rsidRPr="0041462D">
        <w:rPr>
          <w:rFonts w:ascii="Times New Roman" w:hAnsi="Times New Roman" w:cs="Times New Roman"/>
          <w:lang w:val="en-US"/>
        </w:rPr>
        <w:t xml:space="preserve"> </w:t>
      </w:r>
      <w:proofErr w:type="spellStart"/>
      <w:r w:rsidRPr="0041462D">
        <w:rPr>
          <w:rFonts w:ascii="Times New Roman" w:hAnsi="Times New Roman" w:cs="Times New Roman"/>
          <w:lang w:val="en-US"/>
        </w:rPr>
        <w:t>gasipaes</w:t>
      </w:r>
      <w:proofErr w:type="spellEnd"/>
      <w:r w:rsidRPr="0041462D">
        <w:rPr>
          <w:rFonts w:ascii="Times New Roman" w:hAnsi="Times New Roman" w:cs="Times New Roman"/>
          <w:lang w:val="en-US"/>
        </w:rPr>
        <w:t xml:space="preserve"> H.B.K.) and Lysine </w:t>
      </w:r>
      <w:r>
        <w:rPr>
          <w:rFonts w:ascii="Times New Roman" w:hAnsi="Times New Roman" w:cs="Times New Roman"/>
          <w:lang w:val="en-US"/>
        </w:rPr>
        <w:t xml:space="preserve">Rev. Fac. Cs. Vets. </w:t>
      </w:r>
      <w:proofErr w:type="gramStart"/>
      <w:r>
        <w:rPr>
          <w:rFonts w:ascii="Times New Roman" w:hAnsi="Times New Roman" w:cs="Times New Roman"/>
          <w:lang w:val="en-US"/>
        </w:rPr>
        <w:t>UCV.</w:t>
      </w:r>
      <w:r w:rsidRPr="0041462D">
        <w:rPr>
          <w:rFonts w:ascii="Times New Roman" w:hAnsi="Times New Roman" w:cs="Times New Roman"/>
          <w:lang w:val="en-US"/>
        </w:rPr>
        <w:t>51(</w:t>
      </w:r>
      <w:proofErr w:type="gramEnd"/>
      <w:r w:rsidRPr="0041462D">
        <w:rPr>
          <w:rFonts w:ascii="Times New Roman" w:hAnsi="Times New Roman" w:cs="Times New Roman"/>
          <w:lang w:val="en-US"/>
        </w:rPr>
        <w:t xml:space="preserve">1):51-62. 2010. </w:t>
      </w:r>
    </w:p>
    <w:p w:rsidR="00F473A2" w:rsidRPr="002B5BB1" w:rsidRDefault="00F473A2" w:rsidP="00F473A2">
      <w:pPr>
        <w:autoSpaceDE w:val="0"/>
        <w:autoSpaceDN w:val="0"/>
        <w:adjustRightInd w:val="0"/>
        <w:spacing w:after="0" w:line="240" w:lineRule="auto"/>
        <w:jc w:val="both"/>
        <w:rPr>
          <w:rFonts w:ascii="Times New Roman" w:hAnsi="Times New Roman" w:cs="Times New Roman"/>
          <w:color w:val="000000"/>
          <w:lang w:val="en-US"/>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sidRPr="00202A9D">
        <w:rPr>
          <w:rFonts w:ascii="Times New Roman" w:hAnsi="Times New Roman" w:cs="Times New Roman"/>
          <w:color w:val="000000"/>
          <w:lang w:val="en-US"/>
        </w:rPr>
        <w:t>COOPER, C.A, MOR</w:t>
      </w:r>
      <w:r>
        <w:rPr>
          <w:rFonts w:ascii="Times New Roman" w:hAnsi="Times New Roman" w:cs="Times New Roman"/>
          <w:color w:val="000000"/>
          <w:lang w:val="en-US"/>
        </w:rPr>
        <w:t>AES, L.E, MURRAY, J.D, OWENS, S</w:t>
      </w:r>
      <w:r w:rsidRPr="00202A9D">
        <w:rPr>
          <w:rFonts w:ascii="Times New Roman" w:hAnsi="Times New Roman" w:cs="Times New Roman"/>
          <w:color w:val="000000"/>
          <w:lang w:val="en-US"/>
        </w:rPr>
        <w:t xml:space="preserve">. </w:t>
      </w:r>
      <w:r w:rsidRPr="00202A9D">
        <w:rPr>
          <w:rFonts w:ascii="Times New Roman" w:hAnsi="Times New Roman" w:cs="Times New Roman"/>
          <w:i/>
          <w:color w:val="000000"/>
          <w:lang w:val="en-US"/>
        </w:rPr>
        <w:t>Hematologic and biochemical reference intervals for specific pathogen free 6-week-old Hampshire-Yorkshire crossbred pigs</w:t>
      </w:r>
      <w:r w:rsidRPr="00202A9D">
        <w:rPr>
          <w:rFonts w:ascii="Times New Roman" w:hAnsi="Times New Roman" w:cs="Times New Roman"/>
          <w:color w:val="000000"/>
          <w:lang w:val="en-US"/>
        </w:rPr>
        <w:t xml:space="preserve">. Journal of Animal Science and Biotechnology 5:1-5. </w:t>
      </w:r>
      <w:r w:rsidRPr="00D16A8A">
        <w:rPr>
          <w:rFonts w:ascii="Times New Roman" w:hAnsi="Times New Roman" w:cs="Times New Roman"/>
          <w:color w:val="000000"/>
        </w:rPr>
        <w:t>2014.</w:t>
      </w:r>
    </w:p>
    <w:p w:rsidR="00F473A2" w:rsidRPr="00202A9D"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CUESTA-MAZORRA MARIO., </w:t>
      </w:r>
      <w:r w:rsidRPr="006F3C49">
        <w:rPr>
          <w:rFonts w:ascii="Times New Roman" w:hAnsi="Times New Roman" w:cs="Times New Roman"/>
          <w:color w:val="000000"/>
        </w:rPr>
        <w:t xml:space="preserve">CUESTA-SORIA AXIS. </w:t>
      </w:r>
      <w:r w:rsidRPr="006F3C49">
        <w:rPr>
          <w:rFonts w:ascii="Times New Roman" w:hAnsi="Times New Roman" w:cs="Times New Roman"/>
          <w:i/>
          <w:color w:val="000000"/>
        </w:rPr>
        <w:t>Diagnóstico e indicaciones clínicas de las principales enfermedades internas de los animales domésticos.</w:t>
      </w:r>
      <w:r w:rsidRPr="006F3C49">
        <w:rPr>
          <w:rFonts w:ascii="Times New Roman" w:hAnsi="Times New Roman" w:cs="Times New Roman"/>
          <w:color w:val="000000"/>
        </w:rPr>
        <w:t xml:space="preserve"> </w:t>
      </w:r>
      <w:r w:rsidRPr="00D16A8A">
        <w:rPr>
          <w:rFonts w:ascii="Times New Roman" w:hAnsi="Times New Roman" w:cs="Times New Roman"/>
          <w:color w:val="000000"/>
        </w:rPr>
        <w:t xml:space="preserve">Medicina Interna Veterinaria II. </w:t>
      </w:r>
      <w:r w:rsidRPr="006F3C49">
        <w:rPr>
          <w:rFonts w:ascii="Times New Roman" w:hAnsi="Times New Roman" w:cs="Times New Roman"/>
          <w:color w:val="000000"/>
        </w:rPr>
        <w:t xml:space="preserve">Tomo 2. Editorial Académica Española. </w:t>
      </w:r>
      <w:proofErr w:type="spellStart"/>
      <w:proofErr w:type="gramStart"/>
      <w:r w:rsidRPr="006F3C49">
        <w:rPr>
          <w:rFonts w:ascii="Times New Roman" w:hAnsi="Times New Roman" w:cs="Times New Roman"/>
          <w:color w:val="000000"/>
        </w:rPr>
        <w:t>pp</w:t>
      </w:r>
      <w:proofErr w:type="spellEnd"/>
      <w:proofErr w:type="gramEnd"/>
      <w:r w:rsidRPr="006F3C49">
        <w:rPr>
          <w:rFonts w:ascii="Times New Roman" w:hAnsi="Times New Roman" w:cs="Times New Roman"/>
          <w:color w:val="000000"/>
        </w:rPr>
        <w:t xml:space="preserve">, 5-8. </w:t>
      </w:r>
      <w:r w:rsidRPr="00D16A8A">
        <w:rPr>
          <w:rFonts w:ascii="Times New Roman" w:hAnsi="Times New Roman" w:cs="Times New Roman"/>
          <w:color w:val="000000"/>
        </w:rPr>
        <w:t>2015</w:t>
      </w:r>
      <w:r>
        <w:rPr>
          <w:rFonts w:ascii="Times New Roman" w:hAnsi="Times New Roman" w:cs="Times New Roman"/>
          <w:color w:val="000000"/>
        </w:rPr>
        <w:t>.</w:t>
      </w:r>
    </w:p>
    <w:p w:rsidR="00F473A2" w:rsidRPr="006F3C49"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sidRPr="00680465">
        <w:rPr>
          <w:rFonts w:ascii="Times New Roman" w:hAnsi="Times New Roman" w:cs="Times New Roman"/>
          <w:color w:val="000000"/>
        </w:rPr>
        <w:t>DAL MASETTO, M.L., VIDALES, G., E</w:t>
      </w:r>
      <w:r>
        <w:rPr>
          <w:rFonts w:ascii="Times New Roman" w:hAnsi="Times New Roman" w:cs="Times New Roman"/>
          <w:color w:val="000000"/>
        </w:rPr>
        <w:t>CHEVARRIA, L. Y BÉRÈTERBIDE, J.</w:t>
      </w:r>
      <w:r w:rsidRPr="00680465">
        <w:rPr>
          <w:rFonts w:ascii="Times New Roman" w:hAnsi="Times New Roman" w:cs="Times New Roman"/>
          <w:color w:val="000000"/>
        </w:rPr>
        <w:t xml:space="preserve"> 2012. </w:t>
      </w:r>
      <w:r w:rsidRPr="00680465">
        <w:rPr>
          <w:rFonts w:ascii="Times New Roman" w:hAnsi="Times New Roman" w:cs="Times New Roman"/>
          <w:i/>
          <w:color w:val="000000"/>
        </w:rPr>
        <w:t>Evaluación de los niveles de hemoglobina en lechones lactantes provenientes de sistemas de producción de cerdos de ciclo completo a campo y en confinamiento</w:t>
      </w:r>
      <w:r w:rsidRPr="00680465">
        <w:rPr>
          <w:rFonts w:ascii="Times New Roman" w:hAnsi="Times New Roman" w:cs="Times New Roman"/>
          <w:color w:val="000000"/>
        </w:rPr>
        <w:t xml:space="preserve">. Veterinaria Argentina, 29(289):1-5. Disponible en: </w:t>
      </w:r>
      <w:hyperlink r:id="rId11" w:history="1">
        <w:r w:rsidRPr="007D7978">
          <w:rPr>
            <w:rStyle w:val="Hipervnculo"/>
            <w:rFonts w:ascii="Times New Roman" w:hAnsi="Times New Roman" w:cs="Times New Roman"/>
          </w:rPr>
          <w:t>www.produccion-animal.com.ar</w:t>
        </w:r>
      </w:hyperlink>
      <w:r w:rsidRPr="00680465">
        <w:rPr>
          <w:rFonts w:ascii="Times New Roman" w:hAnsi="Times New Roman" w:cs="Times New Roman"/>
          <w:color w:val="000000"/>
        </w:rPr>
        <w:t xml:space="preserve"> </w:t>
      </w:r>
    </w:p>
    <w:p w:rsidR="00F473A2" w:rsidRPr="00D16A8A"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lang w:val="en-US"/>
        </w:rPr>
      </w:pPr>
      <w:r w:rsidRPr="00D16A8A">
        <w:rPr>
          <w:rFonts w:ascii="Times New Roman" w:hAnsi="Times New Roman" w:cs="Times New Roman"/>
          <w:color w:val="000000"/>
        </w:rPr>
        <w:t xml:space="preserve">DE LA FÉ RODRÍGUEZ PY. </w:t>
      </w:r>
      <w:proofErr w:type="gramStart"/>
      <w:r w:rsidRPr="00D16A8A">
        <w:rPr>
          <w:rFonts w:ascii="Times New Roman" w:hAnsi="Times New Roman" w:cs="Times New Roman"/>
          <w:i/>
          <w:color w:val="000000"/>
          <w:lang w:val="en-US"/>
        </w:rPr>
        <w:t xml:space="preserve">Insights into the epidemiology of </w:t>
      </w:r>
      <w:proofErr w:type="spellStart"/>
      <w:r w:rsidRPr="00D16A8A">
        <w:rPr>
          <w:rFonts w:ascii="Times New Roman" w:hAnsi="Times New Roman" w:cs="Times New Roman"/>
          <w:i/>
          <w:color w:val="000000"/>
          <w:lang w:val="en-US"/>
        </w:rPr>
        <w:t>enteropathogens</w:t>
      </w:r>
      <w:proofErr w:type="spellEnd"/>
      <w:r w:rsidRPr="00D16A8A">
        <w:rPr>
          <w:rFonts w:ascii="Times New Roman" w:hAnsi="Times New Roman" w:cs="Times New Roman"/>
          <w:i/>
          <w:color w:val="000000"/>
          <w:lang w:val="en-US"/>
        </w:rPr>
        <w:t xml:space="preserve"> of young pigs raised in Cuban piggeries</w:t>
      </w:r>
      <w:r w:rsidRPr="00D16A8A">
        <w:rPr>
          <w:rFonts w:ascii="Times New Roman" w:hAnsi="Times New Roman" w:cs="Times New Roman"/>
          <w:color w:val="000000"/>
          <w:lang w:val="en-US"/>
        </w:rPr>
        <w:t>.</w:t>
      </w:r>
      <w:proofErr w:type="gramEnd"/>
      <w:r w:rsidRPr="00D16A8A">
        <w:rPr>
          <w:rFonts w:ascii="Times New Roman" w:hAnsi="Times New Roman" w:cs="Times New Roman"/>
          <w:color w:val="000000"/>
          <w:lang w:val="en-US"/>
        </w:rPr>
        <w:t xml:space="preserve"> </w:t>
      </w:r>
      <w:proofErr w:type="gramStart"/>
      <w:r w:rsidRPr="00D16A8A">
        <w:rPr>
          <w:rFonts w:ascii="Times New Roman" w:hAnsi="Times New Roman" w:cs="Times New Roman"/>
          <w:color w:val="000000"/>
          <w:lang w:val="en-US"/>
        </w:rPr>
        <w:t>PhD thesis.</w:t>
      </w:r>
      <w:proofErr w:type="gramEnd"/>
      <w:r w:rsidRPr="00D16A8A">
        <w:rPr>
          <w:rFonts w:ascii="Times New Roman" w:hAnsi="Times New Roman" w:cs="Times New Roman"/>
          <w:color w:val="000000"/>
          <w:lang w:val="en-US"/>
        </w:rPr>
        <w:t xml:space="preserve"> </w:t>
      </w:r>
      <w:proofErr w:type="gramStart"/>
      <w:r w:rsidRPr="00D16A8A">
        <w:rPr>
          <w:rFonts w:ascii="Times New Roman" w:hAnsi="Times New Roman" w:cs="Times New Roman"/>
          <w:color w:val="000000"/>
          <w:lang w:val="en-US"/>
        </w:rPr>
        <w:t>Ghent University.</w:t>
      </w:r>
      <w:proofErr w:type="gramEnd"/>
      <w:r w:rsidRPr="00D16A8A">
        <w:rPr>
          <w:rFonts w:ascii="Times New Roman" w:hAnsi="Times New Roman" w:cs="Times New Roman"/>
          <w:color w:val="000000"/>
          <w:lang w:val="en-US"/>
        </w:rPr>
        <w:t xml:space="preserve"> </w:t>
      </w:r>
      <w:proofErr w:type="spellStart"/>
      <w:proofErr w:type="gramStart"/>
      <w:r w:rsidRPr="00D16A8A">
        <w:rPr>
          <w:rFonts w:ascii="Times New Roman" w:hAnsi="Times New Roman" w:cs="Times New Roman"/>
          <w:color w:val="000000"/>
          <w:lang w:val="en-US"/>
        </w:rPr>
        <w:t>UGent</w:t>
      </w:r>
      <w:proofErr w:type="spellEnd"/>
      <w:r w:rsidRPr="00D16A8A">
        <w:rPr>
          <w:rFonts w:ascii="Times New Roman" w:hAnsi="Times New Roman" w:cs="Times New Roman"/>
          <w:color w:val="000000"/>
          <w:lang w:val="en-US"/>
        </w:rPr>
        <w:t xml:space="preserve"> University Press.</w:t>
      </w:r>
      <w:proofErr w:type="gramEnd"/>
      <w:r w:rsidRPr="00D16A8A">
        <w:rPr>
          <w:rFonts w:ascii="Times New Roman" w:hAnsi="Times New Roman" w:cs="Times New Roman"/>
          <w:color w:val="000000"/>
          <w:lang w:val="en-US"/>
        </w:rPr>
        <w:t xml:space="preserve"> </w:t>
      </w:r>
      <w:proofErr w:type="gramStart"/>
      <w:r w:rsidRPr="00D16A8A">
        <w:rPr>
          <w:rFonts w:ascii="Times New Roman" w:hAnsi="Times New Roman" w:cs="Times New Roman"/>
          <w:color w:val="000000"/>
          <w:lang w:val="en-US"/>
        </w:rPr>
        <w:t>ISBN 978-90-5864-281-3.</w:t>
      </w:r>
      <w:proofErr w:type="gramEnd"/>
      <w:r w:rsidRPr="00D16A8A">
        <w:rPr>
          <w:lang w:val="en-US"/>
        </w:rPr>
        <w:t xml:space="preserve"> </w:t>
      </w:r>
      <w:r w:rsidRPr="00D16A8A">
        <w:rPr>
          <w:rFonts w:ascii="Times New Roman" w:hAnsi="Times New Roman" w:cs="Times New Roman"/>
          <w:color w:val="000000"/>
          <w:lang w:val="en-US"/>
        </w:rPr>
        <w:t>2012</w:t>
      </w:r>
    </w:p>
    <w:p w:rsidR="00F473A2" w:rsidRPr="00D16A8A" w:rsidRDefault="00F473A2" w:rsidP="00F473A2">
      <w:pPr>
        <w:autoSpaceDE w:val="0"/>
        <w:autoSpaceDN w:val="0"/>
        <w:adjustRightInd w:val="0"/>
        <w:spacing w:after="0" w:line="240" w:lineRule="auto"/>
        <w:jc w:val="both"/>
        <w:rPr>
          <w:rFonts w:ascii="Times New Roman" w:hAnsi="Times New Roman" w:cs="Times New Roman"/>
          <w:color w:val="000000"/>
          <w:lang w:val="en-US"/>
        </w:rPr>
      </w:pPr>
    </w:p>
    <w:p w:rsidR="00F473A2" w:rsidRPr="00202A9D" w:rsidRDefault="00F473A2" w:rsidP="00F473A2">
      <w:pPr>
        <w:autoSpaceDE w:val="0"/>
        <w:autoSpaceDN w:val="0"/>
        <w:adjustRightInd w:val="0"/>
        <w:spacing w:after="0" w:line="240" w:lineRule="auto"/>
        <w:jc w:val="both"/>
        <w:rPr>
          <w:rFonts w:ascii="Times New Roman" w:hAnsi="Times New Roman" w:cs="Times New Roman"/>
          <w:color w:val="000000"/>
        </w:rPr>
      </w:pPr>
      <w:r w:rsidRPr="002B5BB1">
        <w:rPr>
          <w:rFonts w:ascii="Times New Roman" w:hAnsi="Times New Roman" w:cs="Times New Roman"/>
          <w:color w:val="000000"/>
          <w:lang w:val="en-US"/>
        </w:rPr>
        <w:t xml:space="preserve">GARCÍA A, CABRERA YANERISY MARTÍNEZ VICTORIA. </w:t>
      </w:r>
      <w:r w:rsidRPr="00202A9D">
        <w:rPr>
          <w:rFonts w:ascii="Times New Roman" w:hAnsi="Times New Roman" w:cs="Times New Roman"/>
          <w:color w:val="000000"/>
        </w:rPr>
        <w:t xml:space="preserve">2015. </w:t>
      </w:r>
      <w:r w:rsidRPr="00202A9D">
        <w:rPr>
          <w:rFonts w:ascii="Times New Roman" w:hAnsi="Times New Roman" w:cs="Times New Roman"/>
          <w:i/>
          <w:color w:val="000000"/>
        </w:rPr>
        <w:t>Impacto de la incorporación del Mycofix Plus en los indicadores productivos y reproductivos en granjas porcinas</w:t>
      </w:r>
      <w:r w:rsidRPr="00202A9D">
        <w:rPr>
          <w:rFonts w:ascii="Times New Roman" w:hAnsi="Times New Roman" w:cs="Times New Roman"/>
          <w:color w:val="000000"/>
        </w:rPr>
        <w:t xml:space="preserve">. </w:t>
      </w: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sidRPr="00D16A8A">
        <w:rPr>
          <w:rFonts w:ascii="Times New Roman" w:hAnsi="Times New Roman" w:cs="Times New Roman"/>
          <w:color w:val="000000"/>
        </w:rPr>
        <w:t>GASCÓN VALDÉS.; ALINA MARÍA.:</w:t>
      </w:r>
      <w:r w:rsidRPr="00416C55">
        <w:rPr>
          <w:rFonts w:ascii="Times New Roman" w:hAnsi="Times New Roman" w:cs="Times New Roman"/>
          <w:color w:val="000000"/>
        </w:rPr>
        <w:t xml:space="preserve"> </w:t>
      </w:r>
      <w:r w:rsidRPr="00416C55">
        <w:rPr>
          <w:rFonts w:ascii="Times New Roman" w:hAnsi="Times New Roman" w:cs="Times New Roman"/>
          <w:i/>
          <w:color w:val="000000"/>
        </w:rPr>
        <w:t>Uso de Mycofix Select MTV, aditivo desactivante de micotoxinas</w:t>
      </w:r>
      <w:r w:rsidRPr="00416C55">
        <w:rPr>
          <w:rFonts w:ascii="Times New Roman" w:hAnsi="Times New Roman" w:cs="Times New Roman"/>
          <w:color w:val="000000"/>
        </w:rPr>
        <w:t xml:space="preserve">. </w:t>
      </w:r>
      <w:r w:rsidRPr="00D16A8A">
        <w:rPr>
          <w:rFonts w:ascii="Times New Roman" w:hAnsi="Times New Roman" w:cs="Times New Roman"/>
          <w:color w:val="000000"/>
        </w:rPr>
        <w:t xml:space="preserve">Instrucción Técnica No. 3/2015. </w:t>
      </w:r>
      <w:r w:rsidRPr="00416C55">
        <w:rPr>
          <w:rFonts w:ascii="Times New Roman" w:hAnsi="Times New Roman" w:cs="Times New Roman"/>
          <w:color w:val="000000"/>
        </w:rPr>
        <w:t xml:space="preserve">Grupo Industrial de Alimentos y Silos. Dirección Técnica y Desarrollo. Cuba. </w:t>
      </w:r>
      <w:r w:rsidRPr="00D16A8A">
        <w:rPr>
          <w:rFonts w:ascii="Times New Roman" w:hAnsi="Times New Roman" w:cs="Times New Roman"/>
          <w:color w:val="000000"/>
        </w:rPr>
        <w:t>2015</w:t>
      </w:r>
      <w:r>
        <w:rPr>
          <w:rFonts w:ascii="Times New Roman" w:hAnsi="Times New Roman" w:cs="Times New Roman"/>
          <w:color w:val="000000"/>
        </w:rPr>
        <w:t>.</w:t>
      </w:r>
    </w:p>
    <w:p w:rsidR="00F473A2" w:rsidRPr="00416C55"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Pr="006F3C49" w:rsidRDefault="00F473A2" w:rsidP="00F473A2">
      <w:pPr>
        <w:autoSpaceDE w:val="0"/>
        <w:autoSpaceDN w:val="0"/>
        <w:adjustRightInd w:val="0"/>
        <w:spacing w:after="0" w:line="240" w:lineRule="auto"/>
        <w:jc w:val="both"/>
        <w:rPr>
          <w:rFonts w:ascii="Times New Roman" w:hAnsi="Times New Roman" w:cs="Times New Roman"/>
          <w:color w:val="000000"/>
        </w:rPr>
      </w:pPr>
      <w:r w:rsidRPr="00D16A8A">
        <w:rPr>
          <w:rFonts w:ascii="Times New Roman" w:hAnsi="Times New Roman" w:cs="Times New Roman"/>
          <w:color w:val="000000"/>
        </w:rPr>
        <w:t>LAZO- PÉR</w:t>
      </w:r>
      <w:r>
        <w:rPr>
          <w:rFonts w:ascii="Times New Roman" w:hAnsi="Times New Roman" w:cs="Times New Roman"/>
          <w:color w:val="000000"/>
        </w:rPr>
        <w:t>EZ L.</w:t>
      </w:r>
      <w:r w:rsidRPr="00D16A8A">
        <w:rPr>
          <w:rFonts w:ascii="Times New Roman" w:hAnsi="Times New Roman" w:cs="Times New Roman"/>
          <w:color w:val="000000"/>
        </w:rPr>
        <w:t xml:space="preserve"> </w:t>
      </w:r>
      <w:r w:rsidRPr="006F3C49">
        <w:rPr>
          <w:rFonts w:ascii="Times New Roman" w:hAnsi="Times New Roman" w:cs="Times New Roman"/>
          <w:i/>
          <w:color w:val="000000"/>
        </w:rPr>
        <w:t xml:space="preserve">Comportamiento epidemiológico de la Colibacilosis entérica porcina en la provincia de Villa Clara, </w:t>
      </w:r>
      <w:proofErr w:type="spellStart"/>
      <w:r w:rsidRPr="006F3C49">
        <w:rPr>
          <w:rFonts w:ascii="Times New Roman" w:hAnsi="Times New Roman" w:cs="Times New Roman"/>
          <w:i/>
          <w:color w:val="000000"/>
        </w:rPr>
        <w:t>patotipos</w:t>
      </w:r>
      <w:proofErr w:type="spellEnd"/>
      <w:r w:rsidRPr="006F3C49">
        <w:rPr>
          <w:rFonts w:ascii="Times New Roman" w:hAnsi="Times New Roman" w:cs="Times New Roman"/>
          <w:i/>
          <w:color w:val="000000"/>
        </w:rPr>
        <w:t>, genes de virulencia y resistencia a antibióticos en los aislados de E. coli</w:t>
      </w:r>
      <w:r w:rsidRPr="006F3C49">
        <w:rPr>
          <w:rFonts w:ascii="Times New Roman" w:hAnsi="Times New Roman" w:cs="Times New Roman"/>
          <w:color w:val="000000"/>
        </w:rPr>
        <w:t xml:space="preserve">. Resumen de tesis de doctorado. Revista Salud Animal Vol. 30 (3):195. </w:t>
      </w:r>
      <w:r w:rsidRPr="00D16A8A">
        <w:rPr>
          <w:rFonts w:ascii="Times New Roman" w:hAnsi="Times New Roman" w:cs="Times New Roman"/>
          <w:color w:val="000000"/>
        </w:rPr>
        <w:t>2008</w:t>
      </w:r>
    </w:p>
    <w:p w:rsidR="00F473A2" w:rsidRDefault="00F473A2" w:rsidP="00F473A2">
      <w:pPr>
        <w:autoSpaceDE w:val="0"/>
        <w:autoSpaceDN w:val="0"/>
        <w:adjustRightInd w:val="0"/>
        <w:spacing w:after="0" w:line="240" w:lineRule="auto"/>
        <w:jc w:val="both"/>
        <w:rPr>
          <w:rFonts w:ascii="Times New Roman" w:hAnsi="Times New Roman" w:cs="Times New Roman"/>
          <w:color w:val="000000"/>
          <w:lang w:val="en-US"/>
        </w:rPr>
      </w:pPr>
      <w:r w:rsidRPr="002B5BB1">
        <w:rPr>
          <w:rFonts w:ascii="Times New Roman" w:hAnsi="Times New Roman" w:cs="Times New Roman"/>
          <w:color w:val="000000"/>
        </w:rPr>
        <w:t xml:space="preserve">MANUAL DE CRIANZA PORCINA. Pp. 55. </w:t>
      </w:r>
      <w:r w:rsidRPr="000B0CBF">
        <w:rPr>
          <w:rFonts w:ascii="Times New Roman" w:hAnsi="Times New Roman" w:cs="Times New Roman"/>
          <w:color w:val="000000"/>
          <w:lang w:val="en-US"/>
        </w:rPr>
        <w:t xml:space="preserve">2008. </w:t>
      </w:r>
    </w:p>
    <w:p w:rsidR="00F473A2" w:rsidRPr="000B0CBF" w:rsidRDefault="00F473A2" w:rsidP="00F473A2">
      <w:pPr>
        <w:autoSpaceDE w:val="0"/>
        <w:autoSpaceDN w:val="0"/>
        <w:adjustRightInd w:val="0"/>
        <w:spacing w:after="0" w:line="240" w:lineRule="auto"/>
        <w:jc w:val="both"/>
        <w:rPr>
          <w:rFonts w:ascii="Times New Roman" w:hAnsi="Times New Roman" w:cs="Times New Roman"/>
          <w:color w:val="000000"/>
          <w:lang w:val="en-US"/>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proofErr w:type="gramStart"/>
      <w:r w:rsidRPr="00D16A8A">
        <w:rPr>
          <w:rFonts w:ascii="Times New Roman" w:hAnsi="Times New Roman" w:cs="Times New Roman"/>
          <w:color w:val="000000"/>
          <w:lang w:val="en-US"/>
        </w:rPr>
        <w:t>PIGH</w:t>
      </w:r>
      <w:r>
        <w:rPr>
          <w:rFonts w:ascii="Times New Roman" w:hAnsi="Times New Roman" w:cs="Times New Roman"/>
          <w:color w:val="000000"/>
          <w:lang w:val="en-US"/>
        </w:rPr>
        <w:t>IN, F., MANNI, C., BELLEZZE, J.</w:t>
      </w:r>
      <w:r w:rsidRPr="00D16A8A">
        <w:rPr>
          <w:rFonts w:ascii="Times New Roman" w:hAnsi="Times New Roman" w:cs="Times New Roman"/>
          <w:color w:val="000000"/>
          <w:lang w:val="en-US"/>
        </w:rPr>
        <w:t>2016.</w:t>
      </w:r>
      <w:proofErr w:type="gramEnd"/>
      <w:r w:rsidRPr="00D16A8A">
        <w:rPr>
          <w:rFonts w:ascii="Times New Roman" w:hAnsi="Times New Roman" w:cs="Times New Roman"/>
          <w:color w:val="000000"/>
          <w:lang w:val="en-US"/>
        </w:rPr>
        <w:t xml:space="preserve"> </w:t>
      </w:r>
      <w:r w:rsidRPr="00D16A8A">
        <w:rPr>
          <w:rFonts w:ascii="Times New Roman" w:hAnsi="Times New Roman" w:cs="Times New Roman"/>
          <w:i/>
          <w:color w:val="000000"/>
        </w:rPr>
        <w:t>Caracterización del perfil hematológico en dos categorías de cerdas con líneas genéticas distintas en producción intensiva de granjas del litoral Argentino</w:t>
      </w:r>
      <w:r w:rsidRPr="00D16A8A">
        <w:rPr>
          <w:rFonts w:ascii="Times New Roman" w:hAnsi="Times New Roman" w:cs="Times New Roman"/>
          <w:color w:val="000000"/>
        </w:rPr>
        <w:t xml:space="preserve">. XX Encuentro de Jóvenes Investigadores de la Universidad Nacional del Litoral. </w:t>
      </w:r>
    </w:p>
    <w:p w:rsidR="00F473A2" w:rsidRPr="00D16A8A"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Pr="00D16A8A" w:rsidRDefault="00F473A2" w:rsidP="00F473A2">
      <w:pPr>
        <w:autoSpaceDE w:val="0"/>
        <w:autoSpaceDN w:val="0"/>
        <w:adjustRightInd w:val="0"/>
        <w:spacing w:after="0" w:line="240" w:lineRule="auto"/>
        <w:jc w:val="both"/>
        <w:rPr>
          <w:rFonts w:ascii="Times New Roman" w:hAnsi="Times New Roman" w:cs="Times New Roman"/>
          <w:color w:val="000000"/>
          <w:lang w:val="en-US"/>
        </w:rPr>
      </w:pPr>
      <w:proofErr w:type="gramStart"/>
      <w:r w:rsidRPr="00D16A8A">
        <w:rPr>
          <w:rFonts w:ascii="Times New Roman" w:hAnsi="Times New Roman" w:cs="Times New Roman"/>
          <w:color w:val="000000"/>
          <w:lang w:val="en-US"/>
        </w:rPr>
        <w:t>SCHALM, O. 2006.</w:t>
      </w:r>
      <w:proofErr w:type="gramEnd"/>
      <w:r w:rsidRPr="00D16A8A">
        <w:rPr>
          <w:rFonts w:ascii="Times New Roman" w:hAnsi="Times New Roman" w:cs="Times New Roman"/>
          <w:color w:val="000000"/>
          <w:lang w:val="en-US"/>
        </w:rPr>
        <w:t xml:space="preserve"> </w:t>
      </w:r>
      <w:proofErr w:type="gramStart"/>
      <w:r w:rsidRPr="00D16A8A">
        <w:rPr>
          <w:rFonts w:ascii="Times New Roman" w:hAnsi="Times New Roman" w:cs="Times New Roman"/>
          <w:i/>
          <w:color w:val="000000"/>
          <w:lang w:val="en-US"/>
        </w:rPr>
        <w:t>Veterinary hematology</w:t>
      </w:r>
      <w:r w:rsidRPr="00D16A8A">
        <w:rPr>
          <w:rFonts w:ascii="Times New Roman" w:hAnsi="Times New Roman" w:cs="Times New Roman"/>
          <w:color w:val="000000"/>
          <w:lang w:val="en-US"/>
        </w:rPr>
        <w:t>.</w:t>
      </w:r>
      <w:proofErr w:type="gramEnd"/>
      <w:r w:rsidRPr="00D16A8A">
        <w:rPr>
          <w:rFonts w:ascii="Times New Roman" w:hAnsi="Times New Roman" w:cs="Times New Roman"/>
          <w:color w:val="000000"/>
          <w:lang w:val="en-US"/>
        </w:rPr>
        <w:t xml:space="preserve"> </w:t>
      </w:r>
      <w:proofErr w:type="gramStart"/>
      <w:r w:rsidRPr="00D16A8A">
        <w:rPr>
          <w:rFonts w:ascii="Times New Roman" w:hAnsi="Times New Roman" w:cs="Times New Roman"/>
          <w:color w:val="000000"/>
          <w:lang w:val="en-US"/>
        </w:rPr>
        <w:t>Blackwell publishing Ltd. USA.6a Ed., 843-851.</w:t>
      </w:r>
      <w:proofErr w:type="gramEnd"/>
      <w:r w:rsidRPr="00D16A8A">
        <w:rPr>
          <w:rFonts w:ascii="Times New Roman" w:hAnsi="Times New Roman" w:cs="Times New Roman"/>
          <w:color w:val="000000"/>
          <w:lang w:val="en-US"/>
        </w:rPr>
        <w:t xml:space="preserve"> </w:t>
      </w:r>
    </w:p>
    <w:p w:rsidR="00F473A2" w:rsidRDefault="00F473A2" w:rsidP="00F473A2">
      <w:pPr>
        <w:autoSpaceDE w:val="0"/>
        <w:autoSpaceDN w:val="0"/>
        <w:adjustRightInd w:val="0"/>
        <w:spacing w:after="0" w:line="240" w:lineRule="auto"/>
        <w:jc w:val="both"/>
        <w:rPr>
          <w:rFonts w:ascii="Times New Roman" w:hAnsi="Times New Roman" w:cs="Times New Roman"/>
          <w:color w:val="000000"/>
        </w:rPr>
      </w:pPr>
      <w:r w:rsidRPr="002B5BB1">
        <w:rPr>
          <w:rFonts w:ascii="Times New Roman" w:hAnsi="Times New Roman" w:cs="Times New Roman"/>
          <w:color w:val="000000"/>
        </w:rPr>
        <w:t>SIPPEL, W. L</w:t>
      </w:r>
      <w:proofErr w:type="gramStart"/>
      <w:r w:rsidRPr="002B5BB1">
        <w:rPr>
          <w:rFonts w:ascii="Times New Roman" w:hAnsi="Times New Roman" w:cs="Times New Roman"/>
          <w:color w:val="000000"/>
        </w:rPr>
        <w:t>..</w:t>
      </w:r>
      <w:proofErr w:type="gramEnd"/>
      <w:r w:rsidRPr="002B5BB1">
        <w:rPr>
          <w:rFonts w:ascii="Times New Roman" w:hAnsi="Times New Roman" w:cs="Times New Roman"/>
          <w:color w:val="000000"/>
        </w:rPr>
        <w:t xml:space="preserve"> </w:t>
      </w:r>
      <w:r w:rsidRPr="00B27528">
        <w:rPr>
          <w:rFonts w:ascii="Times New Roman" w:hAnsi="Times New Roman" w:cs="Times New Roman"/>
          <w:color w:val="000000"/>
        </w:rPr>
        <w:t>La prueba del hematocrito. Cien</w:t>
      </w:r>
      <w:r>
        <w:rPr>
          <w:rFonts w:ascii="Times New Roman" w:hAnsi="Times New Roman" w:cs="Times New Roman"/>
          <w:color w:val="000000"/>
        </w:rPr>
        <w:t>cias Veterinarias 4(6):627-631.</w:t>
      </w:r>
      <w:r w:rsidRPr="00D16A8A">
        <w:rPr>
          <w:rFonts w:ascii="Times New Roman" w:hAnsi="Times New Roman" w:cs="Times New Roman"/>
          <w:color w:val="000000"/>
        </w:rPr>
        <w:t>1959</w:t>
      </w:r>
      <w:r>
        <w:rPr>
          <w:rFonts w:ascii="Times New Roman" w:hAnsi="Times New Roman" w:cs="Times New Roman"/>
          <w:color w:val="000000"/>
        </w:rPr>
        <w:t>.</w:t>
      </w:r>
    </w:p>
    <w:p w:rsidR="00F473A2" w:rsidRPr="00B27528" w:rsidRDefault="00F473A2" w:rsidP="00F473A2">
      <w:pPr>
        <w:autoSpaceDE w:val="0"/>
        <w:autoSpaceDN w:val="0"/>
        <w:adjustRightInd w:val="0"/>
        <w:spacing w:after="0" w:line="240" w:lineRule="auto"/>
        <w:jc w:val="both"/>
        <w:rPr>
          <w:rFonts w:ascii="Times New Roman" w:hAnsi="Times New Roman" w:cs="Times New Roman"/>
          <w:color w:val="000000"/>
        </w:rPr>
      </w:pPr>
    </w:p>
    <w:p w:rsidR="00F473A2" w:rsidRDefault="00F473A2" w:rsidP="00F473A2">
      <w:pPr>
        <w:autoSpaceDE w:val="0"/>
        <w:autoSpaceDN w:val="0"/>
        <w:adjustRightInd w:val="0"/>
        <w:spacing w:after="0" w:line="240" w:lineRule="auto"/>
        <w:jc w:val="both"/>
        <w:rPr>
          <w:rFonts w:ascii="Times New Roman" w:hAnsi="Times New Roman" w:cs="Times New Roman"/>
          <w:color w:val="000000"/>
          <w:lang w:val="en-US"/>
        </w:rPr>
      </w:pPr>
      <w:r w:rsidRPr="0078127C">
        <w:rPr>
          <w:rFonts w:ascii="Times New Roman" w:hAnsi="Times New Roman" w:cs="Times New Roman"/>
          <w:color w:val="000000"/>
          <w:lang w:val="en-US"/>
        </w:rPr>
        <w:lastRenderedPageBreak/>
        <w:t>STARKL V</w:t>
      </w:r>
      <w:r>
        <w:rPr>
          <w:rFonts w:ascii="Times New Roman" w:hAnsi="Times New Roman" w:cs="Times New Roman"/>
          <w:color w:val="000000"/>
          <w:lang w:val="en-US"/>
        </w:rPr>
        <w:t xml:space="preserve">. </w:t>
      </w:r>
      <w:r w:rsidRPr="0078127C">
        <w:rPr>
          <w:rFonts w:ascii="Times New Roman" w:hAnsi="Times New Roman" w:cs="Times New Roman"/>
          <w:i/>
          <w:color w:val="000000"/>
          <w:lang w:val="en-US"/>
        </w:rPr>
        <w:t xml:space="preserve">Mycofix Plus an efficient tool to counteract the impact of </w:t>
      </w:r>
      <w:proofErr w:type="spellStart"/>
      <w:r w:rsidRPr="0078127C">
        <w:rPr>
          <w:rFonts w:ascii="Times New Roman" w:hAnsi="Times New Roman" w:cs="Times New Roman"/>
          <w:i/>
          <w:color w:val="000000"/>
          <w:lang w:val="en-US"/>
        </w:rPr>
        <w:t>zearalenone</w:t>
      </w:r>
      <w:proofErr w:type="spellEnd"/>
      <w:r w:rsidRPr="0078127C">
        <w:rPr>
          <w:rFonts w:ascii="Times New Roman" w:hAnsi="Times New Roman" w:cs="Times New Roman"/>
          <w:i/>
          <w:color w:val="000000"/>
          <w:lang w:val="en-US"/>
        </w:rPr>
        <w:t xml:space="preserve"> and </w:t>
      </w:r>
      <w:proofErr w:type="spellStart"/>
      <w:r w:rsidRPr="0078127C">
        <w:rPr>
          <w:rFonts w:ascii="Times New Roman" w:hAnsi="Times New Roman" w:cs="Times New Roman"/>
          <w:i/>
          <w:color w:val="000000"/>
          <w:lang w:val="en-US"/>
        </w:rPr>
        <w:t>deoxynivalenol</w:t>
      </w:r>
      <w:proofErr w:type="spellEnd"/>
      <w:r w:rsidRPr="0078127C">
        <w:rPr>
          <w:rFonts w:ascii="Times New Roman" w:hAnsi="Times New Roman" w:cs="Times New Roman"/>
          <w:i/>
          <w:color w:val="000000"/>
          <w:lang w:val="en-US"/>
        </w:rPr>
        <w:t xml:space="preserve"> on weaning </w:t>
      </w:r>
      <w:proofErr w:type="gramStart"/>
      <w:r w:rsidRPr="0078127C">
        <w:rPr>
          <w:rFonts w:ascii="Times New Roman" w:hAnsi="Times New Roman" w:cs="Times New Roman"/>
          <w:i/>
          <w:color w:val="000000"/>
          <w:lang w:val="en-US"/>
        </w:rPr>
        <w:t>piglets</w:t>
      </w:r>
      <w:proofErr w:type="gramEnd"/>
      <w:r w:rsidRPr="0078127C">
        <w:rPr>
          <w:rFonts w:ascii="Times New Roman" w:hAnsi="Times New Roman" w:cs="Times New Roman"/>
          <w:i/>
          <w:color w:val="000000"/>
          <w:lang w:val="en-US"/>
        </w:rPr>
        <w:t xml:space="preserve"> immune system</w:t>
      </w:r>
      <w:r w:rsidRPr="0078127C">
        <w:rPr>
          <w:rFonts w:ascii="Times New Roman" w:hAnsi="Times New Roman" w:cs="Times New Roman"/>
          <w:color w:val="000000"/>
          <w:lang w:val="en-US"/>
        </w:rPr>
        <w:t xml:space="preserve">. </w:t>
      </w:r>
      <w:proofErr w:type="gramStart"/>
      <w:r w:rsidRPr="0078127C">
        <w:rPr>
          <w:rFonts w:ascii="Times New Roman" w:hAnsi="Times New Roman" w:cs="Times New Roman"/>
          <w:color w:val="000000"/>
          <w:lang w:val="en-US"/>
        </w:rPr>
        <w:t>BIOMIN Newsletter.</w:t>
      </w:r>
      <w:proofErr w:type="gramEnd"/>
      <w:r w:rsidRPr="0078127C">
        <w:rPr>
          <w:rFonts w:ascii="Times New Roman" w:hAnsi="Times New Roman" w:cs="Times New Roman"/>
          <w:color w:val="000000"/>
          <w:lang w:val="en-US"/>
        </w:rPr>
        <w:t xml:space="preserve"> </w:t>
      </w:r>
      <w:proofErr w:type="gramStart"/>
      <w:r w:rsidRPr="0078127C">
        <w:rPr>
          <w:rFonts w:ascii="Times New Roman" w:hAnsi="Times New Roman" w:cs="Times New Roman"/>
          <w:color w:val="000000"/>
          <w:lang w:val="en-US"/>
        </w:rPr>
        <w:t>5(50).</w:t>
      </w:r>
      <w:proofErr w:type="gramEnd"/>
      <w:r w:rsidRPr="00D16A8A">
        <w:rPr>
          <w:rFonts w:ascii="Times New Roman" w:hAnsi="Times New Roman" w:cs="Times New Roman"/>
          <w:color w:val="000000"/>
          <w:lang w:val="en-US"/>
        </w:rPr>
        <w:t xml:space="preserve"> 2007. </w:t>
      </w:r>
      <w:r w:rsidRPr="0078127C">
        <w:rPr>
          <w:rFonts w:ascii="Times New Roman" w:hAnsi="Times New Roman" w:cs="Times New Roman"/>
          <w:color w:val="000000"/>
          <w:lang w:val="en-US"/>
        </w:rPr>
        <w:t xml:space="preserve"> </w:t>
      </w:r>
    </w:p>
    <w:p w:rsidR="00F473A2" w:rsidRPr="00D16A8A" w:rsidRDefault="00F473A2" w:rsidP="00F473A2">
      <w:pPr>
        <w:autoSpaceDE w:val="0"/>
        <w:autoSpaceDN w:val="0"/>
        <w:adjustRightInd w:val="0"/>
        <w:spacing w:after="0" w:line="240" w:lineRule="auto"/>
        <w:jc w:val="both"/>
        <w:rPr>
          <w:rFonts w:ascii="Times New Roman" w:hAnsi="Times New Roman" w:cs="Times New Roman"/>
          <w:color w:val="000000"/>
          <w:lang w:val="en-US"/>
        </w:rPr>
      </w:pPr>
    </w:p>
    <w:p w:rsidR="00F473A2" w:rsidRPr="000B0CBF" w:rsidRDefault="00F473A2" w:rsidP="00F473A2">
      <w:pPr>
        <w:autoSpaceDE w:val="0"/>
        <w:autoSpaceDN w:val="0"/>
        <w:adjustRightInd w:val="0"/>
        <w:spacing w:after="0" w:line="240" w:lineRule="auto"/>
        <w:jc w:val="both"/>
        <w:rPr>
          <w:rFonts w:ascii="Times New Roman" w:hAnsi="Times New Roman" w:cs="Times New Roman"/>
          <w:color w:val="000000"/>
          <w:lang w:val="en-US"/>
        </w:rPr>
      </w:pPr>
      <w:r w:rsidRPr="000B0CBF">
        <w:rPr>
          <w:rFonts w:ascii="Times New Roman" w:hAnsi="Times New Roman" w:cs="Times New Roman"/>
          <w:color w:val="000000"/>
          <w:lang w:val="en-US"/>
        </w:rPr>
        <w:t xml:space="preserve">THRUSFIELD, M. </w:t>
      </w:r>
      <w:r w:rsidRPr="000B0CBF">
        <w:rPr>
          <w:rFonts w:ascii="Times New Roman" w:hAnsi="Times New Roman" w:cs="Times New Roman"/>
          <w:i/>
          <w:color w:val="000000"/>
          <w:lang w:val="en-US"/>
        </w:rPr>
        <w:t>Veterinary Epidemiology</w:t>
      </w:r>
      <w:r w:rsidRPr="000B0CBF">
        <w:rPr>
          <w:rFonts w:ascii="Times New Roman" w:hAnsi="Times New Roman" w:cs="Times New Roman"/>
          <w:color w:val="000000"/>
          <w:lang w:val="en-US"/>
        </w:rPr>
        <w:t xml:space="preserve">. </w:t>
      </w:r>
      <w:proofErr w:type="gramStart"/>
      <w:r w:rsidRPr="000B0CBF">
        <w:rPr>
          <w:rFonts w:ascii="Times New Roman" w:hAnsi="Times New Roman" w:cs="Times New Roman"/>
          <w:color w:val="000000"/>
          <w:lang w:val="en-US"/>
        </w:rPr>
        <w:t>Third edition.</w:t>
      </w:r>
      <w:proofErr w:type="gramEnd"/>
      <w:r w:rsidRPr="000B0CBF">
        <w:rPr>
          <w:rFonts w:ascii="Times New Roman" w:hAnsi="Times New Roman" w:cs="Times New Roman"/>
          <w:color w:val="000000"/>
          <w:lang w:val="en-US"/>
        </w:rPr>
        <w:t xml:space="preserve"> Wiley - Blackwell, 6</w:t>
      </w:r>
      <w:r w:rsidRPr="00D16A8A">
        <w:rPr>
          <w:rFonts w:ascii="Times New Roman" w:hAnsi="Times New Roman" w:cs="Times New Roman"/>
          <w:color w:val="000000"/>
          <w:lang w:val="en-US"/>
        </w:rPr>
        <w:t>24 p., ISBN: 978-1-4051-5627-1. 2007.</w:t>
      </w:r>
    </w:p>
    <w:sectPr w:rsidR="00F473A2" w:rsidRPr="000B0CBF" w:rsidSect="003651EF">
      <w:headerReference w:type="default" r:id="rId12"/>
      <w:footerReference w:type="default" r:id="rId13"/>
      <w:pgSz w:w="11906" w:h="16838" w:code="9"/>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447" w:rsidRDefault="00F10447" w:rsidP="00C8585B">
      <w:pPr>
        <w:spacing w:after="0" w:line="240" w:lineRule="auto"/>
      </w:pPr>
      <w:r>
        <w:separator/>
      </w:r>
    </w:p>
  </w:endnote>
  <w:endnote w:type="continuationSeparator" w:id="0">
    <w:p w:rsidR="00F10447" w:rsidRDefault="00F1044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8D4" w:rsidRDefault="008508D4" w:rsidP="005E2497">
    <w:pPr>
      <w:pStyle w:val="Piedepgina"/>
      <w:jc w:val="center"/>
      <w:rPr>
        <w:rFonts w:ascii="Times New Roman" w:hAnsi="Times New Roman" w:cs="Times New Roman"/>
        <w:sz w:val="24"/>
      </w:rPr>
    </w:pPr>
  </w:p>
  <w:p w:rsidR="008508D4" w:rsidRPr="007559FA" w:rsidRDefault="008508D4"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8508D4" w:rsidRPr="007559FA" w:rsidRDefault="008508D4"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8508D4" w:rsidRPr="007559FA" w:rsidRDefault="00F10447" w:rsidP="005E2497">
    <w:pPr>
      <w:pStyle w:val="Piedepgina"/>
      <w:jc w:val="center"/>
      <w:rPr>
        <w:rFonts w:ascii="Times New Roman" w:hAnsi="Times New Roman" w:cs="Times New Roman"/>
        <w:sz w:val="28"/>
      </w:rPr>
    </w:pPr>
    <w:hyperlink r:id="rId2" w:history="1">
      <w:r w:rsidR="008508D4"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447" w:rsidRDefault="00F10447" w:rsidP="00C8585B">
      <w:pPr>
        <w:spacing w:after="0" w:line="240" w:lineRule="auto"/>
      </w:pPr>
      <w:r>
        <w:separator/>
      </w:r>
    </w:p>
  </w:footnote>
  <w:footnote w:type="continuationSeparator" w:id="0">
    <w:p w:rsidR="00F10447" w:rsidRDefault="00F1044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8D4" w:rsidRDefault="008508D4"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7FA7CFAB" wp14:editId="63D6D425">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8508D4" w:rsidRDefault="008508D4"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8508D4" w:rsidRPr="00640758" w:rsidRDefault="008508D4"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4395878D" wp14:editId="5A7E0C94">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08D4" w:rsidRDefault="008508D4"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8508D4" w:rsidRDefault="008508D4"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8508D4" w:rsidRDefault="008508D4" w:rsidP="00E83573">
    <w:pPr>
      <w:pStyle w:val="Encabezado"/>
      <w:jc w:val="center"/>
      <w:rPr>
        <w:rFonts w:ascii="Times New Roman" w:hAnsi="Times New Roman" w:cs="Times New Roman"/>
        <w:b/>
        <w:sz w:val="24"/>
      </w:rPr>
    </w:pPr>
  </w:p>
  <w:p w:rsidR="008508D4" w:rsidRDefault="008508D4" w:rsidP="00E83573">
    <w:pPr>
      <w:pStyle w:val="Encabezado"/>
      <w:jc w:val="center"/>
      <w:rPr>
        <w:rFonts w:ascii="Times New Roman" w:hAnsi="Times New Roman" w:cs="Times New Roman"/>
        <w:b/>
        <w:sz w:val="24"/>
      </w:rPr>
    </w:pPr>
  </w:p>
  <w:p w:rsidR="008508D4" w:rsidRDefault="008508D4"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717A2"/>
    <w:multiLevelType w:val="hybridMultilevel"/>
    <w:tmpl w:val="13669C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A926D85"/>
    <w:multiLevelType w:val="hybridMultilevel"/>
    <w:tmpl w:val="CED8A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AA3150A"/>
    <w:multiLevelType w:val="hybridMultilevel"/>
    <w:tmpl w:val="2168EBC8"/>
    <w:lvl w:ilvl="0" w:tplc="06206E54">
      <w:start w:val="1"/>
      <w:numFmt w:val="decimal"/>
      <w:lvlText w:val="%1-"/>
      <w:lvlJc w:val="left"/>
      <w:pPr>
        <w:ind w:left="720" w:hanging="360"/>
      </w:pPr>
      <w:rPr>
        <w:rFonts w:eastAsiaTheme="minorHAnsi"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E7E79FF"/>
    <w:multiLevelType w:val="hybridMultilevel"/>
    <w:tmpl w:val="4EC2C828"/>
    <w:lvl w:ilvl="0" w:tplc="FFFFFFFF">
      <w:start w:val="1"/>
      <w:numFmt w:val="decimal"/>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0450A2D"/>
    <w:multiLevelType w:val="hybridMultilevel"/>
    <w:tmpl w:val="329874B6"/>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nsid w:val="6D854A34"/>
    <w:multiLevelType w:val="hybridMultilevel"/>
    <w:tmpl w:val="10FE2144"/>
    <w:lvl w:ilvl="0" w:tplc="A7D402E2">
      <w:start w:val="1"/>
      <w:numFmt w:val="decimal"/>
      <w:lvlText w:val="%1."/>
      <w:lvlJc w:val="left"/>
      <w:pPr>
        <w:ind w:left="720" w:hanging="360"/>
      </w:pPr>
      <w:rPr>
        <w:rFonts w:eastAsia="MS Mincho"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n-CA" w:vendorID="64" w:dllVersion="131078" w:nlCheck="1" w:checkStyle="1"/>
  <w:activeWritingStyle w:appName="MSWord" w:lang="es-VE" w:vendorID="64" w:dllVersion="131078" w:nlCheck="1" w:checkStyle="1"/>
  <w:activeWritingStyle w:appName="MSWord" w:lang="es-EC"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2B78"/>
    <w:rsid w:val="0001405B"/>
    <w:rsid w:val="00021055"/>
    <w:rsid w:val="000265E8"/>
    <w:rsid w:val="00044E42"/>
    <w:rsid w:val="00046F14"/>
    <w:rsid w:val="00054CFF"/>
    <w:rsid w:val="000569E1"/>
    <w:rsid w:val="00062439"/>
    <w:rsid w:val="00072CF4"/>
    <w:rsid w:val="000862FD"/>
    <w:rsid w:val="000930C1"/>
    <w:rsid w:val="00094AC0"/>
    <w:rsid w:val="00097E80"/>
    <w:rsid w:val="000A3E5E"/>
    <w:rsid w:val="000A7F1D"/>
    <w:rsid w:val="000B0CBF"/>
    <w:rsid w:val="000B2BF6"/>
    <w:rsid w:val="000C14DC"/>
    <w:rsid w:val="000C5388"/>
    <w:rsid w:val="000E5C03"/>
    <w:rsid w:val="00107B0C"/>
    <w:rsid w:val="00111D55"/>
    <w:rsid w:val="00114C82"/>
    <w:rsid w:val="00115591"/>
    <w:rsid w:val="0012608A"/>
    <w:rsid w:val="00147D93"/>
    <w:rsid w:val="00150BF7"/>
    <w:rsid w:val="00171318"/>
    <w:rsid w:val="00173281"/>
    <w:rsid w:val="00191A42"/>
    <w:rsid w:val="001922AB"/>
    <w:rsid w:val="001B2171"/>
    <w:rsid w:val="001B3901"/>
    <w:rsid w:val="001C0209"/>
    <w:rsid w:val="001C0B5E"/>
    <w:rsid w:val="001C53EB"/>
    <w:rsid w:val="001C56C4"/>
    <w:rsid w:val="001D4EBD"/>
    <w:rsid w:val="001D7272"/>
    <w:rsid w:val="001D77DD"/>
    <w:rsid w:val="001E30D1"/>
    <w:rsid w:val="001F5B1A"/>
    <w:rsid w:val="00202A9D"/>
    <w:rsid w:val="002035CB"/>
    <w:rsid w:val="002108BD"/>
    <w:rsid w:val="00210FBB"/>
    <w:rsid w:val="002451BE"/>
    <w:rsid w:val="00246094"/>
    <w:rsid w:val="00251F4F"/>
    <w:rsid w:val="002535D8"/>
    <w:rsid w:val="00254BC5"/>
    <w:rsid w:val="00267A91"/>
    <w:rsid w:val="0027108C"/>
    <w:rsid w:val="0029163B"/>
    <w:rsid w:val="00294F35"/>
    <w:rsid w:val="002B5BB1"/>
    <w:rsid w:val="002C4923"/>
    <w:rsid w:val="002E0882"/>
    <w:rsid w:val="002E272A"/>
    <w:rsid w:val="0030058B"/>
    <w:rsid w:val="003068F5"/>
    <w:rsid w:val="00311A3D"/>
    <w:rsid w:val="00313F9E"/>
    <w:rsid w:val="00324BC5"/>
    <w:rsid w:val="00330D8C"/>
    <w:rsid w:val="003323B9"/>
    <w:rsid w:val="0034751A"/>
    <w:rsid w:val="00355EF1"/>
    <w:rsid w:val="0035640C"/>
    <w:rsid w:val="00362E5F"/>
    <w:rsid w:val="003651EF"/>
    <w:rsid w:val="00365E71"/>
    <w:rsid w:val="00377657"/>
    <w:rsid w:val="003852D8"/>
    <w:rsid w:val="00394625"/>
    <w:rsid w:val="003A2D8B"/>
    <w:rsid w:val="003A3D95"/>
    <w:rsid w:val="003E1619"/>
    <w:rsid w:val="003E7081"/>
    <w:rsid w:val="003F10FD"/>
    <w:rsid w:val="00400719"/>
    <w:rsid w:val="00403285"/>
    <w:rsid w:val="00406AB8"/>
    <w:rsid w:val="00413B35"/>
    <w:rsid w:val="0041462D"/>
    <w:rsid w:val="00416C55"/>
    <w:rsid w:val="00426E27"/>
    <w:rsid w:val="0043544A"/>
    <w:rsid w:val="00446B76"/>
    <w:rsid w:val="0045471F"/>
    <w:rsid w:val="004615BC"/>
    <w:rsid w:val="0046624A"/>
    <w:rsid w:val="004770A9"/>
    <w:rsid w:val="00481039"/>
    <w:rsid w:val="00487407"/>
    <w:rsid w:val="004B4FDB"/>
    <w:rsid w:val="004E374B"/>
    <w:rsid w:val="00500CED"/>
    <w:rsid w:val="00513129"/>
    <w:rsid w:val="00513DF3"/>
    <w:rsid w:val="005167FF"/>
    <w:rsid w:val="00517B8C"/>
    <w:rsid w:val="00526A81"/>
    <w:rsid w:val="00534C7F"/>
    <w:rsid w:val="00534D4E"/>
    <w:rsid w:val="00535DA4"/>
    <w:rsid w:val="00543BED"/>
    <w:rsid w:val="005514A7"/>
    <w:rsid w:val="005575C7"/>
    <w:rsid w:val="00571C0B"/>
    <w:rsid w:val="005754D8"/>
    <w:rsid w:val="0057657B"/>
    <w:rsid w:val="0059291D"/>
    <w:rsid w:val="00592E06"/>
    <w:rsid w:val="00595E82"/>
    <w:rsid w:val="00596DE5"/>
    <w:rsid w:val="005A7DB7"/>
    <w:rsid w:val="005B20DB"/>
    <w:rsid w:val="005C550B"/>
    <w:rsid w:val="005D0A96"/>
    <w:rsid w:val="005D6A96"/>
    <w:rsid w:val="005E1AD3"/>
    <w:rsid w:val="005E2497"/>
    <w:rsid w:val="005E4AD8"/>
    <w:rsid w:val="005F451F"/>
    <w:rsid w:val="00600FFE"/>
    <w:rsid w:val="00607895"/>
    <w:rsid w:val="006271E4"/>
    <w:rsid w:val="00632966"/>
    <w:rsid w:val="00640758"/>
    <w:rsid w:val="006425C4"/>
    <w:rsid w:val="006658F0"/>
    <w:rsid w:val="00667F10"/>
    <w:rsid w:val="00680465"/>
    <w:rsid w:val="00684502"/>
    <w:rsid w:val="006B2222"/>
    <w:rsid w:val="006C7397"/>
    <w:rsid w:val="006D4D18"/>
    <w:rsid w:val="006E0AC7"/>
    <w:rsid w:val="006F3C49"/>
    <w:rsid w:val="007025FB"/>
    <w:rsid w:val="00712935"/>
    <w:rsid w:val="00712A31"/>
    <w:rsid w:val="00716AA8"/>
    <w:rsid w:val="007559FA"/>
    <w:rsid w:val="0076196F"/>
    <w:rsid w:val="00763973"/>
    <w:rsid w:val="0078127C"/>
    <w:rsid w:val="00782CAF"/>
    <w:rsid w:val="00783857"/>
    <w:rsid w:val="00792FDF"/>
    <w:rsid w:val="00797E52"/>
    <w:rsid w:val="007A15F5"/>
    <w:rsid w:val="007A223C"/>
    <w:rsid w:val="007D436D"/>
    <w:rsid w:val="007E3571"/>
    <w:rsid w:val="007E650F"/>
    <w:rsid w:val="007F3EA4"/>
    <w:rsid w:val="00800CDF"/>
    <w:rsid w:val="008147DE"/>
    <w:rsid w:val="00823304"/>
    <w:rsid w:val="00825C1E"/>
    <w:rsid w:val="0082778C"/>
    <w:rsid w:val="00827BA9"/>
    <w:rsid w:val="00836437"/>
    <w:rsid w:val="008508D4"/>
    <w:rsid w:val="0088159E"/>
    <w:rsid w:val="00882665"/>
    <w:rsid w:val="00883859"/>
    <w:rsid w:val="008A1C16"/>
    <w:rsid w:val="008A2E7E"/>
    <w:rsid w:val="008A65E9"/>
    <w:rsid w:val="008B06F8"/>
    <w:rsid w:val="008C29BE"/>
    <w:rsid w:val="008C6DC2"/>
    <w:rsid w:val="008D02A5"/>
    <w:rsid w:val="008D0F57"/>
    <w:rsid w:val="008D25D5"/>
    <w:rsid w:val="008E0B46"/>
    <w:rsid w:val="008F2513"/>
    <w:rsid w:val="0090246A"/>
    <w:rsid w:val="009061A5"/>
    <w:rsid w:val="009135B0"/>
    <w:rsid w:val="009148FC"/>
    <w:rsid w:val="0091621C"/>
    <w:rsid w:val="00925AEF"/>
    <w:rsid w:val="00927B7D"/>
    <w:rsid w:val="00957F2B"/>
    <w:rsid w:val="0096036C"/>
    <w:rsid w:val="00966916"/>
    <w:rsid w:val="009825AB"/>
    <w:rsid w:val="00990709"/>
    <w:rsid w:val="00995277"/>
    <w:rsid w:val="00995CE2"/>
    <w:rsid w:val="009A1D6B"/>
    <w:rsid w:val="009B1EF2"/>
    <w:rsid w:val="009B427E"/>
    <w:rsid w:val="009C0423"/>
    <w:rsid w:val="009D5E02"/>
    <w:rsid w:val="009D67CD"/>
    <w:rsid w:val="009F513A"/>
    <w:rsid w:val="00A156A5"/>
    <w:rsid w:val="00A21A1F"/>
    <w:rsid w:val="00A22D08"/>
    <w:rsid w:val="00A62A14"/>
    <w:rsid w:val="00A75549"/>
    <w:rsid w:val="00A83092"/>
    <w:rsid w:val="00AA1ACB"/>
    <w:rsid w:val="00AA1CC4"/>
    <w:rsid w:val="00AB25B2"/>
    <w:rsid w:val="00AC6C30"/>
    <w:rsid w:val="00AE32CC"/>
    <w:rsid w:val="00AF4C8C"/>
    <w:rsid w:val="00B00B50"/>
    <w:rsid w:val="00B2024E"/>
    <w:rsid w:val="00B2224C"/>
    <w:rsid w:val="00B24914"/>
    <w:rsid w:val="00B27528"/>
    <w:rsid w:val="00B574B0"/>
    <w:rsid w:val="00B71261"/>
    <w:rsid w:val="00B80E97"/>
    <w:rsid w:val="00B82ACA"/>
    <w:rsid w:val="00BA3D20"/>
    <w:rsid w:val="00BA6CED"/>
    <w:rsid w:val="00BC0723"/>
    <w:rsid w:val="00BC7508"/>
    <w:rsid w:val="00BD27A3"/>
    <w:rsid w:val="00BF107B"/>
    <w:rsid w:val="00BF181F"/>
    <w:rsid w:val="00C339E0"/>
    <w:rsid w:val="00C56288"/>
    <w:rsid w:val="00C6208A"/>
    <w:rsid w:val="00C84188"/>
    <w:rsid w:val="00C8585B"/>
    <w:rsid w:val="00CA35C3"/>
    <w:rsid w:val="00CC783C"/>
    <w:rsid w:val="00CD2BC3"/>
    <w:rsid w:val="00CD38F2"/>
    <w:rsid w:val="00CF6955"/>
    <w:rsid w:val="00D04E10"/>
    <w:rsid w:val="00D05242"/>
    <w:rsid w:val="00D146DE"/>
    <w:rsid w:val="00D16A8A"/>
    <w:rsid w:val="00D36D1C"/>
    <w:rsid w:val="00D57C55"/>
    <w:rsid w:val="00D73DE9"/>
    <w:rsid w:val="00D81DCA"/>
    <w:rsid w:val="00DA0DF5"/>
    <w:rsid w:val="00DA12A9"/>
    <w:rsid w:val="00DC6B4A"/>
    <w:rsid w:val="00DD0448"/>
    <w:rsid w:val="00DD18E3"/>
    <w:rsid w:val="00DD2FE5"/>
    <w:rsid w:val="00E03EC1"/>
    <w:rsid w:val="00E066E2"/>
    <w:rsid w:val="00E15EBD"/>
    <w:rsid w:val="00E21953"/>
    <w:rsid w:val="00E36B30"/>
    <w:rsid w:val="00E42D73"/>
    <w:rsid w:val="00E54B17"/>
    <w:rsid w:val="00E650C0"/>
    <w:rsid w:val="00E65CF9"/>
    <w:rsid w:val="00E83573"/>
    <w:rsid w:val="00E90129"/>
    <w:rsid w:val="00E912D0"/>
    <w:rsid w:val="00EA1598"/>
    <w:rsid w:val="00EA1906"/>
    <w:rsid w:val="00EA4D09"/>
    <w:rsid w:val="00EA7584"/>
    <w:rsid w:val="00EB1FFA"/>
    <w:rsid w:val="00EC1AD7"/>
    <w:rsid w:val="00ED2B18"/>
    <w:rsid w:val="00EE3CD8"/>
    <w:rsid w:val="00EF03DD"/>
    <w:rsid w:val="00EF6C20"/>
    <w:rsid w:val="00F10447"/>
    <w:rsid w:val="00F2116D"/>
    <w:rsid w:val="00F24B38"/>
    <w:rsid w:val="00F31C7F"/>
    <w:rsid w:val="00F408F8"/>
    <w:rsid w:val="00F44879"/>
    <w:rsid w:val="00F473A2"/>
    <w:rsid w:val="00F56299"/>
    <w:rsid w:val="00F577C0"/>
    <w:rsid w:val="00F73BEE"/>
    <w:rsid w:val="00F82AF2"/>
    <w:rsid w:val="00F877DA"/>
    <w:rsid w:val="00FA20F9"/>
    <w:rsid w:val="00FC041C"/>
    <w:rsid w:val="00FC6208"/>
    <w:rsid w:val="00FC6354"/>
    <w:rsid w:val="00FE4689"/>
    <w:rsid w:val="00FE5419"/>
    <w:rsid w:val="00FE5C5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D81DCA"/>
  </w:style>
  <w:style w:type="table" w:customStyle="1" w:styleId="Tabladelista2-nfasis61">
    <w:name w:val="Tabla de lista 2 - Énfasis 61"/>
    <w:basedOn w:val="Tablanormal"/>
    <w:uiPriority w:val="47"/>
    <w:rsid w:val="008D0F57"/>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6concolores1">
    <w:name w:val="Tabla de cuadrícula 6 con colores1"/>
    <w:basedOn w:val="Tablanormal"/>
    <w:uiPriority w:val="51"/>
    <w:rsid w:val="008D0F57"/>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angradetextonormal">
    <w:name w:val="Body Text Indent"/>
    <w:basedOn w:val="Normal"/>
    <w:link w:val="SangradetextonormalCar"/>
    <w:rsid w:val="001D77DD"/>
    <w:pPr>
      <w:tabs>
        <w:tab w:val="left" w:pos="360"/>
      </w:tabs>
      <w:spacing w:after="0" w:line="240" w:lineRule="auto"/>
      <w:ind w:left="2832"/>
    </w:pPr>
    <w:rPr>
      <w:rFonts w:ascii="Arial" w:eastAsia="Times New Roman" w:hAnsi="Arial" w:cs="Times New Roman"/>
      <w:b/>
      <w:sz w:val="24"/>
      <w:szCs w:val="20"/>
      <w:lang w:eastAsia="es-ES"/>
    </w:rPr>
  </w:style>
  <w:style w:type="character" w:customStyle="1" w:styleId="SangradetextonormalCar">
    <w:name w:val="Sangría de texto normal Car"/>
    <w:basedOn w:val="Fuentedeprrafopredeter"/>
    <w:link w:val="Sangradetextonormal"/>
    <w:rsid w:val="001D77DD"/>
    <w:rPr>
      <w:rFonts w:ascii="Arial" w:eastAsia="Times New Roman" w:hAnsi="Arial" w:cs="Times New Roman"/>
      <w:b/>
      <w:sz w:val="24"/>
      <w:szCs w:val="20"/>
      <w:lang w:eastAsia="es-ES"/>
    </w:rPr>
  </w:style>
  <w:style w:type="character" w:customStyle="1" w:styleId="A1">
    <w:name w:val="A1"/>
    <w:uiPriority w:val="99"/>
    <w:rsid w:val="00F24B38"/>
    <w:rPr>
      <w:rFonts w:ascii="Verdana" w:hAnsi="Verdana" w:cs="Verdana"/>
      <w:b/>
      <w:bCs/>
      <w:color w:val="221E1F"/>
      <w:sz w:val="28"/>
      <w:szCs w:val="28"/>
    </w:rPr>
  </w:style>
  <w:style w:type="character" w:styleId="CdigoHTML">
    <w:name w:val="HTML Code"/>
    <w:basedOn w:val="Fuentedeprrafopredeter"/>
    <w:uiPriority w:val="99"/>
    <w:semiHidden/>
    <w:unhideWhenUsed/>
    <w:rsid w:val="00F24B38"/>
    <w:rPr>
      <w:rFonts w:ascii="Courier New" w:eastAsia="Times New Roman" w:hAnsi="Courier New" w:cs="Courier New"/>
      <w:sz w:val="20"/>
      <w:szCs w:val="20"/>
    </w:rPr>
  </w:style>
  <w:style w:type="paragraph" w:styleId="HTMLconformatoprevio">
    <w:name w:val="HTML Preformatted"/>
    <w:basedOn w:val="Normal"/>
    <w:link w:val="HTMLconformatoprevioCar"/>
    <w:uiPriority w:val="99"/>
    <w:unhideWhenUsed/>
    <w:rsid w:val="005B20D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5B20DB"/>
    <w:rPr>
      <w:rFonts w:ascii="Consolas" w:hAnsi="Consolas" w:cs="Consolas"/>
      <w:sz w:val="20"/>
      <w:szCs w:val="20"/>
    </w:rPr>
  </w:style>
  <w:style w:type="paragraph" w:customStyle="1" w:styleId="Default">
    <w:name w:val="Default"/>
    <w:rsid w:val="0048740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1C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D81DCA"/>
  </w:style>
  <w:style w:type="table" w:customStyle="1" w:styleId="Tabladelista2-nfasis61">
    <w:name w:val="Tabla de lista 2 - Énfasis 61"/>
    <w:basedOn w:val="Tablanormal"/>
    <w:uiPriority w:val="47"/>
    <w:rsid w:val="008D0F57"/>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6concolores1">
    <w:name w:val="Tabla de cuadrícula 6 con colores1"/>
    <w:basedOn w:val="Tablanormal"/>
    <w:uiPriority w:val="51"/>
    <w:rsid w:val="008D0F57"/>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angradetextonormal">
    <w:name w:val="Body Text Indent"/>
    <w:basedOn w:val="Normal"/>
    <w:link w:val="SangradetextonormalCar"/>
    <w:rsid w:val="001D77DD"/>
    <w:pPr>
      <w:tabs>
        <w:tab w:val="left" w:pos="360"/>
      </w:tabs>
      <w:spacing w:after="0" w:line="240" w:lineRule="auto"/>
      <w:ind w:left="2832"/>
    </w:pPr>
    <w:rPr>
      <w:rFonts w:ascii="Arial" w:eastAsia="Times New Roman" w:hAnsi="Arial" w:cs="Times New Roman"/>
      <w:b/>
      <w:sz w:val="24"/>
      <w:szCs w:val="20"/>
      <w:lang w:eastAsia="es-ES"/>
    </w:rPr>
  </w:style>
  <w:style w:type="character" w:customStyle="1" w:styleId="SangradetextonormalCar">
    <w:name w:val="Sangría de texto normal Car"/>
    <w:basedOn w:val="Fuentedeprrafopredeter"/>
    <w:link w:val="Sangradetextonormal"/>
    <w:rsid w:val="001D77DD"/>
    <w:rPr>
      <w:rFonts w:ascii="Arial" w:eastAsia="Times New Roman" w:hAnsi="Arial" w:cs="Times New Roman"/>
      <w:b/>
      <w:sz w:val="24"/>
      <w:szCs w:val="20"/>
      <w:lang w:eastAsia="es-ES"/>
    </w:rPr>
  </w:style>
  <w:style w:type="character" w:customStyle="1" w:styleId="A1">
    <w:name w:val="A1"/>
    <w:uiPriority w:val="99"/>
    <w:rsid w:val="00F24B38"/>
    <w:rPr>
      <w:rFonts w:ascii="Verdana" w:hAnsi="Verdana" w:cs="Verdana"/>
      <w:b/>
      <w:bCs/>
      <w:color w:val="221E1F"/>
      <w:sz w:val="28"/>
      <w:szCs w:val="28"/>
    </w:rPr>
  </w:style>
  <w:style w:type="character" w:styleId="CdigoHTML">
    <w:name w:val="HTML Code"/>
    <w:basedOn w:val="Fuentedeprrafopredeter"/>
    <w:uiPriority w:val="99"/>
    <w:semiHidden/>
    <w:unhideWhenUsed/>
    <w:rsid w:val="00F24B38"/>
    <w:rPr>
      <w:rFonts w:ascii="Courier New" w:eastAsia="Times New Roman" w:hAnsi="Courier New" w:cs="Courier New"/>
      <w:sz w:val="20"/>
      <w:szCs w:val="20"/>
    </w:rPr>
  </w:style>
  <w:style w:type="paragraph" w:styleId="HTMLconformatoprevio">
    <w:name w:val="HTML Preformatted"/>
    <w:basedOn w:val="Normal"/>
    <w:link w:val="HTMLconformatoprevioCar"/>
    <w:uiPriority w:val="99"/>
    <w:unhideWhenUsed/>
    <w:rsid w:val="005B20D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5B20DB"/>
    <w:rPr>
      <w:rFonts w:ascii="Consolas" w:hAnsi="Consolas" w:cs="Consolas"/>
      <w:sz w:val="20"/>
      <w:szCs w:val="20"/>
    </w:rPr>
  </w:style>
  <w:style w:type="paragraph" w:customStyle="1" w:styleId="Default">
    <w:name w:val="Default"/>
    <w:rsid w:val="0048740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1C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19432">
      <w:bodyDiv w:val="1"/>
      <w:marLeft w:val="0"/>
      <w:marRight w:val="0"/>
      <w:marTop w:val="0"/>
      <w:marBottom w:val="0"/>
      <w:divBdr>
        <w:top w:val="none" w:sz="0" w:space="0" w:color="auto"/>
        <w:left w:val="none" w:sz="0" w:space="0" w:color="auto"/>
        <w:bottom w:val="none" w:sz="0" w:space="0" w:color="auto"/>
        <w:right w:val="none" w:sz="0" w:space="0" w:color="auto"/>
      </w:divBdr>
    </w:div>
    <w:div w:id="1202665021">
      <w:bodyDiv w:val="1"/>
      <w:marLeft w:val="0"/>
      <w:marRight w:val="0"/>
      <w:marTop w:val="0"/>
      <w:marBottom w:val="0"/>
      <w:divBdr>
        <w:top w:val="none" w:sz="0" w:space="0" w:color="auto"/>
        <w:left w:val="none" w:sz="0" w:space="0" w:color="auto"/>
        <w:bottom w:val="none" w:sz="0" w:space="0" w:color="auto"/>
        <w:right w:val="none" w:sz="0" w:space="0" w:color="auto"/>
      </w:divBdr>
    </w:div>
    <w:div w:id="1556349467">
      <w:bodyDiv w:val="1"/>
      <w:marLeft w:val="0"/>
      <w:marRight w:val="0"/>
      <w:marTop w:val="0"/>
      <w:marBottom w:val="0"/>
      <w:divBdr>
        <w:top w:val="none" w:sz="0" w:space="0" w:color="auto"/>
        <w:left w:val="none" w:sz="0" w:space="0" w:color="auto"/>
        <w:bottom w:val="none" w:sz="0" w:space="0" w:color="auto"/>
        <w:right w:val="none" w:sz="0" w:space="0" w:color="auto"/>
      </w:divBdr>
      <w:divsChild>
        <w:div w:id="1381830743">
          <w:marLeft w:val="0"/>
          <w:marRight w:val="0"/>
          <w:marTop w:val="0"/>
          <w:marBottom w:val="0"/>
          <w:divBdr>
            <w:top w:val="none" w:sz="0" w:space="0" w:color="auto"/>
            <w:left w:val="none" w:sz="0" w:space="0" w:color="auto"/>
            <w:bottom w:val="none" w:sz="0" w:space="0" w:color="auto"/>
            <w:right w:val="none" w:sz="0" w:space="0" w:color="auto"/>
          </w:divBdr>
          <w:divsChild>
            <w:div w:id="19889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o@uclv.edu.c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duccion-animal.com.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varoa@uclv.edu.cu" TargetMode="External"/><Relationship Id="rId4" Type="http://schemas.openxmlformats.org/officeDocument/2006/relationships/settings" Target="settings.xml"/><Relationship Id="rId9" Type="http://schemas.openxmlformats.org/officeDocument/2006/relationships/hyperlink" Target="mailto:marisolgp@uclv.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4746</Words>
  <Characters>26107</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Pedro Yoelvys De La Fe Rodriguez</cp:lastModifiedBy>
  <cp:revision>3</cp:revision>
  <cp:lastPrinted>2017-03-02T19:45:00Z</cp:lastPrinted>
  <dcterms:created xsi:type="dcterms:W3CDTF">2019-05-03T19:55:00Z</dcterms:created>
  <dcterms:modified xsi:type="dcterms:W3CDTF">2019-05-03T19:55:00Z</dcterms:modified>
</cp:coreProperties>
</file>