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57A" w:rsidRPr="009D5E02" w:rsidRDefault="00032EE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CONFERENCIA CIENTFI</w:t>
      </w:r>
      <w:r w:rsidR="0082457A" w:rsidRPr="0082457A">
        <w:rPr>
          <w:rFonts w:ascii="Times New Roman" w:hAnsi="Times New Roman" w:cs="Times New Roman"/>
          <w:b/>
          <w:sz w:val="28"/>
          <w:szCs w:val="28"/>
        </w:rPr>
        <w:t>CA INTERNACIONAL DESARROLLO AGROPECUARIO Y SOSTENIBILIDAD AGROCENTRO 2019</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2457A" w:rsidRPr="009D5E02" w:rsidRDefault="00A371E0" w:rsidP="00667F10">
      <w:pPr>
        <w:spacing w:after="0"/>
        <w:jc w:val="center"/>
        <w:rPr>
          <w:rFonts w:ascii="Times New Roman" w:hAnsi="Times New Roman" w:cs="Times New Roman"/>
          <w:b/>
          <w:sz w:val="28"/>
          <w:szCs w:val="28"/>
        </w:rPr>
      </w:pPr>
      <w:r w:rsidRPr="00A371E0">
        <w:rPr>
          <w:rFonts w:ascii="Times New Roman" w:hAnsi="Times New Roman" w:cs="Times New Roman"/>
          <w:b/>
          <w:sz w:val="28"/>
          <w:szCs w:val="28"/>
        </w:rPr>
        <w:t>IMPACTOS DEL MANEJO INTEGRADO DEL SUELO EN CONDICIONES DE UN POLÍGONO DEMOSTRATIVO</w:t>
      </w:r>
    </w:p>
    <w:p w:rsidR="00E912D0" w:rsidRDefault="00E912D0" w:rsidP="00667F10">
      <w:pPr>
        <w:spacing w:after="0"/>
        <w:jc w:val="center"/>
        <w:rPr>
          <w:rFonts w:ascii="Times New Roman" w:hAnsi="Times New Roman" w:cs="Times New Roman"/>
          <w:b/>
          <w:i/>
          <w:sz w:val="24"/>
          <w:szCs w:val="24"/>
        </w:rPr>
      </w:pPr>
    </w:p>
    <w:p w:rsidR="0082457A" w:rsidRDefault="008A1C16" w:rsidP="00667F10">
      <w:pPr>
        <w:spacing w:after="0"/>
        <w:jc w:val="center"/>
        <w:rPr>
          <w:lang w:val="en-US"/>
        </w:rPr>
      </w:pPr>
      <w:r w:rsidRPr="0082457A">
        <w:rPr>
          <w:rFonts w:ascii="Times New Roman" w:hAnsi="Times New Roman" w:cs="Times New Roman"/>
          <w:b/>
          <w:i/>
          <w:sz w:val="28"/>
          <w:szCs w:val="28"/>
          <w:lang w:val="en-US"/>
        </w:rPr>
        <w:t>Title</w:t>
      </w:r>
      <w:r w:rsidR="0082457A" w:rsidRPr="0082457A">
        <w:rPr>
          <w:lang w:val="en-US"/>
        </w:rPr>
        <w:t xml:space="preserve"> </w:t>
      </w:r>
    </w:p>
    <w:p w:rsidR="009D5E02" w:rsidRPr="00A371E0" w:rsidRDefault="00A371E0" w:rsidP="00A371E0">
      <w:pPr>
        <w:spacing w:after="0" w:line="360" w:lineRule="auto"/>
        <w:jc w:val="center"/>
        <w:rPr>
          <w:rFonts w:ascii="Times New Roman" w:hAnsi="Times New Roman" w:cs="Times New Roman"/>
          <w:b/>
          <w:sz w:val="24"/>
          <w:szCs w:val="24"/>
          <w:lang w:val="en-US"/>
        </w:rPr>
      </w:pPr>
      <w:r w:rsidRPr="00A371E0">
        <w:rPr>
          <w:rFonts w:ascii="Times New Roman" w:hAnsi="Times New Roman" w:cs="Times New Roman"/>
          <w:b/>
          <w:i/>
          <w:sz w:val="28"/>
          <w:szCs w:val="28"/>
          <w:lang w:val="en-US"/>
        </w:rPr>
        <w:t>IMPACTS OF INTEGRATED SOIL MANAGEMENT IN CONDITIONS OF A DEMONSTRATIVE POLYGON</w:t>
      </w:r>
    </w:p>
    <w:p w:rsidR="002E0882" w:rsidRPr="00A371E0" w:rsidRDefault="002E0882" w:rsidP="00FF3346">
      <w:pPr>
        <w:spacing w:after="0" w:line="360" w:lineRule="auto"/>
        <w:rPr>
          <w:rFonts w:ascii="Times New Roman" w:hAnsi="Times New Roman" w:cs="Times New Roman"/>
          <w:sz w:val="24"/>
          <w:szCs w:val="24"/>
          <w:lang w:val="en-US"/>
        </w:rPr>
      </w:pPr>
    </w:p>
    <w:p w:rsidR="0082457A" w:rsidRDefault="00A371E0" w:rsidP="0082457A">
      <w:pPr>
        <w:spacing w:after="0" w:line="360" w:lineRule="auto"/>
        <w:rPr>
          <w:rFonts w:ascii="Times New Roman" w:hAnsi="Times New Roman" w:cs="Times New Roman"/>
          <w:bCs/>
          <w:iCs/>
          <w:sz w:val="24"/>
          <w:szCs w:val="24"/>
        </w:rPr>
      </w:pPr>
      <w:r w:rsidRPr="00D935D8">
        <w:rPr>
          <w:rFonts w:ascii="Times New Roman" w:eastAsia="Times New Roman" w:hAnsi="Times New Roman"/>
          <w:bCs/>
          <w:sz w:val="24"/>
          <w:szCs w:val="24"/>
          <w:lang w:eastAsia="es-ES"/>
        </w:rPr>
        <w:t xml:space="preserve">María de </w:t>
      </w:r>
      <w:r>
        <w:rPr>
          <w:rFonts w:ascii="Times New Roman" w:eastAsia="Times New Roman" w:hAnsi="Times New Roman"/>
          <w:bCs/>
          <w:sz w:val="24"/>
          <w:szCs w:val="24"/>
          <w:lang w:eastAsia="es-ES"/>
        </w:rPr>
        <w:t>l</w:t>
      </w:r>
      <w:r w:rsidRPr="00D935D8">
        <w:rPr>
          <w:rFonts w:ascii="Times New Roman" w:eastAsia="Times New Roman" w:hAnsi="Times New Roman"/>
          <w:bCs/>
          <w:sz w:val="24"/>
          <w:szCs w:val="24"/>
          <w:lang w:eastAsia="es-ES"/>
        </w:rPr>
        <w:t>a Caridad Segredo Díaz</w:t>
      </w:r>
      <w:r>
        <w:rPr>
          <w:rFonts w:ascii="Times New Roman" w:eastAsia="Times New Roman" w:hAnsi="Times New Roman"/>
          <w:bCs/>
          <w:sz w:val="24"/>
          <w:szCs w:val="24"/>
          <w:lang w:eastAsia="es-ES"/>
        </w:rPr>
        <w:t xml:space="preserve"> </w:t>
      </w:r>
      <w:r w:rsidRPr="00A371E0">
        <w:rPr>
          <w:rFonts w:ascii="Times New Roman" w:eastAsia="Times New Roman" w:hAnsi="Times New Roman"/>
          <w:bCs/>
          <w:sz w:val="24"/>
          <w:szCs w:val="24"/>
          <w:vertAlign w:val="superscript"/>
          <w:lang w:eastAsia="es-ES"/>
        </w:rPr>
        <w:t>1</w:t>
      </w:r>
      <w:r>
        <w:rPr>
          <w:rFonts w:ascii="Times New Roman" w:hAnsi="Times New Roman" w:cs="Times New Roman"/>
          <w:sz w:val="24"/>
          <w:szCs w:val="24"/>
        </w:rPr>
        <w:t>,</w:t>
      </w:r>
      <w:r w:rsidR="00415501">
        <w:rPr>
          <w:rFonts w:ascii="Times New Roman" w:hAnsi="Times New Roman" w:cs="Times New Roman"/>
          <w:sz w:val="24"/>
          <w:szCs w:val="24"/>
        </w:rPr>
        <w:t xml:space="preserve"> </w:t>
      </w:r>
      <w:r w:rsidR="00391BDB" w:rsidRPr="0082457A">
        <w:rPr>
          <w:rFonts w:ascii="Times New Roman" w:hAnsi="Times New Roman" w:cs="Times New Roman"/>
          <w:sz w:val="24"/>
          <w:szCs w:val="24"/>
        </w:rPr>
        <w:t>Elvis</w:t>
      </w:r>
      <w:r w:rsidR="00391BDB" w:rsidRPr="0082457A">
        <w:rPr>
          <w:rFonts w:ascii="Times New Roman" w:hAnsi="Times New Roman" w:cs="Times New Roman"/>
          <w:sz w:val="24"/>
          <w:szCs w:val="24"/>
          <w:vertAlign w:val="superscript"/>
        </w:rPr>
        <w:t xml:space="preserve"> </w:t>
      </w:r>
      <w:r w:rsidR="0082457A" w:rsidRPr="0082457A">
        <w:rPr>
          <w:rFonts w:ascii="Times New Roman" w:hAnsi="Times New Roman" w:cs="Times New Roman"/>
          <w:sz w:val="24"/>
          <w:szCs w:val="24"/>
        </w:rPr>
        <w:t>López Bravo</w:t>
      </w:r>
      <w:r>
        <w:rPr>
          <w:rFonts w:ascii="Times New Roman" w:hAnsi="Times New Roman" w:cs="Times New Roman"/>
          <w:sz w:val="24"/>
          <w:szCs w:val="24"/>
          <w:vertAlign w:val="superscript"/>
        </w:rPr>
        <w:t>2</w:t>
      </w:r>
      <w:r w:rsidR="007075DF">
        <w:rPr>
          <w:rFonts w:ascii="Times New Roman" w:hAnsi="Times New Roman" w:cs="Times New Roman"/>
          <w:bCs/>
          <w:iCs/>
          <w:sz w:val="24"/>
          <w:szCs w:val="24"/>
        </w:rPr>
        <w:t>.</w:t>
      </w:r>
    </w:p>
    <w:p w:rsidR="00A371E0" w:rsidRPr="00A87B06" w:rsidRDefault="00A371E0" w:rsidP="0082457A">
      <w:pPr>
        <w:spacing w:after="0" w:line="360" w:lineRule="auto"/>
        <w:rPr>
          <w:rFonts w:ascii="Times New Roman" w:hAnsi="Times New Roman" w:cs="Times New Roman"/>
          <w:bCs/>
          <w:iCs/>
          <w:sz w:val="24"/>
          <w:szCs w:val="24"/>
          <w:vertAlign w:val="superscript"/>
        </w:rPr>
      </w:pPr>
    </w:p>
    <w:p w:rsidR="00A87B06" w:rsidRDefault="00A371E0" w:rsidP="00A371E0">
      <w:pPr>
        <w:spacing w:after="0" w:line="360" w:lineRule="auto"/>
        <w:rPr>
          <w:rFonts w:ascii="Times New Roman" w:hAnsi="Times New Roman" w:cs="Times New Roman"/>
          <w:bCs/>
          <w:iCs/>
          <w:sz w:val="24"/>
          <w:szCs w:val="24"/>
        </w:rPr>
      </w:pPr>
      <w:r>
        <w:rPr>
          <w:rFonts w:ascii="Times New Roman" w:hAnsi="Times New Roman" w:cs="Times New Roman"/>
          <w:bCs/>
          <w:iCs/>
          <w:sz w:val="24"/>
          <w:szCs w:val="24"/>
          <w:vertAlign w:val="superscript"/>
        </w:rPr>
        <w:t>1</w:t>
      </w:r>
      <w:r w:rsidRPr="00391BDB">
        <w:rPr>
          <w:rFonts w:ascii="Times New Roman" w:hAnsi="Times New Roman" w:cs="Times New Roman"/>
          <w:bCs/>
          <w:iCs/>
          <w:sz w:val="24"/>
          <w:szCs w:val="24"/>
          <w:vertAlign w:val="superscript"/>
        </w:rPr>
        <w:t xml:space="preserve"> </w:t>
      </w:r>
      <w:r w:rsidRPr="00A87B06">
        <w:rPr>
          <w:rFonts w:ascii="Times New Roman" w:hAnsi="Times New Roman" w:cs="Times New Roman"/>
          <w:bCs/>
          <w:iCs/>
          <w:sz w:val="24"/>
          <w:szCs w:val="24"/>
        </w:rPr>
        <w:t xml:space="preserve">Delegación  Provincial de la Agricultura, Santi Spíritus, Cuba, </w:t>
      </w:r>
    </w:p>
    <w:p w:rsidR="00A87B06" w:rsidRDefault="00AF3163" w:rsidP="00A371E0">
      <w:pPr>
        <w:spacing w:after="0" w:line="360" w:lineRule="auto"/>
        <w:rPr>
          <w:rFonts w:ascii="Times New Roman" w:hAnsi="Times New Roman" w:cs="Times New Roman"/>
          <w:bCs/>
          <w:iCs/>
          <w:sz w:val="24"/>
          <w:szCs w:val="24"/>
        </w:rPr>
      </w:pPr>
      <w:hyperlink r:id="rId7" w:history="1">
        <w:r w:rsidR="00A87B06" w:rsidRPr="00B36907">
          <w:rPr>
            <w:rStyle w:val="Hipervnculo"/>
            <w:rFonts w:ascii="Times New Roman" w:hAnsi="Times New Roman" w:cs="Times New Roman"/>
            <w:bCs/>
            <w:iCs/>
            <w:sz w:val="24"/>
            <w:szCs w:val="24"/>
          </w:rPr>
          <w:t>esp-suelos2@ctiss.ssp.minag.gob.cu</w:t>
        </w:r>
      </w:hyperlink>
      <w:r w:rsidR="00A371E0" w:rsidRPr="00A87B06">
        <w:rPr>
          <w:rFonts w:ascii="Times New Roman" w:hAnsi="Times New Roman" w:cs="Times New Roman"/>
          <w:bCs/>
          <w:iCs/>
          <w:sz w:val="24"/>
          <w:szCs w:val="24"/>
        </w:rPr>
        <w:t>.</w:t>
      </w:r>
    </w:p>
    <w:p w:rsidR="007075DF" w:rsidRPr="00391BDB" w:rsidRDefault="00A371E0" w:rsidP="0082457A">
      <w:pPr>
        <w:spacing w:after="0" w:line="360" w:lineRule="auto"/>
        <w:rPr>
          <w:rStyle w:val="Hipervnculo"/>
          <w:rFonts w:ascii="Times New Roman" w:hAnsi="Times New Roman" w:cs="Times New Roman"/>
          <w:bCs/>
          <w:iCs/>
          <w:sz w:val="24"/>
          <w:szCs w:val="24"/>
        </w:rPr>
      </w:pPr>
      <w:r>
        <w:rPr>
          <w:rFonts w:ascii="Times New Roman" w:hAnsi="Times New Roman" w:cs="Times New Roman"/>
          <w:bCs/>
          <w:iCs/>
          <w:sz w:val="24"/>
          <w:szCs w:val="24"/>
          <w:vertAlign w:val="superscript"/>
        </w:rPr>
        <w:t>2</w:t>
      </w:r>
      <w:r w:rsidR="0082457A" w:rsidRPr="00391BDB">
        <w:rPr>
          <w:rFonts w:ascii="Times New Roman" w:hAnsi="Times New Roman" w:cs="Times New Roman"/>
          <w:bCs/>
          <w:iCs/>
          <w:sz w:val="24"/>
          <w:szCs w:val="24"/>
        </w:rPr>
        <w:t xml:space="preserve"> Universidad Central Marta Abreu de las Villas, VC, Cuba, </w:t>
      </w:r>
      <w:hyperlink r:id="rId8" w:history="1">
        <w:r w:rsidR="0082457A" w:rsidRPr="00391BDB">
          <w:rPr>
            <w:rStyle w:val="Hipervnculo"/>
            <w:rFonts w:ascii="Times New Roman" w:hAnsi="Times New Roman" w:cs="Times New Roman"/>
            <w:bCs/>
            <w:iCs/>
            <w:sz w:val="24"/>
            <w:szCs w:val="24"/>
          </w:rPr>
          <w:t>elvislb@uclv.edu.cu</w:t>
        </w:r>
      </w:hyperlink>
    </w:p>
    <w:p w:rsidR="00E912D0" w:rsidRDefault="00E912D0" w:rsidP="00FF3346">
      <w:pPr>
        <w:spacing w:after="0" w:line="360" w:lineRule="auto"/>
        <w:rPr>
          <w:rFonts w:ascii="Times New Roman" w:hAnsi="Times New Roman" w:cs="Times New Roman"/>
          <w:b/>
          <w:sz w:val="24"/>
          <w:szCs w:val="24"/>
        </w:rPr>
      </w:pPr>
    </w:p>
    <w:p w:rsidR="007075DF" w:rsidRDefault="008A1C16" w:rsidP="007075D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6279C2" w:rsidRPr="006279C2">
        <w:rPr>
          <w:rFonts w:ascii="Times New Roman" w:hAnsi="Times New Roman" w:cs="Times New Roman"/>
          <w:sz w:val="24"/>
          <w:szCs w:val="24"/>
        </w:rPr>
        <w:t xml:space="preserve">El presente trabajo tiene el objetivo aplicar un  manejo integrado del suelo en condiciones de un polígono demostrativo que propicie el mejoramiento de su capacidad agroproductiva. Se realizó un diagnóstico inicial de los factores limitantes de los suelos, estado de la cobertura boscosa, recursos hídricos y la maquinaria agrícola. Se elaboró una estrategia bajo los principios del manejo sostenible de tierra. Se definieron 5 fincas a trabajar, ubicadas dentro de la cuenca zaza, con un área de 394,27 ha. Para validar los resultados, se estudian indicadores de impactos económicos, sociales, tecnológicos y ambientales. En los años de evaluación, se aprecian resultados favorables: Disminución del costo por peso promedio en 13 centavos y aumento en los rendimientos medios de granos de +0.4 </w:t>
      </w:r>
      <w:proofErr w:type="spellStart"/>
      <w:r w:rsidR="006279C2" w:rsidRPr="006279C2">
        <w:rPr>
          <w:rFonts w:ascii="Times New Roman" w:hAnsi="Times New Roman" w:cs="Times New Roman"/>
          <w:sz w:val="24"/>
          <w:szCs w:val="24"/>
        </w:rPr>
        <w:t>t.ha</w:t>
      </w:r>
      <w:proofErr w:type="spellEnd"/>
      <w:r w:rsidR="006279C2" w:rsidRPr="006279C2">
        <w:rPr>
          <w:rFonts w:ascii="Times New Roman" w:hAnsi="Times New Roman" w:cs="Times New Roman"/>
          <w:sz w:val="24"/>
          <w:szCs w:val="24"/>
        </w:rPr>
        <w:t xml:space="preserve">, frutas de + 4.05 </w:t>
      </w:r>
      <w:proofErr w:type="spellStart"/>
      <w:r w:rsidR="006279C2" w:rsidRPr="006279C2">
        <w:rPr>
          <w:rFonts w:ascii="Times New Roman" w:hAnsi="Times New Roman" w:cs="Times New Roman"/>
          <w:sz w:val="24"/>
          <w:szCs w:val="24"/>
        </w:rPr>
        <w:t>t.ha</w:t>
      </w:r>
      <w:proofErr w:type="spellEnd"/>
      <w:r w:rsidR="006279C2" w:rsidRPr="006279C2">
        <w:rPr>
          <w:rFonts w:ascii="Times New Roman" w:hAnsi="Times New Roman" w:cs="Times New Roman"/>
          <w:sz w:val="24"/>
          <w:szCs w:val="24"/>
        </w:rPr>
        <w:t xml:space="preserve">, indicando incremento en la eficiencia y rentabilidad productiva; incrementos en producción y uso de abonos orgánicos y </w:t>
      </w:r>
      <w:proofErr w:type="spellStart"/>
      <w:r w:rsidR="006279C2" w:rsidRPr="006279C2">
        <w:rPr>
          <w:rFonts w:ascii="Times New Roman" w:hAnsi="Times New Roman" w:cs="Times New Roman"/>
          <w:sz w:val="24"/>
          <w:szCs w:val="24"/>
        </w:rPr>
        <w:lastRenderedPageBreak/>
        <w:t>biofertilizantes</w:t>
      </w:r>
      <w:proofErr w:type="spellEnd"/>
      <w:r w:rsidR="006279C2" w:rsidRPr="006279C2">
        <w:rPr>
          <w:rFonts w:ascii="Times New Roman" w:hAnsi="Times New Roman" w:cs="Times New Roman"/>
          <w:sz w:val="24"/>
          <w:szCs w:val="24"/>
        </w:rPr>
        <w:t xml:space="preserve"> como elementos menos agresivos sobre el entorno; incremento de la superficie agrícola beneficiada, así como  el sedimento retenido por el establecimiento de medidas antierosivas; incrementos de la diversidad biológica al introducir 37 especies de planta, sembrar 3875 árboles de 13 especies forestales y frutales.</w:t>
      </w:r>
    </w:p>
    <w:p w:rsidR="007075DF" w:rsidRDefault="007075DF" w:rsidP="00FF3346">
      <w:pPr>
        <w:spacing w:after="0" w:line="360" w:lineRule="auto"/>
        <w:jc w:val="both"/>
        <w:rPr>
          <w:rFonts w:ascii="Times New Roman" w:hAnsi="Times New Roman" w:cs="Times New Roman"/>
          <w:b/>
          <w:sz w:val="24"/>
          <w:szCs w:val="24"/>
        </w:rPr>
      </w:pPr>
    </w:p>
    <w:p w:rsidR="009061A5" w:rsidRPr="00A371E0" w:rsidRDefault="009061A5" w:rsidP="00FF3346">
      <w:pPr>
        <w:spacing w:after="0" w:line="360" w:lineRule="auto"/>
        <w:jc w:val="both"/>
        <w:rPr>
          <w:rFonts w:ascii="Times New Roman" w:hAnsi="Times New Roman" w:cs="Times New Roman"/>
          <w:sz w:val="24"/>
          <w:szCs w:val="24"/>
          <w:lang w:val="en-US"/>
        </w:rPr>
      </w:pPr>
      <w:r w:rsidRPr="00A371E0">
        <w:rPr>
          <w:rFonts w:ascii="Times New Roman" w:hAnsi="Times New Roman" w:cs="Times New Roman"/>
          <w:b/>
          <w:i/>
          <w:sz w:val="24"/>
          <w:szCs w:val="24"/>
          <w:lang w:val="en-US"/>
        </w:rPr>
        <w:t>Abstract:</w:t>
      </w:r>
      <w:r w:rsidRPr="00A371E0">
        <w:rPr>
          <w:rFonts w:ascii="Times New Roman" w:hAnsi="Times New Roman" w:cs="Times New Roman"/>
          <w:sz w:val="24"/>
          <w:szCs w:val="24"/>
          <w:lang w:val="en-US"/>
        </w:rPr>
        <w:t xml:space="preserve"> </w:t>
      </w:r>
    </w:p>
    <w:p w:rsidR="009061A5" w:rsidRPr="007075DF" w:rsidRDefault="00C17081" w:rsidP="00FF3346">
      <w:pPr>
        <w:spacing w:after="0" w:line="360" w:lineRule="auto"/>
        <w:jc w:val="both"/>
        <w:rPr>
          <w:rFonts w:ascii="Times New Roman" w:hAnsi="Times New Roman" w:cs="Times New Roman"/>
          <w:i/>
          <w:sz w:val="24"/>
          <w:szCs w:val="24"/>
          <w:lang w:val="en-US"/>
        </w:rPr>
      </w:pPr>
      <w:r w:rsidRPr="00C17081">
        <w:rPr>
          <w:rFonts w:ascii="Times New Roman" w:hAnsi="Times New Roman" w:cs="Times New Roman"/>
          <w:i/>
          <w:sz w:val="24"/>
          <w:szCs w:val="24"/>
          <w:lang w:val="en-US"/>
        </w:rPr>
        <w:t xml:space="preserve">The present work has the objective to apply an integrated management of the soil in conditions of a demonstrative polygon that propitiates the improvement of its </w:t>
      </w:r>
      <w:proofErr w:type="spellStart"/>
      <w:r w:rsidRPr="00C17081">
        <w:rPr>
          <w:rFonts w:ascii="Times New Roman" w:hAnsi="Times New Roman" w:cs="Times New Roman"/>
          <w:i/>
          <w:sz w:val="24"/>
          <w:szCs w:val="24"/>
          <w:lang w:val="en-US"/>
        </w:rPr>
        <w:t>agroproductive</w:t>
      </w:r>
      <w:proofErr w:type="spellEnd"/>
      <w:r w:rsidRPr="00C17081">
        <w:rPr>
          <w:rFonts w:ascii="Times New Roman" w:hAnsi="Times New Roman" w:cs="Times New Roman"/>
          <w:i/>
          <w:sz w:val="24"/>
          <w:szCs w:val="24"/>
          <w:lang w:val="en-US"/>
        </w:rPr>
        <w:t xml:space="preserve"> capacity. An initial diagnosis was made of limiting factors of soils, state of forest cover, water resources and agricultural machinery. A strategy was developed under the principles of sustainable land management. Five farms were defined to work, located within the </w:t>
      </w:r>
      <w:proofErr w:type="spellStart"/>
      <w:r w:rsidRPr="00C17081">
        <w:rPr>
          <w:rFonts w:ascii="Times New Roman" w:hAnsi="Times New Roman" w:cs="Times New Roman"/>
          <w:i/>
          <w:sz w:val="24"/>
          <w:szCs w:val="24"/>
          <w:lang w:val="en-US"/>
        </w:rPr>
        <w:t>Zaza</w:t>
      </w:r>
      <w:proofErr w:type="spellEnd"/>
      <w:r w:rsidRPr="00C17081">
        <w:rPr>
          <w:rFonts w:ascii="Times New Roman" w:hAnsi="Times New Roman" w:cs="Times New Roman"/>
          <w:i/>
          <w:sz w:val="24"/>
          <w:szCs w:val="24"/>
          <w:lang w:val="en-US"/>
        </w:rPr>
        <w:t xml:space="preserve"> basin, with an area of ​​394.27 ha. To validate the results, indicators of economic, social, technological and environmental impacts are studied. In the years of evaluation, favorable results are observed: Decrease in cost per average weight by 13 cents and increase in average grain yields of +0.4 </w:t>
      </w:r>
      <w:proofErr w:type="spellStart"/>
      <w:r w:rsidRPr="00C17081">
        <w:rPr>
          <w:rFonts w:ascii="Times New Roman" w:hAnsi="Times New Roman" w:cs="Times New Roman"/>
          <w:i/>
          <w:sz w:val="24"/>
          <w:szCs w:val="24"/>
          <w:lang w:val="en-US"/>
        </w:rPr>
        <w:t>t.ha</w:t>
      </w:r>
      <w:proofErr w:type="spellEnd"/>
      <w:r w:rsidRPr="00C17081">
        <w:rPr>
          <w:rFonts w:ascii="Times New Roman" w:hAnsi="Times New Roman" w:cs="Times New Roman"/>
          <w:i/>
          <w:sz w:val="24"/>
          <w:szCs w:val="24"/>
          <w:lang w:val="en-US"/>
        </w:rPr>
        <w:t xml:space="preserve">, fruits of + 4.05 </w:t>
      </w:r>
      <w:proofErr w:type="spellStart"/>
      <w:r w:rsidRPr="00C17081">
        <w:rPr>
          <w:rFonts w:ascii="Times New Roman" w:hAnsi="Times New Roman" w:cs="Times New Roman"/>
          <w:i/>
          <w:sz w:val="24"/>
          <w:szCs w:val="24"/>
          <w:lang w:val="en-US"/>
        </w:rPr>
        <w:t>t.ha</w:t>
      </w:r>
      <w:proofErr w:type="spellEnd"/>
      <w:r w:rsidRPr="00C17081">
        <w:rPr>
          <w:rFonts w:ascii="Times New Roman" w:hAnsi="Times New Roman" w:cs="Times New Roman"/>
          <w:i/>
          <w:sz w:val="24"/>
          <w:szCs w:val="24"/>
          <w:lang w:val="en-US"/>
        </w:rPr>
        <w:t xml:space="preserve">, indicating an increase in efficiency and profitability productive increases in production and use of organic fertilizers and </w:t>
      </w:r>
      <w:proofErr w:type="spellStart"/>
      <w:r w:rsidRPr="00C17081">
        <w:rPr>
          <w:rFonts w:ascii="Times New Roman" w:hAnsi="Times New Roman" w:cs="Times New Roman"/>
          <w:i/>
          <w:sz w:val="24"/>
          <w:szCs w:val="24"/>
          <w:lang w:val="en-US"/>
        </w:rPr>
        <w:t>biofertilizers</w:t>
      </w:r>
      <w:proofErr w:type="spellEnd"/>
      <w:r w:rsidRPr="00C17081">
        <w:rPr>
          <w:rFonts w:ascii="Times New Roman" w:hAnsi="Times New Roman" w:cs="Times New Roman"/>
          <w:i/>
          <w:sz w:val="24"/>
          <w:szCs w:val="24"/>
          <w:lang w:val="en-US"/>
        </w:rPr>
        <w:t xml:space="preserve"> as less aggressive elements on the environment; increase in the agricultural area benefited, as well as the sediment retained by the establishment of anti-erosion measures; increases in biological diversity by introducing 37 plant species, planting 3875 trees of 13 forest and fruit species.</w:t>
      </w:r>
    </w:p>
    <w:p w:rsidR="00C17081" w:rsidRPr="00415501" w:rsidRDefault="00C17081" w:rsidP="00FF3346">
      <w:pPr>
        <w:spacing w:after="0" w:line="360" w:lineRule="auto"/>
        <w:jc w:val="both"/>
        <w:rPr>
          <w:rFonts w:ascii="Times New Roman" w:hAnsi="Times New Roman" w:cs="Times New Roman"/>
          <w:b/>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F210CE" w:rsidRPr="00F210CE">
        <w:t xml:space="preserve"> </w:t>
      </w:r>
      <w:r w:rsidR="00C17081">
        <w:rPr>
          <w:rFonts w:ascii="Times New Roman" w:hAnsi="Times New Roman" w:cs="Times New Roman"/>
          <w:sz w:val="24"/>
          <w:szCs w:val="24"/>
        </w:rPr>
        <w:t>Sustrato; Desarrollo; Economía</w:t>
      </w:r>
      <w:r w:rsidR="00F210CE" w:rsidRPr="00F210CE">
        <w:rPr>
          <w:rFonts w:ascii="Times New Roman" w:hAnsi="Times New Roman" w:cs="Times New Roman"/>
          <w:sz w:val="24"/>
          <w:szCs w:val="24"/>
        </w:rPr>
        <w:t>; Me</w:t>
      </w:r>
      <w:r w:rsidR="00C17081">
        <w:rPr>
          <w:rFonts w:ascii="Times New Roman" w:hAnsi="Times New Roman" w:cs="Times New Roman"/>
          <w:sz w:val="24"/>
          <w:szCs w:val="24"/>
        </w:rPr>
        <w:t>rcado</w:t>
      </w:r>
      <w:r w:rsidR="00F210CE" w:rsidRPr="00F210CE">
        <w:rPr>
          <w:rFonts w:ascii="Times New Roman" w:hAnsi="Times New Roman" w:cs="Times New Roman"/>
          <w:sz w:val="24"/>
          <w:szCs w:val="24"/>
        </w:rPr>
        <w:t>.</w:t>
      </w:r>
      <w:r>
        <w:rPr>
          <w:rFonts w:ascii="Times New Roman" w:hAnsi="Times New Roman" w:cs="Times New Roman"/>
          <w:sz w:val="24"/>
          <w:szCs w:val="24"/>
        </w:rPr>
        <w:t xml:space="preserve"> </w:t>
      </w:r>
    </w:p>
    <w:p w:rsidR="00AC354F" w:rsidRDefault="00AC354F" w:rsidP="00FF3346">
      <w:pPr>
        <w:spacing w:after="0" w:line="360" w:lineRule="auto"/>
        <w:jc w:val="both"/>
        <w:rPr>
          <w:rFonts w:ascii="Times New Roman" w:hAnsi="Times New Roman" w:cs="Times New Roman"/>
          <w:b/>
          <w:i/>
          <w:sz w:val="24"/>
          <w:szCs w:val="24"/>
        </w:rPr>
      </w:pPr>
    </w:p>
    <w:p w:rsidR="009061A5" w:rsidRPr="002A7E5B" w:rsidRDefault="009061A5" w:rsidP="00FF3346">
      <w:pPr>
        <w:spacing w:after="0" w:line="360" w:lineRule="auto"/>
        <w:jc w:val="both"/>
        <w:rPr>
          <w:rFonts w:ascii="Times New Roman" w:hAnsi="Times New Roman" w:cs="Times New Roman"/>
          <w:sz w:val="24"/>
          <w:szCs w:val="24"/>
          <w:lang w:val="en-US"/>
        </w:rPr>
      </w:pPr>
      <w:r w:rsidRPr="002A7E5B">
        <w:rPr>
          <w:rFonts w:ascii="Times New Roman" w:hAnsi="Times New Roman" w:cs="Times New Roman"/>
          <w:b/>
          <w:i/>
          <w:sz w:val="24"/>
          <w:szCs w:val="24"/>
          <w:lang w:val="en-US"/>
        </w:rPr>
        <w:t>Keywords:</w:t>
      </w:r>
      <w:r w:rsidRPr="002A7E5B">
        <w:rPr>
          <w:rFonts w:ascii="Times New Roman" w:hAnsi="Times New Roman" w:cs="Times New Roman"/>
          <w:sz w:val="24"/>
          <w:szCs w:val="24"/>
          <w:lang w:val="en-US"/>
        </w:rPr>
        <w:t xml:space="preserve"> </w:t>
      </w:r>
      <w:r w:rsidR="00C17081" w:rsidRPr="00C17081">
        <w:rPr>
          <w:rFonts w:ascii="Times New Roman" w:hAnsi="Times New Roman" w:cs="Times New Roman"/>
          <w:i/>
          <w:sz w:val="24"/>
          <w:szCs w:val="24"/>
          <w:lang w:val="en-US"/>
        </w:rPr>
        <w:t>Substratum; Developing; Economy; Market.</w:t>
      </w:r>
    </w:p>
    <w:p w:rsidR="00A21A1F" w:rsidRPr="002A7E5B"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17081" w:rsidRPr="00C17081" w:rsidRDefault="00A87B06" w:rsidP="00C17081">
      <w:pPr>
        <w:spacing w:after="0" w:line="360" w:lineRule="auto"/>
        <w:jc w:val="both"/>
        <w:rPr>
          <w:rFonts w:ascii="Times New Roman" w:hAnsi="Times New Roman" w:cs="Times New Roman"/>
          <w:sz w:val="24"/>
          <w:szCs w:val="24"/>
        </w:rPr>
      </w:pPr>
      <w:bookmarkStart w:id="0" w:name="_GoBack"/>
      <w:r w:rsidRPr="00A87B06">
        <w:rPr>
          <w:rFonts w:ascii="Times New Roman" w:hAnsi="Times New Roman" w:cs="Times New Roman"/>
          <w:sz w:val="24"/>
          <w:szCs w:val="24"/>
        </w:rPr>
        <w:t xml:space="preserve">Los polígonos demostrativos para el mejoramiento y la conservación del suelo, el agua y el bosque, surgen en Cuba en el 2010, valorando la necesidad de brindar mayor atención y dar prioridad a la conservación y mejoramiento de los recursos naturales, particularmente los suelos, aspecto que está en estrecha interrelación con los recursos hídricos, la cobertura vegetal, el uso de la maquinaria agrícola y la influencia del hombre sobre el medio ambiente (Renda et al., 2015; Hernández 2015; Blanco et al., 2015, Aguilar et al.; 2015; Calero et al., 2015 a y b: Muñiz, 2015). </w:t>
      </w:r>
      <w:r w:rsidR="00C17081" w:rsidRPr="00C17081">
        <w:rPr>
          <w:rFonts w:ascii="Times New Roman" w:hAnsi="Times New Roman" w:cs="Times New Roman"/>
          <w:sz w:val="24"/>
          <w:szCs w:val="24"/>
        </w:rPr>
        <w:t xml:space="preserve">Estos sitios consideran la finca como unidad básica de manejo y se atiende la cuenca hidrográfica como espacio físico geográfico a proteger, De esta forma el polígono a la vez que sirve como área demostrativa es un territorio que queda con los sistemas de medidas implementados, a partir de los cual se pueden medir impactos a corto, mediano y largo plazo. </w:t>
      </w:r>
    </w:p>
    <w:p w:rsidR="003D6B3B" w:rsidRDefault="00C17081" w:rsidP="00C17081">
      <w:pPr>
        <w:spacing w:after="0" w:line="360" w:lineRule="auto"/>
        <w:jc w:val="both"/>
        <w:rPr>
          <w:rFonts w:ascii="Times New Roman" w:hAnsi="Times New Roman" w:cs="Times New Roman"/>
          <w:sz w:val="24"/>
          <w:szCs w:val="24"/>
        </w:rPr>
      </w:pPr>
      <w:r w:rsidRPr="00C17081">
        <w:rPr>
          <w:rFonts w:ascii="Times New Roman" w:hAnsi="Times New Roman" w:cs="Times New Roman"/>
          <w:sz w:val="24"/>
          <w:szCs w:val="24"/>
        </w:rPr>
        <w:t xml:space="preserve">La CPA Cuba Nueva pertenece a la agricultura suburbana del municipio </w:t>
      </w:r>
      <w:proofErr w:type="spellStart"/>
      <w:r w:rsidRPr="00C17081">
        <w:rPr>
          <w:rFonts w:ascii="Times New Roman" w:hAnsi="Times New Roman" w:cs="Times New Roman"/>
          <w:sz w:val="24"/>
          <w:szCs w:val="24"/>
        </w:rPr>
        <w:t>Cabaiguán</w:t>
      </w:r>
      <w:proofErr w:type="spellEnd"/>
      <w:r w:rsidRPr="00C17081">
        <w:rPr>
          <w:rFonts w:ascii="Times New Roman" w:hAnsi="Times New Roman" w:cs="Times New Roman"/>
          <w:sz w:val="24"/>
          <w:szCs w:val="24"/>
        </w:rPr>
        <w:t>, la misma tiene gran responsabilidad en el balance nutricional de sus pobladores y posee un alto grado de deterioro del suelo por erosión hídrica y mal manejo. Estos suelos muestran diversos factores que limitan su capacidad agroproductiva entre los que se incluyen la erosión, la pendiente y el contenido de materia orgánica. Por otra parte, el empleo de la labranza intensiva con inversión del prisma y uso de maquinaria de considerable peso afecta  las propiedades físicas del suelo y provoca la compactación del mismo. La creación de un polígono demostrativo en la zona presupone además el manejo adecuado de los recursos hídricos así como el manejo de los bosques que favorecen el equilibrio ecológico y la diversidad.</w:t>
      </w:r>
      <w:r w:rsidRPr="00C17081">
        <w:t xml:space="preserve"> </w:t>
      </w:r>
      <w:r>
        <w:rPr>
          <w:rFonts w:ascii="Times New Roman" w:hAnsi="Times New Roman" w:cs="Times New Roman"/>
          <w:sz w:val="24"/>
          <w:szCs w:val="24"/>
        </w:rPr>
        <w:t>El objetivo del presente trabajo es a</w:t>
      </w:r>
      <w:r w:rsidRPr="00C17081">
        <w:rPr>
          <w:rFonts w:ascii="Times New Roman" w:hAnsi="Times New Roman" w:cs="Times New Roman"/>
          <w:sz w:val="24"/>
          <w:szCs w:val="24"/>
        </w:rPr>
        <w:t>plicar un  manejo integrado del suelo en condiciones de un polígono demostrativo que propicie el mejoramiento de su capacidad agroproductiva.</w:t>
      </w:r>
    </w:p>
    <w:bookmarkEnd w:id="0"/>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252C3" w:rsidRDefault="00E91249" w:rsidP="00FF3346">
      <w:pPr>
        <w:spacing w:after="0" w:line="360" w:lineRule="auto"/>
        <w:jc w:val="both"/>
        <w:rPr>
          <w:rFonts w:ascii="Times New Roman" w:hAnsi="Times New Roman" w:cs="Times New Roman"/>
          <w:sz w:val="24"/>
          <w:szCs w:val="24"/>
        </w:rPr>
      </w:pPr>
      <w:r w:rsidRPr="00E91249">
        <w:rPr>
          <w:rFonts w:ascii="Times New Roman" w:hAnsi="Times New Roman" w:cs="Times New Roman"/>
          <w:sz w:val="24"/>
          <w:szCs w:val="24"/>
        </w:rPr>
        <w:t xml:space="preserve">La investigación se realizó en la CPA Cuba Nueva entre los meses de enero del año 2010 y diciembre del 2017.  La misma pertenece a la Empresa Integral Agropecuaria Sancti </w:t>
      </w:r>
      <w:proofErr w:type="spellStart"/>
      <w:r w:rsidRPr="00E91249">
        <w:rPr>
          <w:rFonts w:ascii="Times New Roman" w:hAnsi="Times New Roman" w:cs="Times New Roman"/>
          <w:sz w:val="24"/>
          <w:szCs w:val="24"/>
        </w:rPr>
        <w:t>Spíriritus</w:t>
      </w:r>
      <w:proofErr w:type="spellEnd"/>
      <w:r w:rsidRPr="00E91249">
        <w:rPr>
          <w:rFonts w:ascii="Times New Roman" w:hAnsi="Times New Roman" w:cs="Times New Roman"/>
          <w:sz w:val="24"/>
          <w:szCs w:val="24"/>
        </w:rPr>
        <w:t xml:space="preserve">, entidad ubicada en áreas de la Cuenca Zaza,  </w:t>
      </w:r>
      <w:proofErr w:type="spellStart"/>
      <w:r w:rsidRPr="00E91249">
        <w:rPr>
          <w:rFonts w:ascii="Times New Roman" w:hAnsi="Times New Roman" w:cs="Times New Roman"/>
          <w:sz w:val="24"/>
          <w:szCs w:val="24"/>
        </w:rPr>
        <w:t>Subcuenca</w:t>
      </w:r>
      <w:proofErr w:type="spellEnd"/>
      <w:r w:rsidRPr="00E91249">
        <w:rPr>
          <w:rFonts w:ascii="Times New Roman" w:hAnsi="Times New Roman" w:cs="Times New Roman"/>
          <w:sz w:val="24"/>
          <w:szCs w:val="24"/>
        </w:rPr>
        <w:t xml:space="preserve"> </w:t>
      </w:r>
      <w:proofErr w:type="spellStart"/>
      <w:r w:rsidRPr="00E91249">
        <w:rPr>
          <w:rFonts w:ascii="Times New Roman" w:hAnsi="Times New Roman" w:cs="Times New Roman"/>
          <w:sz w:val="24"/>
          <w:szCs w:val="24"/>
        </w:rPr>
        <w:t>Tuinicú</w:t>
      </w:r>
      <w:proofErr w:type="spellEnd"/>
      <w:r w:rsidRPr="00E91249">
        <w:rPr>
          <w:rFonts w:ascii="Times New Roman" w:hAnsi="Times New Roman" w:cs="Times New Roman"/>
          <w:sz w:val="24"/>
          <w:szCs w:val="24"/>
        </w:rPr>
        <w:t>, y en las coordenadas en el plano de: N 650000; 250000 – E 655000; 247000. Pertenece al paisaje las alturas de Santa Clara, con llanuras onduladas a fuertemente onduladas y una altitud de  120 m sobre el nivel del mar, se dedicada a la producción de cultivos varios y ganadería. Se define un área de 394,27 ha, dividido en cinco fincas como se muestra en la figura 1, de ellas: tres de cultivos varios (Guajén, El Vaquerito y Ñoñó) y dos ganaderas (</w:t>
      </w:r>
      <w:proofErr w:type="spellStart"/>
      <w:r w:rsidRPr="00E91249">
        <w:rPr>
          <w:rFonts w:ascii="Times New Roman" w:hAnsi="Times New Roman" w:cs="Times New Roman"/>
          <w:sz w:val="24"/>
          <w:szCs w:val="24"/>
        </w:rPr>
        <w:t>Cayajaca</w:t>
      </w:r>
      <w:proofErr w:type="spellEnd"/>
      <w:r w:rsidRPr="00E91249">
        <w:rPr>
          <w:rFonts w:ascii="Times New Roman" w:hAnsi="Times New Roman" w:cs="Times New Roman"/>
          <w:sz w:val="24"/>
          <w:szCs w:val="24"/>
        </w:rPr>
        <w:t xml:space="preserve"> y Piñero).</w:t>
      </w:r>
      <w:r w:rsidR="006252C3" w:rsidRPr="00E91249">
        <w:rPr>
          <w:rFonts w:ascii="Times New Roman" w:hAnsi="Times New Roman" w:cs="Times New Roman"/>
          <w:sz w:val="24"/>
          <w:szCs w:val="24"/>
        </w:rPr>
        <w:t>2.2.</w:t>
      </w:r>
      <w:r w:rsidR="006252C3" w:rsidRPr="00E91249">
        <w:t xml:space="preserve"> </w:t>
      </w:r>
      <w:r w:rsidR="006252C3" w:rsidRPr="00E91249">
        <w:rPr>
          <w:rFonts w:ascii="Times New Roman" w:hAnsi="Times New Roman" w:cs="Times New Roman"/>
          <w:sz w:val="24"/>
          <w:szCs w:val="24"/>
        </w:rPr>
        <w:t>Metodología para determinar la demanda energética</w:t>
      </w:r>
    </w:p>
    <w:p w:rsidR="00E91249" w:rsidRPr="00E91249" w:rsidRDefault="00E91249" w:rsidP="00E91249">
      <w:pPr>
        <w:spacing w:after="0" w:line="360" w:lineRule="auto"/>
        <w:jc w:val="both"/>
        <w:rPr>
          <w:rFonts w:ascii="Times New Roman" w:hAnsi="Times New Roman" w:cs="Times New Roman"/>
          <w:sz w:val="24"/>
          <w:szCs w:val="24"/>
        </w:rPr>
      </w:pPr>
      <w:r w:rsidRPr="00E91249">
        <w:rPr>
          <w:rFonts w:ascii="Times New Roman" w:hAnsi="Times New Roman" w:cs="Times New Roman"/>
          <w:sz w:val="24"/>
          <w:szCs w:val="24"/>
        </w:rPr>
        <w:t xml:space="preserve">Se realizaron visitas técnicas a las zonas de estudio a partir de la descripción geográfica del mapa 1: 25 000 y la II clasificación genética de los suelos de cuba (Hernández, et al,  1975), correlacionada con Hernández, et al 1999 y Hernández, et al 2015,  para definir los tipos de suelos. </w:t>
      </w:r>
    </w:p>
    <w:p w:rsidR="00E91249" w:rsidRPr="00E91249" w:rsidRDefault="00E91249" w:rsidP="00A87B06">
      <w:pPr>
        <w:tabs>
          <w:tab w:val="left" w:pos="1800"/>
        </w:tabs>
        <w:spacing w:after="0" w:line="360" w:lineRule="auto"/>
        <w:jc w:val="both"/>
        <w:rPr>
          <w:rFonts w:ascii="Times New Roman" w:hAnsi="Times New Roman" w:cs="Times New Roman"/>
          <w:sz w:val="24"/>
          <w:szCs w:val="24"/>
        </w:rPr>
      </w:pPr>
      <w:r w:rsidRPr="00E91249">
        <w:rPr>
          <w:rFonts w:ascii="Times New Roman" w:hAnsi="Times New Roman" w:cs="Times New Roman"/>
          <w:sz w:val="24"/>
          <w:szCs w:val="24"/>
        </w:rPr>
        <w:t xml:space="preserve">Por el método de la observancia se levanta toda la cobertura boscosa determinándose la composición arbórea de la faja </w:t>
      </w:r>
      <w:proofErr w:type="spellStart"/>
      <w:r w:rsidRPr="00E91249">
        <w:rPr>
          <w:rFonts w:ascii="Times New Roman" w:hAnsi="Times New Roman" w:cs="Times New Roman"/>
          <w:sz w:val="24"/>
          <w:szCs w:val="24"/>
        </w:rPr>
        <w:t>hidrorreguladora</w:t>
      </w:r>
      <w:proofErr w:type="spellEnd"/>
      <w:r w:rsidRPr="00E91249">
        <w:rPr>
          <w:rFonts w:ascii="Times New Roman" w:hAnsi="Times New Roman" w:cs="Times New Roman"/>
          <w:sz w:val="24"/>
          <w:szCs w:val="24"/>
        </w:rPr>
        <w:t xml:space="preserve"> y el resto de las áreas del polígono, esta se realizó haciendo un conteo físico del 100% de los árboles existentes en el lugar, para ello se </w:t>
      </w:r>
      <w:proofErr w:type="spellStart"/>
      <w:r w:rsidRPr="00E91249">
        <w:rPr>
          <w:rFonts w:ascii="Times New Roman" w:hAnsi="Times New Roman" w:cs="Times New Roman"/>
          <w:sz w:val="24"/>
          <w:szCs w:val="24"/>
        </w:rPr>
        <w:t>conto</w:t>
      </w:r>
      <w:proofErr w:type="spellEnd"/>
      <w:r w:rsidRPr="00E91249">
        <w:rPr>
          <w:rFonts w:ascii="Times New Roman" w:hAnsi="Times New Roman" w:cs="Times New Roman"/>
          <w:sz w:val="24"/>
          <w:szCs w:val="24"/>
        </w:rPr>
        <w:t xml:space="preserve"> con el asesoramiento de la Estación Experimental “Tope de </w:t>
      </w:r>
      <w:proofErr w:type="spellStart"/>
      <w:r w:rsidRPr="00E91249">
        <w:rPr>
          <w:rFonts w:ascii="Times New Roman" w:hAnsi="Times New Roman" w:cs="Times New Roman"/>
          <w:sz w:val="24"/>
          <w:szCs w:val="24"/>
        </w:rPr>
        <w:t>Collantes</w:t>
      </w:r>
      <w:proofErr w:type="spellEnd"/>
      <w:r w:rsidRPr="00E91249">
        <w:rPr>
          <w:rFonts w:ascii="Times New Roman" w:hAnsi="Times New Roman" w:cs="Times New Roman"/>
          <w:sz w:val="24"/>
          <w:szCs w:val="24"/>
        </w:rPr>
        <w:t>¨  y se consultaron los instructivos técnicos para determinar las especies de plantas.</w:t>
      </w:r>
    </w:p>
    <w:p w:rsidR="00E91249" w:rsidRPr="00E91249" w:rsidRDefault="00E91249" w:rsidP="00E91249">
      <w:pPr>
        <w:spacing w:after="0" w:line="360" w:lineRule="auto"/>
        <w:jc w:val="both"/>
        <w:rPr>
          <w:rFonts w:ascii="Times New Roman" w:hAnsi="Times New Roman" w:cs="Times New Roman"/>
          <w:sz w:val="24"/>
          <w:szCs w:val="24"/>
        </w:rPr>
      </w:pPr>
      <w:r w:rsidRPr="00E91249">
        <w:rPr>
          <w:rFonts w:ascii="Times New Roman" w:hAnsi="Times New Roman" w:cs="Times New Roman"/>
          <w:sz w:val="24"/>
          <w:szCs w:val="24"/>
        </w:rPr>
        <w:t xml:space="preserve">La identificación de los factores limitantes se realizó a partir de los estudios del mapa básico de  suelos 1: 25000, (1989). Para la evaluación </w:t>
      </w:r>
      <w:proofErr w:type="spellStart"/>
      <w:r w:rsidRPr="00E91249">
        <w:rPr>
          <w:rFonts w:ascii="Times New Roman" w:hAnsi="Times New Roman" w:cs="Times New Roman"/>
          <w:sz w:val="24"/>
          <w:szCs w:val="24"/>
        </w:rPr>
        <w:t>agroproductividad</w:t>
      </w:r>
      <w:proofErr w:type="spellEnd"/>
      <w:r w:rsidRPr="00E91249">
        <w:rPr>
          <w:rFonts w:ascii="Times New Roman" w:hAnsi="Times New Roman" w:cs="Times New Roman"/>
          <w:sz w:val="24"/>
          <w:szCs w:val="24"/>
        </w:rPr>
        <w:t xml:space="preserve"> de los suelos se utiliza la metodología  diseñada por el  departamento de evaluación, uso y mejoramiento de la tierra del Centro Nacional de Suelos y Fertilizantes, perteneciente al MINAG  (1985), la cual asume como criterio el nivel de adaptabilidad a los 10 cultivos más importantes, fundamentada básicamente en aquellas características y propiedades de los suelos que más fuertemente inciden sobre los rendimientos del cultivo, </w:t>
      </w:r>
    </w:p>
    <w:p w:rsidR="00E91249" w:rsidRDefault="00E91249" w:rsidP="006252C3">
      <w:pPr>
        <w:spacing w:after="0" w:line="360" w:lineRule="auto"/>
        <w:jc w:val="both"/>
        <w:rPr>
          <w:rFonts w:ascii="Times New Roman" w:hAnsi="Times New Roman" w:cs="Times New Roman"/>
          <w:sz w:val="24"/>
          <w:szCs w:val="24"/>
        </w:rPr>
      </w:pPr>
      <w:r w:rsidRPr="00E91249">
        <w:rPr>
          <w:rFonts w:ascii="Times New Roman" w:hAnsi="Times New Roman" w:cs="Times New Roman"/>
          <w:sz w:val="24"/>
          <w:szCs w:val="24"/>
        </w:rPr>
        <w:t>Para la evaluación de impacto se determinó primeramente una línea base que se llamó año cero, (enero –diciembre, 2010) a partir del diagnóstico inicial, desde el segundo año hasta el 2017 se ejecutan las acciones de conservación y mejoramiento, y se monitorea los impactos según el set de indicadores propuesto por Calero (2017) en los polígonos de  conservación y mejoramiento de suelo, agua y bosque en el contexto del polígono demostrativo.</w:t>
      </w:r>
    </w:p>
    <w:p w:rsidR="00FF3346"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C6E55" w:rsidRPr="00FC6E55" w:rsidRDefault="00FC6E55"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FC6E55">
        <w:rPr>
          <w:rFonts w:ascii="Times New Roman" w:hAnsi="Times New Roman" w:cs="Times New Roman"/>
          <w:b/>
          <w:sz w:val="24"/>
          <w:szCs w:val="24"/>
        </w:rPr>
        <w:t>Diagnóstico inicial de los factores limitantes</w:t>
      </w:r>
    </w:p>
    <w:p w:rsidR="00E91249" w:rsidRDefault="00E91249" w:rsidP="00E91249">
      <w:pPr>
        <w:spacing w:after="0" w:line="360" w:lineRule="auto"/>
        <w:jc w:val="both"/>
        <w:rPr>
          <w:rFonts w:ascii="Times New Roman" w:hAnsi="Times New Roman" w:cs="Times New Roman"/>
          <w:sz w:val="24"/>
          <w:szCs w:val="24"/>
        </w:rPr>
      </w:pPr>
      <w:r w:rsidRPr="00E91249">
        <w:rPr>
          <w:rFonts w:ascii="Times New Roman" w:hAnsi="Times New Roman" w:cs="Times New Roman"/>
          <w:sz w:val="24"/>
          <w:szCs w:val="24"/>
        </w:rPr>
        <w:t>En la zona en estudio se identificó que la precipitación media anual alcanza valores próximos a los 1 400 mm, siendo los meses  de junio y septiembre los más húmedos y diciembre  y febrero los más secos</w:t>
      </w:r>
      <w:r w:rsidR="00FC6E55">
        <w:rPr>
          <w:rFonts w:ascii="Times New Roman" w:hAnsi="Times New Roman" w:cs="Times New Roman"/>
          <w:sz w:val="24"/>
          <w:szCs w:val="24"/>
        </w:rPr>
        <w:t>.</w:t>
      </w:r>
      <w:r w:rsidRPr="00E91249">
        <w:rPr>
          <w:rFonts w:ascii="Times New Roman" w:hAnsi="Times New Roman" w:cs="Times New Roman"/>
          <w:sz w:val="24"/>
          <w:szCs w:val="24"/>
        </w:rPr>
        <w:t xml:space="preserve"> La región cuenta con una micropresa denominada</w:t>
      </w:r>
      <w:r w:rsidR="00A87B06">
        <w:rPr>
          <w:rFonts w:ascii="Times New Roman" w:hAnsi="Times New Roman" w:cs="Times New Roman"/>
          <w:sz w:val="24"/>
          <w:szCs w:val="24"/>
        </w:rPr>
        <w:t>.</w:t>
      </w:r>
      <w:r w:rsidRPr="00E91249">
        <w:rPr>
          <w:rFonts w:ascii="Times New Roman" w:hAnsi="Times New Roman" w:cs="Times New Roman"/>
          <w:sz w:val="24"/>
          <w:szCs w:val="24"/>
        </w:rPr>
        <w:t xml:space="preserve">  El Guajén,  con un áreas total de 0.1 km</w:t>
      </w:r>
      <w:r w:rsidRPr="00FC6E55">
        <w:rPr>
          <w:rFonts w:ascii="Times New Roman" w:hAnsi="Times New Roman" w:cs="Times New Roman"/>
          <w:sz w:val="24"/>
          <w:szCs w:val="24"/>
          <w:vertAlign w:val="superscript"/>
        </w:rPr>
        <w:t>2</w:t>
      </w:r>
      <w:r w:rsidRPr="00E91249">
        <w:rPr>
          <w:rFonts w:ascii="Times New Roman" w:hAnsi="Times New Roman" w:cs="Times New Roman"/>
          <w:sz w:val="24"/>
          <w:szCs w:val="24"/>
        </w:rPr>
        <w:t xml:space="preserve"> y un volumen de  0.3 Hm</w:t>
      </w:r>
      <w:r w:rsidRPr="00FC6E55">
        <w:rPr>
          <w:rFonts w:ascii="Times New Roman" w:hAnsi="Times New Roman" w:cs="Times New Roman"/>
          <w:sz w:val="24"/>
          <w:szCs w:val="24"/>
          <w:vertAlign w:val="superscript"/>
        </w:rPr>
        <w:t>3</w:t>
      </w:r>
      <w:r w:rsidRPr="00E91249">
        <w:rPr>
          <w:rFonts w:ascii="Times New Roman" w:hAnsi="Times New Roman" w:cs="Times New Roman"/>
          <w:sz w:val="24"/>
          <w:szCs w:val="24"/>
        </w:rPr>
        <w:t xml:space="preserve">, es clasificada como una presa de tierra. La región en estudio tiene una capacidad instalada de 22.65 ha bajo riego, por máquina de riego 20.6 ha; por sistema de riego de micro aspersores  2.0 ha y por sistema </w:t>
      </w:r>
      <w:proofErr w:type="spellStart"/>
      <w:r w:rsidRPr="00E91249">
        <w:rPr>
          <w:rFonts w:ascii="Times New Roman" w:hAnsi="Times New Roman" w:cs="Times New Roman"/>
          <w:sz w:val="24"/>
          <w:szCs w:val="24"/>
        </w:rPr>
        <w:t>semi</w:t>
      </w:r>
      <w:proofErr w:type="spellEnd"/>
      <w:r w:rsidRPr="00E91249">
        <w:rPr>
          <w:rFonts w:ascii="Times New Roman" w:hAnsi="Times New Roman" w:cs="Times New Roman"/>
          <w:sz w:val="24"/>
          <w:szCs w:val="24"/>
        </w:rPr>
        <w:t xml:space="preserve">-protegido: 0.05 ha. Por instalar una capacidad   de 34 ha.  </w:t>
      </w:r>
    </w:p>
    <w:p w:rsidR="00E91249" w:rsidRPr="00A87B06" w:rsidRDefault="00E91249" w:rsidP="00A87B06">
      <w:pPr>
        <w:tabs>
          <w:tab w:val="left" w:pos="360"/>
        </w:tabs>
        <w:spacing w:after="0" w:line="360" w:lineRule="auto"/>
        <w:jc w:val="both"/>
        <w:rPr>
          <w:rFonts w:ascii="Times New Roman" w:hAnsi="Times New Roman" w:cs="Times New Roman"/>
          <w:sz w:val="24"/>
          <w:szCs w:val="24"/>
        </w:rPr>
      </w:pPr>
      <w:r w:rsidRPr="00E91249">
        <w:rPr>
          <w:rFonts w:ascii="Times New Roman" w:hAnsi="Times New Roman" w:cs="Times New Roman"/>
          <w:sz w:val="24"/>
          <w:szCs w:val="24"/>
        </w:rPr>
        <w:t>Los resultados de este trabajo muestran que solo el 12.47% del área (49.17 ha) es llana;  con el 2 %,  que el 58.21 (229.84 ha) se encuentra entre fuertemente ondulado a ondulado;  con pendiente entre el 5 – 6 %, más propensos a la erosión hídrica</w:t>
      </w:r>
      <w:r w:rsidR="00FC6E55">
        <w:rPr>
          <w:rFonts w:ascii="Times New Roman" w:hAnsi="Times New Roman" w:cs="Times New Roman"/>
          <w:sz w:val="24"/>
          <w:szCs w:val="24"/>
        </w:rPr>
        <w:t xml:space="preserve">. </w:t>
      </w:r>
      <w:r w:rsidRPr="00E91249">
        <w:rPr>
          <w:rFonts w:ascii="Times New Roman" w:hAnsi="Times New Roman" w:cs="Times New Roman"/>
          <w:sz w:val="24"/>
          <w:szCs w:val="24"/>
        </w:rPr>
        <w:t>Las mayores pendientes se encuentran en los suelos pardos con carbonatos ubicados en las fincas de cultivos varios (Guajén, Ñoñó y Vaquerito), donde también e</w:t>
      </w:r>
      <w:r w:rsidR="00FC6E55">
        <w:rPr>
          <w:rFonts w:ascii="Times New Roman" w:hAnsi="Times New Roman" w:cs="Times New Roman"/>
          <w:sz w:val="24"/>
          <w:szCs w:val="24"/>
        </w:rPr>
        <w:t>s mayor la actividad del hombre</w:t>
      </w:r>
      <w:r w:rsidRPr="00E91249">
        <w:rPr>
          <w:rFonts w:ascii="Times New Roman" w:hAnsi="Times New Roman" w:cs="Times New Roman"/>
          <w:sz w:val="24"/>
          <w:szCs w:val="24"/>
        </w:rPr>
        <w:t>.</w:t>
      </w:r>
      <w:r w:rsidR="00A87B06">
        <w:rPr>
          <w:rFonts w:ascii="Times New Roman" w:hAnsi="Times New Roman" w:cs="Times New Roman"/>
          <w:sz w:val="24"/>
          <w:szCs w:val="24"/>
        </w:rPr>
        <w:t xml:space="preserve"> </w:t>
      </w:r>
      <w:r w:rsidRPr="00E91249">
        <w:rPr>
          <w:rFonts w:ascii="Times New Roman" w:hAnsi="Times New Roman" w:cs="Times New Roman"/>
          <w:sz w:val="24"/>
          <w:szCs w:val="24"/>
        </w:rPr>
        <w:t>En la región de estudio se determinó que el 70.76 % del área total del polígono se encuentra medianamente erosionado con pérdida del 25 al 75 % del horizonte A y el 29.19 % poco erosionado con pérdida de hasta 25 % del horizonte A</w:t>
      </w:r>
      <w:r w:rsidR="00A87B06">
        <w:rPr>
          <w:rFonts w:ascii="Times New Roman" w:hAnsi="Times New Roman" w:cs="Times New Roman"/>
          <w:sz w:val="24"/>
          <w:szCs w:val="24"/>
        </w:rPr>
        <w:t>. L</w:t>
      </w:r>
      <w:r w:rsidRPr="00E91249">
        <w:rPr>
          <w:rFonts w:ascii="Times New Roman" w:hAnsi="Times New Roman" w:cs="Times New Roman"/>
          <w:sz w:val="24"/>
          <w:szCs w:val="24"/>
        </w:rPr>
        <w:t>a profundidad efectiva predominante está entre medianament</w:t>
      </w:r>
      <w:r w:rsidR="00A87B06">
        <w:rPr>
          <w:rFonts w:ascii="Times New Roman" w:hAnsi="Times New Roman" w:cs="Times New Roman"/>
          <w:sz w:val="24"/>
          <w:szCs w:val="24"/>
        </w:rPr>
        <w:t xml:space="preserve">e profundo a muy poco profundo </w:t>
      </w:r>
      <w:r w:rsidRPr="00E91249">
        <w:rPr>
          <w:rFonts w:ascii="Times New Roman" w:hAnsi="Times New Roman" w:cs="Times New Roman"/>
          <w:sz w:val="24"/>
          <w:szCs w:val="24"/>
        </w:rPr>
        <w:t>el 100 %  del área lo que  indica que son suelos para cultivos que no son exigentes a esta característica, coincidiendo con lo planteado por  Hernández, et al. (2006) al referir que la   profundidad efectiva  es el espesor de suelo que mantiene una consistencia friable que permite el desarrollo y la penetración de las raíces de las plantas; puede coincidir con la profundidad del s</w:t>
      </w:r>
      <w:r w:rsidR="00A87B06">
        <w:rPr>
          <w:rFonts w:ascii="Times New Roman" w:hAnsi="Times New Roman" w:cs="Times New Roman"/>
          <w:sz w:val="24"/>
          <w:szCs w:val="24"/>
        </w:rPr>
        <w:t>uelo y a veces puede ser menor. L</w:t>
      </w:r>
      <w:r w:rsidRPr="00E91249">
        <w:rPr>
          <w:rFonts w:ascii="Times New Roman" w:hAnsi="Times New Roman" w:cs="Times New Roman"/>
          <w:sz w:val="24"/>
          <w:szCs w:val="24"/>
        </w:rPr>
        <w:t>a pedregosidad está también presente en estas áreas, donde el 48</w:t>
      </w:r>
      <w:r w:rsidR="00A87B06">
        <w:rPr>
          <w:rFonts w:ascii="Times New Roman" w:hAnsi="Times New Roman" w:cs="Times New Roman"/>
          <w:sz w:val="24"/>
          <w:szCs w:val="24"/>
        </w:rPr>
        <w:t>.93 % (192.92 ha) está afectada.</w:t>
      </w:r>
    </w:p>
    <w:p w:rsidR="00A0128C" w:rsidRPr="00A0128C" w:rsidRDefault="00A0128C" w:rsidP="00A0128C">
      <w:pPr>
        <w:tabs>
          <w:tab w:val="left" w:pos="36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A0128C">
        <w:rPr>
          <w:rFonts w:ascii="Times New Roman" w:hAnsi="Times New Roman" w:cs="Times New Roman"/>
          <w:b/>
          <w:sz w:val="24"/>
          <w:szCs w:val="24"/>
        </w:rPr>
        <w:t>Impactos económicos</w:t>
      </w:r>
    </w:p>
    <w:p w:rsidR="00A0128C" w:rsidRDefault="00A0128C" w:rsidP="00A0128C">
      <w:pPr>
        <w:tabs>
          <w:tab w:val="left" w:pos="360"/>
        </w:tabs>
        <w:spacing w:after="0" w:line="360" w:lineRule="auto"/>
        <w:jc w:val="both"/>
        <w:rPr>
          <w:rFonts w:ascii="Times New Roman" w:hAnsi="Times New Roman" w:cs="Times New Roman"/>
          <w:sz w:val="24"/>
          <w:szCs w:val="24"/>
        </w:rPr>
      </w:pPr>
      <w:r w:rsidRPr="00A0128C">
        <w:rPr>
          <w:rFonts w:ascii="Times New Roman" w:hAnsi="Times New Roman" w:cs="Times New Roman"/>
          <w:sz w:val="24"/>
          <w:szCs w:val="24"/>
        </w:rPr>
        <w:t>El costo por peso promedio disminuye en 13 centavos, con un aumento de la eficiencia en el 74 % en el Polígono, de 0.87 centavos en el año 0 a 0.74 en el año 7. Resultado semejante al obtenido por Blanco et al. (2015), en la provincia de Guantánamo, donde se reflejan la mejoría del costo por peso, el cual disminuye en 0.11centavos (CCSF Mariana Grajales) y 0.13 centavos (CCSF Enrique Campos) en relación con lo obtenido a</w:t>
      </w:r>
      <w:r>
        <w:rPr>
          <w:rFonts w:ascii="Times New Roman" w:hAnsi="Times New Roman" w:cs="Times New Roman"/>
          <w:sz w:val="24"/>
          <w:szCs w:val="24"/>
        </w:rPr>
        <w:t xml:space="preserve">ntes de establecer el polígono. </w:t>
      </w:r>
      <w:r w:rsidRPr="00A0128C">
        <w:rPr>
          <w:rFonts w:ascii="Times New Roman" w:hAnsi="Times New Roman" w:cs="Times New Roman"/>
          <w:sz w:val="24"/>
          <w:szCs w:val="24"/>
        </w:rPr>
        <w:t xml:space="preserve">El rendimiento productivo muestra como a partir de la puesta en práctica del plan de medidas establecido con la creación del polígono, se incrementan los rendimientos de los principales cultivos explotados de las fincas analizadas, resultados que están relacionados con las mejoras proporcionadas al suelo, que reducen las principales limitantes identificadas en el diagnóstico inicial, que atentaban contra su </w:t>
      </w:r>
      <w:proofErr w:type="spellStart"/>
      <w:r w:rsidRPr="00A0128C">
        <w:rPr>
          <w:rFonts w:ascii="Times New Roman" w:hAnsi="Times New Roman" w:cs="Times New Roman"/>
          <w:sz w:val="24"/>
          <w:szCs w:val="24"/>
        </w:rPr>
        <w:t>agroproductividad</w:t>
      </w:r>
      <w:proofErr w:type="spellEnd"/>
      <w:r w:rsidRPr="00A0128C">
        <w:rPr>
          <w:rFonts w:ascii="Times New Roman" w:hAnsi="Times New Roman" w:cs="Times New Roman"/>
          <w:sz w:val="24"/>
          <w:szCs w:val="24"/>
        </w:rPr>
        <w:t>, como s</w:t>
      </w:r>
      <w:r w:rsidR="00625BA6">
        <w:rPr>
          <w:rFonts w:ascii="Times New Roman" w:hAnsi="Times New Roman" w:cs="Times New Roman"/>
          <w:sz w:val="24"/>
          <w:szCs w:val="24"/>
        </w:rPr>
        <w:t>e puede apreciar en la tabla 1.</w:t>
      </w:r>
    </w:p>
    <w:p w:rsidR="00A0128C" w:rsidRPr="00A0128C" w:rsidRDefault="00A0128C" w:rsidP="00A0128C">
      <w:pPr>
        <w:tabs>
          <w:tab w:val="left" w:pos="360"/>
        </w:tabs>
        <w:spacing w:after="0" w:line="360" w:lineRule="auto"/>
        <w:jc w:val="both"/>
        <w:rPr>
          <w:rFonts w:ascii="Times New Roman" w:hAnsi="Times New Roman" w:cs="Times New Roman"/>
          <w:sz w:val="24"/>
          <w:szCs w:val="24"/>
        </w:rPr>
      </w:pPr>
    </w:p>
    <w:p w:rsidR="00FC6E55" w:rsidRPr="00A0128C" w:rsidRDefault="00625BA6" w:rsidP="00A0128C">
      <w:pPr>
        <w:tabs>
          <w:tab w:val="left" w:pos="360"/>
        </w:tabs>
        <w:spacing w:after="0" w:line="360" w:lineRule="auto"/>
        <w:jc w:val="center"/>
        <w:rPr>
          <w:rFonts w:ascii="Times New Roman" w:hAnsi="Times New Roman" w:cs="Times New Roman"/>
          <w:sz w:val="20"/>
          <w:szCs w:val="24"/>
        </w:rPr>
      </w:pPr>
      <w:r>
        <w:rPr>
          <w:rFonts w:ascii="Times New Roman" w:hAnsi="Times New Roman" w:cs="Times New Roman"/>
          <w:sz w:val="20"/>
          <w:szCs w:val="24"/>
        </w:rPr>
        <w:t>Tabla 1</w:t>
      </w:r>
      <w:r w:rsidR="00A0128C" w:rsidRPr="00A0128C">
        <w:rPr>
          <w:rFonts w:ascii="Times New Roman" w:hAnsi="Times New Roman" w:cs="Times New Roman"/>
          <w:sz w:val="20"/>
          <w:szCs w:val="24"/>
        </w:rPr>
        <w:t>. Rendimiento productivo</w:t>
      </w:r>
    </w:p>
    <w:tbl>
      <w:tblPr>
        <w:tblW w:w="6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5"/>
        <w:gridCol w:w="900"/>
        <w:gridCol w:w="1440"/>
        <w:gridCol w:w="1350"/>
        <w:gridCol w:w="1350"/>
      </w:tblGrid>
      <w:tr w:rsidR="00A0128C" w:rsidRPr="000F5635" w:rsidTr="00A0128C">
        <w:trPr>
          <w:trHeight w:val="351"/>
          <w:jc w:val="center"/>
        </w:trPr>
        <w:tc>
          <w:tcPr>
            <w:tcW w:w="1525" w:type="dxa"/>
            <w:shd w:val="clear" w:color="auto" w:fill="auto"/>
            <w:tcMar>
              <w:top w:w="72" w:type="dxa"/>
              <w:left w:w="144" w:type="dxa"/>
              <w:bottom w:w="72" w:type="dxa"/>
              <w:right w:w="144" w:type="dxa"/>
            </w:tcMar>
            <w:vAlign w:val="cente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b/>
                <w:bCs/>
                <w:kern w:val="24"/>
                <w:sz w:val="20"/>
                <w:szCs w:val="20"/>
                <w:lang w:eastAsia="es-ES"/>
              </w:rPr>
              <w:t>Indicadores</w:t>
            </w:r>
          </w:p>
        </w:tc>
        <w:tc>
          <w:tcPr>
            <w:tcW w:w="900" w:type="dxa"/>
            <w:shd w:val="clear" w:color="auto" w:fill="auto"/>
            <w:tcMar>
              <w:top w:w="72" w:type="dxa"/>
              <w:left w:w="144" w:type="dxa"/>
              <w:bottom w:w="72" w:type="dxa"/>
              <w:right w:w="144" w:type="dxa"/>
            </w:tcMar>
            <w:vAlign w:val="cente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b/>
                <w:bCs/>
                <w:kern w:val="24"/>
                <w:sz w:val="20"/>
                <w:szCs w:val="20"/>
                <w:lang w:eastAsia="es-ES"/>
              </w:rPr>
              <w:t>U/M</w:t>
            </w:r>
          </w:p>
        </w:tc>
        <w:tc>
          <w:tcPr>
            <w:tcW w:w="1440" w:type="dxa"/>
            <w:shd w:val="clear" w:color="auto" w:fill="auto"/>
            <w:tcMar>
              <w:top w:w="72" w:type="dxa"/>
              <w:left w:w="144" w:type="dxa"/>
              <w:bottom w:w="72" w:type="dxa"/>
              <w:right w:w="144" w:type="dxa"/>
            </w:tcMar>
            <w:vAlign w:val="cente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b/>
                <w:bCs/>
                <w:kern w:val="24"/>
                <w:sz w:val="20"/>
                <w:szCs w:val="20"/>
                <w:lang w:eastAsia="es-ES"/>
              </w:rPr>
              <w:t>Año 0</w:t>
            </w:r>
          </w:p>
        </w:tc>
        <w:tc>
          <w:tcPr>
            <w:tcW w:w="1350" w:type="dxa"/>
            <w:shd w:val="clear" w:color="auto" w:fill="auto"/>
            <w:tcMar>
              <w:top w:w="72" w:type="dxa"/>
              <w:left w:w="144" w:type="dxa"/>
              <w:bottom w:w="72" w:type="dxa"/>
              <w:right w:w="144" w:type="dxa"/>
            </w:tcMar>
            <w:vAlign w:val="cente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b/>
                <w:bCs/>
                <w:kern w:val="24"/>
                <w:sz w:val="20"/>
                <w:szCs w:val="20"/>
                <w:lang w:eastAsia="es-ES"/>
              </w:rPr>
              <w:t>Año 7</w:t>
            </w:r>
          </w:p>
        </w:tc>
        <w:tc>
          <w:tcPr>
            <w:tcW w:w="1350" w:type="dxa"/>
            <w:shd w:val="clear" w:color="auto" w:fill="auto"/>
            <w:tcMar>
              <w:top w:w="72" w:type="dxa"/>
              <w:left w:w="144" w:type="dxa"/>
              <w:bottom w:w="72" w:type="dxa"/>
              <w:right w:w="144" w:type="dxa"/>
            </w:tcMar>
            <w:vAlign w:val="cente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b/>
                <w:bCs/>
                <w:kern w:val="24"/>
                <w:sz w:val="20"/>
                <w:szCs w:val="20"/>
                <w:lang w:eastAsia="es-ES"/>
              </w:rPr>
              <w:t>Diferencia</w:t>
            </w:r>
          </w:p>
        </w:tc>
      </w:tr>
      <w:tr w:rsidR="00A0128C" w:rsidRPr="000F5635" w:rsidTr="00A0128C">
        <w:trPr>
          <w:trHeight w:val="132"/>
          <w:jc w:val="center"/>
        </w:trPr>
        <w:tc>
          <w:tcPr>
            <w:tcW w:w="1525" w:type="dxa"/>
            <w:shd w:val="clear" w:color="auto" w:fill="auto"/>
            <w:tcMar>
              <w:top w:w="72" w:type="dxa"/>
              <w:left w:w="144" w:type="dxa"/>
              <w:bottom w:w="72" w:type="dxa"/>
              <w:right w:w="144" w:type="dxa"/>
            </w:tcMar>
            <w:hideMark/>
          </w:tcPr>
          <w:p w:rsidR="00A0128C" w:rsidRPr="00653093" w:rsidRDefault="00A0128C" w:rsidP="000848D0">
            <w:pPr>
              <w:spacing w:after="0"/>
              <w:rPr>
                <w:rFonts w:ascii="Times New Roman" w:eastAsia="Times New Roman" w:hAnsi="Times New Roman"/>
                <w:sz w:val="20"/>
                <w:szCs w:val="20"/>
                <w:lang w:eastAsia="es-ES"/>
              </w:rPr>
            </w:pPr>
            <w:r w:rsidRPr="00653093">
              <w:rPr>
                <w:rFonts w:ascii="Times New Roman" w:hAnsi="Times New Roman"/>
                <w:kern w:val="24"/>
                <w:sz w:val="20"/>
                <w:szCs w:val="20"/>
                <w:lang w:eastAsia="es-ES"/>
              </w:rPr>
              <w:t xml:space="preserve">Fríjol </w:t>
            </w:r>
          </w:p>
        </w:tc>
        <w:tc>
          <w:tcPr>
            <w:tcW w:w="900" w:type="dxa"/>
            <w:shd w:val="clear" w:color="auto" w:fill="auto"/>
            <w:tcMar>
              <w:top w:w="72" w:type="dxa"/>
              <w:left w:w="144" w:type="dxa"/>
              <w:bottom w:w="72" w:type="dxa"/>
              <w:right w:w="144" w:type="dxa"/>
            </w:tcMar>
            <w:vAlign w:val="cente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t/ha</w:t>
            </w:r>
          </w:p>
        </w:tc>
        <w:tc>
          <w:tcPr>
            <w:tcW w:w="144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0.87</w:t>
            </w:r>
          </w:p>
        </w:tc>
        <w:tc>
          <w:tcPr>
            <w:tcW w:w="135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0.99</w:t>
            </w:r>
          </w:p>
        </w:tc>
        <w:tc>
          <w:tcPr>
            <w:tcW w:w="135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+0.12</w:t>
            </w:r>
          </w:p>
        </w:tc>
      </w:tr>
      <w:tr w:rsidR="00A0128C" w:rsidRPr="000F5635" w:rsidTr="00A0128C">
        <w:trPr>
          <w:trHeight w:val="138"/>
          <w:jc w:val="center"/>
        </w:trPr>
        <w:tc>
          <w:tcPr>
            <w:tcW w:w="1525" w:type="dxa"/>
            <w:shd w:val="clear" w:color="auto" w:fill="auto"/>
            <w:tcMar>
              <w:top w:w="72" w:type="dxa"/>
              <w:left w:w="144" w:type="dxa"/>
              <w:bottom w:w="72" w:type="dxa"/>
              <w:right w:w="144" w:type="dxa"/>
            </w:tcMar>
            <w:hideMark/>
          </w:tcPr>
          <w:p w:rsidR="00A0128C" w:rsidRPr="00653093" w:rsidRDefault="00A0128C" w:rsidP="000848D0">
            <w:pPr>
              <w:spacing w:after="0"/>
              <w:rPr>
                <w:rFonts w:ascii="Times New Roman" w:eastAsia="Times New Roman" w:hAnsi="Times New Roman"/>
                <w:sz w:val="20"/>
                <w:szCs w:val="20"/>
                <w:lang w:eastAsia="es-ES"/>
              </w:rPr>
            </w:pPr>
            <w:r w:rsidRPr="00653093">
              <w:rPr>
                <w:rFonts w:ascii="Times New Roman" w:hAnsi="Times New Roman"/>
                <w:kern w:val="24"/>
                <w:sz w:val="20"/>
                <w:szCs w:val="20"/>
                <w:lang w:eastAsia="es-ES"/>
              </w:rPr>
              <w:t xml:space="preserve">Maíz </w:t>
            </w:r>
          </w:p>
        </w:tc>
        <w:tc>
          <w:tcPr>
            <w:tcW w:w="90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t/ha</w:t>
            </w:r>
          </w:p>
        </w:tc>
        <w:tc>
          <w:tcPr>
            <w:tcW w:w="144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0.23</w:t>
            </w:r>
          </w:p>
        </w:tc>
        <w:tc>
          <w:tcPr>
            <w:tcW w:w="135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0.33</w:t>
            </w:r>
          </w:p>
        </w:tc>
        <w:tc>
          <w:tcPr>
            <w:tcW w:w="135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+0.10</w:t>
            </w:r>
          </w:p>
        </w:tc>
      </w:tr>
      <w:tr w:rsidR="00A0128C" w:rsidRPr="000F5635" w:rsidTr="00A0128C">
        <w:trPr>
          <w:trHeight w:val="144"/>
          <w:jc w:val="center"/>
        </w:trPr>
        <w:tc>
          <w:tcPr>
            <w:tcW w:w="1525" w:type="dxa"/>
            <w:shd w:val="clear" w:color="auto" w:fill="auto"/>
            <w:tcMar>
              <w:top w:w="72" w:type="dxa"/>
              <w:left w:w="144" w:type="dxa"/>
              <w:bottom w:w="72" w:type="dxa"/>
              <w:right w:w="144" w:type="dxa"/>
            </w:tcMar>
            <w:hideMark/>
          </w:tcPr>
          <w:p w:rsidR="00A0128C" w:rsidRPr="00653093" w:rsidRDefault="00A0128C" w:rsidP="000848D0">
            <w:pPr>
              <w:spacing w:after="0"/>
              <w:rPr>
                <w:rFonts w:ascii="Times New Roman" w:eastAsia="Times New Roman" w:hAnsi="Times New Roman"/>
                <w:sz w:val="20"/>
                <w:szCs w:val="20"/>
                <w:lang w:eastAsia="es-ES"/>
              </w:rPr>
            </w:pPr>
            <w:r w:rsidRPr="00653093">
              <w:rPr>
                <w:rFonts w:ascii="Times New Roman" w:hAnsi="Times New Roman"/>
                <w:kern w:val="24"/>
                <w:sz w:val="20"/>
                <w:szCs w:val="20"/>
                <w:lang w:eastAsia="es-ES"/>
              </w:rPr>
              <w:t xml:space="preserve">Tomate </w:t>
            </w:r>
          </w:p>
        </w:tc>
        <w:tc>
          <w:tcPr>
            <w:tcW w:w="90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t/ha</w:t>
            </w:r>
          </w:p>
        </w:tc>
        <w:tc>
          <w:tcPr>
            <w:tcW w:w="144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4.59</w:t>
            </w:r>
          </w:p>
        </w:tc>
        <w:tc>
          <w:tcPr>
            <w:tcW w:w="135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6.47</w:t>
            </w:r>
          </w:p>
        </w:tc>
        <w:tc>
          <w:tcPr>
            <w:tcW w:w="135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+1.88</w:t>
            </w:r>
          </w:p>
        </w:tc>
      </w:tr>
      <w:tr w:rsidR="00A0128C" w:rsidRPr="000F5635" w:rsidTr="00A0128C">
        <w:trPr>
          <w:trHeight w:val="133"/>
          <w:jc w:val="center"/>
        </w:trPr>
        <w:tc>
          <w:tcPr>
            <w:tcW w:w="1525" w:type="dxa"/>
            <w:shd w:val="clear" w:color="auto" w:fill="auto"/>
            <w:tcMar>
              <w:top w:w="72" w:type="dxa"/>
              <w:left w:w="144" w:type="dxa"/>
              <w:bottom w:w="72" w:type="dxa"/>
              <w:right w:w="144" w:type="dxa"/>
            </w:tcMar>
            <w:hideMark/>
          </w:tcPr>
          <w:p w:rsidR="00A0128C" w:rsidRPr="00653093" w:rsidRDefault="00A0128C" w:rsidP="000848D0">
            <w:pPr>
              <w:spacing w:after="0"/>
              <w:rPr>
                <w:rFonts w:ascii="Times New Roman" w:eastAsia="Times New Roman" w:hAnsi="Times New Roman"/>
                <w:sz w:val="20"/>
                <w:szCs w:val="20"/>
                <w:lang w:eastAsia="es-ES"/>
              </w:rPr>
            </w:pPr>
            <w:r w:rsidRPr="00653093">
              <w:rPr>
                <w:rFonts w:ascii="Times New Roman" w:hAnsi="Times New Roman"/>
                <w:kern w:val="24"/>
                <w:sz w:val="20"/>
                <w:szCs w:val="20"/>
                <w:lang w:eastAsia="es-ES"/>
              </w:rPr>
              <w:t xml:space="preserve">Yuca </w:t>
            </w:r>
          </w:p>
        </w:tc>
        <w:tc>
          <w:tcPr>
            <w:tcW w:w="90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t/ha</w:t>
            </w:r>
          </w:p>
        </w:tc>
        <w:tc>
          <w:tcPr>
            <w:tcW w:w="144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6.54</w:t>
            </w:r>
          </w:p>
        </w:tc>
        <w:tc>
          <w:tcPr>
            <w:tcW w:w="135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9.87</w:t>
            </w:r>
          </w:p>
        </w:tc>
        <w:tc>
          <w:tcPr>
            <w:tcW w:w="135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+3.33</w:t>
            </w:r>
          </w:p>
        </w:tc>
      </w:tr>
      <w:tr w:rsidR="00A0128C" w:rsidRPr="000F5635" w:rsidTr="00A0128C">
        <w:trPr>
          <w:trHeight w:val="133"/>
          <w:jc w:val="center"/>
        </w:trPr>
        <w:tc>
          <w:tcPr>
            <w:tcW w:w="1525" w:type="dxa"/>
            <w:shd w:val="clear" w:color="auto" w:fill="auto"/>
            <w:tcMar>
              <w:top w:w="72" w:type="dxa"/>
              <w:left w:w="144" w:type="dxa"/>
              <w:bottom w:w="72" w:type="dxa"/>
              <w:right w:w="144" w:type="dxa"/>
            </w:tcMar>
            <w:hideMark/>
          </w:tcPr>
          <w:p w:rsidR="00A0128C" w:rsidRPr="00653093" w:rsidRDefault="00A0128C" w:rsidP="000848D0">
            <w:pPr>
              <w:spacing w:after="0"/>
              <w:rPr>
                <w:rFonts w:ascii="Times New Roman" w:eastAsia="Times New Roman" w:hAnsi="Times New Roman"/>
                <w:sz w:val="20"/>
                <w:szCs w:val="20"/>
                <w:lang w:eastAsia="es-ES"/>
              </w:rPr>
            </w:pPr>
            <w:r w:rsidRPr="00653093">
              <w:rPr>
                <w:rFonts w:ascii="Times New Roman" w:hAnsi="Times New Roman"/>
                <w:kern w:val="24"/>
                <w:sz w:val="20"/>
                <w:szCs w:val="20"/>
                <w:lang w:eastAsia="es-ES"/>
              </w:rPr>
              <w:t xml:space="preserve">Leche </w:t>
            </w:r>
          </w:p>
        </w:tc>
        <w:tc>
          <w:tcPr>
            <w:tcW w:w="90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L/vaca</w:t>
            </w:r>
          </w:p>
        </w:tc>
        <w:tc>
          <w:tcPr>
            <w:tcW w:w="144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2.7</w:t>
            </w:r>
          </w:p>
        </w:tc>
        <w:tc>
          <w:tcPr>
            <w:tcW w:w="135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3.2</w:t>
            </w:r>
          </w:p>
        </w:tc>
        <w:tc>
          <w:tcPr>
            <w:tcW w:w="1350" w:type="dxa"/>
            <w:shd w:val="clear" w:color="auto" w:fill="auto"/>
            <w:tcMar>
              <w:top w:w="72" w:type="dxa"/>
              <w:left w:w="144" w:type="dxa"/>
              <w:bottom w:w="72" w:type="dxa"/>
              <w:right w:w="144" w:type="dxa"/>
            </w:tcMar>
            <w:hideMark/>
          </w:tcPr>
          <w:p w:rsidR="00A0128C" w:rsidRPr="00653093" w:rsidRDefault="00A0128C" w:rsidP="000848D0">
            <w:pPr>
              <w:spacing w:after="0"/>
              <w:jc w:val="center"/>
              <w:rPr>
                <w:rFonts w:ascii="Times New Roman" w:eastAsia="Times New Roman" w:hAnsi="Times New Roman"/>
                <w:sz w:val="20"/>
                <w:szCs w:val="20"/>
                <w:lang w:eastAsia="es-ES"/>
              </w:rPr>
            </w:pPr>
            <w:r w:rsidRPr="00653093">
              <w:rPr>
                <w:rFonts w:ascii="Times New Roman" w:hAnsi="Times New Roman"/>
                <w:kern w:val="24"/>
                <w:sz w:val="20"/>
                <w:szCs w:val="20"/>
                <w:lang w:eastAsia="es-ES"/>
              </w:rPr>
              <w:t>+0.5</w:t>
            </w:r>
          </w:p>
        </w:tc>
      </w:tr>
    </w:tbl>
    <w:p w:rsidR="00A0128C" w:rsidRDefault="00A0128C" w:rsidP="00E91249">
      <w:pPr>
        <w:spacing w:after="0" w:line="360" w:lineRule="auto"/>
        <w:jc w:val="both"/>
        <w:rPr>
          <w:rFonts w:ascii="Times New Roman" w:hAnsi="Times New Roman" w:cs="Times New Roman"/>
          <w:b/>
          <w:sz w:val="24"/>
          <w:szCs w:val="24"/>
        </w:rPr>
      </w:pPr>
    </w:p>
    <w:p w:rsidR="00A0128C" w:rsidRPr="00A0128C" w:rsidRDefault="00A0128C" w:rsidP="00A012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Pr="00A0128C">
        <w:rPr>
          <w:rFonts w:ascii="Times New Roman" w:hAnsi="Times New Roman" w:cs="Times New Roman"/>
          <w:b/>
          <w:sz w:val="24"/>
          <w:szCs w:val="24"/>
        </w:rPr>
        <w:t>Impacto tecnológico</w:t>
      </w:r>
    </w:p>
    <w:p w:rsidR="00A0128C" w:rsidRDefault="00A0128C" w:rsidP="00A0128C">
      <w:pPr>
        <w:spacing w:after="0" w:line="360" w:lineRule="auto"/>
        <w:jc w:val="both"/>
        <w:rPr>
          <w:rFonts w:ascii="Times New Roman" w:hAnsi="Times New Roman" w:cs="Times New Roman"/>
          <w:sz w:val="24"/>
          <w:szCs w:val="24"/>
        </w:rPr>
      </w:pPr>
      <w:r w:rsidRPr="00A0128C">
        <w:rPr>
          <w:rFonts w:ascii="Times New Roman" w:hAnsi="Times New Roman" w:cs="Times New Roman"/>
          <w:sz w:val="24"/>
          <w:szCs w:val="24"/>
        </w:rPr>
        <w:t xml:space="preserve">En este indicador se monitoreó, como se </w:t>
      </w:r>
      <w:r w:rsidR="00625BA6">
        <w:rPr>
          <w:rFonts w:ascii="Times New Roman" w:hAnsi="Times New Roman" w:cs="Times New Roman"/>
          <w:sz w:val="24"/>
          <w:szCs w:val="24"/>
        </w:rPr>
        <w:t>puede apreciar en la figura 1</w:t>
      </w:r>
      <w:r w:rsidRPr="00A0128C">
        <w:rPr>
          <w:rFonts w:ascii="Times New Roman" w:hAnsi="Times New Roman" w:cs="Times New Roman"/>
          <w:sz w:val="24"/>
          <w:szCs w:val="24"/>
        </w:rPr>
        <w:t xml:space="preserve">, las medidas de conservación, mejoramiento, acondicionamiento o mantenimiento del suelo las cuales se incrementan, de 12 ejecutadas antes de la implementación a 26 en el año 7, la superficie agrícola beneficiada, que constituyen aquellas áreas a la que se le ha resuelto más del 75 % de los factores limitantes de su </w:t>
      </w:r>
      <w:proofErr w:type="spellStart"/>
      <w:r w:rsidRPr="00A0128C">
        <w:rPr>
          <w:rFonts w:ascii="Times New Roman" w:hAnsi="Times New Roman" w:cs="Times New Roman"/>
          <w:sz w:val="24"/>
          <w:szCs w:val="24"/>
        </w:rPr>
        <w:t>agroproductividad</w:t>
      </w:r>
      <w:proofErr w:type="spellEnd"/>
      <w:r w:rsidRPr="00A0128C">
        <w:rPr>
          <w:rFonts w:ascii="Times New Roman" w:hAnsi="Times New Roman" w:cs="Times New Roman"/>
          <w:sz w:val="24"/>
          <w:szCs w:val="24"/>
        </w:rPr>
        <w:t>, llegando a incrementarse en un 55.42 % en el año 7, de solo 0.50 % en el año 0. Todas muestran incrementos lo que revelan la aceptación por parte de los cooperativistas de estas tecnologías.</w:t>
      </w:r>
    </w:p>
    <w:p w:rsidR="00A0128C" w:rsidRDefault="00A0128C" w:rsidP="00A0128C">
      <w:pPr>
        <w:spacing w:after="0" w:line="360" w:lineRule="auto"/>
        <w:jc w:val="center"/>
        <w:rPr>
          <w:rFonts w:ascii="Times New Roman" w:hAnsi="Times New Roman" w:cs="Times New Roman"/>
          <w:sz w:val="24"/>
          <w:szCs w:val="24"/>
        </w:rPr>
      </w:pPr>
      <w:r>
        <w:rPr>
          <w:rFonts w:ascii="Times New Roman" w:hAnsi="Times New Roman"/>
          <w:noProof/>
          <w:sz w:val="24"/>
          <w:szCs w:val="24"/>
          <w:lang w:eastAsia="es-ES"/>
        </w:rPr>
        <w:drawing>
          <wp:inline distT="0" distB="0" distL="0" distR="0" wp14:anchorId="79502F08" wp14:editId="14294A15">
            <wp:extent cx="4433777" cy="1703705"/>
            <wp:effectExtent l="0" t="0" r="5080" b="10795"/>
            <wp:docPr id="14" name="Objeto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0128C" w:rsidRDefault="00625BA6" w:rsidP="00A0128C">
      <w:pPr>
        <w:spacing w:after="0" w:line="360" w:lineRule="auto"/>
        <w:jc w:val="center"/>
        <w:rPr>
          <w:rFonts w:ascii="Times New Roman" w:hAnsi="Times New Roman" w:cs="Times New Roman"/>
          <w:sz w:val="20"/>
          <w:szCs w:val="24"/>
        </w:rPr>
      </w:pPr>
      <w:r>
        <w:rPr>
          <w:rFonts w:ascii="Times New Roman" w:hAnsi="Times New Roman" w:cs="Times New Roman"/>
          <w:sz w:val="20"/>
          <w:szCs w:val="24"/>
        </w:rPr>
        <w:t>Figura 1</w:t>
      </w:r>
      <w:r w:rsidR="00A0128C" w:rsidRPr="00A0128C">
        <w:rPr>
          <w:rFonts w:ascii="Times New Roman" w:hAnsi="Times New Roman" w:cs="Times New Roman"/>
          <w:sz w:val="20"/>
          <w:szCs w:val="24"/>
        </w:rPr>
        <w:t>. Resultados de la implementación de principios de MST</w:t>
      </w:r>
    </w:p>
    <w:p w:rsidR="00A0128C" w:rsidRDefault="00A0128C" w:rsidP="00A0128C">
      <w:pPr>
        <w:spacing w:after="0" w:line="360" w:lineRule="auto"/>
        <w:jc w:val="both"/>
        <w:rPr>
          <w:rFonts w:ascii="Times New Roman" w:hAnsi="Times New Roman" w:cs="Times New Roman"/>
          <w:sz w:val="24"/>
          <w:szCs w:val="24"/>
        </w:rPr>
      </w:pPr>
      <w:r w:rsidRPr="00A0128C">
        <w:rPr>
          <w:rFonts w:ascii="Times New Roman" w:hAnsi="Times New Roman" w:cs="Times New Roman"/>
          <w:sz w:val="24"/>
          <w:szCs w:val="24"/>
        </w:rPr>
        <w:t>Con la introducción de tecnologías de riego y maquinaria se ha cambiado el paisaje del lugar, lo cual se observa en las imágenes satelitales</w:t>
      </w:r>
      <w:r w:rsidR="00625BA6">
        <w:rPr>
          <w:rFonts w:ascii="Times New Roman" w:hAnsi="Times New Roman" w:cs="Times New Roman"/>
          <w:sz w:val="24"/>
          <w:szCs w:val="24"/>
        </w:rPr>
        <w:t xml:space="preserve"> de la Figura 2. </w:t>
      </w:r>
      <w:r w:rsidRPr="00A0128C">
        <w:rPr>
          <w:rFonts w:ascii="Times New Roman" w:hAnsi="Times New Roman" w:cs="Times New Roman"/>
          <w:sz w:val="24"/>
          <w:szCs w:val="24"/>
        </w:rPr>
        <w:t xml:space="preserve"> Se puede apreciar en el año 0 solo una máquina de riego instalada, el embalse completamente desprotegido a diferencia de las tomadas en el año 7 donde se muestran las tres máquinas de riego instaladas, el embalse con su faja </w:t>
      </w:r>
      <w:proofErr w:type="spellStart"/>
      <w:r w:rsidRPr="00A0128C">
        <w:rPr>
          <w:rFonts w:ascii="Times New Roman" w:hAnsi="Times New Roman" w:cs="Times New Roman"/>
          <w:sz w:val="24"/>
          <w:szCs w:val="24"/>
        </w:rPr>
        <w:t>hidrorreguladora</w:t>
      </w:r>
      <w:proofErr w:type="spellEnd"/>
      <w:r w:rsidRPr="00A0128C">
        <w:rPr>
          <w:rFonts w:ascii="Times New Roman" w:hAnsi="Times New Roman" w:cs="Times New Roman"/>
          <w:sz w:val="24"/>
          <w:szCs w:val="24"/>
        </w:rPr>
        <w:t>, varias áreas forestadas, y el uso de las nuevas tecnologías de preparación de suelo con las siembras ejecutadas siguiendo el nivel del terreno.</w:t>
      </w:r>
    </w:p>
    <w:p w:rsidR="00A0128C" w:rsidRPr="00A0128C" w:rsidRDefault="00A0128C" w:rsidP="00A0128C">
      <w:pPr>
        <w:spacing w:after="0" w:line="360" w:lineRule="auto"/>
        <w:jc w:val="both"/>
        <w:rPr>
          <w:rFonts w:ascii="Times New Roman" w:hAnsi="Times New Roman" w:cs="Times New Roman"/>
          <w:sz w:val="24"/>
          <w:szCs w:val="24"/>
        </w:rPr>
      </w:pPr>
    </w:p>
    <w:p w:rsidR="00A0128C" w:rsidRPr="00A0128C" w:rsidRDefault="00A0128C" w:rsidP="00A0128C">
      <w:pPr>
        <w:spacing w:after="0" w:line="360" w:lineRule="auto"/>
        <w:rPr>
          <w:rFonts w:ascii="Times New Roman" w:hAnsi="Times New Roman" w:cs="Times New Roman"/>
          <w:sz w:val="20"/>
          <w:szCs w:val="24"/>
        </w:rPr>
      </w:pPr>
      <w:r>
        <w:rPr>
          <w:rFonts w:ascii="Times New Roman" w:hAnsi="Times New Roman"/>
          <w:b/>
          <w:noProof/>
          <w:sz w:val="24"/>
          <w:szCs w:val="24"/>
          <w:lang w:eastAsia="es-ES"/>
        </w:rPr>
        <w:drawing>
          <wp:inline distT="0" distB="0" distL="0" distR="0" wp14:anchorId="38E28741" wp14:editId="656B94E3">
            <wp:extent cx="5400040" cy="2393327"/>
            <wp:effectExtent l="0" t="0" r="0" b="6985"/>
            <wp:docPr id="1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0"/>
                    <a:srcRect/>
                    <a:stretch>
                      <a:fillRect/>
                    </a:stretch>
                  </pic:blipFill>
                  <pic:spPr bwMode="auto">
                    <a:xfrm>
                      <a:off x="0" y="0"/>
                      <a:ext cx="5400040" cy="2393327"/>
                    </a:xfrm>
                    <a:prstGeom prst="rect">
                      <a:avLst/>
                    </a:prstGeom>
                    <a:noFill/>
                    <a:ln w="9525">
                      <a:noFill/>
                      <a:miter lim="800000"/>
                      <a:headEnd/>
                      <a:tailEnd/>
                    </a:ln>
                  </pic:spPr>
                </pic:pic>
              </a:graphicData>
            </a:graphic>
          </wp:inline>
        </w:drawing>
      </w:r>
    </w:p>
    <w:p w:rsidR="00625BA6" w:rsidRPr="00BC33D0" w:rsidRDefault="00625BA6" w:rsidP="00625BA6">
      <w:pPr>
        <w:spacing w:after="0" w:line="360" w:lineRule="auto"/>
        <w:jc w:val="center"/>
        <w:rPr>
          <w:rFonts w:ascii="Times New Roman" w:hAnsi="Times New Roman" w:cs="Times New Roman"/>
        </w:rPr>
      </w:pPr>
      <w:r w:rsidRPr="00BC33D0">
        <w:rPr>
          <w:rFonts w:ascii="Times New Roman" w:hAnsi="Times New Roman" w:cs="Times New Roman"/>
        </w:rPr>
        <w:t xml:space="preserve">Figura 2. </w:t>
      </w:r>
      <w:r w:rsidR="00BC33D0" w:rsidRPr="00BC33D0">
        <w:rPr>
          <w:rFonts w:ascii="Times New Roman" w:hAnsi="Times New Roman" w:cs="Times New Roman"/>
        </w:rPr>
        <w:t>I</w:t>
      </w:r>
      <w:r w:rsidRPr="00BC33D0">
        <w:rPr>
          <w:rFonts w:ascii="Times New Roman" w:hAnsi="Times New Roman" w:cs="Times New Roman"/>
        </w:rPr>
        <w:t>mágenes satelitales</w:t>
      </w:r>
      <w:r w:rsidR="00BC33D0">
        <w:rPr>
          <w:rFonts w:ascii="Times New Roman" w:hAnsi="Times New Roman" w:cs="Times New Roman"/>
        </w:rPr>
        <w:t>.</w:t>
      </w:r>
    </w:p>
    <w:p w:rsidR="00A0128C" w:rsidRDefault="00A0128C" w:rsidP="00E91249">
      <w:pPr>
        <w:spacing w:after="0" w:line="360" w:lineRule="auto"/>
        <w:jc w:val="both"/>
        <w:rPr>
          <w:rFonts w:ascii="Times New Roman" w:hAnsi="Times New Roman" w:cs="Times New Roman"/>
          <w:b/>
          <w:sz w:val="24"/>
          <w:szCs w:val="24"/>
        </w:rPr>
      </w:pPr>
    </w:p>
    <w:p w:rsidR="00A0128C" w:rsidRDefault="00A0128C" w:rsidP="00E912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A0128C">
        <w:rPr>
          <w:rFonts w:ascii="Times New Roman" w:hAnsi="Times New Roman" w:cs="Times New Roman"/>
          <w:b/>
          <w:sz w:val="24"/>
          <w:szCs w:val="24"/>
        </w:rPr>
        <w:t>Impacto Ambiental</w:t>
      </w:r>
    </w:p>
    <w:p w:rsidR="00A0128C" w:rsidRDefault="00625BA6" w:rsidP="00E91249">
      <w:pPr>
        <w:spacing w:after="0" w:line="360" w:lineRule="auto"/>
        <w:jc w:val="both"/>
        <w:rPr>
          <w:rFonts w:ascii="Times New Roman" w:hAnsi="Times New Roman"/>
          <w:sz w:val="24"/>
          <w:szCs w:val="24"/>
        </w:rPr>
      </w:pPr>
      <w:r>
        <w:rPr>
          <w:rFonts w:ascii="Times New Roman" w:hAnsi="Times New Roman"/>
          <w:sz w:val="24"/>
          <w:szCs w:val="24"/>
        </w:rPr>
        <w:t>L</w:t>
      </w:r>
      <w:r w:rsidR="00A0128C" w:rsidRPr="00A0128C">
        <w:rPr>
          <w:rFonts w:ascii="Times New Roman" w:hAnsi="Times New Roman"/>
          <w:sz w:val="24"/>
          <w:szCs w:val="24"/>
        </w:rPr>
        <w:t>os resultados del pH, materia orgánica, fósforo y potasio muestran incrementos significativos en las fincas El Guajén y Ñoñó, como puede</w:t>
      </w:r>
      <w:r>
        <w:rPr>
          <w:rFonts w:ascii="Times New Roman" w:hAnsi="Times New Roman"/>
          <w:sz w:val="24"/>
          <w:szCs w:val="24"/>
        </w:rPr>
        <w:t xml:space="preserve"> apreciarse en</w:t>
      </w:r>
      <w:r w:rsidR="00BC33D0">
        <w:rPr>
          <w:rFonts w:ascii="Times New Roman" w:hAnsi="Times New Roman"/>
          <w:sz w:val="24"/>
          <w:szCs w:val="24"/>
        </w:rPr>
        <w:t xml:space="preserve"> las figuras  3</w:t>
      </w:r>
      <w:r w:rsidR="00A0128C" w:rsidRPr="00A0128C">
        <w:rPr>
          <w:rFonts w:ascii="Times New Roman" w:hAnsi="Times New Roman"/>
          <w:sz w:val="24"/>
          <w:szCs w:val="24"/>
        </w:rPr>
        <w:t xml:space="preserve"> y 3.14, donde el pH pasa de Ligeramente Ácido (5.5) a Ligeramente Neutro (6.8) en El Guajén y se mantiene Ligeramente Neutro en Ñoñó (6.3 a 6.9);  el P2O5 pasa de Medio (28.8) a Alto (37.2) en El Guajén y de Bajo (10.1) a Medio (17.7) en Ñoñó; el K2O se mantiene Alto en ambas fincas (29.9 a 61.05) Guajén y (29.9 a 61.05) Ñoñó; la materia orgánica pasa de Baja (2.04) a Media (3.84) en el Guajén y de Baja (1.9) a Alta (4.07) en Ñoñó.  Esto está provocado por manejo que se usó con la implementación de las acciones de conservación y mejoramiento de suelo para corregir las limitantes detectadas en el diagnóstico, a pesar que la fertilización no se ejecutó como se recomendó por el análisis agroquímico a causa de los paquetes tecnológicos de los cultivos de grano y tabaco. </w:t>
      </w:r>
      <w:r w:rsidR="00A0128C">
        <w:rPr>
          <w:rFonts w:ascii="Times New Roman" w:hAnsi="Times New Roman"/>
          <w:sz w:val="24"/>
          <w:szCs w:val="24"/>
        </w:rPr>
        <w:t xml:space="preserve"> </w:t>
      </w:r>
      <w:proofErr w:type="gramStart"/>
      <w:r w:rsidR="00A0128C">
        <w:rPr>
          <w:rFonts w:ascii="Times New Roman" w:hAnsi="Times New Roman"/>
          <w:sz w:val="24"/>
          <w:szCs w:val="24"/>
        </w:rPr>
        <w:t>la</w:t>
      </w:r>
      <w:proofErr w:type="gramEnd"/>
      <w:r w:rsidR="00A0128C">
        <w:rPr>
          <w:rFonts w:ascii="Times New Roman" w:hAnsi="Times New Roman"/>
          <w:sz w:val="24"/>
          <w:szCs w:val="24"/>
        </w:rPr>
        <w:t xml:space="preserve"> incorporación de abonos verdes y orgánicos al suelo.</w:t>
      </w:r>
    </w:p>
    <w:p w:rsidR="00A0128C" w:rsidRDefault="00A0128C" w:rsidP="00E91249">
      <w:pPr>
        <w:spacing w:after="0" w:line="360" w:lineRule="auto"/>
        <w:jc w:val="both"/>
        <w:rPr>
          <w:rFonts w:ascii="Times New Roman" w:hAnsi="Times New Roman"/>
          <w:sz w:val="24"/>
          <w:szCs w:val="24"/>
        </w:rPr>
      </w:pPr>
      <w:r>
        <w:rPr>
          <w:rFonts w:ascii="Times New Roman" w:hAnsi="Times New Roman"/>
          <w:noProof/>
          <w:sz w:val="24"/>
          <w:szCs w:val="24"/>
          <w:lang w:eastAsia="es-ES"/>
        </w:rPr>
        <w:drawing>
          <wp:inline distT="0" distB="0" distL="0" distR="0" wp14:anchorId="4F8E4906" wp14:editId="209447DE">
            <wp:extent cx="5400040" cy="1901138"/>
            <wp:effectExtent l="0" t="0" r="10160" b="4445"/>
            <wp:docPr id="17" name="Objet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128C" w:rsidRPr="00BC33D0" w:rsidRDefault="00A0128C" w:rsidP="00BC33D0">
      <w:pPr>
        <w:jc w:val="center"/>
        <w:rPr>
          <w:rFonts w:ascii="Times New Roman" w:hAnsi="Times New Roman"/>
          <w:szCs w:val="24"/>
        </w:rPr>
      </w:pPr>
      <w:r w:rsidRPr="00BC33D0">
        <w:rPr>
          <w:rFonts w:ascii="Times New Roman" w:hAnsi="Times New Roman"/>
          <w:szCs w:val="24"/>
        </w:rPr>
        <w:t>F</w:t>
      </w:r>
      <w:r w:rsidR="00BC33D0" w:rsidRPr="00BC33D0">
        <w:rPr>
          <w:rFonts w:ascii="Times New Roman" w:hAnsi="Times New Roman"/>
          <w:szCs w:val="24"/>
        </w:rPr>
        <w:t>igura 3.</w:t>
      </w:r>
      <w:r w:rsidRPr="00BC33D0">
        <w:rPr>
          <w:rFonts w:ascii="Times New Roman" w:hAnsi="Times New Roman"/>
          <w:szCs w:val="24"/>
        </w:rPr>
        <w:t xml:space="preserve">  Calidad de la materia orgánica y contenido de nutrientes finca El Guajén.</w:t>
      </w:r>
    </w:p>
    <w:p w:rsidR="00A0128C" w:rsidRDefault="00A0128C" w:rsidP="00E91249">
      <w:pPr>
        <w:spacing w:after="0" w:line="360" w:lineRule="auto"/>
        <w:jc w:val="both"/>
        <w:rPr>
          <w:rFonts w:ascii="Times New Roman" w:hAnsi="Times New Roman"/>
          <w:sz w:val="24"/>
          <w:szCs w:val="24"/>
          <w:lang w:eastAsia="es-ES"/>
        </w:rPr>
      </w:pPr>
      <w:r>
        <w:rPr>
          <w:rFonts w:ascii="Times New Roman" w:hAnsi="Times New Roman"/>
          <w:color w:val="000000"/>
          <w:sz w:val="24"/>
          <w:szCs w:val="24"/>
        </w:rPr>
        <w:t>Se</w:t>
      </w:r>
      <w:r w:rsidRPr="00F71C46">
        <w:rPr>
          <w:rFonts w:ascii="Times New Roman" w:hAnsi="Times New Roman"/>
          <w:color w:val="000000"/>
          <w:sz w:val="24"/>
          <w:szCs w:val="24"/>
        </w:rPr>
        <w:t xml:space="preserve"> han ido disminuyendo e</w:t>
      </w:r>
      <w:r>
        <w:rPr>
          <w:rFonts w:ascii="Times New Roman" w:hAnsi="Times New Roman"/>
          <w:color w:val="000000"/>
          <w:sz w:val="24"/>
          <w:szCs w:val="24"/>
        </w:rPr>
        <w:t>l</w:t>
      </w:r>
      <w:r w:rsidRPr="00F71C46">
        <w:rPr>
          <w:rFonts w:ascii="Times New Roman" w:hAnsi="Times New Roman"/>
          <w:color w:val="000000"/>
          <w:sz w:val="24"/>
          <w:szCs w:val="24"/>
        </w:rPr>
        <w:t xml:space="preserve"> uso de químicos y aumen</w:t>
      </w:r>
      <w:r>
        <w:rPr>
          <w:rFonts w:ascii="Times New Roman" w:hAnsi="Times New Roman"/>
          <w:color w:val="000000"/>
          <w:sz w:val="24"/>
          <w:szCs w:val="24"/>
        </w:rPr>
        <w:t>t</w:t>
      </w:r>
      <w:r w:rsidRPr="00F71C46">
        <w:rPr>
          <w:rFonts w:ascii="Times New Roman" w:hAnsi="Times New Roman"/>
          <w:color w:val="000000"/>
          <w:sz w:val="24"/>
          <w:szCs w:val="24"/>
        </w:rPr>
        <w:t xml:space="preserve">ando </w:t>
      </w:r>
      <w:r>
        <w:rPr>
          <w:rFonts w:ascii="Times New Roman" w:hAnsi="Times New Roman"/>
          <w:color w:val="000000"/>
          <w:sz w:val="24"/>
          <w:szCs w:val="24"/>
        </w:rPr>
        <w:t>l</w:t>
      </w:r>
      <w:r w:rsidRPr="00F71C46">
        <w:rPr>
          <w:rFonts w:ascii="Times New Roman" w:hAnsi="Times New Roman"/>
          <w:color w:val="000000"/>
          <w:sz w:val="24"/>
          <w:szCs w:val="24"/>
        </w:rPr>
        <w:t>os bio</w:t>
      </w:r>
      <w:r>
        <w:rPr>
          <w:rFonts w:ascii="Times New Roman" w:hAnsi="Times New Roman"/>
          <w:color w:val="000000"/>
          <w:sz w:val="24"/>
          <w:szCs w:val="24"/>
        </w:rPr>
        <w:t>l</w:t>
      </w:r>
      <w:r w:rsidRPr="00F71C46">
        <w:rPr>
          <w:rFonts w:ascii="Times New Roman" w:hAnsi="Times New Roman"/>
          <w:color w:val="000000"/>
          <w:sz w:val="24"/>
          <w:szCs w:val="24"/>
        </w:rPr>
        <w:t>ógicos y orgánicos como se mues</w:t>
      </w:r>
      <w:r>
        <w:rPr>
          <w:rFonts w:ascii="Times New Roman" w:hAnsi="Times New Roman"/>
          <w:color w:val="000000"/>
          <w:sz w:val="24"/>
          <w:szCs w:val="24"/>
        </w:rPr>
        <w:t>t</w:t>
      </w:r>
      <w:r w:rsidRPr="00F71C46">
        <w:rPr>
          <w:rFonts w:ascii="Times New Roman" w:hAnsi="Times New Roman"/>
          <w:color w:val="000000"/>
          <w:sz w:val="24"/>
          <w:szCs w:val="24"/>
        </w:rPr>
        <w:t xml:space="preserve">ra en </w:t>
      </w:r>
      <w:r w:rsidR="00BC33D0">
        <w:rPr>
          <w:rFonts w:ascii="Times New Roman" w:hAnsi="Times New Roman"/>
          <w:color w:val="000000"/>
          <w:sz w:val="24"/>
          <w:szCs w:val="24"/>
        </w:rPr>
        <w:t>la figura 4</w:t>
      </w:r>
      <w:r w:rsidRPr="00F71C46">
        <w:rPr>
          <w:rFonts w:ascii="Times New Roman" w:hAnsi="Times New Roman"/>
          <w:color w:val="000000"/>
          <w:sz w:val="24"/>
          <w:szCs w:val="24"/>
        </w:rPr>
        <w:t xml:space="preserve">, disminuyendo </w:t>
      </w:r>
      <w:r>
        <w:rPr>
          <w:rFonts w:ascii="Times New Roman" w:hAnsi="Times New Roman"/>
          <w:color w:val="000000"/>
          <w:sz w:val="24"/>
          <w:szCs w:val="24"/>
        </w:rPr>
        <w:t>l</w:t>
      </w:r>
      <w:r w:rsidRPr="00F71C46">
        <w:rPr>
          <w:rFonts w:ascii="Times New Roman" w:hAnsi="Times New Roman"/>
          <w:color w:val="000000"/>
          <w:sz w:val="24"/>
          <w:szCs w:val="24"/>
        </w:rPr>
        <w:t>a carga con</w:t>
      </w:r>
      <w:r>
        <w:rPr>
          <w:rFonts w:ascii="Times New Roman" w:hAnsi="Times New Roman"/>
          <w:color w:val="000000"/>
          <w:sz w:val="24"/>
          <w:szCs w:val="24"/>
        </w:rPr>
        <w:t>t</w:t>
      </w:r>
      <w:r w:rsidRPr="00F71C46">
        <w:rPr>
          <w:rFonts w:ascii="Times New Roman" w:hAnsi="Times New Roman"/>
          <w:color w:val="000000"/>
          <w:sz w:val="24"/>
          <w:szCs w:val="24"/>
        </w:rPr>
        <w:t>aminan</w:t>
      </w:r>
      <w:r>
        <w:rPr>
          <w:rFonts w:ascii="Times New Roman" w:hAnsi="Times New Roman"/>
          <w:color w:val="000000"/>
          <w:sz w:val="24"/>
          <w:szCs w:val="24"/>
        </w:rPr>
        <w:t>t</w:t>
      </w:r>
      <w:r w:rsidRPr="00F71C46">
        <w:rPr>
          <w:rFonts w:ascii="Times New Roman" w:hAnsi="Times New Roman"/>
          <w:color w:val="000000"/>
          <w:sz w:val="24"/>
          <w:szCs w:val="24"/>
        </w:rPr>
        <w:t>e a</w:t>
      </w:r>
      <w:r>
        <w:rPr>
          <w:rFonts w:ascii="Times New Roman" w:hAnsi="Times New Roman"/>
          <w:color w:val="000000"/>
          <w:sz w:val="24"/>
          <w:szCs w:val="24"/>
        </w:rPr>
        <w:t>l</w:t>
      </w:r>
      <w:r w:rsidRPr="00F71C46">
        <w:rPr>
          <w:rFonts w:ascii="Times New Roman" w:hAnsi="Times New Roman"/>
          <w:color w:val="000000"/>
          <w:sz w:val="24"/>
          <w:szCs w:val="24"/>
        </w:rPr>
        <w:t xml:space="preserve"> sue</w:t>
      </w:r>
      <w:r>
        <w:rPr>
          <w:rFonts w:ascii="Times New Roman" w:hAnsi="Times New Roman"/>
          <w:color w:val="000000"/>
          <w:sz w:val="24"/>
          <w:szCs w:val="24"/>
        </w:rPr>
        <w:t>l</w:t>
      </w:r>
      <w:r w:rsidRPr="00F71C46">
        <w:rPr>
          <w:rFonts w:ascii="Times New Roman" w:hAnsi="Times New Roman"/>
          <w:color w:val="000000"/>
          <w:sz w:val="24"/>
          <w:szCs w:val="24"/>
        </w:rPr>
        <w:t>o, agua y bosque. Resu</w:t>
      </w:r>
      <w:r>
        <w:rPr>
          <w:rFonts w:ascii="Times New Roman" w:hAnsi="Times New Roman"/>
          <w:color w:val="000000"/>
          <w:sz w:val="24"/>
          <w:szCs w:val="24"/>
        </w:rPr>
        <w:t>lt</w:t>
      </w:r>
      <w:r w:rsidRPr="00F71C46">
        <w:rPr>
          <w:rFonts w:ascii="Times New Roman" w:hAnsi="Times New Roman"/>
          <w:color w:val="000000"/>
          <w:sz w:val="24"/>
          <w:szCs w:val="24"/>
        </w:rPr>
        <w:t>ados semejan</w:t>
      </w:r>
      <w:r>
        <w:rPr>
          <w:rFonts w:ascii="Times New Roman" w:hAnsi="Times New Roman"/>
          <w:color w:val="000000"/>
          <w:sz w:val="24"/>
          <w:szCs w:val="24"/>
        </w:rPr>
        <w:t>t</w:t>
      </w:r>
      <w:r w:rsidRPr="00F71C46">
        <w:rPr>
          <w:rFonts w:ascii="Times New Roman" w:hAnsi="Times New Roman"/>
          <w:color w:val="000000"/>
          <w:sz w:val="24"/>
          <w:szCs w:val="24"/>
        </w:rPr>
        <w:t xml:space="preserve">es a </w:t>
      </w:r>
      <w:r>
        <w:rPr>
          <w:rFonts w:ascii="Times New Roman" w:hAnsi="Times New Roman"/>
          <w:color w:val="000000"/>
          <w:sz w:val="24"/>
          <w:szCs w:val="24"/>
        </w:rPr>
        <w:t>l</w:t>
      </w:r>
      <w:r w:rsidRPr="00F71C46">
        <w:rPr>
          <w:rFonts w:ascii="Times New Roman" w:hAnsi="Times New Roman"/>
          <w:color w:val="000000"/>
          <w:sz w:val="24"/>
          <w:szCs w:val="24"/>
        </w:rPr>
        <w:t>os ob</w:t>
      </w:r>
      <w:r>
        <w:rPr>
          <w:rFonts w:ascii="Times New Roman" w:hAnsi="Times New Roman"/>
          <w:color w:val="000000"/>
          <w:sz w:val="24"/>
          <w:szCs w:val="24"/>
        </w:rPr>
        <w:t>t</w:t>
      </w:r>
      <w:r w:rsidRPr="00F71C46">
        <w:rPr>
          <w:rFonts w:ascii="Times New Roman" w:hAnsi="Times New Roman"/>
          <w:color w:val="000000"/>
          <w:sz w:val="24"/>
          <w:szCs w:val="24"/>
        </w:rPr>
        <w:t>enidos en e</w:t>
      </w:r>
      <w:r>
        <w:rPr>
          <w:rFonts w:ascii="Times New Roman" w:hAnsi="Times New Roman"/>
          <w:color w:val="000000"/>
          <w:sz w:val="24"/>
          <w:szCs w:val="24"/>
        </w:rPr>
        <w:t>l</w:t>
      </w:r>
      <w:r w:rsidRPr="00F71C46">
        <w:rPr>
          <w:rFonts w:ascii="Times New Roman" w:hAnsi="Times New Roman"/>
          <w:color w:val="000000"/>
          <w:sz w:val="24"/>
          <w:szCs w:val="24"/>
        </w:rPr>
        <w:t xml:space="preserve"> po</w:t>
      </w:r>
      <w:r>
        <w:rPr>
          <w:rFonts w:ascii="Times New Roman" w:hAnsi="Times New Roman"/>
          <w:color w:val="000000"/>
          <w:sz w:val="24"/>
          <w:szCs w:val="24"/>
        </w:rPr>
        <w:t>l</w:t>
      </w:r>
      <w:r w:rsidRPr="00F71C46">
        <w:rPr>
          <w:rFonts w:ascii="Times New Roman" w:hAnsi="Times New Roman"/>
          <w:color w:val="000000"/>
          <w:sz w:val="24"/>
          <w:szCs w:val="24"/>
        </w:rPr>
        <w:t>ígono de Guan</w:t>
      </w:r>
      <w:r>
        <w:rPr>
          <w:rFonts w:ascii="Times New Roman" w:hAnsi="Times New Roman"/>
          <w:color w:val="000000"/>
          <w:sz w:val="24"/>
          <w:szCs w:val="24"/>
        </w:rPr>
        <w:t>t</w:t>
      </w:r>
      <w:r w:rsidRPr="00F71C46">
        <w:rPr>
          <w:rFonts w:ascii="Times New Roman" w:hAnsi="Times New Roman"/>
          <w:color w:val="000000"/>
          <w:sz w:val="24"/>
          <w:szCs w:val="24"/>
        </w:rPr>
        <w:t xml:space="preserve">ánamo según </w:t>
      </w:r>
      <w:r w:rsidRPr="00F71C46">
        <w:rPr>
          <w:rFonts w:ascii="Times New Roman" w:hAnsi="Times New Roman"/>
          <w:bCs/>
          <w:sz w:val="24"/>
          <w:szCs w:val="24"/>
          <w:lang w:eastAsia="es-ES"/>
        </w:rPr>
        <w:t>B</w:t>
      </w:r>
      <w:r>
        <w:rPr>
          <w:rFonts w:ascii="Times New Roman" w:hAnsi="Times New Roman"/>
          <w:bCs/>
          <w:sz w:val="24"/>
          <w:szCs w:val="24"/>
          <w:lang w:eastAsia="es-ES"/>
        </w:rPr>
        <w:t>l</w:t>
      </w:r>
      <w:r w:rsidRPr="00F71C46">
        <w:rPr>
          <w:rFonts w:ascii="Times New Roman" w:hAnsi="Times New Roman"/>
          <w:bCs/>
          <w:sz w:val="24"/>
          <w:szCs w:val="24"/>
          <w:lang w:eastAsia="es-ES"/>
        </w:rPr>
        <w:t>anco</w:t>
      </w:r>
      <w:r w:rsidRPr="00F71C46">
        <w:rPr>
          <w:rFonts w:ascii="Times New Roman" w:hAnsi="Times New Roman"/>
          <w:sz w:val="24"/>
          <w:szCs w:val="24"/>
        </w:rPr>
        <w:t xml:space="preserve"> e</w:t>
      </w:r>
      <w:r>
        <w:rPr>
          <w:rFonts w:ascii="Times New Roman" w:hAnsi="Times New Roman"/>
          <w:sz w:val="24"/>
          <w:szCs w:val="24"/>
        </w:rPr>
        <w:t>t</w:t>
      </w:r>
      <w:r w:rsidRPr="00F71C46">
        <w:rPr>
          <w:rFonts w:ascii="Times New Roman" w:hAnsi="Times New Roman"/>
          <w:sz w:val="24"/>
          <w:szCs w:val="24"/>
        </w:rPr>
        <w:t xml:space="preserve"> a</w:t>
      </w:r>
      <w:r>
        <w:rPr>
          <w:rFonts w:ascii="Times New Roman" w:hAnsi="Times New Roman"/>
          <w:sz w:val="24"/>
          <w:szCs w:val="24"/>
        </w:rPr>
        <w:t>l</w:t>
      </w:r>
      <w:r w:rsidRPr="00F71C46">
        <w:rPr>
          <w:rFonts w:ascii="Times New Roman" w:hAnsi="Times New Roman"/>
          <w:sz w:val="24"/>
          <w:szCs w:val="24"/>
        </w:rPr>
        <w:t>. (2015) que p</w:t>
      </w:r>
      <w:r>
        <w:rPr>
          <w:rFonts w:ascii="Times New Roman" w:hAnsi="Times New Roman"/>
          <w:sz w:val="24"/>
          <w:szCs w:val="24"/>
        </w:rPr>
        <w:t>l</w:t>
      </w:r>
      <w:r w:rsidRPr="00F71C46">
        <w:rPr>
          <w:rFonts w:ascii="Times New Roman" w:hAnsi="Times New Roman"/>
          <w:sz w:val="24"/>
          <w:szCs w:val="24"/>
        </w:rPr>
        <w:t>an</w:t>
      </w:r>
      <w:r>
        <w:rPr>
          <w:rFonts w:ascii="Times New Roman" w:hAnsi="Times New Roman"/>
          <w:sz w:val="24"/>
          <w:szCs w:val="24"/>
        </w:rPr>
        <w:t>t</w:t>
      </w:r>
      <w:r w:rsidRPr="00F71C46">
        <w:rPr>
          <w:rFonts w:ascii="Times New Roman" w:hAnsi="Times New Roman"/>
          <w:sz w:val="24"/>
          <w:szCs w:val="24"/>
        </w:rPr>
        <w:t xml:space="preserve">ea que </w:t>
      </w:r>
      <w:r>
        <w:rPr>
          <w:rFonts w:ascii="Times New Roman" w:hAnsi="Times New Roman"/>
          <w:sz w:val="24"/>
          <w:szCs w:val="24"/>
          <w:lang w:eastAsia="es-ES"/>
        </w:rPr>
        <w:t>el</w:t>
      </w:r>
      <w:r w:rsidRPr="00F71C46">
        <w:rPr>
          <w:rFonts w:ascii="Times New Roman" w:hAnsi="Times New Roman"/>
          <w:sz w:val="24"/>
          <w:szCs w:val="24"/>
          <w:lang w:eastAsia="es-ES"/>
        </w:rPr>
        <w:t xml:space="preserve"> es</w:t>
      </w:r>
      <w:r>
        <w:rPr>
          <w:rFonts w:ascii="Times New Roman" w:hAnsi="Times New Roman"/>
          <w:sz w:val="24"/>
          <w:szCs w:val="24"/>
          <w:lang w:eastAsia="es-ES"/>
        </w:rPr>
        <w:t>t</w:t>
      </w:r>
      <w:r w:rsidRPr="00F71C46">
        <w:rPr>
          <w:rFonts w:ascii="Times New Roman" w:hAnsi="Times New Roman"/>
          <w:sz w:val="24"/>
          <w:szCs w:val="24"/>
          <w:lang w:eastAsia="es-ES"/>
        </w:rPr>
        <w:t>ab</w:t>
      </w:r>
      <w:r>
        <w:rPr>
          <w:rFonts w:ascii="Times New Roman" w:hAnsi="Times New Roman"/>
          <w:sz w:val="24"/>
          <w:szCs w:val="24"/>
          <w:lang w:eastAsia="es-ES"/>
        </w:rPr>
        <w:t>l</w:t>
      </w:r>
      <w:r w:rsidRPr="00F71C46">
        <w:rPr>
          <w:rFonts w:ascii="Times New Roman" w:hAnsi="Times New Roman"/>
          <w:sz w:val="24"/>
          <w:szCs w:val="24"/>
          <w:lang w:eastAsia="es-ES"/>
        </w:rPr>
        <w:t>ecimien</w:t>
      </w:r>
      <w:r>
        <w:rPr>
          <w:rFonts w:ascii="Times New Roman" w:hAnsi="Times New Roman"/>
          <w:sz w:val="24"/>
          <w:szCs w:val="24"/>
          <w:lang w:eastAsia="es-ES"/>
        </w:rPr>
        <w:t>t</w:t>
      </w:r>
      <w:r w:rsidRPr="00F71C46">
        <w:rPr>
          <w:rFonts w:ascii="Times New Roman" w:hAnsi="Times New Roman"/>
          <w:sz w:val="24"/>
          <w:szCs w:val="24"/>
          <w:lang w:eastAsia="es-ES"/>
        </w:rPr>
        <w:t xml:space="preserve">o de </w:t>
      </w:r>
      <w:r>
        <w:rPr>
          <w:rFonts w:ascii="Times New Roman" w:hAnsi="Times New Roman"/>
          <w:sz w:val="24"/>
          <w:szCs w:val="24"/>
          <w:lang w:eastAsia="es-ES"/>
        </w:rPr>
        <w:t>l</w:t>
      </w:r>
      <w:r w:rsidRPr="00F71C46">
        <w:rPr>
          <w:rFonts w:ascii="Times New Roman" w:hAnsi="Times New Roman"/>
          <w:sz w:val="24"/>
          <w:szCs w:val="24"/>
          <w:lang w:eastAsia="es-ES"/>
        </w:rPr>
        <w:t>os po</w:t>
      </w:r>
      <w:r>
        <w:rPr>
          <w:rFonts w:ascii="Times New Roman" w:hAnsi="Times New Roman"/>
          <w:sz w:val="24"/>
          <w:szCs w:val="24"/>
          <w:lang w:eastAsia="es-ES"/>
        </w:rPr>
        <w:t>l</w:t>
      </w:r>
      <w:r w:rsidRPr="00F71C46">
        <w:rPr>
          <w:rFonts w:ascii="Times New Roman" w:hAnsi="Times New Roman"/>
          <w:sz w:val="24"/>
          <w:szCs w:val="24"/>
          <w:lang w:eastAsia="es-ES"/>
        </w:rPr>
        <w:t>ígonos permi</w:t>
      </w:r>
      <w:r>
        <w:rPr>
          <w:rFonts w:ascii="Times New Roman" w:hAnsi="Times New Roman"/>
          <w:sz w:val="24"/>
          <w:szCs w:val="24"/>
          <w:lang w:eastAsia="es-ES"/>
        </w:rPr>
        <w:t>t</w:t>
      </w:r>
      <w:r w:rsidRPr="00F71C46">
        <w:rPr>
          <w:rFonts w:ascii="Times New Roman" w:hAnsi="Times New Roman"/>
          <w:sz w:val="24"/>
          <w:szCs w:val="24"/>
          <w:lang w:eastAsia="es-ES"/>
        </w:rPr>
        <w:t>ió incremen</w:t>
      </w:r>
      <w:r>
        <w:rPr>
          <w:rFonts w:ascii="Times New Roman" w:hAnsi="Times New Roman"/>
          <w:sz w:val="24"/>
          <w:szCs w:val="24"/>
          <w:lang w:eastAsia="es-ES"/>
        </w:rPr>
        <w:t>t</w:t>
      </w:r>
      <w:r w:rsidRPr="00F71C46">
        <w:rPr>
          <w:rFonts w:ascii="Times New Roman" w:hAnsi="Times New Roman"/>
          <w:sz w:val="24"/>
          <w:szCs w:val="24"/>
          <w:lang w:eastAsia="es-ES"/>
        </w:rPr>
        <w:t>ar</w:t>
      </w:r>
      <w:r>
        <w:rPr>
          <w:rFonts w:ascii="Times New Roman" w:hAnsi="Times New Roman"/>
          <w:sz w:val="24"/>
          <w:szCs w:val="24"/>
          <w:lang w:eastAsia="es-ES"/>
        </w:rPr>
        <w:t xml:space="preserve"> </w:t>
      </w:r>
      <w:r w:rsidRPr="00F71C46">
        <w:rPr>
          <w:rFonts w:ascii="Times New Roman" w:hAnsi="Times New Roman"/>
          <w:sz w:val="24"/>
          <w:szCs w:val="24"/>
          <w:lang w:eastAsia="es-ES"/>
        </w:rPr>
        <w:t>e</w:t>
      </w:r>
      <w:r>
        <w:rPr>
          <w:rFonts w:ascii="Times New Roman" w:hAnsi="Times New Roman"/>
          <w:sz w:val="24"/>
          <w:szCs w:val="24"/>
          <w:lang w:eastAsia="es-ES"/>
        </w:rPr>
        <w:t>l</w:t>
      </w:r>
      <w:r w:rsidRPr="00F71C46">
        <w:rPr>
          <w:rFonts w:ascii="Times New Roman" w:hAnsi="Times New Roman"/>
          <w:sz w:val="24"/>
          <w:szCs w:val="24"/>
          <w:lang w:eastAsia="es-ES"/>
        </w:rPr>
        <w:t xml:space="preserve"> número de áreas beneficiadas con abonos orgánicos, </w:t>
      </w:r>
      <w:proofErr w:type="spellStart"/>
      <w:r w:rsidRPr="00F71C46">
        <w:rPr>
          <w:rFonts w:ascii="Times New Roman" w:hAnsi="Times New Roman"/>
          <w:sz w:val="24"/>
          <w:szCs w:val="24"/>
          <w:lang w:eastAsia="es-ES"/>
        </w:rPr>
        <w:t>biofer</w:t>
      </w:r>
      <w:r>
        <w:rPr>
          <w:rFonts w:ascii="Times New Roman" w:hAnsi="Times New Roman"/>
          <w:sz w:val="24"/>
          <w:szCs w:val="24"/>
          <w:lang w:eastAsia="es-ES"/>
        </w:rPr>
        <w:t>t</w:t>
      </w:r>
      <w:r w:rsidRPr="00F71C46">
        <w:rPr>
          <w:rFonts w:ascii="Times New Roman" w:hAnsi="Times New Roman"/>
          <w:sz w:val="24"/>
          <w:szCs w:val="24"/>
          <w:lang w:eastAsia="es-ES"/>
        </w:rPr>
        <w:t>i</w:t>
      </w:r>
      <w:r>
        <w:rPr>
          <w:rFonts w:ascii="Times New Roman" w:hAnsi="Times New Roman"/>
          <w:sz w:val="24"/>
          <w:szCs w:val="24"/>
          <w:lang w:eastAsia="es-ES"/>
        </w:rPr>
        <w:t>l</w:t>
      </w:r>
      <w:r w:rsidRPr="00F71C46">
        <w:rPr>
          <w:rFonts w:ascii="Times New Roman" w:hAnsi="Times New Roman"/>
          <w:sz w:val="24"/>
          <w:szCs w:val="24"/>
          <w:lang w:eastAsia="es-ES"/>
        </w:rPr>
        <w:t>izan</w:t>
      </w:r>
      <w:r>
        <w:rPr>
          <w:rFonts w:ascii="Times New Roman" w:hAnsi="Times New Roman"/>
          <w:sz w:val="24"/>
          <w:szCs w:val="24"/>
          <w:lang w:eastAsia="es-ES"/>
        </w:rPr>
        <w:t>t</w:t>
      </w:r>
      <w:r w:rsidRPr="00F71C46">
        <w:rPr>
          <w:rFonts w:ascii="Times New Roman" w:hAnsi="Times New Roman"/>
          <w:sz w:val="24"/>
          <w:szCs w:val="24"/>
          <w:lang w:eastAsia="es-ES"/>
        </w:rPr>
        <w:t>es</w:t>
      </w:r>
      <w:proofErr w:type="spellEnd"/>
      <w:r>
        <w:rPr>
          <w:rFonts w:ascii="Times New Roman" w:hAnsi="Times New Roman"/>
          <w:sz w:val="24"/>
          <w:szCs w:val="24"/>
          <w:lang w:eastAsia="es-ES"/>
        </w:rPr>
        <w:t xml:space="preserve"> </w:t>
      </w:r>
      <w:r w:rsidRPr="00F71C46">
        <w:rPr>
          <w:rFonts w:ascii="Times New Roman" w:hAnsi="Times New Roman"/>
          <w:sz w:val="24"/>
          <w:szCs w:val="24"/>
          <w:lang w:eastAsia="es-ES"/>
        </w:rPr>
        <w:t xml:space="preserve">y </w:t>
      </w:r>
      <w:proofErr w:type="spellStart"/>
      <w:r w:rsidRPr="00F71C46">
        <w:rPr>
          <w:rFonts w:ascii="Times New Roman" w:hAnsi="Times New Roman"/>
          <w:sz w:val="24"/>
          <w:szCs w:val="24"/>
          <w:lang w:eastAsia="es-ES"/>
        </w:rPr>
        <w:t>bioes</w:t>
      </w:r>
      <w:r>
        <w:rPr>
          <w:rFonts w:ascii="Times New Roman" w:hAnsi="Times New Roman"/>
          <w:sz w:val="24"/>
          <w:szCs w:val="24"/>
          <w:lang w:eastAsia="es-ES"/>
        </w:rPr>
        <w:t>t</w:t>
      </w:r>
      <w:r w:rsidRPr="00F71C46">
        <w:rPr>
          <w:rFonts w:ascii="Times New Roman" w:hAnsi="Times New Roman"/>
          <w:sz w:val="24"/>
          <w:szCs w:val="24"/>
          <w:lang w:eastAsia="es-ES"/>
        </w:rPr>
        <w:t>imu</w:t>
      </w:r>
      <w:r>
        <w:rPr>
          <w:rFonts w:ascii="Times New Roman" w:hAnsi="Times New Roman"/>
          <w:sz w:val="24"/>
          <w:szCs w:val="24"/>
          <w:lang w:eastAsia="es-ES"/>
        </w:rPr>
        <w:t>l</w:t>
      </w:r>
      <w:r w:rsidRPr="00F71C46">
        <w:rPr>
          <w:rFonts w:ascii="Times New Roman" w:hAnsi="Times New Roman"/>
          <w:sz w:val="24"/>
          <w:szCs w:val="24"/>
          <w:lang w:eastAsia="es-ES"/>
        </w:rPr>
        <w:t>an</w:t>
      </w:r>
      <w:r>
        <w:rPr>
          <w:rFonts w:ascii="Times New Roman" w:hAnsi="Times New Roman"/>
          <w:sz w:val="24"/>
          <w:szCs w:val="24"/>
          <w:lang w:eastAsia="es-ES"/>
        </w:rPr>
        <w:t>t</w:t>
      </w:r>
      <w:r w:rsidRPr="00F71C46">
        <w:rPr>
          <w:rFonts w:ascii="Times New Roman" w:hAnsi="Times New Roman"/>
          <w:sz w:val="24"/>
          <w:szCs w:val="24"/>
          <w:lang w:eastAsia="es-ES"/>
        </w:rPr>
        <w:t>es</w:t>
      </w:r>
      <w:proofErr w:type="spellEnd"/>
      <w:r w:rsidRPr="00F71C46">
        <w:rPr>
          <w:rFonts w:ascii="Times New Roman" w:hAnsi="Times New Roman"/>
          <w:sz w:val="24"/>
          <w:szCs w:val="24"/>
          <w:lang w:eastAsia="es-ES"/>
        </w:rPr>
        <w:t xml:space="preserve">, </w:t>
      </w:r>
      <w:r>
        <w:rPr>
          <w:rFonts w:ascii="Times New Roman" w:hAnsi="Times New Roman"/>
          <w:sz w:val="24"/>
          <w:szCs w:val="24"/>
          <w:lang w:eastAsia="es-ES"/>
        </w:rPr>
        <w:t>l</w:t>
      </w:r>
      <w:r w:rsidRPr="00F71C46">
        <w:rPr>
          <w:rFonts w:ascii="Times New Roman" w:hAnsi="Times New Roman"/>
          <w:sz w:val="24"/>
          <w:szCs w:val="24"/>
          <w:lang w:eastAsia="es-ES"/>
        </w:rPr>
        <w:t>o cua</w:t>
      </w:r>
      <w:r>
        <w:rPr>
          <w:rFonts w:ascii="Times New Roman" w:hAnsi="Times New Roman"/>
          <w:sz w:val="24"/>
          <w:szCs w:val="24"/>
          <w:lang w:eastAsia="es-ES"/>
        </w:rPr>
        <w:t>l</w:t>
      </w:r>
      <w:r w:rsidRPr="00F71C46">
        <w:rPr>
          <w:rFonts w:ascii="Times New Roman" w:hAnsi="Times New Roman"/>
          <w:sz w:val="24"/>
          <w:szCs w:val="24"/>
          <w:lang w:eastAsia="es-ES"/>
        </w:rPr>
        <w:t xml:space="preserve"> demues</w:t>
      </w:r>
      <w:r>
        <w:rPr>
          <w:rFonts w:ascii="Times New Roman" w:hAnsi="Times New Roman"/>
          <w:sz w:val="24"/>
          <w:szCs w:val="24"/>
          <w:lang w:eastAsia="es-ES"/>
        </w:rPr>
        <w:t>t</w:t>
      </w:r>
      <w:r w:rsidRPr="00F71C46">
        <w:rPr>
          <w:rFonts w:ascii="Times New Roman" w:hAnsi="Times New Roman"/>
          <w:sz w:val="24"/>
          <w:szCs w:val="24"/>
          <w:lang w:eastAsia="es-ES"/>
        </w:rPr>
        <w:t>ra</w:t>
      </w:r>
      <w:r>
        <w:rPr>
          <w:rFonts w:ascii="Times New Roman" w:hAnsi="Times New Roman"/>
          <w:sz w:val="24"/>
          <w:szCs w:val="24"/>
          <w:lang w:eastAsia="es-ES"/>
        </w:rPr>
        <w:t xml:space="preserve"> </w:t>
      </w:r>
      <w:r w:rsidRPr="00F71C46">
        <w:rPr>
          <w:rFonts w:ascii="Times New Roman" w:hAnsi="Times New Roman"/>
          <w:sz w:val="24"/>
          <w:szCs w:val="24"/>
          <w:lang w:eastAsia="es-ES"/>
        </w:rPr>
        <w:t>e</w:t>
      </w:r>
      <w:r>
        <w:rPr>
          <w:rFonts w:ascii="Times New Roman" w:hAnsi="Times New Roman"/>
          <w:sz w:val="24"/>
          <w:szCs w:val="24"/>
          <w:lang w:eastAsia="es-ES"/>
        </w:rPr>
        <w:t>l</w:t>
      </w:r>
      <w:r w:rsidRPr="00F71C46">
        <w:rPr>
          <w:rFonts w:ascii="Times New Roman" w:hAnsi="Times New Roman"/>
          <w:sz w:val="24"/>
          <w:szCs w:val="24"/>
          <w:lang w:eastAsia="es-ES"/>
        </w:rPr>
        <w:t xml:space="preserve"> in</w:t>
      </w:r>
      <w:r>
        <w:rPr>
          <w:rFonts w:ascii="Times New Roman" w:hAnsi="Times New Roman"/>
          <w:sz w:val="24"/>
          <w:szCs w:val="24"/>
          <w:lang w:eastAsia="es-ES"/>
        </w:rPr>
        <w:t>t</w:t>
      </w:r>
      <w:r w:rsidRPr="00F71C46">
        <w:rPr>
          <w:rFonts w:ascii="Times New Roman" w:hAnsi="Times New Roman"/>
          <w:sz w:val="24"/>
          <w:szCs w:val="24"/>
          <w:lang w:eastAsia="es-ES"/>
        </w:rPr>
        <w:t xml:space="preserve">erés de </w:t>
      </w:r>
      <w:r>
        <w:rPr>
          <w:rFonts w:ascii="Times New Roman" w:hAnsi="Times New Roman"/>
          <w:sz w:val="24"/>
          <w:szCs w:val="24"/>
          <w:lang w:eastAsia="es-ES"/>
        </w:rPr>
        <w:t>l</w:t>
      </w:r>
      <w:r w:rsidRPr="00F71C46">
        <w:rPr>
          <w:rFonts w:ascii="Times New Roman" w:hAnsi="Times New Roman"/>
          <w:sz w:val="24"/>
          <w:szCs w:val="24"/>
          <w:lang w:eastAsia="es-ES"/>
        </w:rPr>
        <w:t>os produc</w:t>
      </w:r>
      <w:r>
        <w:rPr>
          <w:rFonts w:ascii="Times New Roman" w:hAnsi="Times New Roman"/>
          <w:sz w:val="24"/>
          <w:szCs w:val="24"/>
          <w:lang w:eastAsia="es-ES"/>
        </w:rPr>
        <w:t>t</w:t>
      </w:r>
      <w:r w:rsidRPr="00F71C46">
        <w:rPr>
          <w:rFonts w:ascii="Times New Roman" w:hAnsi="Times New Roman"/>
          <w:sz w:val="24"/>
          <w:szCs w:val="24"/>
          <w:lang w:eastAsia="es-ES"/>
        </w:rPr>
        <w:t>ores por emp</w:t>
      </w:r>
      <w:r>
        <w:rPr>
          <w:rFonts w:ascii="Times New Roman" w:hAnsi="Times New Roman"/>
          <w:sz w:val="24"/>
          <w:szCs w:val="24"/>
          <w:lang w:eastAsia="es-ES"/>
        </w:rPr>
        <w:t>l</w:t>
      </w:r>
      <w:r w:rsidRPr="00F71C46">
        <w:rPr>
          <w:rFonts w:ascii="Times New Roman" w:hAnsi="Times New Roman"/>
          <w:sz w:val="24"/>
          <w:szCs w:val="24"/>
          <w:lang w:eastAsia="es-ES"/>
        </w:rPr>
        <w:t>ear a</w:t>
      </w:r>
      <w:r>
        <w:rPr>
          <w:rFonts w:ascii="Times New Roman" w:hAnsi="Times New Roman"/>
          <w:sz w:val="24"/>
          <w:szCs w:val="24"/>
          <w:lang w:eastAsia="es-ES"/>
        </w:rPr>
        <w:t>lt</w:t>
      </w:r>
      <w:r w:rsidRPr="00F71C46">
        <w:rPr>
          <w:rFonts w:ascii="Times New Roman" w:hAnsi="Times New Roman"/>
          <w:sz w:val="24"/>
          <w:szCs w:val="24"/>
          <w:lang w:eastAsia="es-ES"/>
        </w:rPr>
        <w:t>erna</w:t>
      </w:r>
      <w:r>
        <w:rPr>
          <w:rFonts w:ascii="Times New Roman" w:hAnsi="Times New Roman"/>
          <w:sz w:val="24"/>
          <w:szCs w:val="24"/>
          <w:lang w:eastAsia="es-ES"/>
        </w:rPr>
        <w:t>t</w:t>
      </w:r>
      <w:r w:rsidRPr="00F71C46">
        <w:rPr>
          <w:rFonts w:ascii="Times New Roman" w:hAnsi="Times New Roman"/>
          <w:sz w:val="24"/>
          <w:szCs w:val="24"/>
          <w:lang w:eastAsia="es-ES"/>
        </w:rPr>
        <w:t>ivas menos</w:t>
      </w:r>
      <w:r>
        <w:rPr>
          <w:rFonts w:ascii="Times New Roman" w:hAnsi="Times New Roman"/>
          <w:sz w:val="24"/>
          <w:szCs w:val="24"/>
          <w:lang w:eastAsia="es-ES"/>
        </w:rPr>
        <w:t xml:space="preserve"> </w:t>
      </w:r>
      <w:r w:rsidRPr="00F71C46">
        <w:rPr>
          <w:rFonts w:ascii="Times New Roman" w:hAnsi="Times New Roman"/>
          <w:sz w:val="24"/>
          <w:szCs w:val="24"/>
          <w:lang w:eastAsia="es-ES"/>
        </w:rPr>
        <w:t>dañinas en e</w:t>
      </w:r>
      <w:r>
        <w:rPr>
          <w:rFonts w:ascii="Times New Roman" w:hAnsi="Times New Roman"/>
          <w:sz w:val="24"/>
          <w:szCs w:val="24"/>
          <w:lang w:eastAsia="es-ES"/>
        </w:rPr>
        <w:t>l</w:t>
      </w:r>
      <w:r w:rsidRPr="00F71C46">
        <w:rPr>
          <w:rFonts w:ascii="Times New Roman" w:hAnsi="Times New Roman"/>
          <w:sz w:val="24"/>
          <w:szCs w:val="24"/>
          <w:lang w:eastAsia="es-ES"/>
        </w:rPr>
        <w:t xml:space="preserve"> manejo de sus fincas, con </w:t>
      </w:r>
      <w:r>
        <w:rPr>
          <w:rFonts w:ascii="Times New Roman" w:hAnsi="Times New Roman"/>
          <w:sz w:val="24"/>
          <w:szCs w:val="24"/>
          <w:lang w:eastAsia="es-ES"/>
        </w:rPr>
        <w:t>l</w:t>
      </w:r>
      <w:r w:rsidRPr="00F71C46">
        <w:rPr>
          <w:rFonts w:ascii="Times New Roman" w:hAnsi="Times New Roman"/>
          <w:sz w:val="24"/>
          <w:szCs w:val="24"/>
          <w:lang w:eastAsia="es-ES"/>
        </w:rPr>
        <w:t>o cua</w:t>
      </w:r>
      <w:r>
        <w:rPr>
          <w:rFonts w:ascii="Times New Roman" w:hAnsi="Times New Roman"/>
          <w:sz w:val="24"/>
          <w:szCs w:val="24"/>
          <w:lang w:eastAsia="es-ES"/>
        </w:rPr>
        <w:t>l</w:t>
      </w:r>
      <w:r w:rsidRPr="00F71C46">
        <w:rPr>
          <w:rFonts w:ascii="Times New Roman" w:hAnsi="Times New Roman"/>
          <w:sz w:val="24"/>
          <w:szCs w:val="24"/>
          <w:lang w:eastAsia="es-ES"/>
        </w:rPr>
        <w:t xml:space="preserve"> con</w:t>
      </w:r>
      <w:r>
        <w:rPr>
          <w:rFonts w:ascii="Times New Roman" w:hAnsi="Times New Roman"/>
          <w:sz w:val="24"/>
          <w:szCs w:val="24"/>
          <w:lang w:eastAsia="es-ES"/>
        </w:rPr>
        <w:t>t</w:t>
      </w:r>
      <w:r w:rsidRPr="00F71C46">
        <w:rPr>
          <w:rFonts w:ascii="Times New Roman" w:hAnsi="Times New Roman"/>
          <w:sz w:val="24"/>
          <w:szCs w:val="24"/>
          <w:lang w:eastAsia="es-ES"/>
        </w:rPr>
        <w:t>ribuyen</w:t>
      </w:r>
      <w:r>
        <w:rPr>
          <w:rFonts w:ascii="Times New Roman" w:hAnsi="Times New Roman"/>
          <w:sz w:val="24"/>
          <w:szCs w:val="24"/>
          <w:lang w:eastAsia="es-ES"/>
        </w:rPr>
        <w:t xml:space="preserve"> </w:t>
      </w:r>
      <w:r w:rsidRPr="00F71C46">
        <w:rPr>
          <w:rFonts w:ascii="Times New Roman" w:hAnsi="Times New Roman"/>
          <w:sz w:val="24"/>
          <w:szCs w:val="24"/>
          <w:lang w:eastAsia="es-ES"/>
        </w:rPr>
        <w:t>con e</w:t>
      </w:r>
      <w:r>
        <w:rPr>
          <w:rFonts w:ascii="Times New Roman" w:hAnsi="Times New Roman"/>
          <w:sz w:val="24"/>
          <w:szCs w:val="24"/>
          <w:lang w:eastAsia="es-ES"/>
        </w:rPr>
        <w:t>l</w:t>
      </w:r>
      <w:r w:rsidRPr="00F71C46">
        <w:rPr>
          <w:rFonts w:ascii="Times New Roman" w:hAnsi="Times New Roman"/>
          <w:sz w:val="24"/>
          <w:szCs w:val="24"/>
          <w:lang w:eastAsia="es-ES"/>
        </w:rPr>
        <w:t xml:space="preserve"> cuidado y pro</w:t>
      </w:r>
      <w:r>
        <w:rPr>
          <w:rFonts w:ascii="Times New Roman" w:hAnsi="Times New Roman"/>
          <w:sz w:val="24"/>
          <w:szCs w:val="24"/>
          <w:lang w:eastAsia="es-ES"/>
        </w:rPr>
        <w:t>t</w:t>
      </w:r>
      <w:r w:rsidRPr="00F71C46">
        <w:rPr>
          <w:rFonts w:ascii="Times New Roman" w:hAnsi="Times New Roman"/>
          <w:sz w:val="24"/>
          <w:szCs w:val="24"/>
          <w:lang w:eastAsia="es-ES"/>
        </w:rPr>
        <w:t>ección de</w:t>
      </w:r>
      <w:r>
        <w:rPr>
          <w:rFonts w:ascii="Times New Roman" w:hAnsi="Times New Roman"/>
          <w:sz w:val="24"/>
          <w:szCs w:val="24"/>
          <w:lang w:eastAsia="es-ES"/>
        </w:rPr>
        <w:t>l</w:t>
      </w:r>
      <w:r w:rsidRPr="00F71C46">
        <w:rPr>
          <w:rFonts w:ascii="Times New Roman" w:hAnsi="Times New Roman"/>
          <w:sz w:val="24"/>
          <w:szCs w:val="24"/>
          <w:lang w:eastAsia="es-ES"/>
        </w:rPr>
        <w:t xml:space="preserve"> medio ambien</w:t>
      </w:r>
      <w:r>
        <w:rPr>
          <w:rFonts w:ascii="Times New Roman" w:hAnsi="Times New Roman"/>
          <w:sz w:val="24"/>
          <w:szCs w:val="24"/>
          <w:lang w:eastAsia="es-ES"/>
        </w:rPr>
        <w:t>t</w:t>
      </w:r>
      <w:r w:rsidRPr="00F71C46">
        <w:rPr>
          <w:rFonts w:ascii="Times New Roman" w:hAnsi="Times New Roman"/>
          <w:sz w:val="24"/>
          <w:szCs w:val="24"/>
          <w:lang w:eastAsia="es-ES"/>
        </w:rPr>
        <w:t>e.</w:t>
      </w:r>
    </w:p>
    <w:p w:rsidR="00A0128C" w:rsidRDefault="00A0128C" w:rsidP="00E91249">
      <w:pPr>
        <w:spacing w:after="0" w:line="360" w:lineRule="auto"/>
        <w:jc w:val="both"/>
        <w:rPr>
          <w:rFonts w:ascii="Times New Roman" w:hAnsi="Times New Roman" w:cs="Times New Roman"/>
          <w:b/>
          <w:sz w:val="24"/>
          <w:szCs w:val="24"/>
        </w:rPr>
      </w:pPr>
      <w:r>
        <w:rPr>
          <w:rFonts w:ascii="Times New Roman" w:hAnsi="Times New Roman"/>
          <w:noProof/>
          <w:sz w:val="24"/>
          <w:szCs w:val="24"/>
          <w:lang w:eastAsia="es-ES"/>
        </w:rPr>
        <w:drawing>
          <wp:inline distT="0" distB="0" distL="0" distR="0" wp14:anchorId="72616B9F" wp14:editId="1E6A97EB">
            <wp:extent cx="5400040" cy="1778719"/>
            <wp:effectExtent l="0" t="0" r="10160" b="12065"/>
            <wp:docPr id="20" name="Objeto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128C" w:rsidRPr="00BC33D0" w:rsidRDefault="00BC33D0" w:rsidP="00BC33D0">
      <w:pPr>
        <w:autoSpaceDE w:val="0"/>
        <w:autoSpaceDN w:val="0"/>
        <w:adjustRightInd w:val="0"/>
        <w:spacing w:after="0"/>
        <w:jc w:val="center"/>
        <w:rPr>
          <w:rFonts w:ascii="Times New Roman" w:hAnsi="Times New Roman"/>
          <w:szCs w:val="24"/>
          <w:lang w:eastAsia="es-ES"/>
        </w:rPr>
      </w:pPr>
      <w:r w:rsidRPr="00BC33D0">
        <w:rPr>
          <w:rFonts w:ascii="Times New Roman" w:hAnsi="Times New Roman"/>
          <w:szCs w:val="24"/>
          <w:lang w:eastAsia="es-ES"/>
        </w:rPr>
        <w:t>Figura 4</w:t>
      </w:r>
      <w:r w:rsidR="00A0128C" w:rsidRPr="00BC33D0">
        <w:rPr>
          <w:rFonts w:ascii="Times New Roman" w:hAnsi="Times New Roman"/>
          <w:szCs w:val="24"/>
          <w:lang w:eastAsia="es-ES"/>
        </w:rPr>
        <w:t>. Uso de fertilizantes químicos y abonos orgánicos.</w:t>
      </w:r>
    </w:p>
    <w:p w:rsidR="00A0128C" w:rsidRPr="00A0128C" w:rsidRDefault="00A0128C" w:rsidP="00E91249">
      <w:pPr>
        <w:spacing w:after="0" w:line="360" w:lineRule="auto"/>
        <w:jc w:val="both"/>
        <w:rPr>
          <w:rFonts w:ascii="Times New Roman" w:hAnsi="Times New Roman" w:cs="Times New Roman"/>
          <w:sz w:val="24"/>
          <w:szCs w:val="24"/>
        </w:rPr>
      </w:pPr>
    </w:p>
    <w:p w:rsidR="00A0128C" w:rsidRDefault="00A0128C" w:rsidP="00A0128C">
      <w:pPr>
        <w:spacing w:after="0" w:line="360" w:lineRule="auto"/>
        <w:jc w:val="both"/>
        <w:rPr>
          <w:rFonts w:ascii="Times New Roman" w:hAnsi="Times New Roman" w:cs="Times New Roman"/>
          <w:sz w:val="24"/>
          <w:szCs w:val="24"/>
        </w:rPr>
      </w:pPr>
      <w:r w:rsidRPr="00A0128C">
        <w:rPr>
          <w:rFonts w:ascii="Times New Roman" w:hAnsi="Times New Roman" w:cs="Times New Roman"/>
          <w:sz w:val="24"/>
          <w:szCs w:val="24"/>
        </w:rPr>
        <w:t xml:space="preserve">De igual forma, la  calidad del agua para el riego muestra que no hay diferencias significativas entre la línea base (año 0) y el año 7 y que según la norma cubana empleada los valores de pH y las sales disueltas para el tipo de suelo y el sistema de riego empleado en el polígono no afectan la calidad del agua, resultados que no coinciden con los obtenidos por  </w:t>
      </w:r>
      <w:proofErr w:type="spellStart"/>
      <w:r w:rsidRPr="00A0128C">
        <w:rPr>
          <w:rFonts w:ascii="Times New Roman" w:hAnsi="Times New Roman" w:cs="Times New Roman"/>
          <w:sz w:val="24"/>
          <w:szCs w:val="24"/>
        </w:rPr>
        <w:t>Carmenates</w:t>
      </w:r>
      <w:proofErr w:type="spellEnd"/>
      <w:r w:rsidRPr="00A0128C">
        <w:rPr>
          <w:rFonts w:ascii="Times New Roman" w:hAnsi="Times New Roman" w:cs="Times New Roman"/>
          <w:sz w:val="24"/>
          <w:szCs w:val="24"/>
        </w:rPr>
        <w:t xml:space="preserve"> Hernández et al. (2013), </w:t>
      </w:r>
      <w:proofErr w:type="gramStart"/>
      <w:r w:rsidRPr="00A0128C">
        <w:rPr>
          <w:rFonts w:ascii="Times New Roman" w:hAnsi="Times New Roman" w:cs="Times New Roman"/>
          <w:sz w:val="24"/>
          <w:szCs w:val="24"/>
        </w:rPr>
        <w:t>los</w:t>
      </w:r>
      <w:proofErr w:type="gramEnd"/>
      <w:r w:rsidRPr="00A0128C">
        <w:rPr>
          <w:rFonts w:ascii="Times New Roman" w:hAnsi="Times New Roman" w:cs="Times New Roman"/>
          <w:sz w:val="24"/>
          <w:szCs w:val="24"/>
        </w:rPr>
        <w:t xml:space="preserve"> cuales plantean que los análisis de las fuentes de agua empleadas para el riego en la Empresa Cítrico ¨Ceballos ¨, arrojan que el total de sales disueltas son superiores a 500 mg /l (excepto el pozo 3 con 487,68 mg/l), así como el pH con valores que oscilan entre 7,5 y 7,8 lo que representa un riesgo en cuanto obturaciones en los emisores de los sistemas de </w:t>
      </w:r>
      <w:proofErr w:type="spellStart"/>
      <w:r w:rsidRPr="00A0128C">
        <w:rPr>
          <w:rFonts w:ascii="Times New Roman" w:hAnsi="Times New Roman" w:cs="Times New Roman"/>
          <w:sz w:val="24"/>
          <w:szCs w:val="24"/>
        </w:rPr>
        <w:t>microirrigación</w:t>
      </w:r>
      <w:proofErr w:type="spellEnd"/>
      <w:r w:rsidRPr="00A0128C">
        <w:rPr>
          <w:rFonts w:ascii="Times New Roman" w:hAnsi="Times New Roman" w:cs="Times New Roman"/>
          <w:sz w:val="24"/>
          <w:szCs w:val="24"/>
        </w:rPr>
        <w:t xml:space="preserve">. </w:t>
      </w:r>
    </w:p>
    <w:p w:rsidR="00A0128C" w:rsidRPr="00A0128C" w:rsidRDefault="00A0128C" w:rsidP="00A0128C">
      <w:pPr>
        <w:spacing w:after="0" w:line="360" w:lineRule="auto"/>
        <w:jc w:val="both"/>
        <w:rPr>
          <w:rFonts w:ascii="Times New Roman" w:hAnsi="Times New Roman" w:cs="Times New Roman"/>
          <w:sz w:val="24"/>
          <w:szCs w:val="24"/>
        </w:rPr>
      </w:pPr>
    </w:p>
    <w:p w:rsidR="00A0128C" w:rsidRDefault="00951B7A" w:rsidP="00951B7A">
      <w:pPr>
        <w:spacing w:after="0" w:line="360" w:lineRule="auto"/>
        <w:jc w:val="center"/>
        <w:rPr>
          <w:rFonts w:ascii="Times New Roman" w:hAnsi="Times New Roman" w:cs="Times New Roman"/>
          <w:sz w:val="24"/>
          <w:szCs w:val="24"/>
        </w:rPr>
      </w:pPr>
      <w:r w:rsidRPr="00951B7A">
        <w:rPr>
          <w:rFonts w:ascii="Times New Roman" w:hAnsi="Times New Roman" w:cs="Times New Roman"/>
          <w:szCs w:val="24"/>
        </w:rPr>
        <w:t>Tabla 2</w:t>
      </w:r>
      <w:r w:rsidR="00A0128C" w:rsidRPr="00951B7A">
        <w:rPr>
          <w:rFonts w:ascii="Times New Roman" w:hAnsi="Times New Roman" w:cs="Times New Roman"/>
          <w:szCs w:val="24"/>
        </w:rPr>
        <w:t>. Indicadores de calidad del agua para el riego</w:t>
      </w:r>
      <w:r w:rsidR="00A0128C" w:rsidRPr="00A0128C">
        <w:rPr>
          <w:rFonts w:ascii="Times New Roman" w:hAnsi="Times New Roman" w:cs="Times New Roman"/>
          <w:sz w:val="24"/>
          <w:szCs w:val="24"/>
        </w:rPr>
        <w:t>.</w:t>
      </w:r>
    </w:p>
    <w:tbl>
      <w:tblPr>
        <w:tblW w:w="8662" w:type="dxa"/>
        <w:tblInd w:w="55" w:type="dxa"/>
        <w:tblCellMar>
          <w:left w:w="70" w:type="dxa"/>
          <w:right w:w="70" w:type="dxa"/>
        </w:tblCellMar>
        <w:tblLook w:val="04A0" w:firstRow="1" w:lastRow="0" w:firstColumn="1" w:lastColumn="0" w:noHBand="0" w:noVBand="1"/>
      </w:tblPr>
      <w:tblGrid>
        <w:gridCol w:w="2142"/>
        <w:gridCol w:w="1701"/>
        <w:gridCol w:w="1701"/>
        <w:gridCol w:w="1417"/>
        <w:gridCol w:w="1701"/>
      </w:tblGrid>
      <w:tr w:rsidR="00A0128C" w:rsidRPr="00616DD4" w:rsidTr="000848D0">
        <w:trPr>
          <w:trHeight w:val="315"/>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28C" w:rsidRPr="009E34A9" w:rsidRDefault="00A0128C" w:rsidP="000848D0">
            <w:pPr>
              <w:spacing w:after="0"/>
              <w:jc w:val="center"/>
              <w:rPr>
                <w:rFonts w:ascii="Times New Roman" w:eastAsia="Times New Roman" w:hAnsi="Times New Roman"/>
                <w:b/>
                <w:bCs/>
                <w:color w:val="000000"/>
                <w:sz w:val="20"/>
                <w:szCs w:val="20"/>
                <w:lang w:eastAsia="es-ES"/>
              </w:rPr>
            </w:pPr>
            <w:r w:rsidRPr="009E34A9">
              <w:rPr>
                <w:rFonts w:ascii="Times New Roman" w:eastAsia="Times New Roman" w:hAnsi="Times New Roman"/>
                <w:b/>
                <w:bCs/>
                <w:color w:val="000000"/>
                <w:sz w:val="20"/>
                <w:szCs w:val="20"/>
                <w:lang w:eastAsia="es-ES"/>
              </w:rPr>
              <w:t>Indicadores</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A0128C" w:rsidRPr="009E34A9" w:rsidRDefault="00A0128C" w:rsidP="000848D0">
            <w:pPr>
              <w:spacing w:after="0"/>
              <w:jc w:val="center"/>
              <w:rPr>
                <w:rFonts w:ascii="Times New Roman" w:eastAsia="Times New Roman" w:hAnsi="Times New Roman"/>
                <w:b/>
                <w:bCs/>
                <w:color w:val="000000"/>
                <w:sz w:val="20"/>
                <w:szCs w:val="20"/>
                <w:lang w:eastAsia="es-ES"/>
              </w:rPr>
            </w:pPr>
            <w:r w:rsidRPr="009E34A9">
              <w:rPr>
                <w:rFonts w:ascii="Times New Roman" w:eastAsia="Times New Roman" w:hAnsi="Times New Roman"/>
                <w:b/>
                <w:bCs/>
                <w:color w:val="000000"/>
                <w:sz w:val="20"/>
                <w:szCs w:val="20"/>
                <w:lang w:eastAsia="es-ES"/>
              </w:rPr>
              <w:t>Micropresa El Guajén</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A0128C" w:rsidRPr="009E34A9" w:rsidRDefault="00A0128C" w:rsidP="000848D0">
            <w:pPr>
              <w:spacing w:after="0"/>
              <w:jc w:val="center"/>
              <w:rPr>
                <w:rFonts w:ascii="Times New Roman" w:eastAsia="Times New Roman" w:hAnsi="Times New Roman"/>
                <w:b/>
                <w:bCs/>
                <w:color w:val="000000"/>
                <w:sz w:val="20"/>
                <w:szCs w:val="20"/>
                <w:lang w:eastAsia="es-ES"/>
              </w:rPr>
            </w:pPr>
            <w:r w:rsidRPr="009E34A9">
              <w:rPr>
                <w:rFonts w:ascii="Times New Roman" w:eastAsia="Times New Roman" w:hAnsi="Times New Roman"/>
                <w:b/>
                <w:bCs/>
                <w:color w:val="000000"/>
                <w:sz w:val="20"/>
                <w:szCs w:val="20"/>
                <w:lang w:eastAsia="es-ES"/>
              </w:rPr>
              <w:t>Pozo El Guajén</w:t>
            </w:r>
          </w:p>
        </w:tc>
      </w:tr>
      <w:tr w:rsidR="00A0128C" w:rsidRPr="00616DD4" w:rsidTr="000848D0">
        <w:trPr>
          <w:trHeight w:val="315"/>
        </w:trPr>
        <w:tc>
          <w:tcPr>
            <w:tcW w:w="21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128C" w:rsidRPr="009E34A9" w:rsidRDefault="00A0128C" w:rsidP="000848D0">
            <w:pPr>
              <w:spacing w:after="0"/>
              <w:jc w:val="center"/>
              <w:rPr>
                <w:rFonts w:ascii="Times New Roman" w:eastAsia="Times New Roman" w:hAnsi="Times New Roman"/>
                <w:b/>
                <w:bCs/>
                <w:color w:val="000000"/>
                <w:sz w:val="20"/>
                <w:szCs w:val="20"/>
                <w:lang w:eastAsia="es-ES"/>
              </w:rPr>
            </w:pP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b/>
                <w:bCs/>
                <w:color w:val="000000"/>
                <w:sz w:val="20"/>
                <w:szCs w:val="20"/>
                <w:lang w:eastAsia="es-ES"/>
              </w:rPr>
            </w:pPr>
            <w:r w:rsidRPr="009E34A9">
              <w:rPr>
                <w:rFonts w:ascii="Times New Roman" w:eastAsia="Times New Roman" w:hAnsi="Times New Roman"/>
                <w:b/>
                <w:bCs/>
                <w:color w:val="000000"/>
                <w:sz w:val="20"/>
                <w:szCs w:val="20"/>
                <w:lang w:eastAsia="es-ES"/>
              </w:rPr>
              <w:t>Año 0</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b/>
                <w:bCs/>
                <w:color w:val="000000"/>
                <w:sz w:val="20"/>
                <w:szCs w:val="20"/>
                <w:lang w:eastAsia="es-ES"/>
              </w:rPr>
            </w:pPr>
            <w:r w:rsidRPr="009E34A9">
              <w:rPr>
                <w:rFonts w:ascii="Times New Roman" w:eastAsia="Times New Roman" w:hAnsi="Times New Roman"/>
                <w:b/>
                <w:bCs/>
                <w:color w:val="000000"/>
                <w:sz w:val="20"/>
                <w:szCs w:val="20"/>
                <w:lang w:eastAsia="es-ES"/>
              </w:rPr>
              <w:t>Año 7</w:t>
            </w:r>
          </w:p>
        </w:tc>
        <w:tc>
          <w:tcPr>
            <w:tcW w:w="1417"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b/>
                <w:bCs/>
                <w:color w:val="000000"/>
                <w:sz w:val="20"/>
                <w:szCs w:val="20"/>
                <w:lang w:eastAsia="es-ES"/>
              </w:rPr>
            </w:pPr>
            <w:r w:rsidRPr="009E34A9">
              <w:rPr>
                <w:rFonts w:ascii="Times New Roman" w:eastAsia="Times New Roman" w:hAnsi="Times New Roman"/>
                <w:b/>
                <w:bCs/>
                <w:color w:val="000000"/>
                <w:sz w:val="20"/>
                <w:szCs w:val="20"/>
                <w:lang w:eastAsia="es-ES"/>
              </w:rPr>
              <w:t>Año 0</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b/>
                <w:bCs/>
                <w:color w:val="000000"/>
                <w:sz w:val="20"/>
                <w:szCs w:val="20"/>
                <w:lang w:eastAsia="es-ES"/>
              </w:rPr>
            </w:pPr>
            <w:r w:rsidRPr="009E34A9">
              <w:rPr>
                <w:rFonts w:ascii="Times New Roman" w:eastAsia="Times New Roman" w:hAnsi="Times New Roman"/>
                <w:b/>
                <w:bCs/>
                <w:color w:val="000000"/>
                <w:sz w:val="20"/>
                <w:szCs w:val="20"/>
                <w:lang w:eastAsia="es-ES"/>
              </w:rPr>
              <w:t>Año 7</w:t>
            </w:r>
          </w:p>
        </w:tc>
      </w:tr>
      <w:tr w:rsidR="00A0128C" w:rsidRPr="00616DD4" w:rsidTr="000848D0">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A0128C" w:rsidRPr="009E34A9" w:rsidRDefault="00A0128C" w:rsidP="000848D0">
            <w:pPr>
              <w:spacing w:after="0"/>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pH</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6,87</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6,85</w:t>
            </w:r>
          </w:p>
        </w:tc>
        <w:tc>
          <w:tcPr>
            <w:tcW w:w="1417"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7,77</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7,78</w:t>
            </w:r>
          </w:p>
        </w:tc>
      </w:tr>
      <w:tr w:rsidR="00A0128C" w:rsidRPr="00616DD4" w:rsidTr="000848D0">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A0128C" w:rsidRPr="009E34A9" w:rsidRDefault="00A0128C" w:rsidP="000848D0">
            <w:pPr>
              <w:spacing w:after="0"/>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Cond.(dS.m¯¹)</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3,4</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3,3</w:t>
            </w:r>
          </w:p>
        </w:tc>
        <w:tc>
          <w:tcPr>
            <w:tcW w:w="1417"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5,6</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5,5</w:t>
            </w:r>
          </w:p>
        </w:tc>
      </w:tr>
      <w:tr w:rsidR="00A0128C" w:rsidRPr="00616DD4" w:rsidTr="000848D0">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A0128C" w:rsidRPr="009E34A9" w:rsidRDefault="00A0128C" w:rsidP="000848D0">
            <w:pPr>
              <w:spacing w:after="0"/>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SDT(mg.l¯¹)</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285</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280</w:t>
            </w:r>
          </w:p>
        </w:tc>
        <w:tc>
          <w:tcPr>
            <w:tcW w:w="1417"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282</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280</w:t>
            </w:r>
          </w:p>
        </w:tc>
      </w:tr>
      <w:tr w:rsidR="00A0128C" w:rsidRPr="00616DD4" w:rsidTr="000848D0">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A0128C" w:rsidRPr="009E34A9" w:rsidRDefault="00A0128C" w:rsidP="000848D0">
            <w:pPr>
              <w:spacing w:after="0"/>
              <w:rPr>
                <w:rFonts w:ascii="Times New Roman" w:eastAsia="Times New Roman" w:hAnsi="Times New Roman"/>
                <w:color w:val="000000"/>
                <w:sz w:val="20"/>
                <w:szCs w:val="20"/>
                <w:lang w:eastAsia="es-ES"/>
              </w:rPr>
            </w:pPr>
            <w:proofErr w:type="spellStart"/>
            <w:r w:rsidRPr="009E34A9">
              <w:rPr>
                <w:rFonts w:ascii="Times New Roman" w:eastAsia="Times New Roman" w:hAnsi="Times New Roman"/>
                <w:color w:val="000000"/>
                <w:sz w:val="20"/>
                <w:szCs w:val="20"/>
                <w:lang w:eastAsia="es-ES"/>
              </w:rPr>
              <w:t>ClNa</w:t>
            </w:r>
            <w:proofErr w:type="spellEnd"/>
            <w:r w:rsidRPr="009E34A9">
              <w:rPr>
                <w:rFonts w:ascii="Times New Roman" w:eastAsia="Times New Roman" w:hAnsi="Times New Roman"/>
                <w:color w:val="000000"/>
                <w:sz w:val="20"/>
                <w:szCs w:val="20"/>
                <w:lang w:eastAsia="es-ES"/>
              </w:rPr>
              <w:t>(mmol.l¯¹)</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0,17</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0,16</w:t>
            </w:r>
          </w:p>
        </w:tc>
        <w:tc>
          <w:tcPr>
            <w:tcW w:w="1417"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0,29</w:t>
            </w:r>
          </w:p>
        </w:tc>
        <w:tc>
          <w:tcPr>
            <w:tcW w:w="1701" w:type="dxa"/>
            <w:tcBorders>
              <w:top w:val="nil"/>
              <w:left w:val="nil"/>
              <w:bottom w:val="single" w:sz="4" w:space="0" w:color="auto"/>
              <w:right w:val="single" w:sz="4" w:space="0" w:color="auto"/>
            </w:tcBorders>
            <w:shd w:val="clear" w:color="auto" w:fill="auto"/>
            <w:noWrap/>
            <w:vAlign w:val="bottom"/>
            <w:hideMark/>
          </w:tcPr>
          <w:p w:rsidR="00A0128C" w:rsidRPr="009E34A9" w:rsidRDefault="00A0128C" w:rsidP="000848D0">
            <w:pPr>
              <w:spacing w:after="0"/>
              <w:jc w:val="center"/>
              <w:rPr>
                <w:rFonts w:ascii="Times New Roman" w:eastAsia="Times New Roman" w:hAnsi="Times New Roman"/>
                <w:color w:val="000000"/>
                <w:sz w:val="20"/>
                <w:szCs w:val="20"/>
                <w:lang w:eastAsia="es-ES"/>
              </w:rPr>
            </w:pPr>
            <w:r w:rsidRPr="009E34A9">
              <w:rPr>
                <w:rFonts w:ascii="Times New Roman" w:eastAsia="Times New Roman" w:hAnsi="Times New Roman"/>
                <w:color w:val="000000"/>
                <w:sz w:val="20"/>
                <w:szCs w:val="20"/>
                <w:lang w:eastAsia="es-ES"/>
              </w:rPr>
              <w:t>0,27</w:t>
            </w:r>
          </w:p>
        </w:tc>
      </w:tr>
    </w:tbl>
    <w:p w:rsidR="00951B7A" w:rsidRDefault="00951B7A" w:rsidP="00A0128C">
      <w:pPr>
        <w:spacing w:after="0" w:line="360" w:lineRule="auto"/>
        <w:jc w:val="both"/>
        <w:rPr>
          <w:rFonts w:ascii="Times New Roman" w:hAnsi="Times New Roman" w:cs="Times New Roman"/>
          <w:sz w:val="24"/>
          <w:szCs w:val="24"/>
        </w:rPr>
      </w:pPr>
    </w:p>
    <w:p w:rsidR="00A0128C" w:rsidRDefault="00A0128C" w:rsidP="00A0128C">
      <w:pPr>
        <w:spacing w:after="0" w:line="360" w:lineRule="auto"/>
        <w:jc w:val="both"/>
        <w:rPr>
          <w:rFonts w:ascii="Times New Roman" w:hAnsi="Times New Roman" w:cs="Times New Roman"/>
          <w:sz w:val="24"/>
          <w:szCs w:val="24"/>
        </w:rPr>
      </w:pPr>
      <w:r w:rsidRPr="00A0128C">
        <w:rPr>
          <w:rFonts w:ascii="Times New Roman" w:hAnsi="Times New Roman" w:cs="Times New Roman"/>
          <w:sz w:val="24"/>
          <w:szCs w:val="24"/>
        </w:rPr>
        <w:t>Por su parte, en el manejo de las plantaciones forestales</w:t>
      </w:r>
      <w:r w:rsidR="00951B7A">
        <w:rPr>
          <w:rFonts w:ascii="Times New Roman" w:hAnsi="Times New Roman" w:cs="Times New Roman"/>
          <w:sz w:val="24"/>
          <w:szCs w:val="24"/>
        </w:rPr>
        <w:t xml:space="preserve"> (Figura 5)</w:t>
      </w:r>
      <w:r w:rsidRPr="00A0128C">
        <w:rPr>
          <w:rFonts w:ascii="Times New Roman" w:hAnsi="Times New Roman" w:cs="Times New Roman"/>
          <w:sz w:val="24"/>
          <w:szCs w:val="24"/>
        </w:rPr>
        <w:t xml:space="preserve">, se tuvo en cuenta la superficie reforestada, las cercas vivas y el índice de </w:t>
      </w:r>
      <w:proofErr w:type="spellStart"/>
      <w:r w:rsidRPr="00A0128C">
        <w:rPr>
          <w:rFonts w:ascii="Times New Roman" w:hAnsi="Times New Roman" w:cs="Times New Roman"/>
          <w:sz w:val="24"/>
          <w:szCs w:val="24"/>
        </w:rPr>
        <w:t>boscosidad</w:t>
      </w:r>
      <w:proofErr w:type="spellEnd"/>
      <w:r w:rsidRPr="00A0128C">
        <w:rPr>
          <w:rFonts w:ascii="Times New Roman" w:hAnsi="Times New Roman" w:cs="Times New Roman"/>
          <w:sz w:val="24"/>
          <w:szCs w:val="24"/>
        </w:rPr>
        <w:t xml:space="preserve"> tal como se puede apreciar en la figura 3.17, en el año 0 solo había un área de 2.47 ha reforestada, ya en el año 7 se ha llegado a 11.17 ha con especies como el </w:t>
      </w:r>
      <w:proofErr w:type="spellStart"/>
      <w:r w:rsidRPr="00A0128C">
        <w:rPr>
          <w:rFonts w:ascii="Times New Roman" w:hAnsi="Times New Roman" w:cs="Times New Roman"/>
          <w:sz w:val="24"/>
          <w:szCs w:val="24"/>
        </w:rPr>
        <w:t>Nim</w:t>
      </w:r>
      <w:proofErr w:type="spellEnd"/>
      <w:r w:rsidRPr="00A0128C">
        <w:rPr>
          <w:rFonts w:ascii="Times New Roman" w:hAnsi="Times New Roman" w:cs="Times New Roman"/>
          <w:sz w:val="24"/>
          <w:szCs w:val="24"/>
        </w:rPr>
        <w:t xml:space="preserve">, La Moringa, la caoba, el tamarindo, la acacia, el Mango, el Algarrobo del País la Pera de Málaga, el Marañón, etc.  De 2 km de cercas vivas en el año 0 se han incrementado a 17.3 km sembrando especies como el piñón, el almácigo, el </w:t>
      </w:r>
      <w:proofErr w:type="spellStart"/>
      <w:r w:rsidRPr="00A0128C">
        <w:rPr>
          <w:rFonts w:ascii="Times New Roman" w:hAnsi="Times New Roman" w:cs="Times New Roman"/>
          <w:sz w:val="24"/>
          <w:szCs w:val="24"/>
        </w:rPr>
        <w:t>ciruelón</w:t>
      </w:r>
      <w:proofErr w:type="spellEnd"/>
      <w:r w:rsidRPr="00A0128C">
        <w:rPr>
          <w:rFonts w:ascii="Times New Roman" w:hAnsi="Times New Roman" w:cs="Times New Roman"/>
          <w:sz w:val="24"/>
          <w:szCs w:val="24"/>
        </w:rPr>
        <w:t xml:space="preserve"> y el </w:t>
      </w:r>
      <w:proofErr w:type="spellStart"/>
      <w:r w:rsidRPr="00A0128C">
        <w:rPr>
          <w:rFonts w:ascii="Times New Roman" w:hAnsi="Times New Roman" w:cs="Times New Roman"/>
          <w:sz w:val="24"/>
          <w:szCs w:val="24"/>
        </w:rPr>
        <w:t>bienvestido</w:t>
      </w:r>
      <w:proofErr w:type="spellEnd"/>
      <w:r w:rsidRPr="00A0128C">
        <w:rPr>
          <w:rFonts w:ascii="Times New Roman" w:hAnsi="Times New Roman" w:cs="Times New Roman"/>
          <w:sz w:val="24"/>
          <w:szCs w:val="24"/>
        </w:rPr>
        <w:t xml:space="preserve">. El índice de </w:t>
      </w:r>
      <w:proofErr w:type="spellStart"/>
      <w:r w:rsidRPr="00A0128C">
        <w:rPr>
          <w:rFonts w:ascii="Times New Roman" w:hAnsi="Times New Roman" w:cs="Times New Roman"/>
          <w:sz w:val="24"/>
          <w:szCs w:val="24"/>
        </w:rPr>
        <w:t>boscosidad</w:t>
      </w:r>
      <w:proofErr w:type="spellEnd"/>
      <w:r w:rsidRPr="00A0128C">
        <w:rPr>
          <w:rFonts w:ascii="Times New Roman" w:hAnsi="Times New Roman" w:cs="Times New Roman"/>
          <w:sz w:val="24"/>
          <w:szCs w:val="24"/>
        </w:rPr>
        <w:t xml:space="preserve"> se ha movido de 0.8 en el año 0 a 1.72 en el año 7.  </w:t>
      </w:r>
    </w:p>
    <w:p w:rsidR="00A0128C" w:rsidRPr="00A0128C" w:rsidRDefault="00A0128C" w:rsidP="00A0128C">
      <w:pPr>
        <w:spacing w:after="0" w:line="360" w:lineRule="auto"/>
        <w:jc w:val="both"/>
        <w:rPr>
          <w:rFonts w:ascii="Times New Roman" w:hAnsi="Times New Roman" w:cs="Times New Roman"/>
          <w:sz w:val="24"/>
          <w:szCs w:val="24"/>
        </w:rPr>
      </w:pPr>
      <w:r>
        <w:rPr>
          <w:rFonts w:ascii="Times New Roman" w:hAnsi="Times New Roman"/>
          <w:noProof/>
          <w:sz w:val="24"/>
          <w:szCs w:val="24"/>
          <w:lang w:eastAsia="es-ES"/>
        </w:rPr>
        <w:drawing>
          <wp:inline distT="0" distB="0" distL="0" distR="0" wp14:anchorId="2DF4CA09" wp14:editId="22F78021">
            <wp:extent cx="5400040" cy="1692270"/>
            <wp:effectExtent l="0" t="0" r="10160" b="3810"/>
            <wp:docPr id="21" name="Objeto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51B7A" w:rsidRPr="00951B7A" w:rsidRDefault="00951B7A" w:rsidP="00951B7A">
      <w:pPr>
        <w:spacing w:after="0"/>
        <w:jc w:val="center"/>
        <w:rPr>
          <w:rFonts w:ascii="Times New Roman" w:hAnsi="Times New Roman"/>
          <w:bCs/>
        </w:rPr>
      </w:pPr>
      <w:r>
        <w:rPr>
          <w:rFonts w:ascii="Times New Roman" w:hAnsi="Times New Roman"/>
          <w:bCs/>
        </w:rPr>
        <w:t>Figura 5</w:t>
      </w:r>
      <w:r w:rsidRPr="00951B7A">
        <w:rPr>
          <w:rFonts w:ascii="Times New Roman" w:hAnsi="Times New Roman"/>
          <w:bCs/>
        </w:rPr>
        <w:t>.  Manejo de las plantaciones forestales.</w:t>
      </w:r>
    </w:p>
    <w:p w:rsidR="00951B7A" w:rsidRDefault="00951B7A" w:rsidP="00A0128C">
      <w:pPr>
        <w:spacing w:after="0" w:line="360" w:lineRule="auto"/>
        <w:jc w:val="both"/>
        <w:rPr>
          <w:rFonts w:ascii="Times New Roman" w:hAnsi="Times New Roman" w:cs="Times New Roman"/>
          <w:sz w:val="24"/>
          <w:szCs w:val="24"/>
        </w:rPr>
      </w:pPr>
    </w:p>
    <w:p w:rsidR="00A0128C" w:rsidRPr="00A0128C" w:rsidRDefault="00951B7A" w:rsidP="00A012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figura 6</w:t>
      </w:r>
      <w:r w:rsidR="00A0128C" w:rsidRPr="00A0128C">
        <w:rPr>
          <w:rFonts w:ascii="Times New Roman" w:hAnsi="Times New Roman" w:cs="Times New Roman"/>
          <w:sz w:val="24"/>
          <w:szCs w:val="24"/>
        </w:rPr>
        <w:t xml:space="preserve"> se muestra como el establecimiento de los polígonos en las fincas trabajadas, generó un impacto positivo en cuanto a la cantidad de fuerza de trabajo que intervienen en los procesos productivos desarrollados en las fincas, al incrementarse el número en 24 cooperativistas más, al inicio de la investigación (Año 0) se contaba 59 hombres y 11 mujeres, a los 7 años de implementarse existen 94, de ellos: 79 hombres y 15 mujeres. Desde el comienzo de la investigación se trabajó en sensibilizar sobre la igualdad de género y generacional logrando la incorporación de 4 mujeres y 10 jóvenes. </w:t>
      </w:r>
    </w:p>
    <w:p w:rsidR="00A0128C" w:rsidRDefault="00A0128C" w:rsidP="00A0128C">
      <w:pPr>
        <w:spacing w:after="0" w:line="360" w:lineRule="auto"/>
        <w:jc w:val="both"/>
        <w:rPr>
          <w:rFonts w:ascii="Times New Roman" w:hAnsi="Times New Roman" w:cs="Times New Roman"/>
          <w:sz w:val="24"/>
          <w:szCs w:val="24"/>
        </w:rPr>
      </w:pPr>
      <w:r w:rsidRPr="00A0128C">
        <w:rPr>
          <w:rFonts w:ascii="Times New Roman" w:hAnsi="Times New Roman" w:cs="Times New Roman"/>
          <w:sz w:val="24"/>
          <w:szCs w:val="24"/>
        </w:rPr>
        <w:t>Al momento de efectuar el diagnóstico inicial (Año 0) los cooperativistas recibían un ingreso personal solo de 551 pesos, ya en el año 7 con el incremento productivo generado el ingreso se incrementó en un 153.65 %, recibiendo un ingreso personal promedio de 995.00.</w:t>
      </w:r>
    </w:p>
    <w:p w:rsidR="00A0128C" w:rsidRPr="00A0128C" w:rsidRDefault="00A0128C" w:rsidP="00A0128C">
      <w:pPr>
        <w:spacing w:after="0" w:line="360" w:lineRule="auto"/>
        <w:jc w:val="both"/>
        <w:rPr>
          <w:rFonts w:ascii="Times New Roman" w:hAnsi="Times New Roman" w:cs="Times New Roman"/>
          <w:sz w:val="24"/>
          <w:szCs w:val="24"/>
        </w:rPr>
      </w:pPr>
      <w:r>
        <w:rPr>
          <w:rFonts w:ascii="Times New Roman" w:hAnsi="Times New Roman"/>
          <w:noProof/>
          <w:sz w:val="24"/>
          <w:szCs w:val="24"/>
          <w:lang w:eastAsia="es-ES"/>
        </w:rPr>
        <w:drawing>
          <wp:inline distT="0" distB="0" distL="0" distR="0" wp14:anchorId="0D4880C3" wp14:editId="318078AE">
            <wp:extent cx="5400040" cy="1692587"/>
            <wp:effectExtent l="0" t="0" r="10160" b="3175"/>
            <wp:docPr id="22" name="Objeto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51B7A" w:rsidRPr="00951B7A" w:rsidRDefault="00951B7A" w:rsidP="00951B7A">
      <w:pPr>
        <w:jc w:val="center"/>
        <w:rPr>
          <w:rFonts w:ascii="Times New Roman" w:hAnsi="Times New Roman"/>
        </w:rPr>
      </w:pPr>
      <w:r w:rsidRPr="00951B7A">
        <w:rPr>
          <w:rFonts w:ascii="Times New Roman" w:hAnsi="Times New Roman"/>
        </w:rPr>
        <w:t>Figura 6. Beneficios sociales y económicos.</w:t>
      </w:r>
    </w:p>
    <w:p w:rsidR="00A0128C" w:rsidRDefault="00A0128C" w:rsidP="00E91249">
      <w:pPr>
        <w:spacing w:after="0" w:line="360" w:lineRule="auto"/>
        <w:jc w:val="both"/>
        <w:rPr>
          <w:rFonts w:ascii="Times New Roman" w:hAnsi="Times New Roman" w:cs="Times New Roman"/>
          <w:b/>
          <w:sz w:val="24"/>
          <w:szCs w:val="24"/>
        </w:rPr>
      </w:pPr>
    </w:p>
    <w:p w:rsidR="00E91249" w:rsidRPr="00FF3346" w:rsidRDefault="00E91249" w:rsidP="00E91249">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0128C" w:rsidRPr="00A0128C" w:rsidRDefault="00951B7A" w:rsidP="00A0128C">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0128C" w:rsidRPr="00A0128C">
        <w:rPr>
          <w:rFonts w:ascii="Times New Roman" w:hAnsi="Times New Roman" w:cs="Times New Roman"/>
          <w:sz w:val="24"/>
          <w:szCs w:val="24"/>
        </w:rPr>
        <w:t xml:space="preserve">Los factores limitantes identificados como los de mayor incidencia en la </w:t>
      </w:r>
      <w:proofErr w:type="spellStart"/>
      <w:r w:rsidR="00A0128C" w:rsidRPr="00A0128C">
        <w:rPr>
          <w:rFonts w:ascii="Times New Roman" w:hAnsi="Times New Roman" w:cs="Times New Roman"/>
          <w:sz w:val="24"/>
          <w:szCs w:val="24"/>
        </w:rPr>
        <w:t>agroproductividad</w:t>
      </w:r>
      <w:proofErr w:type="spellEnd"/>
      <w:r w:rsidR="00A0128C" w:rsidRPr="00A0128C">
        <w:rPr>
          <w:rFonts w:ascii="Times New Roman" w:hAnsi="Times New Roman" w:cs="Times New Roman"/>
          <w:sz w:val="24"/>
          <w:szCs w:val="24"/>
        </w:rPr>
        <w:t xml:space="preserve"> de los suelos </w:t>
      </w:r>
      <w:r>
        <w:rPr>
          <w:rFonts w:ascii="Times New Roman" w:hAnsi="Times New Roman" w:cs="Times New Roman"/>
          <w:sz w:val="24"/>
          <w:szCs w:val="24"/>
        </w:rPr>
        <w:t>fueron</w:t>
      </w:r>
      <w:proofErr w:type="gramStart"/>
      <w:r>
        <w:rPr>
          <w:rFonts w:ascii="Times New Roman" w:hAnsi="Times New Roman" w:cs="Times New Roman"/>
          <w:sz w:val="24"/>
          <w:szCs w:val="24"/>
        </w:rPr>
        <w:t xml:space="preserve">: </w:t>
      </w:r>
      <w:r w:rsidR="00A0128C" w:rsidRPr="00A0128C">
        <w:rPr>
          <w:rFonts w:ascii="Times New Roman" w:hAnsi="Times New Roman" w:cs="Times New Roman"/>
          <w:sz w:val="24"/>
          <w:szCs w:val="24"/>
        </w:rPr>
        <w:t xml:space="preserve"> el</w:t>
      </w:r>
      <w:proofErr w:type="gramEnd"/>
      <w:r w:rsidR="00A0128C" w:rsidRPr="00A0128C">
        <w:rPr>
          <w:rFonts w:ascii="Times New Roman" w:hAnsi="Times New Roman" w:cs="Times New Roman"/>
          <w:sz w:val="24"/>
          <w:szCs w:val="24"/>
        </w:rPr>
        <w:t xml:space="preserve"> grado de pendiente, la erosión, la profundidad efectiva, el contenido de mate</w:t>
      </w:r>
      <w:r>
        <w:rPr>
          <w:rFonts w:ascii="Times New Roman" w:hAnsi="Times New Roman" w:cs="Times New Roman"/>
          <w:sz w:val="24"/>
          <w:szCs w:val="24"/>
        </w:rPr>
        <w:t>ria orgánica y la pedregosidad para lo que se</w:t>
      </w:r>
      <w:r w:rsidR="00A0128C" w:rsidRPr="00A0128C">
        <w:rPr>
          <w:rFonts w:ascii="Times New Roman" w:hAnsi="Times New Roman" w:cs="Times New Roman"/>
          <w:sz w:val="24"/>
          <w:szCs w:val="24"/>
        </w:rPr>
        <w:t xml:space="preserve"> diseña e implementa un plan de manejo integrado para la conse</w:t>
      </w:r>
      <w:r>
        <w:rPr>
          <w:rFonts w:ascii="Times New Roman" w:hAnsi="Times New Roman" w:cs="Times New Roman"/>
          <w:sz w:val="24"/>
          <w:szCs w:val="24"/>
        </w:rPr>
        <w:t xml:space="preserve">rvación y </w:t>
      </w:r>
      <w:r w:rsidR="00A87B06">
        <w:rPr>
          <w:rFonts w:ascii="Times New Roman" w:hAnsi="Times New Roman" w:cs="Times New Roman"/>
          <w:sz w:val="24"/>
          <w:szCs w:val="24"/>
        </w:rPr>
        <w:t>mejoramiento de los suelos</w:t>
      </w:r>
      <w:r w:rsidR="00A0128C" w:rsidRPr="00A0128C">
        <w:rPr>
          <w:rFonts w:ascii="Times New Roman" w:hAnsi="Times New Roman" w:cs="Times New Roman"/>
          <w:sz w:val="24"/>
          <w:szCs w:val="24"/>
        </w:rPr>
        <w:t xml:space="preserve"> del polígono de estudio.</w:t>
      </w:r>
    </w:p>
    <w:p w:rsidR="00A0128C" w:rsidRDefault="00951B7A" w:rsidP="00A0128C">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0128C" w:rsidRPr="00A0128C">
        <w:rPr>
          <w:rFonts w:ascii="Times New Roman" w:hAnsi="Times New Roman" w:cs="Times New Roman"/>
          <w:sz w:val="24"/>
          <w:szCs w:val="24"/>
        </w:rPr>
        <w:t xml:space="preserve">Se disminuye el costo por peso y aumenta la eficiencia, aumentaron además los rendimientos productivos de los cultivos fundamentales. Se incrementa la superficie agrícola beneficiada, instalando además tres máquinas de riego. </w:t>
      </w:r>
    </w:p>
    <w:p w:rsidR="00A0128C" w:rsidRPr="00A0128C" w:rsidRDefault="00951B7A" w:rsidP="00A0128C">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0128C" w:rsidRPr="00A0128C">
        <w:rPr>
          <w:rFonts w:ascii="Times New Roman" w:hAnsi="Times New Roman" w:cs="Times New Roman"/>
          <w:sz w:val="24"/>
          <w:szCs w:val="24"/>
        </w:rPr>
        <w:t>Se mejora el pH del suelo, la materia orgánica el fósforo y el potasio; se logró retener más de 40 t/ha/año del suelo en el polígono y se disminuye el uso de pesticidas y fertilizantes químicos aumentando el empleo de biológicos y orgánicos.</w:t>
      </w:r>
    </w:p>
    <w:p w:rsidR="00E91249" w:rsidRDefault="00951B7A" w:rsidP="00A0128C">
      <w:pPr>
        <w:tabs>
          <w:tab w:val="left" w:pos="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0128C" w:rsidRPr="00A0128C">
        <w:rPr>
          <w:rFonts w:ascii="Times New Roman" w:hAnsi="Times New Roman" w:cs="Times New Roman"/>
          <w:sz w:val="24"/>
          <w:szCs w:val="24"/>
        </w:rPr>
        <w:t>Se incrementó el número de especies vegetales y animales, así como el área reforestada, y el ingreso promedio de los cooperativistas se incrementó en un   153.65 %.</w:t>
      </w:r>
    </w:p>
    <w:p w:rsidR="00951B7A" w:rsidRDefault="00951B7A" w:rsidP="00A0128C">
      <w:pPr>
        <w:tabs>
          <w:tab w:val="left" w:pos="360"/>
        </w:tabs>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537043" w:rsidRDefault="00537043" w:rsidP="00FF3346">
      <w:pPr>
        <w:spacing w:after="0" w:line="360" w:lineRule="auto"/>
        <w:jc w:val="both"/>
        <w:rPr>
          <w:rFonts w:ascii="Times New Roman" w:hAnsi="Times New Roman" w:cs="Times New Roman"/>
          <w:sz w:val="24"/>
          <w:szCs w:val="24"/>
        </w:rPr>
      </w:pP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 xml:space="preserve">Blanco, A., </w:t>
      </w:r>
      <w:proofErr w:type="spellStart"/>
      <w:r w:rsidRPr="00A87B06">
        <w:rPr>
          <w:rFonts w:ascii="Times New Roman" w:hAnsi="Times New Roman" w:cs="Times New Roman"/>
          <w:sz w:val="24"/>
          <w:szCs w:val="24"/>
        </w:rPr>
        <w:t>Limeres</w:t>
      </w:r>
      <w:proofErr w:type="spellEnd"/>
      <w:r w:rsidRPr="00A87B06">
        <w:rPr>
          <w:rFonts w:ascii="Times New Roman" w:hAnsi="Times New Roman" w:cs="Times New Roman"/>
          <w:sz w:val="24"/>
          <w:szCs w:val="24"/>
        </w:rPr>
        <w:t>, T., Fernández, I. y otros (2015). Impacto de polígono demostrativo de suelos, agua y bosques en la agricultura de la provincia Guantánamo. Congreso Suelos 2015. Palacio de Convenciones, La Habana. Publicación electrónica. ISBN: 978-959-296-039-8.</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Calero Martín, B. (2017). Polígonos para el mejoramiento y la conservación de suelo, agua y bosque en Cuba. Indicadores y Procedimiento para evaluar sus impactos. Camagüey: Universidad de Camagüey.</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Calero, B., Rodríguez, D., Ginebra, M., y otros (2015 b). Nueva plataforma de trabajo para proteger recursos naturales en Cuba: los polígonos demostrativos. Revista Agricultura Orgánica. Año 21 No. 2. 9-14.</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Calero, B.J. (2013). Procedimiento para la evaluación de impactos en los Polígonos Demostrativos para la Conservación y Mejoramiento de los Suelos, los Bosques y las Aguas. Publicación interna, 4 pp. Instituto de Suelos</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Calero, B.J. (2015). Indicadores para la evaluación de impactos en los polígonos demostrativos para la conservación y mejoramiento del suelo, el agua y el bosque. Plegable divulgativo, Instituto de Suelos. Abril, 2015.</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Calero, B.J., Ginebra, M., Rodríguez, A. y otros (2015 a). Set de indicadores e impactos generados por la introducción de principios de manejo sostenible de tierras en los polígonos demostrativos para la conservación del suelo, el agua y el bosque en Cuba. Congreso Suelos 2015. Palacio de Convenciones, La Habana. Publicación electrónica. ISBN: 978-959-296-039-8</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proofErr w:type="spellStart"/>
      <w:r w:rsidRPr="00A87B06">
        <w:rPr>
          <w:rFonts w:ascii="Times New Roman" w:hAnsi="Times New Roman" w:cs="Times New Roman"/>
          <w:sz w:val="24"/>
          <w:szCs w:val="24"/>
        </w:rPr>
        <w:t>Carmenate</w:t>
      </w:r>
      <w:proofErr w:type="spellEnd"/>
      <w:r w:rsidRPr="00A87B06">
        <w:rPr>
          <w:rFonts w:ascii="Times New Roman" w:hAnsi="Times New Roman" w:cs="Times New Roman"/>
          <w:sz w:val="24"/>
          <w:szCs w:val="24"/>
        </w:rPr>
        <w:t xml:space="preserve"> </w:t>
      </w:r>
      <w:proofErr w:type="spellStart"/>
      <w:r w:rsidRPr="00A87B06">
        <w:rPr>
          <w:rFonts w:ascii="Times New Roman" w:hAnsi="Times New Roman" w:cs="Times New Roman"/>
          <w:sz w:val="24"/>
          <w:szCs w:val="24"/>
        </w:rPr>
        <w:t>Hernàndez</w:t>
      </w:r>
      <w:proofErr w:type="spellEnd"/>
      <w:r w:rsidRPr="00A87B06">
        <w:rPr>
          <w:rFonts w:ascii="Times New Roman" w:hAnsi="Times New Roman" w:cs="Times New Roman"/>
          <w:sz w:val="24"/>
          <w:szCs w:val="24"/>
        </w:rPr>
        <w:t xml:space="preserve">, D., Hidalgo Rosa, Y., Nurse, O., Mujica Cervantes, A., &amp; Peneque </w:t>
      </w:r>
      <w:proofErr w:type="spellStart"/>
      <w:r w:rsidRPr="00A87B06">
        <w:rPr>
          <w:rFonts w:ascii="Times New Roman" w:hAnsi="Times New Roman" w:cs="Times New Roman"/>
          <w:sz w:val="24"/>
          <w:szCs w:val="24"/>
        </w:rPr>
        <w:t>Rondòn</w:t>
      </w:r>
      <w:proofErr w:type="spellEnd"/>
      <w:r w:rsidRPr="00A87B06">
        <w:rPr>
          <w:rFonts w:ascii="Times New Roman" w:hAnsi="Times New Roman" w:cs="Times New Roman"/>
          <w:sz w:val="24"/>
          <w:szCs w:val="24"/>
        </w:rPr>
        <w:t>, P. (2013). Influencia de la calidad del agua para el riego en las obturaciones de los emisores en Ciego de Ávila. Ci</w:t>
      </w:r>
      <w:r>
        <w:rPr>
          <w:rFonts w:ascii="Times New Roman" w:hAnsi="Times New Roman" w:cs="Times New Roman"/>
          <w:sz w:val="24"/>
          <w:szCs w:val="24"/>
        </w:rPr>
        <w:t xml:space="preserve">encias </w:t>
      </w:r>
      <w:proofErr w:type="spellStart"/>
      <w:r>
        <w:rPr>
          <w:rFonts w:ascii="Times New Roman" w:hAnsi="Times New Roman" w:cs="Times New Roman"/>
          <w:sz w:val="24"/>
          <w:szCs w:val="24"/>
        </w:rPr>
        <w:t>Tècnicas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Agropecuerias</w:t>
      </w:r>
      <w:proofErr w:type="spellEnd"/>
      <w:r>
        <w:rPr>
          <w:rFonts w:ascii="Times New Roman" w:hAnsi="Times New Roman" w:cs="Times New Roman"/>
          <w:sz w:val="24"/>
          <w:szCs w:val="24"/>
        </w:rPr>
        <w:t xml:space="preserve">, </w:t>
      </w:r>
      <w:r w:rsidRPr="00A87B06">
        <w:rPr>
          <w:rFonts w:ascii="Times New Roman" w:hAnsi="Times New Roman" w:cs="Times New Roman"/>
          <w:sz w:val="24"/>
          <w:szCs w:val="24"/>
        </w:rPr>
        <w:t>22 (1), 36-38.</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Departamento de Evaluación y Uso y Mejoramiento de la Tierra. (1985). La Clasificación Agroproductiva. CENTRO NACIONAL DE SUELOS Y FERTILIZANTES.</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Dirección General de Economía Agropecuaria y Desarrollo, 2018. Procedimiento Específico para el uso y Control del Financiamiento Estatal del Programa Nacional de Conservación y Mejoramiento de Suelos.).</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 xml:space="preserve">Fuentes Soto, A., &amp; </w:t>
      </w:r>
      <w:proofErr w:type="spellStart"/>
      <w:r w:rsidRPr="00A87B06">
        <w:rPr>
          <w:rFonts w:ascii="Times New Roman" w:hAnsi="Times New Roman" w:cs="Times New Roman"/>
          <w:sz w:val="24"/>
          <w:szCs w:val="24"/>
        </w:rPr>
        <w:t>Martìnez</w:t>
      </w:r>
      <w:proofErr w:type="spellEnd"/>
      <w:r w:rsidRPr="00A87B06">
        <w:rPr>
          <w:rFonts w:ascii="Times New Roman" w:hAnsi="Times New Roman" w:cs="Times New Roman"/>
          <w:sz w:val="24"/>
          <w:szCs w:val="24"/>
        </w:rPr>
        <w:t xml:space="preserve"> </w:t>
      </w:r>
      <w:proofErr w:type="spellStart"/>
      <w:r w:rsidRPr="00A87B06">
        <w:rPr>
          <w:rFonts w:ascii="Times New Roman" w:hAnsi="Times New Roman" w:cs="Times New Roman"/>
          <w:sz w:val="24"/>
          <w:szCs w:val="24"/>
        </w:rPr>
        <w:t>Rodrìguez</w:t>
      </w:r>
      <w:proofErr w:type="spellEnd"/>
      <w:r w:rsidRPr="00A87B06">
        <w:rPr>
          <w:rFonts w:ascii="Times New Roman" w:hAnsi="Times New Roman" w:cs="Times New Roman"/>
          <w:sz w:val="24"/>
          <w:szCs w:val="24"/>
        </w:rPr>
        <w:t xml:space="preserve">, f. (2014). Indicaciones </w:t>
      </w:r>
      <w:proofErr w:type="spellStart"/>
      <w:r w:rsidRPr="00A87B06">
        <w:rPr>
          <w:rFonts w:ascii="Times New Roman" w:hAnsi="Times New Roman" w:cs="Times New Roman"/>
          <w:sz w:val="24"/>
          <w:szCs w:val="24"/>
        </w:rPr>
        <w:t>pràcticas</w:t>
      </w:r>
      <w:proofErr w:type="spellEnd"/>
      <w:r w:rsidRPr="00A87B06">
        <w:rPr>
          <w:rFonts w:ascii="Times New Roman" w:hAnsi="Times New Roman" w:cs="Times New Roman"/>
          <w:sz w:val="24"/>
          <w:szCs w:val="24"/>
        </w:rPr>
        <w:t xml:space="preserve"> para la </w:t>
      </w:r>
      <w:proofErr w:type="spellStart"/>
      <w:r w:rsidRPr="00A87B06">
        <w:rPr>
          <w:rFonts w:ascii="Times New Roman" w:hAnsi="Times New Roman" w:cs="Times New Roman"/>
          <w:sz w:val="24"/>
          <w:szCs w:val="24"/>
        </w:rPr>
        <w:t>conservaciòn</w:t>
      </w:r>
      <w:proofErr w:type="spellEnd"/>
      <w:r w:rsidRPr="00A87B06">
        <w:rPr>
          <w:rFonts w:ascii="Times New Roman" w:hAnsi="Times New Roman" w:cs="Times New Roman"/>
          <w:sz w:val="24"/>
          <w:szCs w:val="24"/>
        </w:rPr>
        <w:t xml:space="preserve">, mejoramiento y </w:t>
      </w:r>
      <w:proofErr w:type="spellStart"/>
      <w:r w:rsidRPr="00A87B06">
        <w:rPr>
          <w:rFonts w:ascii="Times New Roman" w:hAnsi="Times New Roman" w:cs="Times New Roman"/>
          <w:sz w:val="24"/>
          <w:szCs w:val="24"/>
        </w:rPr>
        <w:t>fertilizaciòn</w:t>
      </w:r>
      <w:proofErr w:type="spellEnd"/>
      <w:r w:rsidRPr="00A87B06">
        <w:rPr>
          <w:rFonts w:ascii="Times New Roman" w:hAnsi="Times New Roman" w:cs="Times New Roman"/>
          <w:sz w:val="24"/>
          <w:szCs w:val="24"/>
        </w:rPr>
        <w:t xml:space="preserve"> de suelos. En M. d. Instituto de Suelos. </w:t>
      </w:r>
      <w:proofErr w:type="spellStart"/>
      <w:r w:rsidRPr="00A87B06">
        <w:rPr>
          <w:rFonts w:ascii="Times New Roman" w:hAnsi="Times New Roman" w:cs="Times New Roman"/>
          <w:sz w:val="24"/>
          <w:szCs w:val="24"/>
        </w:rPr>
        <w:t>Agrinfor</w:t>
      </w:r>
      <w:proofErr w:type="spellEnd"/>
      <w:r w:rsidRPr="00A87B06">
        <w:rPr>
          <w:rFonts w:ascii="Times New Roman" w:hAnsi="Times New Roman" w:cs="Times New Roman"/>
          <w:sz w:val="24"/>
          <w:szCs w:val="24"/>
        </w:rPr>
        <w:t>.</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Hernández Jiménez, A., Ascanio, O., Pérez, J., &amp; Ortega, F. (1975). II Clasificación Genética de los Suelos de Cuba. La Habana: Instituto de Suelos de la Academia de Ciencias de Cuba.</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 xml:space="preserve">Hernández Jiménez, A., Pérez </w:t>
      </w:r>
      <w:proofErr w:type="spellStart"/>
      <w:r w:rsidRPr="00A87B06">
        <w:rPr>
          <w:rFonts w:ascii="Times New Roman" w:hAnsi="Times New Roman" w:cs="Times New Roman"/>
          <w:sz w:val="24"/>
          <w:szCs w:val="24"/>
        </w:rPr>
        <w:t>Jimenez</w:t>
      </w:r>
      <w:proofErr w:type="spellEnd"/>
      <w:r w:rsidRPr="00A87B06">
        <w:rPr>
          <w:rFonts w:ascii="Times New Roman" w:hAnsi="Times New Roman" w:cs="Times New Roman"/>
          <w:sz w:val="24"/>
          <w:szCs w:val="24"/>
        </w:rPr>
        <w:t>, J., Boch Infante, D., &amp; Rivero Ramos, L. (1999). Nueva versión de clasificación genética de los suelos de Cuba. Ciudad de la Habana: Instituto de Suelos Ministerio de la Agricultura.</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 xml:space="preserve">Hernández Jiménez, A., Pérez Jiménez, J., Bosch Infante, D., &amp; </w:t>
      </w:r>
      <w:proofErr w:type="spellStart"/>
      <w:r w:rsidRPr="00A87B06">
        <w:rPr>
          <w:rFonts w:ascii="Times New Roman" w:hAnsi="Times New Roman" w:cs="Times New Roman"/>
          <w:sz w:val="24"/>
          <w:szCs w:val="24"/>
        </w:rPr>
        <w:t>Catro</w:t>
      </w:r>
      <w:proofErr w:type="spellEnd"/>
      <w:r w:rsidRPr="00A87B06">
        <w:rPr>
          <w:rFonts w:ascii="Times New Roman" w:hAnsi="Times New Roman" w:cs="Times New Roman"/>
          <w:sz w:val="24"/>
          <w:szCs w:val="24"/>
        </w:rPr>
        <w:t xml:space="preserve"> </w:t>
      </w:r>
      <w:proofErr w:type="spellStart"/>
      <w:r w:rsidRPr="00A87B06">
        <w:rPr>
          <w:rFonts w:ascii="Times New Roman" w:hAnsi="Times New Roman" w:cs="Times New Roman"/>
          <w:sz w:val="24"/>
          <w:szCs w:val="24"/>
        </w:rPr>
        <w:t>Speck</w:t>
      </w:r>
      <w:proofErr w:type="spellEnd"/>
      <w:r w:rsidRPr="00A87B06">
        <w:rPr>
          <w:rFonts w:ascii="Times New Roman" w:hAnsi="Times New Roman" w:cs="Times New Roman"/>
          <w:sz w:val="24"/>
          <w:szCs w:val="24"/>
        </w:rPr>
        <w:t xml:space="preserve">, N. (2015). Clasificación de los Suelos de cuba 2015. </w:t>
      </w:r>
      <w:proofErr w:type="spellStart"/>
      <w:r w:rsidRPr="00A87B06">
        <w:rPr>
          <w:rFonts w:ascii="Times New Roman" w:hAnsi="Times New Roman" w:cs="Times New Roman"/>
          <w:sz w:val="24"/>
          <w:szCs w:val="24"/>
        </w:rPr>
        <w:t>Mayabeque</w:t>
      </w:r>
      <w:proofErr w:type="spellEnd"/>
      <w:r w:rsidRPr="00A87B06">
        <w:rPr>
          <w:rFonts w:ascii="Times New Roman" w:hAnsi="Times New Roman" w:cs="Times New Roman"/>
          <w:sz w:val="24"/>
          <w:szCs w:val="24"/>
        </w:rPr>
        <w:t xml:space="preserve"> Cuba: </w:t>
      </w:r>
      <w:proofErr w:type="spellStart"/>
      <w:r w:rsidRPr="00A87B06">
        <w:rPr>
          <w:rFonts w:ascii="Times New Roman" w:hAnsi="Times New Roman" w:cs="Times New Roman"/>
          <w:sz w:val="24"/>
          <w:szCs w:val="24"/>
        </w:rPr>
        <w:t>Intituto</w:t>
      </w:r>
      <w:proofErr w:type="spellEnd"/>
      <w:r w:rsidRPr="00A87B06">
        <w:rPr>
          <w:rFonts w:ascii="Times New Roman" w:hAnsi="Times New Roman" w:cs="Times New Roman"/>
          <w:sz w:val="24"/>
          <w:szCs w:val="24"/>
        </w:rPr>
        <w:t xml:space="preserve"> Nacional de Ciencias Agrícolas Instituto de Suelos.</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Hernández, A., Ascanio O., Morales, M., y otros (2006). La Historia de la clasificación de los Suelos en Cuba. Ed. Félix Varela. La Habana. 98 pp.</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Hernández, L., Pozo, C., Cabrera, E. y otros (2015). Evaluación de impactos en polígono de conservación de suelos, bosques y aguas, bajo manejo sostenible de tierras. Congreso Suelos 2015. Palacio de Convenciones, La Habana. Publicación electrónica. ISBN: 978-959-296-039-8</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 xml:space="preserve">Instituto de Suelos, (1989) Manual </w:t>
      </w:r>
      <w:proofErr w:type="spellStart"/>
      <w:r w:rsidRPr="00A87B06">
        <w:rPr>
          <w:rFonts w:ascii="Times New Roman" w:hAnsi="Times New Roman" w:cs="Times New Roman"/>
          <w:sz w:val="24"/>
          <w:szCs w:val="24"/>
        </w:rPr>
        <w:t>Tècnico</w:t>
      </w:r>
      <w:proofErr w:type="spellEnd"/>
      <w:r w:rsidRPr="00A87B06">
        <w:rPr>
          <w:rFonts w:ascii="Times New Roman" w:hAnsi="Times New Roman" w:cs="Times New Roman"/>
          <w:sz w:val="24"/>
          <w:szCs w:val="24"/>
        </w:rPr>
        <w:t xml:space="preserve"> Mapa </w:t>
      </w:r>
      <w:proofErr w:type="spellStart"/>
      <w:r w:rsidRPr="00A87B06">
        <w:rPr>
          <w:rFonts w:ascii="Times New Roman" w:hAnsi="Times New Roman" w:cs="Times New Roman"/>
          <w:sz w:val="24"/>
          <w:szCs w:val="24"/>
        </w:rPr>
        <w:t>Bàsico</w:t>
      </w:r>
      <w:proofErr w:type="spellEnd"/>
      <w:r w:rsidRPr="00A87B06">
        <w:rPr>
          <w:rFonts w:ascii="Times New Roman" w:hAnsi="Times New Roman" w:cs="Times New Roman"/>
          <w:sz w:val="24"/>
          <w:szCs w:val="24"/>
        </w:rPr>
        <w:t xml:space="preserve"> 1.25000.</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proofErr w:type="spellStart"/>
      <w:r w:rsidRPr="00A87B06">
        <w:rPr>
          <w:rFonts w:ascii="Times New Roman" w:hAnsi="Times New Roman" w:cs="Times New Roman"/>
          <w:sz w:val="24"/>
          <w:szCs w:val="24"/>
        </w:rPr>
        <w:t>Jager</w:t>
      </w:r>
      <w:proofErr w:type="spellEnd"/>
      <w:r w:rsidRPr="00A87B06">
        <w:rPr>
          <w:rFonts w:ascii="Times New Roman" w:hAnsi="Times New Roman" w:cs="Times New Roman"/>
          <w:sz w:val="24"/>
          <w:szCs w:val="24"/>
        </w:rPr>
        <w:t xml:space="preserve">, M. y </w:t>
      </w:r>
      <w:proofErr w:type="spellStart"/>
      <w:r w:rsidRPr="00A87B06">
        <w:rPr>
          <w:rFonts w:ascii="Times New Roman" w:hAnsi="Times New Roman" w:cs="Times New Roman"/>
          <w:sz w:val="24"/>
          <w:szCs w:val="24"/>
        </w:rPr>
        <w:t>Yurrita</w:t>
      </w:r>
      <w:proofErr w:type="spellEnd"/>
      <w:r w:rsidRPr="00A87B06">
        <w:rPr>
          <w:rFonts w:ascii="Times New Roman" w:hAnsi="Times New Roman" w:cs="Times New Roman"/>
          <w:sz w:val="24"/>
          <w:szCs w:val="24"/>
        </w:rPr>
        <w:t xml:space="preserve"> E. (2007). Informe final “Diagnóstico y evaluación de las capacidades para asegurar el Manejo Sostenible de Tierras en el Chaco paraguayo” de la consultoría al proyecto GEF “Manejo Sostenible de Tierras en el Ecosistema Transfronterizo del Gran Chaco Americano” GFL-2328-2770- 861 (GF-3010-05-11) GEF/ PNUMA/ OEA.</w:t>
      </w:r>
    </w:p>
    <w:p w:rsid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Muñiz, O (2015). 50 aniversarios del Instituto de Suelos de Cuba. Rev. Anales de la Academia de Ciencias de Cuba. Vol.5, No.2, 1-9 p.</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Renda, A., Calzadilla, E., Jiménez, M y otros. (2015). Establecimiento de cortinas rompe vientos con énfasis en los polígonos agua-suelos-bosques. Congreso Suelos 2015. Palacio de Convenciones, La Habana. Publicación electrónica. ISBN: 978-959-296-039-8.</w:t>
      </w:r>
    </w:p>
    <w:p w:rsidR="00A87B06" w:rsidRPr="00A87B06" w:rsidRDefault="00A87B06" w:rsidP="00A87B06">
      <w:pPr>
        <w:pStyle w:val="Prrafodelista"/>
        <w:numPr>
          <w:ilvl w:val="0"/>
          <w:numId w:val="2"/>
        </w:numPr>
        <w:spacing w:after="0" w:line="360" w:lineRule="auto"/>
        <w:jc w:val="both"/>
        <w:rPr>
          <w:rFonts w:ascii="Times New Roman" w:hAnsi="Times New Roman" w:cs="Times New Roman"/>
          <w:sz w:val="24"/>
          <w:szCs w:val="24"/>
        </w:rPr>
      </w:pPr>
      <w:r w:rsidRPr="00A87B06">
        <w:rPr>
          <w:rFonts w:ascii="Times New Roman" w:hAnsi="Times New Roman" w:cs="Times New Roman"/>
          <w:sz w:val="24"/>
          <w:szCs w:val="24"/>
        </w:rPr>
        <w:t xml:space="preserve">Urquiza, M.N., </w:t>
      </w:r>
      <w:proofErr w:type="gramStart"/>
      <w:r w:rsidRPr="00A87B06">
        <w:rPr>
          <w:rFonts w:ascii="Times New Roman" w:hAnsi="Times New Roman" w:cs="Times New Roman"/>
          <w:sz w:val="24"/>
          <w:szCs w:val="24"/>
        </w:rPr>
        <w:t>Alemán</w:t>
      </w:r>
      <w:proofErr w:type="gramEnd"/>
      <w:r w:rsidRPr="00A87B06">
        <w:rPr>
          <w:rFonts w:ascii="Times New Roman" w:hAnsi="Times New Roman" w:cs="Times New Roman"/>
          <w:sz w:val="24"/>
          <w:szCs w:val="24"/>
        </w:rPr>
        <w:t>, C., Flores, L., y otros (2011). Manual de procedimientos para el Manejo Sostenible de Tierras. Ed. CIGEA</w:t>
      </w:r>
      <w:r>
        <w:rPr>
          <w:rFonts w:ascii="Times New Roman" w:hAnsi="Times New Roman" w:cs="Times New Roman"/>
          <w:sz w:val="24"/>
          <w:szCs w:val="24"/>
        </w:rPr>
        <w:t>, 67 p. ISBN: 978-959-278-027.</w:t>
      </w:r>
    </w:p>
    <w:p w:rsidR="00537043" w:rsidRPr="00A87B06" w:rsidRDefault="00537043" w:rsidP="00A87B06">
      <w:pPr>
        <w:spacing w:after="0" w:line="360" w:lineRule="auto"/>
        <w:jc w:val="both"/>
        <w:rPr>
          <w:rFonts w:ascii="Times New Roman" w:hAnsi="Times New Roman" w:cs="Times New Roman"/>
          <w:sz w:val="24"/>
          <w:szCs w:val="24"/>
        </w:rPr>
      </w:pPr>
    </w:p>
    <w:sectPr w:rsidR="00537043" w:rsidRPr="00A87B06"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163" w:rsidRDefault="00AF3163" w:rsidP="00C8585B">
      <w:pPr>
        <w:spacing w:after="0" w:line="240" w:lineRule="auto"/>
      </w:pPr>
      <w:r>
        <w:separator/>
      </w:r>
    </w:p>
  </w:endnote>
  <w:endnote w:type="continuationSeparator" w:id="0">
    <w:p w:rsidR="00AF3163" w:rsidRDefault="00AF316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AF3163"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163" w:rsidRDefault="00AF3163" w:rsidP="00C8585B">
      <w:pPr>
        <w:spacing w:after="0" w:line="240" w:lineRule="auto"/>
      </w:pPr>
      <w:r>
        <w:separator/>
      </w:r>
    </w:p>
  </w:footnote>
  <w:footnote w:type="continuationSeparator" w:id="0">
    <w:p w:rsidR="00AF3163" w:rsidRDefault="00AF316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BF369EB"/>
    <w:multiLevelType w:val="hybridMultilevel"/>
    <w:tmpl w:val="5EB4B8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E1"/>
    <w:rsid w:val="00046F14"/>
    <w:rsid w:val="000C14DC"/>
    <w:rsid w:val="00114C82"/>
    <w:rsid w:val="0012608A"/>
    <w:rsid w:val="00184F41"/>
    <w:rsid w:val="002A7E5B"/>
    <w:rsid w:val="002C4923"/>
    <w:rsid w:val="002E0882"/>
    <w:rsid w:val="002E272A"/>
    <w:rsid w:val="003068F5"/>
    <w:rsid w:val="00317901"/>
    <w:rsid w:val="00323B37"/>
    <w:rsid w:val="0035172A"/>
    <w:rsid w:val="00362E5F"/>
    <w:rsid w:val="00391BDB"/>
    <w:rsid w:val="003D6B3B"/>
    <w:rsid w:val="00403285"/>
    <w:rsid w:val="00403C5A"/>
    <w:rsid w:val="00415501"/>
    <w:rsid w:val="004232BD"/>
    <w:rsid w:val="00447B9E"/>
    <w:rsid w:val="0048408A"/>
    <w:rsid w:val="005230B1"/>
    <w:rsid w:val="00533038"/>
    <w:rsid w:val="00537043"/>
    <w:rsid w:val="005754D8"/>
    <w:rsid w:val="005E2497"/>
    <w:rsid w:val="00621D2D"/>
    <w:rsid w:val="006252C3"/>
    <w:rsid w:val="00625BA6"/>
    <w:rsid w:val="006271E4"/>
    <w:rsid w:val="006279C2"/>
    <w:rsid w:val="00640758"/>
    <w:rsid w:val="00667F10"/>
    <w:rsid w:val="007075DF"/>
    <w:rsid w:val="00712A31"/>
    <w:rsid w:val="007559FA"/>
    <w:rsid w:val="007D1543"/>
    <w:rsid w:val="00816B8D"/>
    <w:rsid w:val="0082457A"/>
    <w:rsid w:val="0088159E"/>
    <w:rsid w:val="008A1C16"/>
    <w:rsid w:val="008A2E7E"/>
    <w:rsid w:val="008B06F8"/>
    <w:rsid w:val="009061A5"/>
    <w:rsid w:val="0091621C"/>
    <w:rsid w:val="00951B7A"/>
    <w:rsid w:val="009B1EF2"/>
    <w:rsid w:val="009D3D32"/>
    <w:rsid w:val="009D5E02"/>
    <w:rsid w:val="009D67CD"/>
    <w:rsid w:val="00A0128C"/>
    <w:rsid w:val="00A156A5"/>
    <w:rsid w:val="00A17DB2"/>
    <w:rsid w:val="00A21A1F"/>
    <w:rsid w:val="00A371E0"/>
    <w:rsid w:val="00A62A14"/>
    <w:rsid w:val="00A70E13"/>
    <w:rsid w:val="00A80B0D"/>
    <w:rsid w:val="00A87B06"/>
    <w:rsid w:val="00AC354F"/>
    <w:rsid w:val="00AF3163"/>
    <w:rsid w:val="00B078B2"/>
    <w:rsid w:val="00B2024E"/>
    <w:rsid w:val="00B263B3"/>
    <w:rsid w:val="00B412C4"/>
    <w:rsid w:val="00B80E97"/>
    <w:rsid w:val="00BC33D0"/>
    <w:rsid w:val="00BC7C11"/>
    <w:rsid w:val="00BF107B"/>
    <w:rsid w:val="00C17081"/>
    <w:rsid w:val="00C56288"/>
    <w:rsid w:val="00C6208A"/>
    <w:rsid w:val="00C8585B"/>
    <w:rsid w:val="00CB3296"/>
    <w:rsid w:val="00CD2BC3"/>
    <w:rsid w:val="00D05242"/>
    <w:rsid w:val="00D36D1C"/>
    <w:rsid w:val="00D73DE9"/>
    <w:rsid w:val="00E3108F"/>
    <w:rsid w:val="00E83573"/>
    <w:rsid w:val="00E91249"/>
    <w:rsid w:val="00E912D0"/>
    <w:rsid w:val="00EA1598"/>
    <w:rsid w:val="00EA7584"/>
    <w:rsid w:val="00EE441D"/>
    <w:rsid w:val="00F210CE"/>
    <w:rsid w:val="00F71BC0"/>
    <w:rsid w:val="00FB24AB"/>
    <w:rsid w:val="00FC6E5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islb@uclv.edu.cu"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sp-suelos2@ctiss.ssp.minag.gob.cu" TargetMode="Externa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5.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Año 0</c:v>
                </c:pt>
              </c:strCache>
            </c:strRef>
          </c:tx>
          <c:spPr>
            <a:solidFill>
              <a:srgbClr val="0070C0"/>
            </a:solidFill>
          </c:spPr>
          <c:invertIfNegative val="0"/>
          <c:cat>
            <c:strRef>
              <c:f>Hoja1!$A$2:$A$4</c:f>
              <c:strCache>
                <c:ptCount val="3"/>
                <c:pt idx="0">
                  <c:v>Superficie agrícola beneficiada (ha)</c:v>
                </c:pt>
                <c:pt idx="1">
                  <c:v>Acciones de Cons.de Suelo ejecutadas (U)</c:v>
                </c:pt>
                <c:pt idx="2">
                  <c:v>Financiamiento certificado por el PNCMS (MP)</c:v>
                </c:pt>
              </c:strCache>
            </c:strRef>
          </c:cat>
          <c:val>
            <c:numRef>
              <c:f>Hoja1!$B$2:$B$4</c:f>
              <c:numCache>
                <c:formatCode>General</c:formatCode>
                <c:ptCount val="3"/>
                <c:pt idx="0">
                  <c:v>2</c:v>
                </c:pt>
                <c:pt idx="1">
                  <c:v>12</c:v>
                </c:pt>
                <c:pt idx="2">
                  <c:v>93</c:v>
                </c:pt>
              </c:numCache>
            </c:numRef>
          </c:val>
        </c:ser>
        <c:ser>
          <c:idx val="1"/>
          <c:order val="1"/>
          <c:tx>
            <c:strRef>
              <c:f>Hoja1!$C$1</c:f>
              <c:strCache>
                <c:ptCount val="1"/>
                <c:pt idx="0">
                  <c:v>Año 7</c:v>
                </c:pt>
              </c:strCache>
            </c:strRef>
          </c:tx>
          <c:spPr>
            <a:solidFill>
              <a:srgbClr val="00B050"/>
            </a:solidFill>
          </c:spPr>
          <c:invertIfNegative val="0"/>
          <c:cat>
            <c:strRef>
              <c:f>Hoja1!$A$2:$A$4</c:f>
              <c:strCache>
                <c:ptCount val="3"/>
                <c:pt idx="0">
                  <c:v>Superficie agrícola beneficiada (ha)</c:v>
                </c:pt>
                <c:pt idx="1">
                  <c:v>Acciones de Cons.de Suelo ejecutadas (U)</c:v>
                </c:pt>
                <c:pt idx="2">
                  <c:v>Financiamiento certificado por el PNCMS (MP)</c:v>
                </c:pt>
              </c:strCache>
            </c:strRef>
          </c:cat>
          <c:val>
            <c:numRef>
              <c:f>Hoja1!$C$2:$C$4</c:f>
              <c:numCache>
                <c:formatCode>General</c:formatCode>
                <c:ptCount val="3"/>
                <c:pt idx="0">
                  <c:v>218.52</c:v>
                </c:pt>
                <c:pt idx="1">
                  <c:v>26</c:v>
                </c:pt>
                <c:pt idx="2">
                  <c:v>385.375</c:v>
                </c:pt>
              </c:numCache>
            </c:numRef>
          </c:val>
        </c:ser>
        <c:dLbls>
          <c:showLegendKey val="0"/>
          <c:showVal val="0"/>
          <c:showCatName val="0"/>
          <c:showSerName val="0"/>
          <c:showPercent val="0"/>
          <c:showBubbleSize val="0"/>
        </c:dLbls>
        <c:gapWidth val="150"/>
        <c:axId val="895553984"/>
        <c:axId val="895542016"/>
      </c:barChart>
      <c:catAx>
        <c:axId val="895553984"/>
        <c:scaling>
          <c:orientation val="minMax"/>
        </c:scaling>
        <c:delete val="0"/>
        <c:axPos val="b"/>
        <c:numFmt formatCode="General" sourceLinked="1"/>
        <c:majorTickMark val="out"/>
        <c:minorTickMark val="none"/>
        <c:tickLblPos val="nextTo"/>
        <c:txPr>
          <a:bodyPr rot="0" vert="horz"/>
          <a:lstStyle/>
          <a:p>
            <a:pPr>
              <a:defRPr sz="900" b="1" i="0" u="none" strike="noStrike" baseline="0">
                <a:solidFill>
                  <a:srgbClr val="000000"/>
                </a:solidFill>
                <a:latin typeface="Calibri"/>
                <a:ea typeface="Calibri"/>
                <a:cs typeface="Calibri"/>
              </a:defRPr>
            </a:pPr>
            <a:endParaRPr lang="es-ES"/>
          </a:p>
        </c:txPr>
        <c:crossAx val="895542016"/>
        <c:crosses val="autoZero"/>
        <c:auto val="1"/>
        <c:lblAlgn val="ctr"/>
        <c:lblOffset val="100"/>
        <c:noMultiLvlLbl val="0"/>
      </c:catAx>
      <c:valAx>
        <c:axId val="895542016"/>
        <c:scaling>
          <c:orientation val="minMax"/>
        </c:scaling>
        <c:delete val="0"/>
        <c:axPos val="l"/>
        <c:majorGridlines/>
        <c:numFmt formatCode="General" sourceLinked="1"/>
        <c:majorTickMark val="out"/>
        <c:minorTickMark val="none"/>
        <c:tickLblPos val="nextTo"/>
        <c:txPr>
          <a:bodyPr rot="0" vert="horz"/>
          <a:lstStyle/>
          <a:p>
            <a:pPr>
              <a:defRPr sz="900" b="0" i="0" u="none" strike="noStrike" baseline="0">
                <a:solidFill>
                  <a:srgbClr val="000000"/>
                </a:solidFill>
                <a:latin typeface="Calibri"/>
                <a:ea typeface="Calibri"/>
                <a:cs typeface="Calibri"/>
              </a:defRPr>
            </a:pPr>
            <a:endParaRPr lang="es-ES"/>
          </a:p>
        </c:txPr>
        <c:crossAx val="895553984"/>
        <c:crosses val="autoZero"/>
        <c:crossBetween val="between"/>
      </c:valAx>
    </c:plotArea>
    <c:legend>
      <c:legendPos val="r"/>
      <c:overlay val="0"/>
      <c:txPr>
        <a:bodyPr/>
        <a:lstStyle/>
        <a:p>
          <a:pPr>
            <a:defRPr sz="900" b="0" i="0" u="none" strike="noStrike" baseline="0">
              <a:solidFill>
                <a:srgbClr val="000000"/>
              </a:solidFill>
              <a:latin typeface="Calibri"/>
              <a:ea typeface="Calibri"/>
              <a:cs typeface="Calibri"/>
            </a:defRPr>
          </a:pPr>
          <a:endParaRPr lang="es-ES"/>
        </a:p>
      </c:txPr>
    </c:legend>
    <c:plotVisOnly val="1"/>
    <c:dispBlanksAs val="gap"/>
    <c:showDLblsOverMax val="0"/>
  </c:chart>
  <c:txPr>
    <a:bodyPr/>
    <a:lstStyle/>
    <a:p>
      <a:pPr>
        <a:defRPr sz="995" b="0" i="0" u="none" strike="noStrike" baseline="0">
          <a:solidFill>
            <a:srgbClr val="000000"/>
          </a:solidFill>
          <a:latin typeface="Calibri"/>
          <a:ea typeface="Calibri"/>
          <a:cs typeface="Calibri"/>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Año 0</c:v>
                </c:pt>
              </c:strCache>
            </c:strRef>
          </c:tx>
          <c:spPr>
            <a:solidFill>
              <a:srgbClr val="00B0F0"/>
            </a:solidFill>
          </c:spPr>
          <c:invertIfNegative val="0"/>
          <c:cat>
            <c:strRef>
              <c:f>Hoja1!$A$2:$A$5</c:f>
              <c:strCache>
                <c:ptCount val="4"/>
                <c:pt idx="0">
                  <c:v>PH</c:v>
                </c:pt>
                <c:pt idx="1">
                  <c:v>P2O5</c:v>
                </c:pt>
                <c:pt idx="2">
                  <c:v>K2O</c:v>
                </c:pt>
                <c:pt idx="3">
                  <c:v>% Materia Orgánica</c:v>
                </c:pt>
              </c:strCache>
            </c:strRef>
          </c:cat>
          <c:val>
            <c:numRef>
              <c:f>Hoja1!$B$2:$B$5</c:f>
              <c:numCache>
                <c:formatCode>General</c:formatCode>
                <c:ptCount val="4"/>
                <c:pt idx="0">
                  <c:v>5.5</c:v>
                </c:pt>
                <c:pt idx="1">
                  <c:v>28.8</c:v>
                </c:pt>
                <c:pt idx="2">
                  <c:v>25.45</c:v>
                </c:pt>
                <c:pt idx="3">
                  <c:v>2.04</c:v>
                </c:pt>
              </c:numCache>
            </c:numRef>
          </c:val>
        </c:ser>
        <c:ser>
          <c:idx val="1"/>
          <c:order val="1"/>
          <c:tx>
            <c:strRef>
              <c:f>Hoja1!$C$1</c:f>
              <c:strCache>
                <c:ptCount val="1"/>
                <c:pt idx="0">
                  <c:v>Año 7</c:v>
                </c:pt>
              </c:strCache>
            </c:strRef>
          </c:tx>
          <c:spPr>
            <a:solidFill>
              <a:srgbClr val="C00000"/>
            </a:solidFill>
          </c:spPr>
          <c:invertIfNegative val="0"/>
          <c:cat>
            <c:strRef>
              <c:f>Hoja1!$A$2:$A$5</c:f>
              <c:strCache>
                <c:ptCount val="4"/>
                <c:pt idx="0">
                  <c:v>PH</c:v>
                </c:pt>
                <c:pt idx="1">
                  <c:v>P2O5</c:v>
                </c:pt>
                <c:pt idx="2">
                  <c:v>K2O</c:v>
                </c:pt>
                <c:pt idx="3">
                  <c:v>% Materia Orgánica</c:v>
                </c:pt>
              </c:strCache>
            </c:strRef>
          </c:cat>
          <c:val>
            <c:numRef>
              <c:f>Hoja1!$C$2:$C$5</c:f>
              <c:numCache>
                <c:formatCode>General</c:formatCode>
                <c:ptCount val="4"/>
                <c:pt idx="0">
                  <c:v>6.8</c:v>
                </c:pt>
                <c:pt idx="1">
                  <c:v>37.200000000000003</c:v>
                </c:pt>
                <c:pt idx="2">
                  <c:v>43.160000000000011</c:v>
                </c:pt>
                <c:pt idx="3">
                  <c:v>3.84</c:v>
                </c:pt>
              </c:numCache>
            </c:numRef>
          </c:val>
        </c:ser>
        <c:dLbls>
          <c:showLegendKey val="0"/>
          <c:showVal val="0"/>
          <c:showCatName val="0"/>
          <c:showSerName val="0"/>
          <c:showPercent val="0"/>
          <c:showBubbleSize val="0"/>
        </c:dLbls>
        <c:gapWidth val="150"/>
        <c:axId val="895550720"/>
        <c:axId val="895549088"/>
      </c:barChart>
      <c:catAx>
        <c:axId val="895550720"/>
        <c:scaling>
          <c:orientation val="minMax"/>
        </c:scaling>
        <c:delete val="0"/>
        <c:axPos val="b"/>
        <c:numFmt formatCode="General" sourceLinked="1"/>
        <c:majorTickMark val="out"/>
        <c:minorTickMark val="none"/>
        <c:tickLblPos val="nextTo"/>
        <c:txPr>
          <a:bodyPr rot="0" vert="horz"/>
          <a:lstStyle/>
          <a:p>
            <a:pPr>
              <a:defRPr sz="900" b="1" i="0" u="none" strike="noStrike" baseline="0">
                <a:solidFill>
                  <a:srgbClr val="000000"/>
                </a:solidFill>
                <a:latin typeface="Times New Roman"/>
                <a:ea typeface="Times New Roman"/>
                <a:cs typeface="Times New Roman"/>
              </a:defRPr>
            </a:pPr>
            <a:endParaRPr lang="es-ES"/>
          </a:p>
        </c:txPr>
        <c:crossAx val="895549088"/>
        <c:crosses val="autoZero"/>
        <c:auto val="1"/>
        <c:lblAlgn val="ctr"/>
        <c:lblOffset val="100"/>
        <c:noMultiLvlLbl val="0"/>
      </c:catAx>
      <c:valAx>
        <c:axId val="895549088"/>
        <c:scaling>
          <c:orientation val="minMax"/>
        </c:scaling>
        <c:delete val="0"/>
        <c:axPos val="l"/>
        <c:majorGridlines/>
        <c:numFmt formatCode="General" sourceLinked="1"/>
        <c:majorTickMark val="out"/>
        <c:minorTickMark val="none"/>
        <c:tickLblPos val="nextTo"/>
        <c:txPr>
          <a:bodyPr rot="0" vert="horz"/>
          <a:lstStyle/>
          <a:p>
            <a:pPr>
              <a:defRPr sz="900" b="1" i="0" u="none" strike="noStrike" baseline="0">
                <a:solidFill>
                  <a:srgbClr val="000000"/>
                </a:solidFill>
                <a:latin typeface="Calibri"/>
                <a:ea typeface="Calibri"/>
                <a:cs typeface="Calibri"/>
              </a:defRPr>
            </a:pPr>
            <a:endParaRPr lang="es-ES"/>
          </a:p>
        </c:txPr>
        <c:crossAx val="895550720"/>
        <c:crosses val="autoZero"/>
        <c:crossBetween val="between"/>
      </c:valAx>
    </c:plotArea>
    <c:legend>
      <c:legendPos val="r"/>
      <c:overlay val="0"/>
      <c:txPr>
        <a:bodyPr/>
        <a:lstStyle/>
        <a:p>
          <a:pPr>
            <a:defRPr sz="900" b="1" i="0" u="none" strike="noStrike" baseline="0">
              <a:solidFill>
                <a:srgbClr val="000000"/>
              </a:solidFill>
              <a:latin typeface="Times New Roman"/>
              <a:ea typeface="Times New Roman"/>
              <a:cs typeface="Times New Roman"/>
            </a:defRPr>
          </a:pPr>
          <a:endParaRPr lang="es-E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Cantidad de fertilizante (tn)</c:v>
                </c:pt>
              </c:strCache>
            </c:strRef>
          </c:tx>
          <c:spPr>
            <a:solidFill>
              <a:srgbClr val="5B9BD5"/>
            </a:solidFill>
          </c:spPr>
          <c:invertIfNegative val="0"/>
          <c:cat>
            <c:strRef>
              <c:f>Hoja1!$A$2:$A$3</c:f>
              <c:strCache>
                <c:ptCount val="2"/>
                <c:pt idx="0">
                  <c:v>Año 0</c:v>
                </c:pt>
                <c:pt idx="1">
                  <c:v>Año 7</c:v>
                </c:pt>
              </c:strCache>
            </c:strRef>
          </c:cat>
          <c:val>
            <c:numRef>
              <c:f>Hoja1!$B$2:$B$3</c:f>
              <c:numCache>
                <c:formatCode>General</c:formatCode>
                <c:ptCount val="2"/>
                <c:pt idx="0">
                  <c:v>38.5</c:v>
                </c:pt>
                <c:pt idx="1">
                  <c:v>13.450000000000006</c:v>
                </c:pt>
              </c:numCache>
            </c:numRef>
          </c:val>
        </c:ser>
        <c:ser>
          <c:idx val="1"/>
          <c:order val="1"/>
          <c:tx>
            <c:strRef>
              <c:f>Hoja1!$C$1</c:f>
              <c:strCache>
                <c:ptCount val="1"/>
                <c:pt idx="0">
                  <c:v>Cantidad de Plaguicida (l)</c:v>
                </c:pt>
              </c:strCache>
            </c:strRef>
          </c:tx>
          <c:spPr>
            <a:solidFill>
              <a:srgbClr val="5B9BD5">
                <a:lumMod val="50000"/>
              </a:srgbClr>
            </a:solidFill>
          </c:spPr>
          <c:invertIfNegative val="0"/>
          <c:cat>
            <c:strRef>
              <c:f>Hoja1!$A$2:$A$3</c:f>
              <c:strCache>
                <c:ptCount val="2"/>
                <c:pt idx="0">
                  <c:v>Año 0</c:v>
                </c:pt>
                <c:pt idx="1">
                  <c:v>Año 7</c:v>
                </c:pt>
              </c:strCache>
            </c:strRef>
          </c:cat>
          <c:val>
            <c:numRef>
              <c:f>Hoja1!$C$2:$C$3</c:f>
              <c:numCache>
                <c:formatCode>General</c:formatCode>
                <c:ptCount val="2"/>
                <c:pt idx="0">
                  <c:v>171.5</c:v>
                </c:pt>
                <c:pt idx="1">
                  <c:v>120.25</c:v>
                </c:pt>
              </c:numCache>
            </c:numRef>
          </c:val>
        </c:ser>
        <c:ser>
          <c:idx val="2"/>
          <c:order val="2"/>
          <c:tx>
            <c:strRef>
              <c:f>Hoja1!$D$1</c:f>
              <c:strCache>
                <c:ptCount val="1"/>
                <c:pt idx="0">
                  <c:v>Cantidad de A. Orgánico Producido (tn)</c:v>
                </c:pt>
              </c:strCache>
            </c:strRef>
          </c:tx>
          <c:spPr>
            <a:solidFill>
              <a:srgbClr val="00B050"/>
            </a:solidFill>
          </c:spPr>
          <c:invertIfNegative val="0"/>
          <c:cat>
            <c:strRef>
              <c:f>Hoja1!$A$2:$A$3</c:f>
              <c:strCache>
                <c:ptCount val="2"/>
                <c:pt idx="0">
                  <c:v>Año 0</c:v>
                </c:pt>
                <c:pt idx="1">
                  <c:v>Año 7</c:v>
                </c:pt>
              </c:strCache>
            </c:strRef>
          </c:cat>
          <c:val>
            <c:numRef>
              <c:f>Hoja1!$D$2:$D$3</c:f>
              <c:numCache>
                <c:formatCode>General</c:formatCode>
                <c:ptCount val="2"/>
                <c:pt idx="0">
                  <c:v>7</c:v>
                </c:pt>
                <c:pt idx="1">
                  <c:v>89.04</c:v>
                </c:pt>
              </c:numCache>
            </c:numRef>
          </c:val>
        </c:ser>
        <c:ser>
          <c:idx val="3"/>
          <c:order val="3"/>
          <c:tx>
            <c:strRef>
              <c:f>Hoja1!$E$1</c:f>
              <c:strCache>
                <c:ptCount val="1"/>
                <c:pt idx="0">
                  <c:v>Cantidad de A. Orgánico Aplicado (tn)</c:v>
                </c:pt>
              </c:strCache>
            </c:strRef>
          </c:tx>
          <c:spPr>
            <a:solidFill>
              <a:srgbClr val="92D050"/>
            </a:solidFill>
          </c:spPr>
          <c:invertIfNegative val="0"/>
          <c:cat>
            <c:strRef>
              <c:f>Hoja1!$A$2:$A$3</c:f>
              <c:strCache>
                <c:ptCount val="2"/>
                <c:pt idx="0">
                  <c:v>Año 0</c:v>
                </c:pt>
                <c:pt idx="1">
                  <c:v>Año 7</c:v>
                </c:pt>
              </c:strCache>
            </c:strRef>
          </c:cat>
          <c:val>
            <c:numRef>
              <c:f>Hoja1!$E$2:$E$3</c:f>
              <c:numCache>
                <c:formatCode>General</c:formatCode>
                <c:ptCount val="2"/>
                <c:pt idx="0">
                  <c:v>50</c:v>
                </c:pt>
                <c:pt idx="1">
                  <c:v>168.54</c:v>
                </c:pt>
              </c:numCache>
            </c:numRef>
          </c:val>
        </c:ser>
        <c:dLbls>
          <c:showLegendKey val="0"/>
          <c:showVal val="0"/>
          <c:showCatName val="0"/>
          <c:showSerName val="0"/>
          <c:showPercent val="0"/>
          <c:showBubbleSize val="0"/>
        </c:dLbls>
        <c:gapWidth val="150"/>
        <c:axId val="895554528"/>
        <c:axId val="895539296"/>
      </c:barChart>
      <c:catAx>
        <c:axId val="895554528"/>
        <c:scaling>
          <c:orientation val="minMax"/>
        </c:scaling>
        <c:delete val="0"/>
        <c:axPos val="b"/>
        <c:numFmt formatCode="General" sourceLinked="1"/>
        <c:majorTickMark val="out"/>
        <c:minorTickMark val="none"/>
        <c:tickLblPos val="nextTo"/>
        <c:txPr>
          <a:bodyPr rot="0" vert="horz"/>
          <a:lstStyle/>
          <a:p>
            <a:pPr>
              <a:defRPr/>
            </a:pPr>
            <a:endParaRPr lang="es-ES"/>
          </a:p>
        </c:txPr>
        <c:crossAx val="895539296"/>
        <c:crosses val="autoZero"/>
        <c:auto val="1"/>
        <c:lblAlgn val="ctr"/>
        <c:lblOffset val="100"/>
        <c:noMultiLvlLbl val="0"/>
      </c:catAx>
      <c:valAx>
        <c:axId val="895539296"/>
        <c:scaling>
          <c:orientation val="minMax"/>
        </c:scaling>
        <c:delete val="0"/>
        <c:axPos val="l"/>
        <c:majorGridlines/>
        <c:numFmt formatCode="General" sourceLinked="1"/>
        <c:majorTickMark val="out"/>
        <c:minorTickMark val="none"/>
        <c:tickLblPos val="nextTo"/>
        <c:txPr>
          <a:bodyPr rot="0" vert="horz"/>
          <a:lstStyle/>
          <a:p>
            <a:pPr>
              <a:defRPr/>
            </a:pPr>
            <a:endParaRPr lang="es-ES"/>
          </a:p>
        </c:txPr>
        <c:crossAx val="895554528"/>
        <c:crosses val="autoZero"/>
        <c:crossBetween val="between"/>
      </c:valAx>
    </c:plotArea>
    <c:legend>
      <c:legendPos val="r"/>
      <c:overlay val="0"/>
    </c:legend>
    <c:plotVisOnly val="1"/>
    <c:dispBlanksAs val="gap"/>
    <c:showDLblsOverMax val="0"/>
  </c:chart>
  <c:txPr>
    <a:bodyPr/>
    <a:lstStyle/>
    <a:p>
      <a:pPr>
        <a:defRPr sz="900" b="0" i="0" u="none" strike="noStrike" baseline="0">
          <a:solidFill>
            <a:srgbClr val="000000"/>
          </a:solidFill>
          <a:latin typeface="Calibri"/>
          <a:ea typeface="Calibri"/>
          <a:cs typeface="Calibri"/>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Año 0</c:v>
                </c:pt>
              </c:strCache>
            </c:strRef>
          </c:tx>
          <c:spPr>
            <a:solidFill>
              <a:srgbClr val="0070C0"/>
            </a:solidFill>
          </c:spPr>
          <c:invertIfNegative val="0"/>
          <c:cat>
            <c:strRef>
              <c:f>Hoja1!$A$2:$A$4</c:f>
              <c:strCache>
                <c:ptCount val="3"/>
                <c:pt idx="0">
                  <c:v>Superficie reforestada en ha</c:v>
                </c:pt>
                <c:pt idx="1">
                  <c:v>cercas vivas en Km</c:v>
                </c:pt>
                <c:pt idx="2">
                  <c:v>Indise de boscosidad</c:v>
                </c:pt>
              </c:strCache>
            </c:strRef>
          </c:cat>
          <c:val>
            <c:numRef>
              <c:f>Hoja1!$B$2:$B$4</c:f>
              <c:numCache>
                <c:formatCode>General</c:formatCode>
                <c:ptCount val="3"/>
                <c:pt idx="0">
                  <c:v>2.4699999999999998</c:v>
                </c:pt>
                <c:pt idx="1">
                  <c:v>2</c:v>
                </c:pt>
                <c:pt idx="2">
                  <c:v>0.8</c:v>
                </c:pt>
              </c:numCache>
            </c:numRef>
          </c:val>
        </c:ser>
        <c:ser>
          <c:idx val="1"/>
          <c:order val="1"/>
          <c:tx>
            <c:strRef>
              <c:f>Hoja1!$C$1</c:f>
              <c:strCache>
                <c:ptCount val="1"/>
                <c:pt idx="0">
                  <c:v>Año 7</c:v>
                </c:pt>
              </c:strCache>
            </c:strRef>
          </c:tx>
          <c:spPr>
            <a:solidFill>
              <a:srgbClr val="00B050"/>
            </a:solidFill>
          </c:spPr>
          <c:invertIfNegative val="0"/>
          <c:cat>
            <c:strRef>
              <c:f>Hoja1!$A$2:$A$4</c:f>
              <c:strCache>
                <c:ptCount val="3"/>
                <c:pt idx="0">
                  <c:v>Superficie reforestada en ha</c:v>
                </c:pt>
                <c:pt idx="1">
                  <c:v>cercas vivas en Km</c:v>
                </c:pt>
                <c:pt idx="2">
                  <c:v>Indise de boscosidad</c:v>
                </c:pt>
              </c:strCache>
            </c:strRef>
          </c:cat>
          <c:val>
            <c:numRef>
              <c:f>Hoja1!$C$2:$C$4</c:f>
              <c:numCache>
                <c:formatCode>General</c:formatCode>
                <c:ptCount val="3"/>
                <c:pt idx="0">
                  <c:v>11.17</c:v>
                </c:pt>
                <c:pt idx="1">
                  <c:v>17.3</c:v>
                </c:pt>
                <c:pt idx="2">
                  <c:v>1.72</c:v>
                </c:pt>
              </c:numCache>
            </c:numRef>
          </c:val>
        </c:ser>
        <c:dLbls>
          <c:showLegendKey val="0"/>
          <c:showVal val="0"/>
          <c:showCatName val="0"/>
          <c:showSerName val="0"/>
          <c:showPercent val="0"/>
          <c:showBubbleSize val="0"/>
        </c:dLbls>
        <c:gapWidth val="150"/>
        <c:axId val="895544192"/>
        <c:axId val="895544736"/>
      </c:barChart>
      <c:catAx>
        <c:axId val="895544192"/>
        <c:scaling>
          <c:orientation val="minMax"/>
        </c:scaling>
        <c:delete val="0"/>
        <c:axPos val="b"/>
        <c:numFmt formatCode="General" sourceLinked="1"/>
        <c:majorTickMark val="out"/>
        <c:minorTickMark val="none"/>
        <c:tickLblPos val="nextTo"/>
        <c:txPr>
          <a:bodyPr rot="0" vert="horz"/>
          <a:lstStyle/>
          <a:p>
            <a:pPr>
              <a:defRPr sz="900" b="0" i="0" u="none" strike="noStrike" baseline="0">
                <a:solidFill>
                  <a:srgbClr val="000000"/>
                </a:solidFill>
                <a:latin typeface="Times New Roman" pitchFamily="18" charset="0"/>
                <a:ea typeface="Calibri"/>
                <a:cs typeface="Times New Roman" pitchFamily="18" charset="0"/>
              </a:defRPr>
            </a:pPr>
            <a:endParaRPr lang="es-ES"/>
          </a:p>
        </c:txPr>
        <c:crossAx val="895544736"/>
        <c:crosses val="autoZero"/>
        <c:auto val="1"/>
        <c:lblAlgn val="ctr"/>
        <c:lblOffset val="100"/>
        <c:noMultiLvlLbl val="0"/>
      </c:catAx>
      <c:valAx>
        <c:axId val="895544736"/>
        <c:scaling>
          <c:orientation val="minMax"/>
        </c:scaling>
        <c:delete val="0"/>
        <c:axPos val="l"/>
        <c:majorGridlines/>
        <c:numFmt formatCode="General" sourceLinked="1"/>
        <c:majorTickMark val="out"/>
        <c:minorTickMark val="none"/>
        <c:tickLblPos val="nextTo"/>
        <c:txPr>
          <a:bodyPr rot="0" vert="horz"/>
          <a:lstStyle/>
          <a:p>
            <a:pPr>
              <a:defRPr sz="900" b="0" i="0" u="none" strike="noStrike" baseline="0">
                <a:solidFill>
                  <a:srgbClr val="000000"/>
                </a:solidFill>
                <a:latin typeface="Calibri"/>
                <a:ea typeface="Calibri"/>
                <a:cs typeface="Calibri"/>
              </a:defRPr>
            </a:pPr>
            <a:endParaRPr lang="es-ES"/>
          </a:p>
        </c:txPr>
        <c:crossAx val="895544192"/>
        <c:crosses val="autoZero"/>
        <c:crossBetween val="between"/>
      </c:valAx>
    </c:plotArea>
    <c:legend>
      <c:legendPos val="r"/>
      <c:overlay val="0"/>
      <c:txPr>
        <a:bodyPr/>
        <a:lstStyle/>
        <a:p>
          <a:pPr>
            <a:defRPr sz="900" b="0" i="0" u="none" strike="noStrike" baseline="0">
              <a:solidFill>
                <a:srgbClr val="000000"/>
              </a:solidFill>
              <a:latin typeface="Calibri"/>
              <a:ea typeface="Calibri"/>
              <a:cs typeface="Calibri"/>
            </a:defRPr>
          </a:pPr>
          <a:endParaRPr lang="es-ES"/>
        </a:p>
      </c:txPr>
    </c:legend>
    <c:plotVisOnly val="1"/>
    <c:dispBlanksAs val="gap"/>
    <c:showDLblsOverMax val="0"/>
  </c:chart>
  <c:txPr>
    <a:bodyPr/>
    <a:lstStyle/>
    <a:p>
      <a:pPr>
        <a:defRPr sz="995" b="0" i="0" u="none" strike="noStrike" baseline="0">
          <a:solidFill>
            <a:srgbClr val="000000"/>
          </a:solidFill>
          <a:latin typeface="Calibri"/>
          <a:ea typeface="Calibri"/>
          <a:cs typeface="Calibri"/>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11711711711704"/>
          <c:y val="6.194690265486727E-2"/>
          <c:w val="0.74234234234234231"/>
          <c:h val="0.73451327433628322"/>
        </c:manualLayout>
      </c:layout>
      <c:barChart>
        <c:barDir val="col"/>
        <c:grouping val="percentStacked"/>
        <c:varyColors val="0"/>
        <c:ser>
          <c:idx val="0"/>
          <c:order val="0"/>
          <c:tx>
            <c:strRef>
              <c:f>Hoja1!$B$1</c:f>
              <c:strCache>
                <c:ptCount val="1"/>
                <c:pt idx="0">
                  <c:v>Año 0</c:v>
                </c:pt>
              </c:strCache>
            </c:strRef>
          </c:tx>
          <c:spPr>
            <a:solidFill>
              <a:srgbClr val="00B0F0"/>
            </a:solidFill>
          </c:spPr>
          <c:invertIfNegative val="0"/>
          <c:cat>
            <c:strRef>
              <c:f>Hoja1!$A$2:$A$4</c:f>
              <c:strCache>
                <c:ptCount val="3"/>
                <c:pt idx="0">
                  <c:v>Fuerza de trabajo</c:v>
                </c:pt>
                <c:pt idx="1">
                  <c:v>Ingresos personales promedios</c:v>
                </c:pt>
                <c:pt idx="2">
                  <c:v>Servicios prestados a la comunidad</c:v>
                </c:pt>
              </c:strCache>
            </c:strRef>
          </c:cat>
          <c:val>
            <c:numRef>
              <c:f>Hoja1!$B$2:$B$4</c:f>
              <c:numCache>
                <c:formatCode>General</c:formatCode>
                <c:ptCount val="3"/>
                <c:pt idx="0">
                  <c:v>70</c:v>
                </c:pt>
                <c:pt idx="1">
                  <c:v>551</c:v>
                </c:pt>
                <c:pt idx="2">
                  <c:v>2</c:v>
                </c:pt>
              </c:numCache>
            </c:numRef>
          </c:val>
        </c:ser>
        <c:ser>
          <c:idx val="1"/>
          <c:order val="1"/>
          <c:tx>
            <c:strRef>
              <c:f>Hoja1!$C$1</c:f>
              <c:strCache>
                <c:ptCount val="1"/>
                <c:pt idx="0">
                  <c:v>Año 7</c:v>
                </c:pt>
              </c:strCache>
            </c:strRef>
          </c:tx>
          <c:spPr>
            <a:solidFill>
              <a:srgbClr val="00B050"/>
            </a:solidFill>
          </c:spPr>
          <c:invertIfNegative val="0"/>
          <c:cat>
            <c:strRef>
              <c:f>Hoja1!$A$2:$A$4</c:f>
              <c:strCache>
                <c:ptCount val="3"/>
                <c:pt idx="0">
                  <c:v>Fuerza de trabajo</c:v>
                </c:pt>
                <c:pt idx="1">
                  <c:v>Ingresos personales promedios</c:v>
                </c:pt>
                <c:pt idx="2">
                  <c:v>Servicios prestados a la comunidad</c:v>
                </c:pt>
              </c:strCache>
            </c:strRef>
          </c:cat>
          <c:val>
            <c:numRef>
              <c:f>Hoja1!$C$2:$C$4</c:f>
              <c:numCache>
                <c:formatCode>General</c:formatCode>
                <c:ptCount val="3"/>
                <c:pt idx="0">
                  <c:v>94</c:v>
                </c:pt>
                <c:pt idx="1">
                  <c:v>995</c:v>
                </c:pt>
                <c:pt idx="2">
                  <c:v>17</c:v>
                </c:pt>
              </c:numCache>
            </c:numRef>
          </c:val>
        </c:ser>
        <c:dLbls>
          <c:showLegendKey val="0"/>
          <c:showVal val="0"/>
          <c:showCatName val="0"/>
          <c:showSerName val="0"/>
          <c:showPercent val="0"/>
          <c:showBubbleSize val="0"/>
        </c:dLbls>
        <c:gapWidth val="150"/>
        <c:overlap val="100"/>
        <c:axId val="895545280"/>
        <c:axId val="895551808"/>
      </c:barChart>
      <c:catAx>
        <c:axId val="895545280"/>
        <c:scaling>
          <c:orientation val="minMax"/>
        </c:scaling>
        <c:delete val="0"/>
        <c:axPos val="b"/>
        <c:numFmt formatCode="General" sourceLinked="1"/>
        <c:majorTickMark val="out"/>
        <c:minorTickMark val="none"/>
        <c:tickLblPos val="nextTo"/>
        <c:txPr>
          <a:bodyPr rot="0" vert="horz"/>
          <a:lstStyle/>
          <a:p>
            <a:pPr>
              <a:defRPr sz="800" b="0" i="0" u="none" strike="noStrike" baseline="0">
                <a:solidFill>
                  <a:srgbClr val="000000"/>
                </a:solidFill>
                <a:latin typeface="Times New Roman" pitchFamily="18" charset="0"/>
                <a:ea typeface="Calibri"/>
                <a:cs typeface="Times New Roman" pitchFamily="18" charset="0"/>
              </a:defRPr>
            </a:pPr>
            <a:endParaRPr lang="es-ES"/>
          </a:p>
        </c:txPr>
        <c:crossAx val="895551808"/>
        <c:crosses val="autoZero"/>
        <c:auto val="1"/>
        <c:lblAlgn val="ctr"/>
        <c:lblOffset val="100"/>
        <c:noMultiLvlLbl val="0"/>
      </c:catAx>
      <c:valAx>
        <c:axId val="895551808"/>
        <c:scaling>
          <c:orientation val="minMax"/>
        </c:scaling>
        <c:delete val="0"/>
        <c:axPos val="l"/>
        <c:majorGridlines/>
        <c:numFmt formatCode="0%" sourceLinked="1"/>
        <c:majorTickMark val="out"/>
        <c:minorTickMark val="none"/>
        <c:tickLblPos val="nextTo"/>
        <c:txPr>
          <a:bodyPr rot="0" vert="horz"/>
          <a:lstStyle/>
          <a:p>
            <a:pPr>
              <a:defRPr sz="900" b="0" i="0" u="none" strike="noStrike" baseline="0">
                <a:solidFill>
                  <a:srgbClr val="000000"/>
                </a:solidFill>
                <a:latin typeface="Times New Roman" pitchFamily="18" charset="0"/>
                <a:ea typeface="Calibri"/>
                <a:cs typeface="Times New Roman" pitchFamily="18" charset="0"/>
              </a:defRPr>
            </a:pPr>
            <a:endParaRPr lang="es-ES"/>
          </a:p>
        </c:txPr>
        <c:crossAx val="895545280"/>
        <c:crosses val="autoZero"/>
        <c:crossBetween val="between"/>
      </c:valAx>
    </c:plotArea>
    <c:legend>
      <c:legendPos val="r"/>
      <c:overlay val="0"/>
      <c:txPr>
        <a:bodyPr/>
        <a:lstStyle/>
        <a:p>
          <a:pPr>
            <a:defRPr sz="900" b="0" i="0" u="none" strike="noStrike" baseline="0">
              <a:solidFill>
                <a:srgbClr val="000000"/>
              </a:solidFill>
              <a:latin typeface="Times New Roman" pitchFamily="18" charset="0"/>
              <a:ea typeface="Calibri"/>
              <a:cs typeface="Times New Roman" pitchFamily="18" charset="0"/>
            </a:defRPr>
          </a:pPr>
          <a:endParaRPr lang="es-ES"/>
        </a:p>
      </c:txPr>
    </c:legend>
    <c:plotVisOnly val="1"/>
    <c:dispBlanksAs val="gap"/>
    <c:showDLblsOverMax val="0"/>
  </c:chart>
  <c:txPr>
    <a:bodyPr/>
    <a:lstStyle/>
    <a:p>
      <a:pPr>
        <a:defRPr sz="994" b="0" i="0" u="none" strike="noStrike" baseline="0">
          <a:solidFill>
            <a:srgbClr val="000000"/>
          </a:solidFill>
          <a:latin typeface="Calibri"/>
          <a:ea typeface="Calibri"/>
          <a:cs typeface="Calibri"/>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14</Pages>
  <Words>3361</Words>
  <Characters>18490</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Elvis Lopez Bravo</cp:lastModifiedBy>
  <cp:revision>10</cp:revision>
  <cp:lastPrinted>2017-03-02T19:45:00Z</cp:lastPrinted>
  <dcterms:created xsi:type="dcterms:W3CDTF">2019-04-11T17:27:00Z</dcterms:created>
  <dcterms:modified xsi:type="dcterms:W3CDTF">2019-05-06T17:18:00Z</dcterms:modified>
</cp:coreProperties>
</file>