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0A" w:rsidRDefault="00E04EBF" w:rsidP="005E3A95">
      <w:pPr>
        <w:spacing w:after="0" w:line="360" w:lineRule="auto"/>
        <w:jc w:val="center"/>
        <w:rPr>
          <w:rFonts w:ascii="Times New Roman" w:hAnsi="Times New Roman" w:cs="Times New Roman"/>
          <w:sz w:val="24"/>
          <w:szCs w:val="24"/>
        </w:rPr>
      </w:pPr>
      <w:r w:rsidRPr="00E04EBF">
        <w:rPr>
          <w:rFonts w:ascii="Times New Roman" w:hAnsi="Times New Roman" w:cs="Times New Roman"/>
          <w:b/>
          <w:sz w:val="28"/>
          <w:szCs w:val="28"/>
        </w:rPr>
        <w:t>II CONVENCIÓN CIENTÍFICA INTERNACIONAL</w:t>
      </w:r>
    </w:p>
    <w:p w:rsidR="00E04EBF" w:rsidRPr="00E04EBF" w:rsidRDefault="00E04EBF" w:rsidP="005E3A95">
      <w:pPr>
        <w:pStyle w:val="Encabezado"/>
        <w:jc w:val="center"/>
        <w:rPr>
          <w:rFonts w:ascii="Times New Roman" w:hAnsi="Times New Roman" w:cs="Times New Roman"/>
          <w:sz w:val="28"/>
          <w:szCs w:val="28"/>
        </w:rPr>
      </w:pPr>
      <w:r w:rsidRPr="00E04EBF">
        <w:rPr>
          <w:rFonts w:ascii="Times New Roman" w:hAnsi="Times New Roman" w:cs="Times New Roman"/>
          <w:b/>
          <w:sz w:val="28"/>
          <w:szCs w:val="28"/>
        </w:rPr>
        <w:t>“II CCI UCLV 2019”</w:t>
      </w:r>
    </w:p>
    <w:p w:rsidR="00E912D0" w:rsidRDefault="00E912D0" w:rsidP="0075317F">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B188D" w:rsidRPr="00863A9D" w:rsidRDefault="00FB188D" w:rsidP="00FB188D">
      <w:pPr>
        <w:ind w:left="-142"/>
        <w:jc w:val="center"/>
        <w:rPr>
          <w:rFonts w:ascii="Times New Roman" w:hAnsi="Times New Roman" w:cs="Times New Roman"/>
          <w:b/>
          <w:sz w:val="28"/>
          <w:szCs w:val="28"/>
          <w:lang w:val="es-MX"/>
        </w:rPr>
      </w:pPr>
      <w:r w:rsidRPr="00863A9D">
        <w:rPr>
          <w:rFonts w:ascii="Times New Roman" w:hAnsi="Times New Roman" w:cs="Times New Roman"/>
          <w:b/>
          <w:sz w:val="28"/>
          <w:szCs w:val="28"/>
          <w:lang w:val="es-MX"/>
        </w:rPr>
        <w:t>Análisis de los parques</w:t>
      </w:r>
      <w:r w:rsidR="00C768B3" w:rsidRPr="00863A9D">
        <w:rPr>
          <w:rFonts w:ascii="Times New Roman" w:hAnsi="Times New Roman" w:cs="Times New Roman"/>
          <w:b/>
          <w:sz w:val="28"/>
          <w:szCs w:val="28"/>
          <w:lang w:val="es-MX"/>
        </w:rPr>
        <w:t xml:space="preserve"> </w:t>
      </w:r>
      <w:r w:rsidRPr="00863A9D">
        <w:rPr>
          <w:rFonts w:ascii="Times New Roman" w:hAnsi="Times New Roman" w:cs="Times New Roman"/>
          <w:b/>
          <w:sz w:val="28"/>
          <w:szCs w:val="28"/>
          <w:lang w:val="es-MX"/>
        </w:rPr>
        <w:t>fotovoltaicos en las redes eléctricas de Santa Clara</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2E0882" w:rsidRPr="00536EBA" w:rsidRDefault="0075317F" w:rsidP="00536EBA">
      <w:pPr>
        <w:spacing w:after="0"/>
        <w:jc w:val="center"/>
        <w:rPr>
          <w:rFonts w:ascii="Times New Roman" w:hAnsi="Times New Roman" w:cs="Times New Roman"/>
          <w:sz w:val="24"/>
          <w:szCs w:val="24"/>
          <w:lang w:val="en-US"/>
        </w:rPr>
      </w:pPr>
      <w:r w:rsidRPr="0075317F">
        <w:rPr>
          <w:rFonts w:ascii="Times New Roman" w:hAnsi="Times New Roman" w:cs="Times New Roman"/>
          <w:b/>
          <w:i/>
          <w:sz w:val="28"/>
          <w:szCs w:val="28"/>
          <w:lang w:val="en-US"/>
        </w:rPr>
        <w:t>Analysis of the photovoltaic park in the electric networks of Santa Clara</w:t>
      </w:r>
    </w:p>
    <w:p w:rsidR="009D5E02" w:rsidRPr="00536EBA" w:rsidRDefault="009D5E02" w:rsidP="00FF3346">
      <w:pPr>
        <w:spacing w:after="0" w:line="360" w:lineRule="auto"/>
        <w:rPr>
          <w:rFonts w:ascii="Times New Roman" w:hAnsi="Times New Roman" w:cs="Times New Roman"/>
          <w:sz w:val="24"/>
          <w:szCs w:val="24"/>
          <w:lang w:val="en-US"/>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F3E9F" w:rsidRPr="00863A9D">
        <w:rPr>
          <w:rFonts w:ascii="Times New Roman" w:hAnsi="Times New Roman" w:cs="Times New Roman"/>
          <w:sz w:val="24"/>
          <w:szCs w:val="24"/>
        </w:rPr>
        <w:t xml:space="preserve">José Enrique Alonso </w:t>
      </w:r>
      <w:proofErr w:type="spellStart"/>
      <w:r w:rsidR="000F3E9F" w:rsidRPr="00863A9D">
        <w:rPr>
          <w:rFonts w:ascii="Times New Roman" w:hAnsi="Times New Roman" w:cs="Times New Roman"/>
          <w:sz w:val="24"/>
          <w:szCs w:val="24"/>
        </w:rPr>
        <w:t>Trimiño</w:t>
      </w:r>
      <w:proofErr w:type="spellEnd"/>
      <w:r w:rsidRPr="00E912D0">
        <w:rPr>
          <w:rFonts w:ascii="Times New Roman" w:hAnsi="Times New Roman" w:cs="Times New Roman"/>
          <w:sz w:val="24"/>
          <w:szCs w:val="24"/>
        </w:rPr>
        <w:t xml:space="preserve">. </w:t>
      </w:r>
      <w:r w:rsidR="000F3E9F">
        <w:rPr>
          <w:rFonts w:ascii="Times New Roman" w:hAnsi="Times New Roman" w:cs="Times New Roman"/>
          <w:sz w:val="24"/>
          <w:szCs w:val="24"/>
        </w:rPr>
        <w:t>ECIE</w:t>
      </w:r>
      <w:r w:rsidRPr="00E912D0">
        <w:rPr>
          <w:rFonts w:ascii="Times New Roman" w:hAnsi="Times New Roman" w:cs="Times New Roman"/>
          <w:sz w:val="24"/>
          <w:szCs w:val="24"/>
        </w:rPr>
        <w:t xml:space="preserve">, </w:t>
      </w:r>
      <w:r w:rsidR="000F3E9F">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8" w:history="1">
        <w:r w:rsidR="00536EBA" w:rsidRPr="001A383B">
          <w:rPr>
            <w:rStyle w:val="Hipervnculo"/>
            <w:rFonts w:ascii="Times New Roman" w:hAnsi="Times New Roman" w:cs="Times New Roman"/>
            <w:sz w:val="24"/>
            <w:szCs w:val="24"/>
          </w:rPr>
          <w:t>Joseenriquealonsotrimino@gmail.com</w:t>
        </w:r>
      </w:hyperlink>
      <w:r w:rsidRPr="00E912D0">
        <w:rPr>
          <w:rFonts w:ascii="Times New Roman" w:hAnsi="Times New Roman" w:cs="Times New Roman"/>
          <w:sz w:val="24"/>
          <w:szCs w:val="24"/>
        </w:rPr>
        <w:t>:</w:t>
      </w:r>
    </w:p>
    <w:p w:rsidR="00536EBA" w:rsidRDefault="00536EB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2-Yandi Gallego </w:t>
      </w:r>
      <w:proofErr w:type="spellStart"/>
      <w:r>
        <w:rPr>
          <w:rFonts w:ascii="Times New Roman" w:hAnsi="Times New Roman" w:cs="Times New Roman"/>
          <w:sz w:val="24"/>
          <w:szCs w:val="24"/>
        </w:rPr>
        <w:t>Landela</w:t>
      </w:r>
      <w:proofErr w:type="spellEnd"/>
      <w:r>
        <w:rPr>
          <w:rFonts w:ascii="Times New Roman" w:hAnsi="Times New Roman" w:cs="Times New Roman"/>
          <w:sz w:val="24"/>
          <w:szCs w:val="24"/>
        </w:rPr>
        <w:t>. yandigallego</w:t>
      </w:r>
      <w:r w:rsidRPr="00536EBA">
        <w:rPr>
          <w:rFonts w:ascii="Times New Roman" w:hAnsi="Times New Roman" w:cs="Times New Roman"/>
          <w:sz w:val="24"/>
          <w:szCs w:val="24"/>
        </w:rPr>
        <w:t>@</w:t>
      </w:r>
      <w:r>
        <w:rPr>
          <w:rFonts w:ascii="Times New Roman" w:hAnsi="Times New Roman" w:cs="Times New Roman"/>
          <w:sz w:val="24"/>
          <w:szCs w:val="24"/>
        </w:rPr>
        <w:t>gmail.com</w:t>
      </w:r>
    </w:p>
    <w:p w:rsidR="00536EBA" w:rsidRDefault="00536EB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3-Leonardo Casas Fernández. leonardocasasf</w:t>
      </w:r>
      <w:r w:rsidRPr="00536EBA">
        <w:rPr>
          <w:rFonts w:ascii="Times New Roman" w:hAnsi="Times New Roman" w:cs="Times New Roman"/>
          <w:sz w:val="24"/>
          <w:szCs w:val="24"/>
        </w:rPr>
        <w:t>@</w:t>
      </w:r>
      <w:r>
        <w:rPr>
          <w:rFonts w:ascii="Times New Roman" w:hAnsi="Times New Roman" w:cs="Times New Roman"/>
          <w:sz w:val="24"/>
          <w:szCs w:val="24"/>
        </w:rPr>
        <w:t>gmail.com</w:t>
      </w:r>
    </w:p>
    <w:p w:rsidR="00E912D0" w:rsidRDefault="00E912D0" w:rsidP="00FF3346">
      <w:pPr>
        <w:spacing w:after="0" w:line="360" w:lineRule="auto"/>
        <w:rPr>
          <w:rFonts w:ascii="Times New Roman" w:hAnsi="Times New Roman" w:cs="Times New Roman"/>
          <w:b/>
          <w:sz w:val="24"/>
          <w:szCs w:val="24"/>
        </w:rPr>
      </w:pPr>
    </w:p>
    <w:p w:rsidR="00C65B0A" w:rsidRDefault="008A1C16" w:rsidP="00C65B0A">
      <w:pPr>
        <w:spacing w:after="0" w:line="360" w:lineRule="auto"/>
        <w:jc w:val="both"/>
        <w:rPr>
          <w:rFonts w:ascii="Times New Roman" w:hAnsi="Times New Roman" w:cs="Times New Roman"/>
        </w:rPr>
      </w:pPr>
      <w:r w:rsidRPr="00C313D1">
        <w:rPr>
          <w:rFonts w:ascii="Times New Roman" w:hAnsi="Times New Roman" w:cs="Times New Roman"/>
          <w:b/>
          <w:sz w:val="24"/>
          <w:szCs w:val="24"/>
        </w:rPr>
        <w:t>Resumen:</w:t>
      </w:r>
      <w:r w:rsidR="00C313D1" w:rsidRPr="00C313D1">
        <w:rPr>
          <w:rFonts w:ascii="Times New Roman" w:hAnsi="Times New Roman" w:cs="Times New Roman"/>
          <w:b/>
          <w:sz w:val="24"/>
          <w:szCs w:val="24"/>
        </w:rPr>
        <w:t xml:space="preserve"> </w:t>
      </w:r>
      <w:r w:rsidR="00CA0EFC" w:rsidRPr="00C313D1">
        <w:rPr>
          <w:rFonts w:ascii="Times New Roman" w:hAnsi="Times New Roman" w:cs="Times New Roman"/>
        </w:rPr>
        <w:t>La energía solar fotovoltaica (FV) ha ido teniendo un gran</w:t>
      </w:r>
      <w:r w:rsidR="00C313D1">
        <w:rPr>
          <w:rFonts w:ascii="Times New Roman" w:hAnsi="Times New Roman" w:cs="Times New Roman"/>
        </w:rPr>
        <w:t xml:space="preserve"> </w:t>
      </w:r>
      <w:r w:rsidR="00CA0EFC" w:rsidRPr="00C313D1">
        <w:rPr>
          <w:rFonts w:ascii="Times New Roman" w:hAnsi="Times New Roman" w:cs="Times New Roman"/>
        </w:rPr>
        <w:t xml:space="preserve">auge en los últimos años </w:t>
      </w:r>
      <w:proofErr w:type="gramStart"/>
      <w:r w:rsidR="00CA0EFC" w:rsidRPr="00C313D1">
        <w:rPr>
          <w:rFonts w:ascii="Times New Roman" w:hAnsi="Times New Roman" w:cs="Times New Roman"/>
        </w:rPr>
        <w:t>debido</w:t>
      </w:r>
      <w:proofErr w:type="gramEnd"/>
      <w:r w:rsidR="00CA0EFC" w:rsidRPr="00C313D1">
        <w:rPr>
          <w:rFonts w:ascii="Times New Roman" w:hAnsi="Times New Roman" w:cs="Times New Roman"/>
        </w:rPr>
        <w:t xml:space="preserve"> a la actual creciente demanda de energía eléctrica y los altos precios de los combustibles. Esta fuente inagotable de energía es cada vez más utilizada a nivel mundial; por lo que ha ido perfeccionándose continuamente, llegando a ser de gran interés para nuestro país desde hace décadas. En el presente trabajo se analizaron los dos parques fotovoltaicos instalados en la provincia de Villa Clara, de 1 MW cada uno, uno en la Universidad Central y otro en el Frigorífico; así como sus posibles conexiones en condiciones normales o de emergencia. El estudio fue realizado utilizando el </w:t>
      </w:r>
      <w:r w:rsidR="00CA0EFC" w:rsidRPr="00C313D1">
        <w:rPr>
          <w:rFonts w:ascii="Times New Roman" w:hAnsi="Times New Roman" w:cs="Times New Roman"/>
          <w:i/>
        </w:rPr>
        <w:t>software</w:t>
      </w:r>
      <w:r w:rsidR="00CA0EFC" w:rsidRPr="00C313D1">
        <w:rPr>
          <w:rFonts w:ascii="Times New Roman" w:hAnsi="Times New Roman" w:cs="Times New Roman"/>
        </w:rPr>
        <w:t xml:space="preserve"> RADIAL, el que permite tener en cuenta, además de la evaluación de todos los parámetros operativos de la red, las pérdidas de energía y la generación de potencia reactiva por parte de los inversores de las instalaciones fotovoltaicas, en caso de que esto sea posible. Se valoró el ahorro tanto por reducciones de pérdidas, como por disminución de emisiones de CO</w:t>
      </w:r>
      <w:r w:rsidR="00CA0EFC" w:rsidRPr="00C313D1">
        <w:rPr>
          <w:rFonts w:ascii="Times New Roman" w:hAnsi="Times New Roman" w:cs="Times New Roman"/>
          <w:vertAlign w:val="subscript"/>
        </w:rPr>
        <w:t xml:space="preserve">2 </w:t>
      </w:r>
      <w:r w:rsidR="00CA0EFC" w:rsidRPr="00C313D1">
        <w:rPr>
          <w:rFonts w:ascii="Times New Roman" w:hAnsi="Times New Roman" w:cs="Times New Roman"/>
        </w:rPr>
        <w:t>a la atmósfera.</w:t>
      </w:r>
    </w:p>
    <w:p w:rsidR="00C65B0A" w:rsidRDefault="00C65B0A" w:rsidP="00C65B0A">
      <w:pPr>
        <w:spacing w:after="0" w:line="360" w:lineRule="auto"/>
        <w:jc w:val="both"/>
        <w:rPr>
          <w:rFonts w:ascii="Times New Roman" w:hAnsi="Times New Roman" w:cs="Times New Roman"/>
        </w:rPr>
      </w:pPr>
    </w:p>
    <w:p w:rsidR="00B123CB" w:rsidRDefault="00C65B0A" w:rsidP="00B123CB">
      <w:pPr>
        <w:spacing w:after="0" w:line="360" w:lineRule="auto"/>
        <w:jc w:val="both"/>
        <w:rPr>
          <w:rFonts w:ascii="Times New Roman" w:hAnsi="Times New Roman" w:cs="Times New Roman"/>
          <w:i/>
          <w:sz w:val="24"/>
          <w:szCs w:val="24"/>
          <w:lang w:val="en-US"/>
        </w:rPr>
      </w:pPr>
      <w:r w:rsidRPr="00747D16">
        <w:rPr>
          <w:rFonts w:ascii="Times New Roman" w:hAnsi="Times New Roman" w:cs="Times New Roman"/>
          <w:b/>
          <w:i/>
          <w:sz w:val="24"/>
          <w:szCs w:val="24"/>
          <w:lang w:val="en-US"/>
        </w:rPr>
        <w:t xml:space="preserve"> Abstract:</w:t>
      </w:r>
      <w:r w:rsidRPr="00747D16">
        <w:rPr>
          <w:rFonts w:ascii="Times New Roman" w:hAnsi="Times New Roman" w:cs="Times New Roman"/>
          <w:sz w:val="24"/>
          <w:szCs w:val="24"/>
          <w:lang w:val="en-US"/>
        </w:rPr>
        <w:t xml:space="preserve"> </w:t>
      </w:r>
      <w:r w:rsidR="00747D16" w:rsidRPr="00CE0ADB">
        <w:rPr>
          <w:rFonts w:ascii="Times New Roman" w:hAnsi="Times New Roman" w:cs="Times New Roman"/>
          <w:i/>
          <w:sz w:val="24"/>
          <w:szCs w:val="24"/>
          <w:lang w:val="en-US"/>
        </w:rPr>
        <w:t>The solar photovoltaic energy (FV) has been booming in recent years due to the current increasing demand for electrical energy and high fuel buildings. This inexhaustible source of energy is increasingly being used worldwide, so it has been continuously refining, becoming of great intere</w:t>
      </w:r>
      <w:r w:rsidR="00590080" w:rsidRPr="00CE0ADB">
        <w:rPr>
          <w:rFonts w:ascii="Times New Roman" w:hAnsi="Times New Roman" w:cs="Times New Roman"/>
          <w:i/>
          <w:sz w:val="24"/>
          <w:szCs w:val="24"/>
          <w:lang w:val="en-US"/>
        </w:rPr>
        <w:t xml:space="preserve">st to our country for decades. The two photovoltaic parks in the Santa Clara province, each 1 MW one at the Central University and one in the Frigorific, were </w:t>
      </w:r>
      <w:proofErr w:type="spellStart"/>
      <w:r w:rsidR="009D7E71" w:rsidRPr="00CE0ADB">
        <w:rPr>
          <w:rFonts w:ascii="Times New Roman" w:hAnsi="Times New Roman" w:cs="Times New Roman"/>
          <w:i/>
          <w:sz w:val="24"/>
          <w:szCs w:val="24"/>
          <w:lang w:val="en-US"/>
        </w:rPr>
        <w:t>analysed</w:t>
      </w:r>
      <w:proofErr w:type="spellEnd"/>
      <w:r w:rsidR="009D7E71" w:rsidRPr="00CE0ADB">
        <w:rPr>
          <w:rFonts w:ascii="Times New Roman" w:hAnsi="Times New Roman" w:cs="Times New Roman"/>
          <w:i/>
          <w:sz w:val="24"/>
          <w:szCs w:val="24"/>
          <w:lang w:val="en-US"/>
        </w:rPr>
        <w:t xml:space="preserve"> in</w:t>
      </w:r>
      <w:r w:rsidR="00590080" w:rsidRPr="00CE0ADB">
        <w:rPr>
          <w:rFonts w:ascii="Times New Roman" w:hAnsi="Times New Roman" w:cs="Times New Roman"/>
          <w:i/>
          <w:sz w:val="24"/>
          <w:szCs w:val="24"/>
          <w:lang w:val="en-US"/>
        </w:rPr>
        <w:t xml:space="preserve"> this paper</w:t>
      </w:r>
      <w:r w:rsidR="009D7E71" w:rsidRPr="00CE0ADB">
        <w:rPr>
          <w:rFonts w:ascii="Times New Roman" w:hAnsi="Times New Roman" w:cs="Times New Roman"/>
          <w:i/>
          <w:sz w:val="24"/>
          <w:szCs w:val="24"/>
          <w:lang w:val="en-US"/>
        </w:rPr>
        <w:t xml:space="preserve">. That way I can track </w:t>
      </w:r>
      <w:r w:rsidR="009D7E71" w:rsidRPr="00CE0ADB">
        <w:rPr>
          <w:rFonts w:ascii="Times New Roman" w:hAnsi="Times New Roman" w:cs="Times New Roman"/>
          <w:i/>
          <w:sz w:val="24"/>
          <w:szCs w:val="24"/>
          <w:lang w:val="en-US"/>
        </w:rPr>
        <w:lastRenderedPageBreak/>
        <w:t>their possible connections under normal or emergency conditions. The study was carried out using Radial software, which could take into account, in addition to the evaluation of all operational parameters of the network,</w:t>
      </w:r>
      <w:r w:rsidR="00F119CA" w:rsidRPr="00CE0ADB">
        <w:rPr>
          <w:rFonts w:ascii="Times New Roman" w:hAnsi="Times New Roman" w:cs="Times New Roman"/>
          <w:i/>
          <w:sz w:val="24"/>
          <w:szCs w:val="24"/>
          <w:lang w:val="en-US"/>
        </w:rPr>
        <w:t xml:space="preserve"> the energy</w:t>
      </w:r>
      <w:r w:rsidR="009D7E71" w:rsidRPr="00CE0ADB">
        <w:rPr>
          <w:rFonts w:ascii="Times New Roman" w:hAnsi="Times New Roman" w:cs="Times New Roman"/>
          <w:i/>
          <w:sz w:val="24"/>
          <w:szCs w:val="24"/>
          <w:lang w:val="en-US"/>
        </w:rPr>
        <w:t xml:space="preserve"> and the generation of reactive </w:t>
      </w:r>
      <w:r w:rsidR="00F119CA" w:rsidRPr="00CE0ADB">
        <w:rPr>
          <w:rFonts w:ascii="Times New Roman" w:hAnsi="Times New Roman" w:cs="Times New Roman"/>
          <w:i/>
          <w:sz w:val="24"/>
          <w:szCs w:val="24"/>
          <w:lang w:val="en-US"/>
        </w:rPr>
        <w:t xml:space="preserve">power by the investors of photovoltaic installations, if this is possible. Savings were valued both for loss reductions, and even for reduced </w:t>
      </w:r>
      <w:r w:rsidR="00F119CA" w:rsidRPr="00CE0ADB">
        <w:rPr>
          <w:rFonts w:ascii="Times New Roman" w:hAnsi="Times New Roman" w:cs="Times New Roman"/>
          <w:i/>
          <w:lang w:val="en-US"/>
        </w:rPr>
        <w:t>CO</w:t>
      </w:r>
      <w:r w:rsidR="00F119CA" w:rsidRPr="00CE0ADB">
        <w:rPr>
          <w:rFonts w:ascii="Times New Roman" w:hAnsi="Times New Roman" w:cs="Times New Roman"/>
          <w:i/>
          <w:vertAlign w:val="subscript"/>
          <w:lang w:val="en-US"/>
        </w:rPr>
        <w:t xml:space="preserve">2 </w:t>
      </w:r>
      <w:r w:rsidR="00F119CA" w:rsidRPr="00CE0ADB">
        <w:rPr>
          <w:rFonts w:ascii="Times New Roman" w:hAnsi="Times New Roman" w:cs="Times New Roman"/>
          <w:i/>
          <w:sz w:val="24"/>
          <w:szCs w:val="24"/>
          <w:lang w:val="en-US"/>
        </w:rPr>
        <w:t>emissions into the atmosphere.</w:t>
      </w:r>
      <w:bookmarkStart w:id="0" w:name="_Toc517705961"/>
    </w:p>
    <w:p w:rsidR="00B123CB" w:rsidRDefault="00B123CB" w:rsidP="00B123CB">
      <w:pPr>
        <w:spacing w:after="0" w:line="360" w:lineRule="auto"/>
        <w:jc w:val="both"/>
        <w:rPr>
          <w:rFonts w:ascii="Times New Roman" w:hAnsi="Times New Roman" w:cs="Times New Roman"/>
          <w:i/>
          <w:sz w:val="24"/>
          <w:szCs w:val="24"/>
          <w:lang w:val="en-US"/>
        </w:rPr>
      </w:pPr>
    </w:p>
    <w:p w:rsidR="008075E4" w:rsidRPr="00B123CB" w:rsidRDefault="008075E4" w:rsidP="00B123CB">
      <w:pPr>
        <w:spacing w:after="0" w:line="360" w:lineRule="auto"/>
        <w:jc w:val="center"/>
        <w:rPr>
          <w:rFonts w:ascii="Times New Roman" w:hAnsi="Times New Roman" w:cs="Times New Roman"/>
          <w:i/>
          <w:sz w:val="24"/>
          <w:szCs w:val="24"/>
        </w:rPr>
      </w:pPr>
      <w:r w:rsidRPr="00DC5617">
        <w:rPr>
          <w:rFonts w:ascii="Times New Roman" w:hAnsi="Times New Roman" w:cs="Times New Roman"/>
        </w:rPr>
        <w:t>INTRODUCCIÓN</w:t>
      </w:r>
      <w:bookmarkEnd w:id="0"/>
    </w:p>
    <w:p w:rsidR="008075E4" w:rsidRPr="00B123CB" w:rsidRDefault="008075E4"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El calentamiento global, los gases de efecto invernadero y el deterioro de la calidad de vida del ser humano a causa del impacto generado por</w:t>
      </w:r>
      <w:r w:rsidR="00B123CB">
        <w:rPr>
          <w:rFonts w:eastAsiaTheme="minorHAnsi"/>
          <w:color w:val="auto"/>
          <w:lang w:eastAsia="en-US"/>
        </w:rPr>
        <w:t xml:space="preserve"> la contaminación producida por </w:t>
      </w:r>
      <w:proofErr w:type="gramStart"/>
      <w:r w:rsidRPr="00B123CB">
        <w:rPr>
          <w:rFonts w:eastAsiaTheme="minorHAnsi"/>
          <w:color w:val="auto"/>
          <w:lang w:eastAsia="en-US"/>
        </w:rPr>
        <w:t>el</w:t>
      </w:r>
      <w:proofErr w:type="gramEnd"/>
      <w:r w:rsidRPr="00B123CB">
        <w:rPr>
          <w:rFonts w:eastAsiaTheme="minorHAnsi"/>
          <w:color w:val="auto"/>
          <w:lang w:eastAsia="en-US"/>
        </w:rPr>
        <w:t xml:space="preserve"> sector industrial, son problemas que requieren de medidas a corto y mediano plaz</w:t>
      </w:r>
      <w:r w:rsidR="00B123CB">
        <w:rPr>
          <w:rFonts w:eastAsiaTheme="minorHAnsi"/>
          <w:color w:val="auto"/>
          <w:lang w:eastAsia="en-US"/>
        </w:rPr>
        <w:t xml:space="preserve">o </w:t>
      </w:r>
      <w:r w:rsidRPr="00B123CB">
        <w:rPr>
          <w:rFonts w:eastAsiaTheme="minorHAnsi"/>
          <w:color w:val="auto"/>
          <w:lang w:eastAsia="en-US"/>
        </w:rPr>
        <w:t>para solucionarlos. Entre las soluciones que se han p</w:t>
      </w:r>
      <w:r w:rsidR="00B123CB">
        <w:rPr>
          <w:rFonts w:eastAsiaTheme="minorHAnsi"/>
          <w:color w:val="auto"/>
          <w:lang w:eastAsia="en-US"/>
        </w:rPr>
        <w:t xml:space="preserve">ropuesto e implementado durante </w:t>
      </w:r>
      <w:r w:rsidRPr="00B123CB">
        <w:rPr>
          <w:rFonts w:eastAsiaTheme="minorHAnsi"/>
          <w:color w:val="auto"/>
          <w:lang w:eastAsia="en-US"/>
        </w:rPr>
        <w:t xml:space="preserve">los últimos 20 años a nivel mundial está la generación </w:t>
      </w:r>
      <w:r w:rsidR="00B123CB">
        <w:rPr>
          <w:rFonts w:eastAsiaTheme="minorHAnsi"/>
          <w:color w:val="auto"/>
          <w:lang w:eastAsia="en-US"/>
        </w:rPr>
        <w:t xml:space="preserve">de la energía demandada por los </w:t>
      </w:r>
      <w:r w:rsidRPr="00B123CB">
        <w:rPr>
          <w:rFonts w:eastAsiaTheme="minorHAnsi"/>
          <w:color w:val="auto"/>
          <w:lang w:eastAsia="en-US"/>
        </w:rPr>
        <w:t>sectores residencial, comercial e industrial a partir de fuentes no convencionales</w:t>
      </w:r>
      <w:r w:rsidR="00B123CB">
        <w:rPr>
          <w:rFonts w:eastAsiaTheme="minorHAnsi"/>
          <w:color w:val="auto"/>
          <w:lang w:eastAsia="en-US"/>
        </w:rPr>
        <w:t xml:space="preserve"> y de </w:t>
      </w:r>
      <w:r w:rsidRPr="00B123CB">
        <w:rPr>
          <w:rFonts w:eastAsiaTheme="minorHAnsi"/>
          <w:color w:val="auto"/>
          <w:lang w:eastAsia="en-US"/>
        </w:rPr>
        <w:t xml:space="preserve">carácter renovable que contribuyan significativamente </w:t>
      </w:r>
      <w:r w:rsidR="00B123CB">
        <w:rPr>
          <w:rFonts w:eastAsiaTheme="minorHAnsi"/>
          <w:color w:val="auto"/>
          <w:lang w:eastAsia="en-US"/>
        </w:rPr>
        <w:t xml:space="preserve">con la disminución de emisiones </w:t>
      </w:r>
      <w:r w:rsidRPr="00B123CB">
        <w:rPr>
          <w:rFonts w:eastAsiaTheme="minorHAnsi"/>
          <w:color w:val="auto"/>
          <w:lang w:eastAsia="en-US"/>
        </w:rPr>
        <w:t xml:space="preserve">nocivas para el medio ambiente. </w:t>
      </w:r>
    </w:p>
    <w:p w:rsidR="008075E4" w:rsidRPr="00B123CB" w:rsidRDefault="008075E4"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 xml:space="preserve">En la actualidad, el mundo se encuentra en un periodo de crisis energética, ya que la producción mundial de combustibles fósiles tales como: petróleo, carbón y gas natural, se encuentran en decadencia, al haber alcanzado actualmente el límite de producción. Mientras tanto, la demanda de energía mundial no deja de aumentar. Durante los últimos años ha sido constante la alerta de organizaciones ecologistas y Naciones Unidas, basados en informes científicos, acerca de la escasez de recursos naturales frente al nivel de consumo mundial, la degradación del medioambiente y la urgente necesidad de abordar un desarrollo sostenible del planeta. </w:t>
      </w:r>
    </w:p>
    <w:p w:rsidR="008075E4" w:rsidRPr="00B123CB" w:rsidRDefault="008075E4"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 xml:space="preserve">Diversificando la matriz energética, frenando la deforestación, reduciendo nuestra dependencia al petróleo, hacemos más competitiva y sostenible la economía mundial; el objetivo es que, con tecnologías amigables con el medio ambiente, también conocidas como tecnologías limpias, se puedan atender las necesidades y el bienestar de la población, tendiendo a un desarrollo equilibrado y sostenible. La energía solar es una gran alternativa teniendo en consideración que es una fuente gratuita e inagotable, limpia y amigable con el medio ambiente dado, que no genera emisiones nocivas ni </w:t>
      </w:r>
      <w:r w:rsidRPr="00B123CB">
        <w:rPr>
          <w:rFonts w:eastAsiaTheme="minorHAnsi"/>
          <w:color w:val="auto"/>
          <w:lang w:eastAsia="en-US"/>
        </w:rPr>
        <w:lastRenderedPageBreak/>
        <w:t xml:space="preserve">gases contaminantes. Pero, para su utilización, es necesario tener en cuenta su naturaleza intermitente, su variabilidad fuera del control del hombre y su baja eficiencia de conversión. En consecuencia a su baja eficiencia, la energía es una fuente extensiva, todo lo cual significa que para mayor potencia, mayor extensión espacial de equipos de conversión. </w:t>
      </w:r>
    </w:p>
    <w:p w:rsidR="008075E4" w:rsidRPr="00B123CB" w:rsidRDefault="008075E4" w:rsidP="00B123CB">
      <w:pPr>
        <w:numPr>
          <w:ilvl w:val="12"/>
          <w:numId w:val="0"/>
        </w:numPr>
        <w:spacing w:before="120" w:after="120" w:line="360" w:lineRule="auto"/>
        <w:jc w:val="both"/>
        <w:rPr>
          <w:rFonts w:ascii="Times New Roman" w:hAnsi="Times New Roman" w:cs="Times New Roman"/>
          <w:sz w:val="24"/>
          <w:szCs w:val="24"/>
        </w:rPr>
      </w:pPr>
      <w:r w:rsidRPr="00B123CB">
        <w:rPr>
          <w:rFonts w:ascii="Times New Roman" w:hAnsi="Times New Roman" w:cs="Times New Roman"/>
          <w:sz w:val="24"/>
          <w:szCs w:val="24"/>
        </w:rPr>
        <w:t>La energía solar se transforma en la naturaleza en otras formas de energía como biomasa y energía eólica, pero también se puede transformar a otras formas de energía como calor y electricidad.</w:t>
      </w:r>
    </w:p>
    <w:p w:rsidR="008075E4" w:rsidRPr="00B123CB" w:rsidRDefault="008075E4"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 xml:space="preserve">Uno de los métodos para la generación de electricidad, empleando como materia prima la energía solar, son los sistemas solares fotovoltaicos. En los últimos años, la producción de módulos fotovoltaicos se ha incrementado considerablemente y el precio de estos ha disminuido, por lo cual se está recurriendo a esta </w:t>
      </w:r>
      <w:proofErr w:type="gramStart"/>
      <w:r w:rsidRPr="00B123CB">
        <w:rPr>
          <w:rFonts w:eastAsiaTheme="minorHAnsi"/>
          <w:color w:val="auto"/>
          <w:lang w:eastAsia="en-US"/>
        </w:rPr>
        <w:t>tecnología</w:t>
      </w:r>
      <w:r w:rsidR="00DC5617" w:rsidRPr="00B123CB">
        <w:rPr>
          <w:rFonts w:eastAsiaTheme="minorHAnsi"/>
          <w:color w:val="auto"/>
          <w:lang w:eastAsia="en-US"/>
        </w:rPr>
        <w:t xml:space="preserve"> </w:t>
      </w:r>
      <w:r w:rsidRPr="00B123CB">
        <w:rPr>
          <w:rFonts w:eastAsiaTheme="minorHAnsi"/>
          <w:color w:val="auto"/>
          <w:lang w:eastAsia="en-US"/>
        </w:rPr>
        <w:t>,entre</w:t>
      </w:r>
      <w:proofErr w:type="gramEnd"/>
      <w:r w:rsidRPr="00B123CB">
        <w:rPr>
          <w:rFonts w:eastAsiaTheme="minorHAnsi"/>
          <w:color w:val="auto"/>
          <w:lang w:eastAsia="en-US"/>
        </w:rPr>
        <w:t xml:space="preserve"> las que se encuentra la implementación de paneles fotovoltaicos.</w:t>
      </w:r>
    </w:p>
    <w:p w:rsidR="008075E4" w:rsidRPr="00B123CB" w:rsidRDefault="008075E4"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 xml:space="preserve">Estos dispositivos tienen la función de transformar la radiación proveniente del Sol que atraviesa la atmosfera en energía eléctrica útil. Poseen cualidades como: su bajo costo de mantenimiento, generación de cero emisiones nocivas para el medio ambiente y facilidad de instalación y acoplamiento con las fuentes existentes de energía en el lugar de instalación </w:t>
      </w:r>
      <w:r w:rsidR="007402B0" w:rsidRPr="00B123CB">
        <w:rPr>
          <w:rFonts w:eastAsiaTheme="minorHAnsi"/>
          <w:color w:val="auto"/>
          <w:lang w:eastAsia="en-US"/>
        </w:rPr>
        <w:fldChar w:fldCharType="begin"/>
      </w:r>
      <w:r w:rsidRPr="00B123CB">
        <w:rPr>
          <w:rFonts w:eastAsiaTheme="minorHAnsi"/>
          <w:color w:val="auto"/>
          <w:lang w:eastAsia="en-US"/>
        </w:rPr>
        <w:instrText xml:space="preserve"> ADDIN EN.CITE &lt;EndNote&gt;&lt;Cite&gt;&lt;Author&gt;B.&lt;/Author&gt;&lt;Year&gt;2017&lt;/Year&gt;&lt;RecNum&gt;24&lt;/RecNum&gt;&lt;DisplayText&gt;[1]&lt;/DisplayText&gt;&lt;record&gt;&lt;rec-number&gt;24&lt;/rec-number&gt;&lt;foreign-keys&gt;&lt;key app="EN" db-id="adpwe2epczzppueaazdv5dac5s5xza2d02sv"&gt;24&lt;/key&gt;&lt;/foreign-keys&gt;&lt;ref-type name="Journal Article"&gt;17&lt;/ref-type&gt;&lt;contributors&gt;&lt;authors&gt;&lt;author&gt;Fernando Chamas B.&lt;/author&gt;&lt;/authors&gt;&lt;/contributors&gt;&lt;titles&gt;&lt;title&gt;ESTUDIO DE FACTIBILIDAD PARA LA IMPLEMENTACION DE SISTEMAS FOTOVOLTAICOS COMO FUENTE DE ENERGÍA EN EL SECTOR INDUSTRIAL DE COLOMBIA&lt;/title&gt;&lt;/titles&gt;&lt;dates&gt;&lt;year&gt;2017&lt;/year&gt;&lt;/dates&gt;&lt;urls&gt;&lt;/urls&gt;&lt;/record&gt;&lt;/Cite&gt;&lt;/EndNote&gt;</w:instrText>
      </w:r>
      <w:r w:rsidR="007402B0" w:rsidRPr="00B123CB">
        <w:rPr>
          <w:rFonts w:eastAsiaTheme="minorHAnsi"/>
          <w:color w:val="auto"/>
          <w:lang w:eastAsia="en-US"/>
        </w:rPr>
        <w:fldChar w:fldCharType="separate"/>
      </w:r>
      <w:r w:rsidRPr="00B123CB">
        <w:rPr>
          <w:rFonts w:eastAsiaTheme="minorHAnsi"/>
          <w:color w:val="auto"/>
          <w:lang w:eastAsia="en-US"/>
        </w:rPr>
        <w:t>[</w:t>
      </w:r>
      <w:hyperlink w:anchor="_ENREF_1" w:tooltip="B., 2017 #24" w:history="1">
        <w:r w:rsidRPr="00B123CB">
          <w:rPr>
            <w:rFonts w:eastAsiaTheme="minorHAnsi"/>
            <w:color w:val="auto"/>
            <w:lang w:eastAsia="en-US"/>
          </w:rPr>
          <w:t>1</w:t>
        </w:r>
      </w:hyperlink>
      <w:r w:rsidRPr="00B123CB">
        <w:rPr>
          <w:rFonts w:eastAsiaTheme="minorHAnsi"/>
          <w:color w:val="auto"/>
          <w:lang w:eastAsia="en-US"/>
        </w:rPr>
        <w:t>]</w:t>
      </w:r>
      <w:r w:rsidR="007402B0" w:rsidRPr="00B123CB">
        <w:rPr>
          <w:rFonts w:eastAsiaTheme="minorHAnsi"/>
          <w:color w:val="auto"/>
          <w:lang w:eastAsia="en-US"/>
        </w:rPr>
        <w:fldChar w:fldCharType="end"/>
      </w:r>
      <w:r w:rsidRPr="00B123CB">
        <w:rPr>
          <w:rFonts w:eastAsiaTheme="minorHAnsi"/>
          <w:color w:val="auto"/>
          <w:lang w:eastAsia="en-US"/>
        </w:rPr>
        <w:t>.</w:t>
      </w:r>
    </w:p>
    <w:p w:rsidR="00CA0EFC" w:rsidRPr="00B123CB" w:rsidRDefault="008A1C16" w:rsidP="00B123CB">
      <w:pPr>
        <w:pStyle w:val="Default"/>
        <w:spacing w:before="120" w:after="120" w:line="360" w:lineRule="auto"/>
        <w:jc w:val="both"/>
        <w:rPr>
          <w:rFonts w:eastAsiaTheme="minorHAnsi"/>
          <w:color w:val="auto"/>
          <w:lang w:eastAsia="en-US"/>
        </w:rPr>
      </w:pPr>
      <w:r w:rsidRPr="00C15190">
        <w:rPr>
          <w:rFonts w:eastAsiaTheme="minorHAnsi"/>
          <w:b/>
          <w:color w:val="auto"/>
          <w:lang w:eastAsia="en-US"/>
        </w:rPr>
        <w:t>Problemática</w:t>
      </w:r>
      <w:r w:rsidRPr="00B123CB">
        <w:rPr>
          <w:rFonts w:eastAsiaTheme="minorHAnsi"/>
          <w:color w:val="auto"/>
          <w:lang w:eastAsia="en-US"/>
        </w:rPr>
        <w:t>:</w:t>
      </w:r>
      <w:r w:rsidR="00DC5617" w:rsidRPr="00B123CB">
        <w:rPr>
          <w:rFonts w:eastAsiaTheme="minorHAnsi"/>
          <w:color w:val="auto"/>
          <w:lang w:eastAsia="en-US"/>
        </w:rPr>
        <w:t xml:space="preserve"> </w:t>
      </w:r>
      <w:r w:rsidR="00CA0EFC" w:rsidRPr="00B123CB">
        <w:rPr>
          <w:rFonts w:eastAsiaTheme="minorHAnsi"/>
          <w:color w:val="auto"/>
          <w:lang w:eastAsia="en-US"/>
        </w:rPr>
        <w:t xml:space="preserve">En nuestro país la generación de energía desde hace varios años ha comenzado a cambiar su matriz energética, cambiando la generación a partir de combustibles fósiles por energías renovables. Según los especialistas, Cuba recibe un promedio de radiación solar superior a 1 800 </w:t>
      </w:r>
      <w:proofErr w:type="spellStart"/>
      <w:r w:rsidR="00CA0EFC" w:rsidRPr="00B123CB">
        <w:rPr>
          <w:rFonts w:eastAsiaTheme="minorHAnsi"/>
          <w:color w:val="auto"/>
          <w:lang w:eastAsia="en-US"/>
        </w:rPr>
        <w:t>kW.h</w:t>
      </w:r>
      <w:proofErr w:type="spellEnd"/>
      <w:r w:rsidR="00CA0EFC" w:rsidRPr="00B123CB">
        <w:rPr>
          <w:rFonts w:eastAsiaTheme="minorHAnsi"/>
          <w:color w:val="auto"/>
          <w:lang w:eastAsia="en-US"/>
        </w:rPr>
        <w:t>/m2/año, lo cual avala las potencialidades existentes, por eso muchos proyectos futuros pretenden aprovechar más la energía solar. Con la inserción de los nuevos parques fotovoltaicos en el Sistema Energético Nacional (SEN) no se han realizado estudios de comportamiento de los circuitos pudiendo, esto traer consigo un incremento de las pérdidas; tampoco se han realizado estudios del comportamiento de la operación de estos circuitos ante situaciones de emergencia donde estos parques puedan brindar servicios a circuitos vecinos al que él se instaló.</w:t>
      </w:r>
      <w:r w:rsidR="001A4E03" w:rsidRPr="00B123CB">
        <w:rPr>
          <w:rFonts w:eastAsiaTheme="minorHAnsi"/>
          <w:color w:val="auto"/>
          <w:lang w:eastAsia="en-US"/>
        </w:rPr>
        <w:t xml:space="preserve"> </w:t>
      </w:r>
      <w:r w:rsidR="008075E4" w:rsidRPr="00B123CB">
        <w:rPr>
          <w:rFonts w:eastAsiaTheme="minorHAnsi"/>
          <w:color w:val="auto"/>
          <w:lang w:eastAsia="en-US"/>
        </w:rPr>
        <w:t>Según los datos ofrecidos por los especialistas del Despacho Provincial de Carga en la provincia de Villa Clara, en el año 2017 se</w:t>
      </w:r>
      <w:r w:rsidR="001A4E03" w:rsidRPr="00B123CB">
        <w:rPr>
          <w:rFonts w:eastAsiaTheme="minorHAnsi"/>
          <w:color w:val="auto"/>
          <w:lang w:eastAsia="en-US"/>
        </w:rPr>
        <w:t xml:space="preserve"> </w:t>
      </w:r>
      <w:r w:rsidR="008075E4" w:rsidRPr="00B123CB">
        <w:rPr>
          <w:rFonts w:eastAsiaTheme="minorHAnsi"/>
          <w:color w:val="auto"/>
          <w:lang w:eastAsia="en-US"/>
        </w:rPr>
        <w:t xml:space="preserve">consumieron aproximadamente 1 308 280 </w:t>
      </w:r>
      <w:proofErr w:type="spellStart"/>
      <w:r w:rsidR="008075E4" w:rsidRPr="00B123CB">
        <w:rPr>
          <w:rFonts w:eastAsiaTheme="minorHAnsi"/>
          <w:color w:val="auto"/>
          <w:lang w:eastAsia="en-US"/>
        </w:rPr>
        <w:t>MW.h</w:t>
      </w:r>
      <w:proofErr w:type="spellEnd"/>
      <w:r w:rsidR="008075E4" w:rsidRPr="00B123CB">
        <w:rPr>
          <w:rFonts w:eastAsiaTheme="minorHAnsi"/>
          <w:color w:val="auto"/>
          <w:lang w:eastAsia="en-US"/>
        </w:rPr>
        <w:t xml:space="preserve">, en tanto que la generación alcanzó 439 445MW.h </w:t>
      </w:r>
      <w:r w:rsidR="008075E4" w:rsidRPr="00B123CB">
        <w:rPr>
          <w:rFonts w:eastAsiaTheme="minorHAnsi"/>
          <w:color w:val="auto"/>
          <w:lang w:eastAsia="en-US"/>
        </w:rPr>
        <w:lastRenderedPageBreak/>
        <w:t>en el año, lo que significa que sólo se genera en la provincia el 33.59 % de lo que se consume.</w:t>
      </w:r>
      <w:r w:rsidR="001A4E03" w:rsidRPr="00B123CB">
        <w:rPr>
          <w:rFonts w:eastAsiaTheme="minorHAnsi"/>
          <w:color w:val="auto"/>
          <w:lang w:eastAsia="en-US"/>
        </w:rPr>
        <w:t xml:space="preserve"> </w:t>
      </w:r>
      <w:r w:rsidR="008075E4" w:rsidRPr="00B123CB">
        <w:rPr>
          <w:rFonts w:eastAsiaTheme="minorHAnsi"/>
          <w:color w:val="auto"/>
          <w:lang w:eastAsia="en-US"/>
        </w:rPr>
        <w:t>Los parques solares fotovoltaicos Frigorífico y UCLV surgieron por el interés de la Unión Eléctrica (UNE) de desplegar parques fotovoltaicos conectados a las redes eléctricas del SEN como vía para</w:t>
      </w:r>
      <w:r w:rsidR="008075E4" w:rsidRPr="00DC5617">
        <w:rPr>
          <w:rFonts w:eastAsiaTheme="minorHAnsi"/>
          <w:color w:val="auto"/>
          <w:sz w:val="22"/>
          <w:szCs w:val="22"/>
          <w:lang w:eastAsia="en-US"/>
        </w:rPr>
        <w:t xml:space="preserve"> </w:t>
      </w:r>
      <w:r w:rsidR="008075E4" w:rsidRPr="00B123CB">
        <w:rPr>
          <w:rFonts w:eastAsiaTheme="minorHAnsi"/>
          <w:color w:val="auto"/>
          <w:lang w:eastAsia="en-US"/>
        </w:rPr>
        <w:t xml:space="preserve">incrementar la capacidad de generación eléctrica instalada, diversificar las fuentes de generación reduciendo consumos de combustibles fósiles y atenuar la contaminación atmosférica asociada a su combustión, empleando la transformación directa en electricidad de la radiación solar, fuente renovable con manifestación estable y predecible en Cuba, que ha sido bien estudiada y caracterizada desde el punto de vista energético. Esto obedece al plan de Desarrollo de Energías Renovables, el cual destaca que en energía solar fotovoltaica se pretenden instalar 700 </w:t>
      </w:r>
      <w:proofErr w:type="spellStart"/>
      <w:r w:rsidR="008075E4" w:rsidRPr="00B123CB">
        <w:rPr>
          <w:rFonts w:eastAsiaTheme="minorHAnsi"/>
          <w:color w:val="auto"/>
          <w:lang w:eastAsia="en-US"/>
        </w:rPr>
        <w:t>MWp</w:t>
      </w:r>
      <w:proofErr w:type="spellEnd"/>
      <w:r w:rsidR="008075E4" w:rsidRPr="00B123CB">
        <w:rPr>
          <w:rFonts w:eastAsiaTheme="minorHAnsi"/>
          <w:color w:val="auto"/>
          <w:lang w:eastAsia="en-US"/>
        </w:rPr>
        <w:t xml:space="preserve"> que representen el 3.5% de toda la electricidad demandada en Cuba para el 2030.</w:t>
      </w:r>
      <w:r w:rsidR="00595CB4" w:rsidRPr="00595CB4">
        <w:t xml:space="preserve"> </w:t>
      </w:r>
      <w:r w:rsidR="00595CB4" w:rsidRPr="00A05E26">
        <w:t>[</w:t>
      </w:r>
      <w:r w:rsidR="00595CB4">
        <w:t>2</w:t>
      </w:r>
      <w:r w:rsidR="00595CB4" w:rsidRPr="00A05E26">
        <w:t>]</w:t>
      </w:r>
      <w:r w:rsidR="00595CB4">
        <w:t>,</w:t>
      </w:r>
      <w:r w:rsidR="00595CB4" w:rsidRPr="00595CB4">
        <w:t xml:space="preserve"> </w:t>
      </w:r>
      <w:r w:rsidR="00595CB4" w:rsidRPr="00A05E26">
        <w:t>[</w:t>
      </w:r>
      <w:r w:rsidR="00595CB4">
        <w:t>3</w:t>
      </w:r>
      <w:r w:rsidR="00595CB4" w:rsidRPr="00A05E26">
        <w:t>]</w:t>
      </w:r>
      <w:r w:rsidR="00CF1A6E">
        <w:t>,</w:t>
      </w:r>
      <w:r w:rsidR="00595CB4" w:rsidRPr="00595CB4">
        <w:t xml:space="preserve"> </w:t>
      </w:r>
      <w:r w:rsidR="00595CB4" w:rsidRPr="00A05E26">
        <w:t>[</w:t>
      </w:r>
      <w:r w:rsidR="00595CB4">
        <w:t>4</w:t>
      </w:r>
      <w:r w:rsidR="00595CB4" w:rsidRPr="00A05E26">
        <w:t>]</w:t>
      </w:r>
      <w:r w:rsidR="00CF1A6E">
        <w:t>.</w:t>
      </w:r>
      <w:r w:rsidR="00595CB4" w:rsidRPr="00595CB4">
        <w:t xml:space="preserve"> </w:t>
      </w:r>
    </w:p>
    <w:p w:rsidR="004D214C" w:rsidRPr="00B123CB" w:rsidRDefault="008A1C16" w:rsidP="00B123CB">
      <w:pPr>
        <w:pStyle w:val="Default"/>
        <w:spacing w:before="120" w:after="120" w:line="360" w:lineRule="auto"/>
        <w:jc w:val="both"/>
        <w:rPr>
          <w:rFonts w:eastAsiaTheme="minorHAnsi"/>
          <w:color w:val="auto"/>
          <w:lang w:eastAsia="en-US"/>
        </w:rPr>
      </w:pPr>
      <w:r w:rsidRPr="00B123CB">
        <w:rPr>
          <w:rFonts w:eastAsiaTheme="minorHAnsi"/>
          <w:b/>
          <w:color w:val="auto"/>
          <w:lang w:eastAsia="en-US"/>
        </w:rPr>
        <w:t>Resultados y discusión</w:t>
      </w:r>
      <w:r w:rsidRPr="00B123CB">
        <w:rPr>
          <w:rFonts w:eastAsiaTheme="minorHAnsi"/>
          <w:color w:val="auto"/>
          <w:lang w:eastAsia="en-US"/>
        </w:rPr>
        <w:t>:</w:t>
      </w:r>
      <w:r w:rsidR="00BD37E0" w:rsidRPr="00B123CB">
        <w:rPr>
          <w:rFonts w:eastAsiaTheme="minorHAnsi"/>
          <w:color w:val="auto"/>
          <w:lang w:eastAsia="en-US"/>
        </w:rPr>
        <w:t xml:space="preserve"> </w:t>
      </w:r>
      <w:r w:rsidR="004D214C" w:rsidRPr="00B123CB">
        <w:rPr>
          <w:rFonts w:eastAsiaTheme="minorHAnsi"/>
          <w:color w:val="auto"/>
          <w:lang w:eastAsia="en-US"/>
        </w:rPr>
        <w:t xml:space="preserve">En este </w:t>
      </w:r>
      <w:r w:rsidR="00BD37E0" w:rsidRPr="00B123CB">
        <w:rPr>
          <w:rFonts w:eastAsiaTheme="minorHAnsi"/>
          <w:color w:val="auto"/>
          <w:lang w:eastAsia="en-US"/>
        </w:rPr>
        <w:t>trabajo</w:t>
      </w:r>
      <w:r w:rsidR="004D214C" w:rsidRPr="00B123CB">
        <w:rPr>
          <w:rFonts w:eastAsiaTheme="minorHAnsi"/>
          <w:color w:val="auto"/>
          <w:lang w:eastAsia="en-US"/>
        </w:rPr>
        <w:t xml:space="preserve"> se analizan las simulaciones de los circuitos donde se ubican los parques solares fotovoltaicos, UCLV y Frigorífico, que están conectados al Sistema Eléctrico Nacional, estos estudios permiten analizar los factores que influyen en la explotación de dichas instalaciones. </w:t>
      </w:r>
    </w:p>
    <w:p w:rsidR="004D214C" w:rsidRPr="00B123CB" w:rsidRDefault="004D214C"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Se analizarán los resultados de las corridas que han permitido valorar los parámetros técnicos más importantes para la operación de dichos PFV, tales como las pérdidas de potencia activa, las pérdidas de energía, las transferencias por las líneas y los voltajes en los nodos, entre otros.</w:t>
      </w:r>
    </w:p>
    <w:p w:rsidR="004D214C" w:rsidRPr="00B123CB" w:rsidRDefault="004D214C" w:rsidP="00B123CB">
      <w:pPr>
        <w:pStyle w:val="Default"/>
        <w:spacing w:before="120" w:after="120" w:line="360" w:lineRule="auto"/>
        <w:jc w:val="both"/>
        <w:rPr>
          <w:rFonts w:eastAsiaTheme="minorHAnsi"/>
          <w:b/>
          <w:color w:val="auto"/>
          <w:lang w:eastAsia="en-US"/>
        </w:rPr>
      </w:pPr>
      <w:bookmarkStart w:id="1" w:name="_Toc517706004"/>
      <w:r w:rsidRPr="00B123CB">
        <w:rPr>
          <w:rFonts w:eastAsiaTheme="minorHAnsi"/>
          <w:b/>
          <w:color w:val="auto"/>
          <w:lang w:eastAsia="en-US"/>
        </w:rPr>
        <w:t>Análisis UCLV</w:t>
      </w:r>
      <w:bookmarkEnd w:id="1"/>
    </w:p>
    <w:p w:rsidR="004D214C" w:rsidRPr="00B123CB" w:rsidRDefault="004D214C"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Como bien se conoce, uno de los datos fundamentales para el análisis de energía en las redes, se apoya en los gráficos horarios de carga, razón por la cual las simulaciones se llevan a cabo con el software especializado RADIAL.</w:t>
      </w:r>
    </w:p>
    <w:p w:rsidR="004D214C" w:rsidRPr="00B123CB" w:rsidRDefault="004D214C" w:rsidP="00B123CB">
      <w:pPr>
        <w:pStyle w:val="Default"/>
        <w:spacing w:before="120" w:after="120" w:line="360" w:lineRule="auto"/>
        <w:jc w:val="both"/>
        <w:rPr>
          <w:rFonts w:eastAsiaTheme="minorHAnsi"/>
          <w:color w:val="auto"/>
          <w:lang w:eastAsia="en-US"/>
        </w:rPr>
      </w:pPr>
      <w:r w:rsidRPr="00B123CB">
        <w:rPr>
          <w:rFonts w:eastAsiaTheme="minorHAnsi"/>
          <w:color w:val="auto"/>
          <w:lang w:eastAsia="en-US"/>
        </w:rPr>
        <w:t xml:space="preserve">El PFV de la UCLV se localiza dentro de la red de 33 kV del entorno, donde confluyen cuatro líneas: la conexión de donde se alimenta normalmente, la 6375 que parte de la Sub Industrial 110/33 kV; la 6595 procedente de la Sub </w:t>
      </w:r>
      <w:proofErr w:type="spellStart"/>
      <w:r w:rsidRPr="00B123CB">
        <w:rPr>
          <w:rFonts w:eastAsiaTheme="minorHAnsi"/>
          <w:color w:val="auto"/>
          <w:lang w:eastAsia="en-US"/>
        </w:rPr>
        <w:t>Camajuaní</w:t>
      </w:r>
      <w:proofErr w:type="spellEnd"/>
      <w:r w:rsidRPr="00B123CB">
        <w:rPr>
          <w:rFonts w:eastAsiaTheme="minorHAnsi"/>
          <w:color w:val="auto"/>
          <w:lang w:eastAsia="en-US"/>
        </w:rPr>
        <w:t>; otra, la 119 de la Sub Sta. Clara y la 1785 alimentada de la Sub Industrial, Figura</w:t>
      </w:r>
      <w:r w:rsidR="00C74CA6" w:rsidRPr="00B123CB">
        <w:rPr>
          <w:rFonts w:eastAsiaTheme="minorHAnsi"/>
          <w:color w:val="auto"/>
          <w:lang w:eastAsia="en-US"/>
        </w:rPr>
        <w:t>1.1.</w:t>
      </w:r>
    </w:p>
    <w:p w:rsidR="000B0EB6" w:rsidRDefault="000B0EB6" w:rsidP="004D214C">
      <w:pPr>
        <w:spacing w:before="120" w:after="120"/>
        <w:rPr>
          <w:rFonts w:cs="Arial"/>
        </w:rPr>
      </w:pPr>
      <w:r w:rsidRPr="000B0EB6">
        <w:rPr>
          <w:rFonts w:cs="Arial"/>
          <w:noProof/>
          <w:lang w:val="es-MX" w:eastAsia="es-MX"/>
        </w:rPr>
        <w:lastRenderedPageBreak/>
        <w:drawing>
          <wp:inline distT="0" distB="0" distL="0" distR="0">
            <wp:extent cx="5867400" cy="2076450"/>
            <wp:effectExtent l="0" t="0" r="0" b="0"/>
            <wp:docPr id="24" name="Imagen 24" descr="C:\Users\Jose\Desktop\fotos new\Uc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Desktop\fotos new\Ucl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9477" cy="2077185"/>
                    </a:xfrm>
                    <a:prstGeom prst="rect">
                      <a:avLst/>
                    </a:prstGeom>
                    <a:noFill/>
                    <a:ln>
                      <a:noFill/>
                    </a:ln>
                  </pic:spPr>
                </pic:pic>
              </a:graphicData>
            </a:graphic>
          </wp:inline>
        </w:drawing>
      </w:r>
    </w:p>
    <w:p w:rsidR="000B0EB6" w:rsidRPr="00C74CA6" w:rsidRDefault="000B0EB6" w:rsidP="000B0EB6">
      <w:pPr>
        <w:spacing w:before="120" w:after="120"/>
        <w:jc w:val="center"/>
        <w:rPr>
          <w:rFonts w:ascii="Times New Roman" w:hAnsi="Times New Roman" w:cs="Times New Roman"/>
        </w:rPr>
      </w:pPr>
      <w:r w:rsidRPr="00C74CA6">
        <w:rPr>
          <w:rFonts w:ascii="Times New Roman" w:hAnsi="Times New Roman" w:cs="Times New Roman"/>
          <w:sz w:val="20"/>
          <w:szCs w:val="20"/>
        </w:rPr>
        <w:t xml:space="preserve">Figura </w:t>
      </w:r>
      <w:r w:rsidR="00C74CA6" w:rsidRPr="00C74CA6">
        <w:rPr>
          <w:rFonts w:ascii="Times New Roman" w:hAnsi="Times New Roman" w:cs="Times New Roman"/>
          <w:sz w:val="20"/>
          <w:szCs w:val="20"/>
        </w:rPr>
        <w:t>1.1</w:t>
      </w:r>
      <w:r w:rsidRPr="00C74CA6">
        <w:rPr>
          <w:rFonts w:ascii="Times New Roman" w:hAnsi="Times New Roman" w:cs="Times New Roman"/>
          <w:sz w:val="20"/>
          <w:szCs w:val="20"/>
        </w:rPr>
        <w:t>: Circuito 6375 con la conexión del PFV UCLV</w:t>
      </w:r>
    </w:p>
    <w:p w:rsidR="004D214C" w:rsidRPr="00475011" w:rsidRDefault="004D214C" w:rsidP="00475011">
      <w:pPr>
        <w:pStyle w:val="Default"/>
        <w:spacing w:before="120" w:after="120" w:line="360" w:lineRule="auto"/>
        <w:jc w:val="both"/>
      </w:pPr>
      <w:r w:rsidRPr="00475011">
        <w:t>Como se puede apreciar, existen posibles conexiones que resultan de interés para analizar las diversas situaciones, tanto de operación normal, como de emergencia por el efecto del PFV UCLV sobre la red de 33 kV; algo novedoso que aparece en dicha red a partir de su entrada en servicio.</w:t>
      </w:r>
    </w:p>
    <w:p w:rsidR="004D214C" w:rsidRPr="00475011" w:rsidRDefault="004D214C" w:rsidP="00A1393E">
      <w:pPr>
        <w:pStyle w:val="Default"/>
        <w:spacing w:before="120" w:after="120" w:line="360" w:lineRule="auto"/>
        <w:jc w:val="both"/>
        <w:rPr>
          <w:b/>
          <w:sz w:val="22"/>
          <w:szCs w:val="22"/>
        </w:rPr>
      </w:pPr>
      <w:bookmarkStart w:id="2" w:name="_Toc517706005"/>
      <w:r w:rsidRPr="00475011">
        <w:rPr>
          <w:b/>
          <w:sz w:val="22"/>
          <w:szCs w:val="22"/>
        </w:rPr>
        <w:t>Circuito 6375. Conexión actual del PFV UCLV</w:t>
      </w:r>
      <w:bookmarkEnd w:id="2"/>
    </w:p>
    <w:p w:rsidR="004D214C" w:rsidRPr="00475011" w:rsidRDefault="004D214C" w:rsidP="00A1393E">
      <w:pPr>
        <w:pStyle w:val="Default"/>
        <w:spacing w:before="120" w:after="120" w:line="360" w:lineRule="auto"/>
        <w:jc w:val="both"/>
      </w:pPr>
      <w:r w:rsidRPr="00475011">
        <w:t>El análisis para las posibles variantes de conexión se ha realizado mediante la comparación de los resultados de las corridas para los tres escenarios posibles:</w:t>
      </w:r>
    </w:p>
    <w:p w:rsidR="004D214C" w:rsidRPr="00E7461A" w:rsidRDefault="004D214C" w:rsidP="00A1393E">
      <w:pPr>
        <w:pStyle w:val="Default"/>
        <w:spacing w:before="120" w:after="120" w:line="360" w:lineRule="auto"/>
        <w:jc w:val="both"/>
        <w:rPr>
          <w:b/>
        </w:rPr>
      </w:pPr>
      <w:r w:rsidRPr="00E7461A">
        <w:rPr>
          <w:b/>
        </w:rPr>
        <w:t>Operación normal.</w:t>
      </w:r>
    </w:p>
    <w:p w:rsidR="004D214C" w:rsidRPr="00E7461A" w:rsidRDefault="004D214C" w:rsidP="00A1393E">
      <w:pPr>
        <w:pStyle w:val="Default"/>
        <w:spacing w:before="120" w:after="120" w:line="360" w:lineRule="auto"/>
        <w:jc w:val="both"/>
        <w:rPr>
          <w:b/>
        </w:rPr>
      </w:pPr>
      <w:r w:rsidRPr="00E7461A">
        <w:rPr>
          <w:b/>
        </w:rPr>
        <w:t>Operación con el PFV generando solo potencia activa.</w:t>
      </w:r>
    </w:p>
    <w:p w:rsidR="004D214C" w:rsidRPr="00924E03" w:rsidRDefault="004D214C" w:rsidP="00EB51E3">
      <w:pPr>
        <w:pStyle w:val="Default"/>
        <w:spacing w:before="120" w:after="120" w:line="276" w:lineRule="auto"/>
        <w:jc w:val="both"/>
        <w:rPr>
          <w:b/>
        </w:rPr>
      </w:pPr>
      <w:r w:rsidRPr="00924E03">
        <w:rPr>
          <w:b/>
        </w:rPr>
        <w:t xml:space="preserve">Con dicho panel entregando </w:t>
      </w:r>
      <w:proofErr w:type="gramStart"/>
      <w:r w:rsidRPr="00924E03">
        <w:rPr>
          <w:b/>
        </w:rPr>
        <w:t>tanto</w:t>
      </w:r>
      <w:proofErr w:type="gramEnd"/>
      <w:r w:rsidRPr="00924E03">
        <w:rPr>
          <w:b/>
        </w:rPr>
        <w:t xml:space="preserve"> potencia activa como reactiva, para el caso en el que los inversores pudieran operar bajo estas condiciones.</w:t>
      </w:r>
    </w:p>
    <w:p w:rsidR="004D214C" w:rsidRPr="00475011" w:rsidRDefault="004D214C" w:rsidP="00EB51E3">
      <w:pPr>
        <w:pStyle w:val="Default"/>
        <w:spacing w:before="120" w:after="120" w:line="276" w:lineRule="auto"/>
        <w:jc w:val="both"/>
      </w:pPr>
      <w:r w:rsidRPr="00475011">
        <w:t>En la Figura 3.1 se pueden observar los gráficos de carga sin y con el panel generando sólo potencia activa y como complemento del mismo.</w:t>
      </w:r>
      <w:r w:rsidR="00A1393E" w:rsidRPr="00475011">
        <w:t xml:space="preserve"> </w:t>
      </w:r>
      <w:r w:rsidRPr="00475011">
        <w:t>En la Figura 3.2, se aprecia la disminución de las pérdidas en las líneas.</w:t>
      </w:r>
    </w:p>
    <w:p w:rsidR="004D214C" w:rsidRDefault="004D214C" w:rsidP="004D214C">
      <w:pPr>
        <w:jc w:val="center"/>
        <w:rPr>
          <w:rStyle w:val="EstiloTimesNewRoman"/>
        </w:rPr>
      </w:pPr>
      <w:r>
        <w:rPr>
          <w:noProof/>
          <w:lang w:val="es-MX" w:eastAsia="es-MX"/>
        </w:rPr>
        <w:drawing>
          <wp:inline distT="0" distB="0" distL="0" distR="0">
            <wp:extent cx="5864087" cy="2067339"/>
            <wp:effectExtent l="0" t="0" r="2286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214C" w:rsidRPr="00A1393E" w:rsidRDefault="004D214C" w:rsidP="004D214C">
      <w:pPr>
        <w:spacing w:after="120"/>
        <w:jc w:val="center"/>
        <w:rPr>
          <w:rFonts w:ascii="Times New Roman" w:hAnsi="Times New Roman" w:cs="Times New Roman"/>
          <w:sz w:val="20"/>
          <w:szCs w:val="20"/>
        </w:rPr>
      </w:pPr>
      <w:r w:rsidRPr="00A1393E">
        <w:rPr>
          <w:rFonts w:ascii="Times New Roman" w:hAnsi="Times New Roman" w:cs="Times New Roman"/>
          <w:sz w:val="20"/>
          <w:szCs w:val="20"/>
        </w:rPr>
        <w:lastRenderedPageBreak/>
        <w:t xml:space="preserve">Figura </w:t>
      </w:r>
      <w:r w:rsidR="00A1393E" w:rsidRPr="00A1393E">
        <w:rPr>
          <w:rFonts w:ascii="Times New Roman" w:hAnsi="Times New Roman" w:cs="Times New Roman"/>
          <w:sz w:val="20"/>
          <w:szCs w:val="20"/>
        </w:rPr>
        <w:t>1.2</w:t>
      </w:r>
      <w:r w:rsidRPr="00A1393E">
        <w:rPr>
          <w:rFonts w:ascii="Times New Roman" w:hAnsi="Times New Roman" w:cs="Times New Roman"/>
          <w:sz w:val="20"/>
          <w:szCs w:val="20"/>
        </w:rPr>
        <w:t>: Gráfico de carga del circuito 6375. P (kW) contra t (h).</w:t>
      </w:r>
    </w:p>
    <w:p w:rsidR="004D214C" w:rsidRDefault="004D214C" w:rsidP="004D214C">
      <w:pPr>
        <w:jc w:val="center"/>
        <w:rPr>
          <w:rStyle w:val="EstiloTimesNewRoman"/>
        </w:rPr>
      </w:pPr>
      <w:r>
        <w:rPr>
          <w:noProof/>
          <w:lang w:val="es-MX" w:eastAsia="es-MX"/>
        </w:rPr>
        <w:drawing>
          <wp:inline distT="0" distB="0" distL="0" distR="0">
            <wp:extent cx="5791200" cy="19240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214C" w:rsidRPr="00A1393E" w:rsidRDefault="004D214C" w:rsidP="004D214C">
      <w:pPr>
        <w:spacing w:after="120"/>
        <w:jc w:val="center"/>
        <w:rPr>
          <w:rFonts w:ascii="Times New Roman" w:hAnsi="Times New Roman" w:cs="Times New Roman"/>
          <w:sz w:val="20"/>
          <w:szCs w:val="20"/>
        </w:rPr>
      </w:pPr>
      <w:r w:rsidRPr="00A1393E">
        <w:rPr>
          <w:rFonts w:ascii="Times New Roman" w:hAnsi="Times New Roman" w:cs="Times New Roman"/>
          <w:sz w:val="20"/>
          <w:szCs w:val="20"/>
        </w:rPr>
        <w:t xml:space="preserve">Figura </w:t>
      </w:r>
      <w:r w:rsidR="00A1393E">
        <w:rPr>
          <w:rFonts w:ascii="Times New Roman" w:hAnsi="Times New Roman" w:cs="Times New Roman"/>
          <w:sz w:val="20"/>
          <w:szCs w:val="20"/>
        </w:rPr>
        <w:t>1.3</w:t>
      </w:r>
      <w:r w:rsidRPr="00A1393E">
        <w:rPr>
          <w:rFonts w:ascii="Times New Roman" w:hAnsi="Times New Roman" w:cs="Times New Roman"/>
          <w:sz w:val="20"/>
          <w:szCs w:val="20"/>
        </w:rPr>
        <w:t>: Gráfico de pérdidas de potencia activa. P (kW) contra t (h).</w:t>
      </w:r>
    </w:p>
    <w:p w:rsidR="004D214C" w:rsidRPr="008931E2" w:rsidRDefault="004D214C" w:rsidP="00EB51E3">
      <w:pPr>
        <w:pStyle w:val="Default"/>
        <w:spacing w:before="120" w:after="120" w:line="276" w:lineRule="auto"/>
        <w:jc w:val="both"/>
      </w:pPr>
      <w:r w:rsidRPr="008931E2">
        <w:t xml:space="preserve">La Figura </w:t>
      </w:r>
      <w:r w:rsidR="00A1393E" w:rsidRPr="008931E2">
        <w:t>1.4</w:t>
      </w:r>
      <w:r w:rsidRPr="008931E2">
        <w:t xml:space="preserve"> permite observar los gráficos horarios de carga ante la posibilidad de que el PFV entregue tanto potencia activa como reactiva.</w:t>
      </w:r>
    </w:p>
    <w:p w:rsidR="004D214C" w:rsidRDefault="004D214C" w:rsidP="004D214C">
      <w:pPr>
        <w:rPr>
          <w:rStyle w:val="EstiloTimesNewRoman"/>
        </w:rPr>
      </w:pPr>
      <w:r>
        <w:rPr>
          <w:noProof/>
          <w:lang w:val="es-MX" w:eastAsia="es-MX"/>
        </w:rPr>
        <w:drawing>
          <wp:inline distT="0" distB="0" distL="0" distR="0">
            <wp:extent cx="5695950" cy="17335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214C" w:rsidRPr="00A1393E" w:rsidRDefault="004D214C" w:rsidP="004D214C">
      <w:pPr>
        <w:spacing w:after="120"/>
        <w:jc w:val="center"/>
        <w:rPr>
          <w:rFonts w:ascii="Times New Roman" w:hAnsi="Times New Roman" w:cs="Times New Roman"/>
          <w:sz w:val="20"/>
          <w:szCs w:val="20"/>
        </w:rPr>
      </w:pPr>
      <w:r w:rsidRPr="00A1393E">
        <w:rPr>
          <w:rFonts w:ascii="Times New Roman" w:hAnsi="Times New Roman" w:cs="Times New Roman"/>
          <w:sz w:val="20"/>
          <w:szCs w:val="20"/>
        </w:rPr>
        <w:t xml:space="preserve">Figura </w:t>
      </w:r>
      <w:r w:rsidR="00A1393E">
        <w:rPr>
          <w:rFonts w:ascii="Times New Roman" w:hAnsi="Times New Roman" w:cs="Times New Roman"/>
          <w:sz w:val="20"/>
          <w:szCs w:val="20"/>
        </w:rPr>
        <w:t>1.4</w:t>
      </w:r>
      <w:r w:rsidRPr="00A1393E">
        <w:rPr>
          <w:rFonts w:ascii="Times New Roman" w:hAnsi="Times New Roman" w:cs="Times New Roman"/>
          <w:sz w:val="20"/>
          <w:szCs w:val="20"/>
        </w:rPr>
        <w:t>: Gráfico de carga del circuito 6375 con generación de potencia activa y reactiva. Q (</w:t>
      </w:r>
      <w:proofErr w:type="spellStart"/>
      <w:r w:rsidRPr="00A1393E">
        <w:rPr>
          <w:rFonts w:ascii="Times New Roman" w:hAnsi="Times New Roman" w:cs="Times New Roman"/>
          <w:sz w:val="20"/>
          <w:szCs w:val="20"/>
        </w:rPr>
        <w:t>kvar</w:t>
      </w:r>
      <w:proofErr w:type="spellEnd"/>
      <w:r w:rsidRPr="00A1393E">
        <w:rPr>
          <w:rFonts w:ascii="Times New Roman" w:hAnsi="Times New Roman" w:cs="Times New Roman"/>
          <w:sz w:val="20"/>
          <w:szCs w:val="20"/>
        </w:rPr>
        <w:t>) contra t (h).</w:t>
      </w:r>
    </w:p>
    <w:p w:rsidR="004D214C" w:rsidRPr="008931E2" w:rsidRDefault="004D214C" w:rsidP="00EB51E3">
      <w:pPr>
        <w:pStyle w:val="Default"/>
        <w:spacing w:before="120" w:after="120" w:line="276" w:lineRule="auto"/>
        <w:jc w:val="both"/>
      </w:pPr>
      <w:r w:rsidRPr="008931E2">
        <w:t xml:space="preserve">La Tabla 3.1 muestra, de forma resumida, los resultados más importantes a los que se ha hecho referencia. </w:t>
      </w:r>
    </w:p>
    <w:p w:rsidR="004D214C" w:rsidRPr="00A1393E" w:rsidRDefault="004D214C" w:rsidP="00A1393E">
      <w:pPr>
        <w:spacing w:after="120"/>
        <w:jc w:val="center"/>
        <w:rPr>
          <w:rFonts w:ascii="Times New Roman" w:hAnsi="Times New Roman" w:cs="Times New Roman"/>
          <w:sz w:val="20"/>
          <w:szCs w:val="20"/>
        </w:rPr>
      </w:pPr>
      <w:r w:rsidRPr="00A1393E">
        <w:rPr>
          <w:rFonts w:ascii="Times New Roman" w:hAnsi="Times New Roman" w:cs="Times New Roman"/>
          <w:sz w:val="20"/>
          <w:szCs w:val="20"/>
        </w:rPr>
        <w:t>Tabla 3.1 Universidad alimentada desde la Sub Industrial (6375)</w:t>
      </w:r>
    </w:p>
    <w:tbl>
      <w:tblPr>
        <w:tblStyle w:val="Tablaconcuadrcula"/>
        <w:tblW w:w="9070" w:type="dxa"/>
        <w:tblLook w:val="04A0" w:firstRow="1" w:lastRow="0" w:firstColumn="1" w:lastColumn="0" w:noHBand="0" w:noVBand="1"/>
      </w:tblPr>
      <w:tblGrid>
        <w:gridCol w:w="1843"/>
        <w:gridCol w:w="1395"/>
        <w:gridCol w:w="1268"/>
        <w:gridCol w:w="1473"/>
        <w:gridCol w:w="1260"/>
        <w:gridCol w:w="1831"/>
      </w:tblGrid>
      <w:tr w:rsidR="004D214C" w:rsidRPr="00572A22" w:rsidTr="00842E61">
        <w:trPr>
          <w:trHeight w:val="210"/>
        </w:trPr>
        <w:tc>
          <w:tcPr>
            <w:tcW w:w="1843" w:type="dxa"/>
            <w:vAlign w:val="center"/>
          </w:tcPr>
          <w:p w:rsidR="004D214C" w:rsidRPr="00572A22" w:rsidRDefault="004D214C" w:rsidP="00F26073">
            <w:pPr>
              <w:spacing w:line="276" w:lineRule="auto"/>
              <w:rPr>
                <w:rFonts w:cs="Arial"/>
              </w:rPr>
            </w:pPr>
          </w:p>
        </w:tc>
        <w:tc>
          <w:tcPr>
            <w:tcW w:w="1395" w:type="dxa"/>
            <w:vAlign w:val="center"/>
          </w:tcPr>
          <w:p w:rsidR="004D214C" w:rsidRPr="00572A22" w:rsidRDefault="004D214C" w:rsidP="00F26073">
            <w:pPr>
              <w:spacing w:line="276" w:lineRule="auto"/>
              <w:jc w:val="center"/>
              <w:rPr>
                <w:rFonts w:cs="Arial"/>
              </w:rPr>
            </w:pPr>
            <w:r w:rsidRPr="00572A22">
              <w:rPr>
                <w:rFonts w:cs="Arial"/>
              </w:rPr>
              <w:t>Hora</w:t>
            </w:r>
          </w:p>
        </w:tc>
        <w:tc>
          <w:tcPr>
            <w:tcW w:w="1268" w:type="dxa"/>
            <w:vAlign w:val="center"/>
          </w:tcPr>
          <w:p w:rsidR="004D214C" w:rsidRPr="00572A22" w:rsidRDefault="004D214C" w:rsidP="00F26073">
            <w:pPr>
              <w:spacing w:line="276" w:lineRule="auto"/>
              <w:jc w:val="center"/>
              <w:rPr>
                <w:rFonts w:cs="Arial"/>
              </w:rPr>
            </w:pPr>
            <w:r w:rsidRPr="00572A22">
              <w:rPr>
                <w:rFonts w:cs="Arial"/>
              </w:rPr>
              <w:t>P (kW)</w:t>
            </w:r>
          </w:p>
        </w:tc>
        <w:tc>
          <w:tcPr>
            <w:tcW w:w="1473" w:type="dxa"/>
            <w:vAlign w:val="center"/>
          </w:tcPr>
          <w:p w:rsidR="004D214C" w:rsidRPr="00572A22" w:rsidRDefault="004D214C" w:rsidP="00F26073">
            <w:pPr>
              <w:spacing w:line="276" w:lineRule="auto"/>
              <w:jc w:val="center"/>
              <w:rPr>
                <w:rFonts w:cs="Arial"/>
              </w:rPr>
            </w:pPr>
            <w:r w:rsidRPr="00572A22">
              <w:rPr>
                <w:rFonts w:cs="Arial"/>
              </w:rPr>
              <w:t>Q (</w:t>
            </w:r>
            <w:proofErr w:type="spellStart"/>
            <w:r w:rsidRPr="00572A22">
              <w:rPr>
                <w:rFonts w:cs="Arial"/>
              </w:rPr>
              <w:t>kvar</w:t>
            </w:r>
            <w:proofErr w:type="spellEnd"/>
            <w:r w:rsidRPr="00572A22">
              <w:rPr>
                <w:rFonts w:cs="Arial"/>
              </w:rPr>
              <w:t>)</w:t>
            </w:r>
          </w:p>
        </w:tc>
        <w:tc>
          <w:tcPr>
            <w:tcW w:w="1260" w:type="dxa"/>
            <w:vAlign w:val="center"/>
          </w:tcPr>
          <w:p w:rsidR="004D214C" w:rsidRPr="00572A22" w:rsidRDefault="004D214C" w:rsidP="00F26073">
            <w:pPr>
              <w:spacing w:line="276" w:lineRule="auto"/>
              <w:jc w:val="center"/>
              <w:rPr>
                <w:rFonts w:cs="Arial"/>
              </w:rPr>
            </w:pPr>
            <w:proofErr w:type="spellStart"/>
            <w:r w:rsidRPr="00572A22">
              <w:rPr>
                <w:rFonts w:cs="Arial"/>
              </w:rPr>
              <w:t>ΔP</w:t>
            </w:r>
            <w:r w:rsidRPr="00572A22">
              <w:rPr>
                <w:rFonts w:cs="Arial"/>
                <w:vertAlign w:val="subscript"/>
              </w:rPr>
              <w:t>línea</w:t>
            </w:r>
            <w:proofErr w:type="spellEnd"/>
            <w:r w:rsidRPr="00572A22">
              <w:rPr>
                <w:rFonts w:cs="Arial"/>
              </w:rPr>
              <w:t xml:space="preserve"> (kW)</w:t>
            </w:r>
          </w:p>
        </w:tc>
        <w:tc>
          <w:tcPr>
            <w:tcW w:w="1831" w:type="dxa"/>
            <w:vAlign w:val="center"/>
          </w:tcPr>
          <w:p w:rsidR="004D214C" w:rsidRPr="00572A22" w:rsidRDefault="004D214C" w:rsidP="00F26073">
            <w:pPr>
              <w:spacing w:line="276" w:lineRule="auto"/>
              <w:jc w:val="center"/>
              <w:rPr>
                <w:rFonts w:cs="Arial"/>
              </w:rPr>
            </w:pPr>
            <w:proofErr w:type="spellStart"/>
            <w:r w:rsidRPr="00572A22">
              <w:rPr>
                <w:rFonts w:cs="Arial"/>
              </w:rPr>
              <w:t>ΔE</w:t>
            </w:r>
            <w:r w:rsidRPr="00572A22">
              <w:rPr>
                <w:rFonts w:cs="Arial"/>
                <w:vertAlign w:val="subscript"/>
              </w:rPr>
              <w:t>línea</w:t>
            </w:r>
            <w:proofErr w:type="spellEnd"/>
            <w:r w:rsidRPr="00572A22">
              <w:rPr>
                <w:rFonts w:cs="Arial"/>
              </w:rPr>
              <w:t xml:space="preserve"> (</w:t>
            </w:r>
            <w:proofErr w:type="spellStart"/>
            <w:r w:rsidRPr="00572A22">
              <w:rPr>
                <w:rFonts w:cs="Arial"/>
              </w:rPr>
              <w:t>kW.h</w:t>
            </w:r>
            <w:proofErr w:type="spellEnd"/>
            <w:r w:rsidRPr="00572A22">
              <w:rPr>
                <w:rFonts w:cs="Arial"/>
              </w:rPr>
              <w:t>/día)</w:t>
            </w:r>
          </w:p>
        </w:tc>
      </w:tr>
      <w:tr w:rsidR="004D214C" w:rsidRPr="00572A22" w:rsidTr="00842E61">
        <w:trPr>
          <w:trHeight w:val="210"/>
        </w:trPr>
        <w:tc>
          <w:tcPr>
            <w:tcW w:w="1843" w:type="dxa"/>
            <w:vMerge w:val="restart"/>
            <w:vAlign w:val="center"/>
          </w:tcPr>
          <w:p w:rsidR="004D214C" w:rsidRPr="00572A22" w:rsidRDefault="004D214C" w:rsidP="00F26073">
            <w:pPr>
              <w:spacing w:line="276" w:lineRule="auto"/>
              <w:rPr>
                <w:rFonts w:cs="Arial"/>
              </w:rPr>
            </w:pPr>
            <w:r w:rsidRPr="00572A22">
              <w:rPr>
                <w:rFonts w:cs="Arial"/>
              </w:rPr>
              <w:t>Sin Panel</w:t>
            </w:r>
          </w:p>
        </w:tc>
        <w:tc>
          <w:tcPr>
            <w:tcW w:w="1395" w:type="dxa"/>
            <w:vAlign w:val="center"/>
          </w:tcPr>
          <w:p w:rsidR="004D214C" w:rsidRPr="00572A22" w:rsidRDefault="004D214C" w:rsidP="00F26073">
            <w:pPr>
              <w:spacing w:line="276" w:lineRule="auto"/>
              <w:jc w:val="center"/>
              <w:rPr>
                <w:rFonts w:cs="Arial"/>
              </w:rPr>
            </w:pPr>
            <w:r w:rsidRPr="00572A22">
              <w:rPr>
                <w:rFonts w:cs="Arial"/>
              </w:rPr>
              <w:t xml:space="preserve">20 </w:t>
            </w:r>
            <w:proofErr w:type="spellStart"/>
            <w:r w:rsidRPr="00572A22">
              <w:rPr>
                <w:rFonts w:cs="Arial"/>
              </w:rPr>
              <w:t>max</w:t>
            </w:r>
            <w:proofErr w:type="spellEnd"/>
          </w:p>
        </w:tc>
        <w:tc>
          <w:tcPr>
            <w:tcW w:w="1268" w:type="dxa"/>
            <w:vAlign w:val="center"/>
          </w:tcPr>
          <w:p w:rsidR="004D214C" w:rsidRPr="00572A22" w:rsidRDefault="004D214C" w:rsidP="00F26073">
            <w:pPr>
              <w:spacing w:line="276" w:lineRule="auto"/>
              <w:jc w:val="center"/>
              <w:rPr>
                <w:rFonts w:cs="Arial"/>
              </w:rPr>
            </w:pPr>
            <w:r w:rsidRPr="00572A22">
              <w:rPr>
                <w:rFonts w:cs="Arial"/>
              </w:rPr>
              <w:t>6 110</w:t>
            </w:r>
          </w:p>
        </w:tc>
        <w:tc>
          <w:tcPr>
            <w:tcW w:w="1473" w:type="dxa"/>
            <w:vAlign w:val="center"/>
          </w:tcPr>
          <w:p w:rsidR="004D214C" w:rsidRPr="00572A22" w:rsidRDefault="004D214C" w:rsidP="00F26073">
            <w:pPr>
              <w:spacing w:line="276" w:lineRule="auto"/>
              <w:jc w:val="center"/>
              <w:rPr>
                <w:rFonts w:cs="Arial"/>
              </w:rPr>
            </w:pPr>
            <w:r w:rsidRPr="00572A22">
              <w:rPr>
                <w:rFonts w:cs="Arial"/>
              </w:rPr>
              <w:t>2 526</w:t>
            </w:r>
          </w:p>
        </w:tc>
        <w:tc>
          <w:tcPr>
            <w:tcW w:w="1260" w:type="dxa"/>
            <w:vAlign w:val="center"/>
          </w:tcPr>
          <w:p w:rsidR="004D214C" w:rsidRPr="00572A22" w:rsidRDefault="004D214C" w:rsidP="00F26073">
            <w:pPr>
              <w:spacing w:line="276" w:lineRule="auto"/>
              <w:jc w:val="center"/>
              <w:rPr>
                <w:rFonts w:cs="Arial"/>
              </w:rPr>
            </w:pPr>
            <w:r w:rsidRPr="00572A22">
              <w:rPr>
                <w:rFonts w:cs="Arial"/>
              </w:rPr>
              <w:t>78</w:t>
            </w:r>
          </w:p>
        </w:tc>
        <w:tc>
          <w:tcPr>
            <w:tcW w:w="1831" w:type="dxa"/>
            <w:vMerge w:val="restart"/>
            <w:vAlign w:val="center"/>
          </w:tcPr>
          <w:p w:rsidR="004D214C" w:rsidRPr="00572A22" w:rsidRDefault="004D214C" w:rsidP="00F26073">
            <w:pPr>
              <w:spacing w:line="276" w:lineRule="auto"/>
              <w:jc w:val="center"/>
              <w:rPr>
                <w:rFonts w:cs="Arial"/>
              </w:rPr>
            </w:pPr>
            <w:r w:rsidRPr="00572A22">
              <w:rPr>
                <w:rFonts w:cs="Arial"/>
              </w:rPr>
              <w:t>1 064</w:t>
            </w:r>
          </w:p>
        </w:tc>
      </w:tr>
      <w:tr w:rsidR="004D214C" w:rsidRPr="00572A22" w:rsidTr="00842E61">
        <w:trPr>
          <w:trHeight w:val="210"/>
        </w:trPr>
        <w:tc>
          <w:tcPr>
            <w:tcW w:w="1843" w:type="dxa"/>
            <w:vMerge/>
            <w:vAlign w:val="center"/>
          </w:tcPr>
          <w:p w:rsidR="004D214C" w:rsidRPr="00572A22" w:rsidRDefault="004D214C" w:rsidP="00F26073">
            <w:pPr>
              <w:spacing w:line="276" w:lineRule="auto"/>
              <w:rPr>
                <w:rFonts w:cs="Arial"/>
              </w:rPr>
            </w:pPr>
          </w:p>
        </w:tc>
        <w:tc>
          <w:tcPr>
            <w:tcW w:w="1395" w:type="dxa"/>
            <w:vAlign w:val="center"/>
          </w:tcPr>
          <w:p w:rsidR="004D214C" w:rsidRPr="00572A22" w:rsidRDefault="004D214C" w:rsidP="00F26073">
            <w:pPr>
              <w:spacing w:line="276" w:lineRule="auto"/>
              <w:jc w:val="center"/>
              <w:rPr>
                <w:rFonts w:cs="Arial"/>
              </w:rPr>
            </w:pPr>
            <w:r w:rsidRPr="00572A22">
              <w:rPr>
                <w:rFonts w:cs="Arial"/>
              </w:rPr>
              <w:t>12</w:t>
            </w:r>
          </w:p>
        </w:tc>
        <w:tc>
          <w:tcPr>
            <w:tcW w:w="1268" w:type="dxa"/>
            <w:vAlign w:val="center"/>
          </w:tcPr>
          <w:p w:rsidR="004D214C" w:rsidRPr="00572A22" w:rsidRDefault="004D214C" w:rsidP="00F26073">
            <w:pPr>
              <w:spacing w:line="276" w:lineRule="auto"/>
              <w:jc w:val="center"/>
              <w:rPr>
                <w:rFonts w:cs="Arial"/>
              </w:rPr>
            </w:pPr>
            <w:r w:rsidRPr="00572A22">
              <w:rPr>
                <w:rFonts w:cs="Arial"/>
              </w:rPr>
              <w:t>5 486</w:t>
            </w:r>
          </w:p>
        </w:tc>
        <w:tc>
          <w:tcPr>
            <w:tcW w:w="1473" w:type="dxa"/>
            <w:vAlign w:val="center"/>
          </w:tcPr>
          <w:p w:rsidR="004D214C" w:rsidRPr="00572A22" w:rsidRDefault="004D214C" w:rsidP="00F26073">
            <w:pPr>
              <w:spacing w:line="276" w:lineRule="auto"/>
              <w:jc w:val="center"/>
              <w:rPr>
                <w:rFonts w:cs="Arial"/>
              </w:rPr>
            </w:pPr>
            <w:r w:rsidRPr="00572A22">
              <w:rPr>
                <w:rFonts w:cs="Arial"/>
              </w:rPr>
              <w:t>2 305</w:t>
            </w:r>
          </w:p>
        </w:tc>
        <w:tc>
          <w:tcPr>
            <w:tcW w:w="1260" w:type="dxa"/>
            <w:vAlign w:val="center"/>
          </w:tcPr>
          <w:p w:rsidR="004D214C" w:rsidRPr="00572A22" w:rsidRDefault="004D214C" w:rsidP="00F26073">
            <w:pPr>
              <w:spacing w:line="276" w:lineRule="auto"/>
              <w:jc w:val="center"/>
              <w:rPr>
                <w:rFonts w:cs="Arial"/>
              </w:rPr>
            </w:pPr>
            <w:r w:rsidRPr="00572A22">
              <w:rPr>
                <w:rFonts w:cs="Arial"/>
              </w:rPr>
              <w:t>62</w:t>
            </w:r>
          </w:p>
        </w:tc>
        <w:tc>
          <w:tcPr>
            <w:tcW w:w="1831" w:type="dxa"/>
            <w:vMerge/>
            <w:vAlign w:val="center"/>
          </w:tcPr>
          <w:p w:rsidR="004D214C" w:rsidRPr="00572A22" w:rsidRDefault="004D214C" w:rsidP="00F26073">
            <w:pPr>
              <w:spacing w:line="276" w:lineRule="auto"/>
              <w:jc w:val="center"/>
              <w:rPr>
                <w:rFonts w:cs="Arial"/>
              </w:rPr>
            </w:pPr>
          </w:p>
        </w:tc>
      </w:tr>
      <w:tr w:rsidR="004D214C" w:rsidRPr="00572A22" w:rsidTr="00842E61">
        <w:trPr>
          <w:trHeight w:val="210"/>
        </w:trPr>
        <w:tc>
          <w:tcPr>
            <w:tcW w:w="9070" w:type="dxa"/>
            <w:gridSpan w:val="6"/>
            <w:vAlign w:val="center"/>
          </w:tcPr>
          <w:p w:rsidR="004D214C" w:rsidRPr="00572A22" w:rsidRDefault="004D214C" w:rsidP="00F26073">
            <w:pPr>
              <w:spacing w:line="276" w:lineRule="auto"/>
              <w:jc w:val="center"/>
              <w:rPr>
                <w:rFonts w:cs="Arial"/>
              </w:rPr>
            </w:pPr>
          </w:p>
        </w:tc>
      </w:tr>
      <w:tr w:rsidR="004D214C" w:rsidRPr="00572A22" w:rsidTr="00842E61">
        <w:trPr>
          <w:trHeight w:val="210"/>
        </w:trPr>
        <w:tc>
          <w:tcPr>
            <w:tcW w:w="1843" w:type="dxa"/>
            <w:vMerge w:val="restart"/>
            <w:vAlign w:val="center"/>
          </w:tcPr>
          <w:p w:rsidR="004D214C" w:rsidRPr="00572A22" w:rsidRDefault="004D214C" w:rsidP="00F26073">
            <w:pPr>
              <w:spacing w:line="276" w:lineRule="auto"/>
              <w:rPr>
                <w:rFonts w:cs="Arial"/>
              </w:rPr>
            </w:pPr>
            <w:r w:rsidRPr="00572A22">
              <w:rPr>
                <w:rFonts w:cs="Arial"/>
              </w:rPr>
              <w:t>Con Panel generando P</w:t>
            </w:r>
          </w:p>
        </w:tc>
        <w:tc>
          <w:tcPr>
            <w:tcW w:w="1395" w:type="dxa"/>
            <w:vAlign w:val="center"/>
          </w:tcPr>
          <w:p w:rsidR="004D214C" w:rsidRPr="00572A22" w:rsidRDefault="004D214C" w:rsidP="00F26073">
            <w:pPr>
              <w:spacing w:line="276" w:lineRule="auto"/>
              <w:jc w:val="center"/>
              <w:rPr>
                <w:rFonts w:cs="Arial"/>
              </w:rPr>
            </w:pPr>
            <w:r w:rsidRPr="00572A22">
              <w:rPr>
                <w:rFonts w:cs="Arial"/>
              </w:rPr>
              <w:t xml:space="preserve">20 </w:t>
            </w:r>
            <w:proofErr w:type="spellStart"/>
            <w:r w:rsidRPr="00572A22">
              <w:rPr>
                <w:rFonts w:cs="Arial"/>
              </w:rPr>
              <w:t>max</w:t>
            </w:r>
            <w:proofErr w:type="spellEnd"/>
          </w:p>
        </w:tc>
        <w:tc>
          <w:tcPr>
            <w:tcW w:w="1268" w:type="dxa"/>
            <w:vAlign w:val="center"/>
          </w:tcPr>
          <w:p w:rsidR="004D214C" w:rsidRPr="00572A22" w:rsidRDefault="004D214C" w:rsidP="00F26073">
            <w:pPr>
              <w:spacing w:line="276" w:lineRule="auto"/>
              <w:jc w:val="center"/>
              <w:rPr>
                <w:rFonts w:cs="Arial"/>
              </w:rPr>
            </w:pPr>
            <w:r w:rsidRPr="00572A22">
              <w:rPr>
                <w:rFonts w:cs="Arial"/>
              </w:rPr>
              <w:t>6 110</w:t>
            </w:r>
          </w:p>
        </w:tc>
        <w:tc>
          <w:tcPr>
            <w:tcW w:w="1473" w:type="dxa"/>
            <w:vAlign w:val="center"/>
          </w:tcPr>
          <w:p w:rsidR="004D214C" w:rsidRPr="00572A22" w:rsidRDefault="004D214C" w:rsidP="00F26073">
            <w:pPr>
              <w:spacing w:line="276" w:lineRule="auto"/>
              <w:jc w:val="center"/>
              <w:rPr>
                <w:rFonts w:cs="Arial"/>
              </w:rPr>
            </w:pPr>
            <w:r w:rsidRPr="00572A22">
              <w:rPr>
                <w:rFonts w:cs="Arial"/>
              </w:rPr>
              <w:t>2 526</w:t>
            </w:r>
          </w:p>
        </w:tc>
        <w:tc>
          <w:tcPr>
            <w:tcW w:w="1260" w:type="dxa"/>
            <w:vAlign w:val="center"/>
          </w:tcPr>
          <w:p w:rsidR="004D214C" w:rsidRPr="00572A22" w:rsidRDefault="004D214C" w:rsidP="00F26073">
            <w:pPr>
              <w:spacing w:line="276" w:lineRule="auto"/>
              <w:jc w:val="center"/>
              <w:rPr>
                <w:rFonts w:cs="Arial"/>
              </w:rPr>
            </w:pPr>
            <w:r w:rsidRPr="00572A22">
              <w:rPr>
                <w:rFonts w:cs="Arial"/>
              </w:rPr>
              <w:t>78</w:t>
            </w:r>
          </w:p>
        </w:tc>
        <w:tc>
          <w:tcPr>
            <w:tcW w:w="1831" w:type="dxa"/>
            <w:vMerge w:val="restart"/>
            <w:vAlign w:val="center"/>
          </w:tcPr>
          <w:p w:rsidR="004D214C" w:rsidRPr="00572A22" w:rsidRDefault="004D214C" w:rsidP="00F26073">
            <w:pPr>
              <w:spacing w:line="276" w:lineRule="auto"/>
              <w:jc w:val="center"/>
              <w:rPr>
                <w:rFonts w:cs="Arial"/>
              </w:rPr>
            </w:pPr>
            <w:r w:rsidRPr="00572A22">
              <w:rPr>
                <w:rFonts w:cs="Arial"/>
              </w:rPr>
              <w:t>997</w:t>
            </w:r>
          </w:p>
        </w:tc>
      </w:tr>
      <w:tr w:rsidR="004D214C" w:rsidRPr="00572A22" w:rsidTr="00842E61">
        <w:trPr>
          <w:trHeight w:val="210"/>
        </w:trPr>
        <w:tc>
          <w:tcPr>
            <w:tcW w:w="1843" w:type="dxa"/>
            <w:vMerge/>
            <w:vAlign w:val="center"/>
          </w:tcPr>
          <w:p w:rsidR="004D214C" w:rsidRPr="00572A22" w:rsidRDefault="004D214C" w:rsidP="00F26073">
            <w:pPr>
              <w:spacing w:line="276" w:lineRule="auto"/>
              <w:rPr>
                <w:rFonts w:cs="Arial"/>
              </w:rPr>
            </w:pPr>
          </w:p>
        </w:tc>
        <w:tc>
          <w:tcPr>
            <w:tcW w:w="1395" w:type="dxa"/>
            <w:vAlign w:val="center"/>
          </w:tcPr>
          <w:p w:rsidR="004D214C" w:rsidRPr="00572A22" w:rsidRDefault="004D214C" w:rsidP="00F26073">
            <w:pPr>
              <w:spacing w:line="276" w:lineRule="auto"/>
              <w:jc w:val="center"/>
              <w:rPr>
                <w:rFonts w:cs="Arial"/>
              </w:rPr>
            </w:pPr>
            <w:r w:rsidRPr="00572A22">
              <w:rPr>
                <w:rFonts w:cs="Arial"/>
              </w:rPr>
              <w:t>12</w:t>
            </w:r>
          </w:p>
        </w:tc>
        <w:tc>
          <w:tcPr>
            <w:tcW w:w="1268" w:type="dxa"/>
            <w:vAlign w:val="center"/>
          </w:tcPr>
          <w:p w:rsidR="004D214C" w:rsidRPr="00572A22" w:rsidRDefault="004D214C" w:rsidP="00F26073">
            <w:pPr>
              <w:spacing w:line="276" w:lineRule="auto"/>
              <w:jc w:val="center"/>
              <w:rPr>
                <w:rFonts w:cs="Arial"/>
              </w:rPr>
            </w:pPr>
            <w:r w:rsidRPr="00572A22">
              <w:rPr>
                <w:rFonts w:cs="Arial"/>
              </w:rPr>
              <w:t>4 486</w:t>
            </w:r>
          </w:p>
        </w:tc>
        <w:tc>
          <w:tcPr>
            <w:tcW w:w="1473" w:type="dxa"/>
            <w:vAlign w:val="center"/>
          </w:tcPr>
          <w:p w:rsidR="004D214C" w:rsidRPr="00572A22" w:rsidRDefault="004D214C" w:rsidP="00F26073">
            <w:pPr>
              <w:spacing w:line="276" w:lineRule="auto"/>
              <w:jc w:val="center"/>
              <w:rPr>
                <w:rFonts w:cs="Arial"/>
              </w:rPr>
            </w:pPr>
            <w:r w:rsidRPr="00572A22">
              <w:rPr>
                <w:rFonts w:cs="Arial"/>
              </w:rPr>
              <w:t>2 305</w:t>
            </w:r>
          </w:p>
        </w:tc>
        <w:tc>
          <w:tcPr>
            <w:tcW w:w="1260" w:type="dxa"/>
            <w:vAlign w:val="center"/>
          </w:tcPr>
          <w:p w:rsidR="004D214C" w:rsidRPr="00572A22" w:rsidRDefault="004D214C" w:rsidP="00F26073">
            <w:pPr>
              <w:spacing w:line="276" w:lineRule="auto"/>
              <w:jc w:val="center"/>
              <w:rPr>
                <w:rFonts w:cs="Arial"/>
              </w:rPr>
            </w:pPr>
            <w:r w:rsidRPr="00572A22">
              <w:rPr>
                <w:rFonts w:cs="Arial"/>
              </w:rPr>
              <w:t>49</w:t>
            </w:r>
          </w:p>
        </w:tc>
        <w:tc>
          <w:tcPr>
            <w:tcW w:w="1831" w:type="dxa"/>
            <w:vMerge/>
            <w:vAlign w:val="center"/>
          </w:tcPr>
          <w:p w:rsidR="004D214C" w:rsidRPr="00572A22" w:rsidRDefault="004D214C" w:rsidP="00F26073">
            <w:pPr>
              <w:spacing w:line="276" w:lineRule="auto"/>
              <w:jc w:val="center"/>
              <w:rPr>
                <w:rFonts w:cs="Arial"/>
              </w:rPr>
            </w:pPr>
          </w:p>
        </w:tc>
      </w:tr>
      <w:tr w:rsidR="004D214C" w:rsidRPr="00572A22" w:rsidTr="00842E61">
        <w:trPr>
          <w:trHeight w:val="210"/>
        </w:trPr>
        <w:tc>
          <w:tcPr>
            <w:tcW w:w="9070" w:type="dxa"/>
            <w:gridSpan w:val="6"/>
            <w:vAlign w:val="center"/>
          </w:tcPr>
          <w:p w:rsidR="004D214C" w:rsidRPr="00572A22" w:rsidRDefault="004D214C" w:rsidP="00F26073">
            <w:pPr>
              <w:spacing w:line="276" w:lineRule="auto"/>
              <w:jc w:val="center"/>
              <w:rPr>
                <w:rFonts w:cs="Arial"/>
              </w:rPr>
            </w:pPr>
          </w:p>
        </w:tc>
      </w:tr>
      <w:tr w:rsidR="004D214C" w:rsidRPr="00572A22" w:rsidTr="00842E61">
        <w:trPr>
          <w:trHeight w:val="210"/>
        </w:trPr>
        <w:tc>
          <w:tcPr>
            <w:tcW w:w="1843" w:type="dxa"/>
            <w:vMerge w:val="restart"/>
            <w:vAlign w:val="center"/>
          </w:tcPr>
          <w:p w:rsidR="004D214C" w:rsidRPr="00572A22" w:rsidRDefault="004D214C" w:rsidP="00F26073">
            <w:pPr>
              <w:spacing w:line="276" w:lineRule="auto"/>
              <w:rPr>
                <w:rFonts w:cs="Arial"/>
              </w:rPr>
            </w:pPr>
            <w:r w:rsidRPr="00572A22">
              <w:rPr>
                <w:rFonts w:cs="Arial"/>
              </w:rPr>
              <w:t>Con Panel generando P y Q</w:t>
            </w:r>
          </w:p>
        </w:tc>
        <w:tc>
          <w:tcPr>
            <w:tcW w:w="1395" w:type="dxa"/>
            <w:vAlign w:val="center"/>
          </w:tcPr>
          <w:p w:rsidR="004D214C" w:rsidRPr="00572A22" w:rsidRDefault="004D214C" w:rsidP="00F26073">
            <w:pPr>
              <w:spacing w:line="276" w:lineRule="auto"/>
              <w:jc w:val="center"/>
              <w:rPr>
                <w:rFonts w:cs="Arial"/>
              </w:rPr>
            </w:pPr>
            <w:r w:rsidRPr="00572A22">
              <w:rPr>
                <w:rFonts w:cs="Arial"/>
              </w:rPr>
              <w:t xml:space="preserve">20 </w:t>
            </w:r>
            <w:proofErr w:type="spellStart"/>
            <w:r w:rsidRPr="00572A22">
              <w:rPr>
                <w:rFonts w:cs="Arial"/>
              </w:rPr>
              <w:t>max</w:t>
            </w:r>
            <w:proofErr w:type="spellEnd"/>
          </w:p>
        </w:tc>
        <w:tc>
          <w:tcPr>
            <w:tcW w:w="1268" w:type="dxa"/>
            <w:vAlign w:val="center"/>
          </w:tcPr>
          <w:p w:rsidR="004D214C" w:rsidRPr="00572A22" w:rsidRDefault="004D214C" w:rsidP="00F26073">
            <w:pPr>
              <w:spacing w:line="276" w:lineRule="auto"/>
              <w:jc w:val="center"/>
              <w:rPr>
                <w:rFonts w:cs="Arial"/>
              </w:rPr>
            </w:pPr>
            <w:r w:rsidRPr="00572A22">
              <w:rPr>
                <w:rFonts w:cs="Arial"/>
              </w:rPr>
              <w:t>6 110</w:t>
            </w:r>
          </w:p>
        </w:tc>
        <w:tc>
          <w:tcPr>
            <w:tcW w:w="1473" w:type="dxa"/>
            <w:vAlign w:val="center"/>
          </w:tcPr>
          <w:p w:rsidR="004D214C" w:rsidRPr="00572A22" w:rsidRDefault="004D214C" w:rsidP="00F26073">
            <w:pPr>
              <w:spacing w:line="276" w:lineRule="auto"/>
              <w:jc w:val="center"/>
              <w:rPr>
                <w:rFonts w:cs="Arial"/>
              </w:rPr>
            </w:pPr>
            <w:r w:rsidRPr="00572A22">
              <w:rPr>
                <w:rFonts w:cs="Arial"/>
              </w:rPr>
              <w:t>1 526</w:t>
            </w:r>
          </w:p>
        </w:tc>
        <w:tc>
          <w:tcPr>
            <w:tcW w:w="1260" w:type="dxa"/>
            <w:vAlign w:val="center"/>
          </w:tcPr>
          <w:p w:rsidR="004D214C" w:rsidRPr="00572A22" w:rsidRDefault="004D214C" w:rsidP="00F26073">
            <w:pPr>
              <w:spacing w:line="276" w:lineRule="auto"/>
              <w:jc w:val="center"/>
              <w:rPr>
                <w:rFonts w:cs="Arial"/>
              </w:rPr>
            </w:pPr>
            <w:r w:rsidRPr="00572A22">
              <w:rPr>
                <w:rFonts w:cs="Arial"/>
              </w:rPr>
              <w:t>72</w:t>
            </w:r>
          </w:p>
        </w:tc>
        <w:tc>
          <w:tcPr>
            <w:tcW w:w="1831" w:type="dxa"/>
            <w:vMerge w:val="restart"/>
            <w:vAlign w:val="center"/>
          </w:tcPr>
          <w:p w:rsidR="004D214C" w:rsidRPr="00572A22" w:rsidRDefault="004D214C" w:rsidP="00F26073">
            <w:pPr>
              <w:spacing w:line="276" w:lineRule="auto"/>
              <w:jc w:val="center"/>
              <w:rPr>
                <w:rFonts w:cs="Arial"/>
              </w:rPr>
            </w:pPr>
            <w:r w:rsidRPr="00572A22">
              <w:rPr>
                <w:rFonts w:cs="Arial"/>
              </w:rPr>
              <w:t>902</w:t>
            </w:r>
          </w:p>
        </w:tc>
      </w:tr>
      <w:tr w:rsidR="004D214C" w:rsidRPr="00572A22" w:rsidTr="00842E61">
        <w:trPr>
          <w:trHeight w:val="210"/>
        </w:trPr>
        <w:tc>
          <w:tcPr>
            <w:tcW w:w="1843" w:type="dxa"/>
            <w:vMerge/>
            <w:vAlign w:val="center"/>
          </w:tcPr>
          <w:p w:rsidR="004D214C" w:rsidRPr="00572A22" w:rsidRDefault="004D214C" w:rsidP="00F26073">
            <w:pPr>
              <w:spacing w:line="276" w:lineRule="auto"/>
              <w:rPr>
                <w:rFonts w:cs="Arial"/>
              </w:rPr>
            </w:pPr>
          </w:p>
        </w:tc>
        <w:tc>
          <w:tcPr>
            <w:tcW w:w="1395" w:type="dxa"/>
            <w:vAlign w:val="center"/>
          </w:tcPr>
          <w:p w:rsidR="004D214C" w:rsidRPr="00572A22" w:rsidRDefault="004D214C" w:rsidP="00F26073">
            <w:pPr>
              <w:spacing w:line="276" w:lineRule="auto"/>
              <w:jc w:val="center"/>
              <w:rPr>
                <w:rFonts w:cs="Arial"/>
              </w:rPr>
            </w:pPr>
            <w:r w:rsidRPr="00572A22">
              <w:rPr>
                <w:rFonts w:cs="Arial"/>
              </w:rPr>
              <w:t>12</w:t>
            </w:r>
          </w:p>
        </w:tc>
        <w:tc>
          <w:tcPr>
            <w:tcW w:w="1268" w:type="dxa"/>
            <w:vAlign w:val="center"/>
          </w:tcPr>
          <w:p w:rsidR="004D214C" w:rsidRPr="00572A22" w:rsidRDefault="004D214C" w:rsidP="00F26073">
            <w:pPr>
              <w:spacing w:line="276" w:lineRule="auto"/>
              <w:jc w:val="center"/>
              <w:rPr>
                <w:rFonts w:cs="Arial"/>
              </w:rPr>
            </w:pPr>
            <w:r w:rsidRPr="00572A22">
              <w:rPr>
                <w:rFonts w:cs="Arial"/>
              </w:rPr>
              <w:t>4 486</w:t>
            </w:r>
          </w:p>
        </w:tc>
        <w:tc>
          <w:tcPr>
            <w:tcW w:w="1473" w:type="dxa"/>
            <w:vAlign w:val="center"/>
          </w:tcPr>
          <w:p w:rsidR="004D214C" w:rsidRPr="00572A22" w:rsidRDefault="004D214C" w:rsidP="00F26073">
            <w:pPr>
              <w:spacing w:line="276" w:lineRule="auto"/>
              <w:jc w:val="center"/>
              <w:rPr>
                <w:rFonts w:cs="Arial"/>
              </w:rPr>
            </w:pPr>
            <w:r w:rsidRPr="00572A22">
              <w:rPr>
                <w:rFonts w:cs="Arial"/>
              </w:rPr>
              <w:t>2 305</w:t>
            </w:r>
          </w:p>
        </w:tc>
        <w:tc>
          <w:tcPr>
            <w:tcW w:w="1260" w:type="dxa"/>
            <w:vAlign w:val="center"/>
          </w:tcPr>
          <w:p w:rsidR="004D214C" w:rsidRPr="00572A22" w:rsidRDefault="004D214C" w:rsidP="00F26073">
            <w:pPr>
              <w:spacing w:line="276" w:lineRule="auto"/>
              <w:jc w:val="center"/>
              <w:rPr>
                <w:rFonts w:cs="Arial"/>
              </w:rPr>
            </w:pPr>
            <w:r w:rsidRPr="00572A22">
              <w:rPr>
                <w:rFonts w:cs="Arial"/>
              </w:rPr>
              <w:t>49</w:t>
            </w:r>
          </w:p>
        </w:tc>
        <w:tc>
          <w:tcPr>
            <w:tcW w:w="1831" w:type="dxa"/>
            <w:vMerge/>
            <w:vAlign w:val="center"/>
          </w:tcPr>
          <w:p w:rsidR="004D214C" w:rsidRPr="00572A22" w:rsidRDefault="004D214C" w:rsidP="00F26073">
            <w:pPr>
              <w:spacing w:line="276" w:lineRule="auto"/>
              <w:jc w:val="center"/>
              <w:rPr>
                <w:rFonts w:cs="Arial"/>
              </w:rPr>
            </w:pPr>
          </w:p>
        </w:tc>
      </w:tr>
    </w:tbl>
    <w:p w:rsidR="004D214C" w:rsidRPr="008931E2" w:rsidRDefault="004D214C" w:rsidP="008931E2">
      <w:pPr>
        <w:pStyle w:val="Default"/>
        <w:spacing w:before="120" w:after="120" w:line="360" w:lineRule="auto"/>
        <w:jc w:val="both"/>
      </w:pPr>
      <w:r w:rsidRPr="008931E2">
        <w:t xml:space="preserve">Con el objetivo de realizar una valoración más completa de lo que significa el ahorro de energía eléctrica, se incorpora, además de los beneficios económicos, el efecto que </w:t>
      </w:r>
      <w:r w:rsidRPr="008931E2">
        <w:lastRenderedPageBreak/>
        <w:t xml:space="preserve">sobre la contaminación ambiental significa la disminución de las emisiones de CO2 a la atmósfera por la reducción de la generación de energía eléctrica. En su intervención en la Mesa Redonda de 12 de agosto del 2014, Alfredo López, Ministro de Energía y Minas, expresó que en el 2013 el factor de las emisiones fue de 1,127 g de CO2 por </w:t>
      </w:r>
      <w:proofErr w:type="spellStart"/>
      <w:r w:rsidRPr="008931E2">
        <w:t>kW.h</w:t>
      </w:r>
      <w:proofErr w:type="spellEnd"/>
      <w:r w:rsidRPr="008931E2">
        <w:t xml:space="preserve"> generado.</w:t>
      </w:r>
      <w:r w:rsidR="00924E03">
        <w:t xml:space="preserve"> </w:t>
      </w:r>
      <w:r w:rsidRPr="008931E2">
        <w:t xml:space="preserve">La alimentación de la UCLV desde la Sub Industrial (6375), tal como se está realizando en la actualidad, opera con unas pérdidas de energía en líneas de 1064 </w:t>
      </w:r>
      <w:proofErr w:type="spellStart"/>
      <w:r w:rsidRPr="008931E2">
        <w:t>kW.h</w:t>
      </w:r>
      <w:proofErr w:type="spellEnd"/>
      <w:r w:rsidRPr="008931E2">
        <w:t xml:space="preserve">/día. Como era de esperarse al estar PFV UCLV en una línea de 33 kV, y no en las barras de una sub 110/33, el PFV aporta un ahorro de energía adicional por reducción de pérdidas en líneas, de (1 064 – 997)*365/1 000 = 24 </w:t>
      </w:r>
      <w:proofErr w:type="spellStart"/>
      <w:r w:rsidRPr="008931E2">
        <w:t>MW.h</w:t>
      </w:r>
      <w:proofErr w:type="spellEnd"/>
      <w:r w:rsidRPr="008931E2">
        <w:t xml:space="preserve">/año equivalente a 1 590 CUC/año, y 24*1,127 = 27 t/año de CO2 dejadas de emitir a la atmósfera. </w:t>
      </w:r>
    </w:p>
    <w:p w:rsidR="004D214C" w:rsidRPr="008931E2" w:rsidRDefault="004D214C" w:rsidP="008931E2">
      <w:pPr>
        <w:pStyle w:val="Default"/>
        <w:spacing w:before="120" w:after="120" w:line="360" w:lineRule="auto"/>
        <w:jc w:val="both"/>
      </w:pPr>
      <w:r w:rsidRPr="008931E2">
        <w:t xml:space="preserve">Si el PFV UCLV hubiera sido instalado con inversores capaces de generar potencia reactiva, el ahorro por disminución de pérdidas de energía en líneas, hubiera sido de (1 064 – 902)*365/1 000 = 59 </w:t>
      </w:r>
      <w:proofErr w:type="spellStart"/>
      <w:r w:rsidRPr="008931E2">
        <w:t>MW.h</w:t>
      </w:r>
      <w:proofErr w:type="spellEnd"/>
      <w:r w:rsidRPr="008931E2">
        <w:t xml:space="preserve">/año, 35 </w:t>
      </w:r>
      <w:proofErr w:type="spellStart"/>
      <w:r w:rsidRPr="008931E2">
        <w:t>MW.h</w:t>
      </w:r>
      <w:proofErr w:type="spellEnd"/>
      <w:r w:rsidRPr="008931E2">
        <w:t>/año adicionales equivalente a 3 835 CUC/año, y 59*1,127 = 67 t/año de CO2dejadas de emitir a la atmósfera.</w:t>
      </w:r>
    </w:p>
    <w:p w:rsidR="004D214C" w:rsidRPr="008931E2" w:rsidRDefault="004D214C" w:rsidP="008931E2">
      <w:pPr>
        <w:pStyle w:val="Default"/>
        <w:spacing w:before="120" w:after="120" w:line="360" w:lineRule="auto"/>
        <w:jc w:val="both"/>
      </w:pPr>
      <w:r w:rsidRPr="008931E2">
        <w:t xml:space="preserve">Es de interés destacar que la disminución de pérdidas en líneas por la generación de potencia reactiva es mayor que por la acción de la generación de potencia activa. Así, se observa una disminución adicional de (997 – 902) = 95 </w:t>
      </w:r>
      <w:proofErr w:type="spellStart"/>
      <w:r w:rsidRPr="008931E2">
        <w:t>kW.h</w:t>
      </w:r>
      <w:proofErr w:type="spellEnd"/>
      <w:r w:rsidRPr="008931E2">
        <w:t xml:space="preserve"> diarios, superior a los (1 064 – 997) = 63 </w:t>
      </w:r>
      <w:proofErr w:type="spellStart"/>
      <w:r w:rsidRPr="008931E2">
        <w:t>kW.h</w:t>
      </w:r>
      <w:proofErr w:type="spellEnd"/>
      <w:r w:rsidRPr="008931E2">
        <w:t>/día que se logra con sólo generar potencia activa. Esta situación se presenta también para los demás escenarios que se han estudiado, y se debe a que la curva del gráfico de la potencia activa y reactiva, Figura 3.1.1, es “más lleno” que el de la potencia activa, Figura 3.1.2.</w:t>
      </w:r>
    </w:p>
    <w:p w:rsidR="004D214C" w:rsidRDefault="004D214C" w:rsidP="004D214C">
      <w:pPr>
        <w:jc w:val="center"/>
        <w:rPr>
          <w:rFonts w:cs="Arial"/>
        </w:rPr>
      </w:pPr>
      <w:r>
        <w:rPr>
          <w:rFonts w:cs="Arial"/>
          <w:noProof/>
          <w:lang w:val="es-MX" w:eastAsia="es-MX"/>
        </w:rPr>
        <w:drawing>
          <wp:inline distT="0" distB="0" distL="0" distR="0">
            <wp:extent cx="2276061" cy="122251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9751" cy="1224495"/>
                    </a:xfrm>
                    <a:prstGeom prst="rect">
                      <a:avLst/>
                    </a:prstGeom>
                    <a:noFill/>
                    <a:ln>
                      <a:noFill/>
                    </a:ln>
                  </pic:spPr>
                </pic:pic>
              </a:graphicData>
            </a:graphic>
          </wp:inline>
        </w:drawing>
      </w:r>
    </w:p>
    <w:p w:rsidR="004D214C" w:rsidRPr="00572A22" w:rsidRDefault="004D214C" w:rsidP="004D214C">
      <w:pPr>
        <w:spacing w:after="120"/>
        <w:jc w:val="center"/>
        <w:rPr>
          <w:rStyle w:val="EstiloTimesNewRoman"/>
          <w:sz w:val="20"/>
          <w:szCs w:val="20"/>
        </w:rPr>
      </w:pPr>
      <w:r>
        <w:rPr>
          <w:rFonts w:cs="Arial"/>
          <w:sz w:val="20"/>
          <w:szCs w:val="20"/>
        </w:rPr>
        <w:t xml:space="preserve">Figura 3.1.1: </w:t>
      </w:r>
      <w:r w:rsidRPr="00572A22">
        <w:rPr>
          <w:rFonts w:cs="Arial"/>
          <w:sz w:val="20"/>
          <w:szCs w:val="20"/>
        </w:rPr>
        <w:t>Gráfico de carga diario del panel con potencia activa y potencia reactiva</w:t>
      </w:r>
      <w:r>
        <w:rPr>
          <w:rFonts w:cs="Arial"/>
          <w:sz w:val="20"/>
          <w:szCs w:val="20"/>
        </w:rPr>
        <w:t>.</w:t>
      </w:r>
    </w:p>
    <w:p w:rsidR="004D214C" w:rsidRDefault="004D214C" w:rsidP="004D214C">
      <w:pPr>
        <w:jc w:val="center"/>
        <w:rPr>
          <w:rStyle w:val="EstiloTimesNewRoman"/>
        </w:rPr>
      </w:pPr>
      <w:r>
        <w:rPr>
          <w:rFonts w:cs="Arial"/>
          <w:noProof/>
          <w:lang w:val="es-MX" w:eastAsia="es-MX"/>
        </w:rPr>
        <w:lastRenderedPageBreak/>
        <w:drawing>
          <wp:inline distT="0" distB="0" distL="0" distR="0">
            <wp:extent cx="2385391" cy="1302026"/>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3315" cy="1306351"/>
                    </a:xfrm>
                    <a:prstGeom prst="rect">
                      <a:avLst/>
                    </a:prstGeom>
                    <a:noFill/>
                    <a:ln>
                      <a:noFill/>
                    </a:ln>
                  </pic:spPr>
                </pic:pic>
              </a:graphicData>
            </a:graphic>
          </wp:inline>
        </w:drawing>
      </w:r>
    </w:p>
    <w:p w:rsidR="004D214C" w:rsidRPr="00572A22" w:rsidRDefault="004D214C" w:rsidP="004D214C">
      <w:pPr>
        <w:spacing w:after="120"/>
        <w:jc w:val="center"/>
        <w:rPr>
          <w:rFonts w:cs="Arial"/>
          <w:sz w:val="20"/>
          <w:szCs w:val="20"/>
        </w:rPr>
      </w:pPr>
      <w:r w:rsidRPr="00572A22">
        <w:rPr>
          <w:rFonts w:cs="Arial"/>
          <w:sz w:val="20"/>
          <w:szCs w:val="20"/>
        </w:rPr>
        <w:t xml:space="preserve">Figura </w:t>
      </w:r>
      <w:r>
        <w:rPr>
          <w:rFonts w:cs="Arial"/>
          <w:sz w:val="20"/>
          <w:szCs w:val="20"/>
        </w:rPr>
        <w:t xml:space="preserve">3.1.2: </w:t>
      </w:r>
      <w:r w:rsidRPr="00572A22">
        <w:rPr>
          <w:rFonts w:cs="Arial"/>
          <w:sz w:val="20"/>
          <w:szCs w:val="20"/>
        </w:rPr>
        <w:t>Gráfico de carga diario del panel con potencia activa pura</w:t>
      </w:r>
      <w:r>
        <w:rPr>
          <w:rFonts w:cs="Arial"/>
          <w:sz w:val="20"/>
          <w:szCs w:val="20"/>
        </w:rPr>
        <w:t>.</w:t>
      </w:r>
    </w:p>
    <w:p w:rsidR="004D214C" w:rsidRPr="008931E2" w:rsidRDefault="004D214C" w:rsidP="00EB51E3">
      <w:pPr>
        <w:pStyle w:val="Default"/>
        <w:spacing w:before="120" w:after="120" w:line="276" w:lineRule="auto"/>
        <w:jc w:val="both"/>
        <w:rPr>
          <w:b/>
          <w:sz w:val="22"/>
          <w:szCs w:val="22"/>
        </w:rPr>
      </w:pPr>
      <w:bookmarkStart w:id="3" w:name="_Toc517706006"/>
      <w:r w:rsidRPr="008931E2">
        <w:rPr>
          <w:b/>
          <w:sz w:val="22"/>
          <w:szCs w:val="22"/>
        </w:rPr>
        <w:t>Circuito 119. Posible conexión del PFV UCLV en condiciones normales o de emergencia</w:t>
      </w:r>
      <w:bookmarkEnd w:id="3"/>
    </w:p>
    <w:p w:rsidR="004D214C" w:rsidRPr="008931E2" w:rsidRDefault="004D214C" w:rsidP="00EB51E3">
      <w:pPr>
        <w:pStyle w:val="Default"/>
        <w:spacing w:before="120" w:after="120" w:line="276" w:lineRule="auto"/>
        <w:jc w:val="both"/>
      </w:pPr>
      <w:r w:rsidRPr="008931E2">
        <w:t xml:space="preserve">De una forma similar, los resultados del Circuito 119 de Sub Santa Clara se presentan a continuación con base a las Figuras </w:t>
      </w:r>
      <w:r w:rsidR="00E825D3" w:rsidRPr="008931E2">
        <w:t>1.5</w:t>
      </w:r>
      <w:r w:rsidRPr="008931E2">
        <w:t xml:space="preserve">, </w:t>
      </w:r>
      <w:r w:rsidR="00E825D3" w:rsidRPr="008931E2">
        <w:t>1.6</w:t>
      </w:r>
      <w:r w:rsidRPr="008931E2">
        <w:t xml:space="preserve"> y </w:t>
      </w:r>
      <w:r w:rsidR="00E825D3" w:rsidRPr="008931E2">
        <w:t>1.7</w:t>
      </w:r>
      <w:r w:rsidRPr="008931E2">
        <w:t xml:space="preserve"> y la Tabla 3.2.</w:t>
      </w:r>
    </w:p>
    <w:p w:rsidR="004D214C" w:rsidRDefault="004D214C" w:rsidP="004D214C">
      <w:pPr>
        <w:jc w:val="center"/>
        <w:rPr>
          <w:rStyle w:val="EstiloTimesNewRoman"/>
        </w:rPr>
      </w:pPr>
      <w:r>
        <w:rPr>
          <w:noProof/>
          <w:lang w:val="es-MX" w:eastAsia="es-MX"/>
        </w:rPr>
        <w:drawing>
          <wp:inline distT="0" distB="0" distL="0" distR="0">
            <wp:extent cx="5610225" cy="1581150"/>
            <wp:effectExtent l="0" t="0" r="0" b="0"/>
            <wp:docPr id="1121" name="Gráfico 1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214C" w:rsidRPr="00E825D3" w:rsidRDefault="004D214C" w:rsidP="004D214C">
      <w:pPr>
        <w:spacing w:after="120"/>
        <w:jc w:val="center"/>
        <w:rPr>
          <w:rFonts w:ascii="Times New Roman" w:hAnsi="Times New Roman" w:cs="Times New Roman"/>
          <w:sz w:val="20"/>
          <w:szCs w:val="20"/>
        </w:rPr>
      </w:pPr>
      <w:r w:rsidRPr="00E825D3">
        <w:rPr>
          <w:rFonts w:ascii="Times New Roman" w:hAnsi="Times New Roman" w:cs="Times New Roman"/>
          <w:sz w:val="20"/>
          <w:szCs w:val="20"/>
        </w:rPr>
        <w:t xml:space="preserve">Figura </w:t>
      </w:r>
      <w:r w:rsidR="00E825D3" w:rsidRPr="00E825D3">
        <w:rPr>
          <w:rFonts w:ascii="Times New Roman" w:hAnsi="Times New Roman" w:cs="Times New Roman"/>
          <w:sz w:val="20"/>
          <w:szCs w:val="20"/>
        </w:rPr>
        <w:t>1.5</w:t>
      </w:r>
      <w:r w:rsidRPr="00E825D3">
        <w:rPr>
          <w:rFonts w:ascii="Times New Roman" w:hAnsi="Times New Roman" w:cs="Times New Roman"/>
          <w:sz w:val="20"/>
          <w:szCs w:val="20"/>
        </w:rPr>
        <w:t>: Gráfico de carga del circuito 119. P (kW) contra t (h).</w:t>
      </w:r>
    </w:p>
    <w:p w:rsidR="004D214C" w:rsidRPr="00D94E5B" w:rsidRDefault="004D214C" w:rsidP="004D214C">
      <w:pPr>
        <w:jc w:val="center"/>
        <w:rPr>
          <w:rFonts w:cs="Arial"/>
          <w:sz w:val="20"/>
          <w:szCs w:val="20"/>
        </w:rPr>
      </w:pPr>
      <w:r>
        <w:rPr>
          <w:noProof/>
          <w:lang w:val="es-MX" w:eastAsia="es-MX"/>
        </w:rPr>
        <w:drawing>
          <wp:inline distT="0" distB="0" distL="0" distR="0">
            <wp:extent cx="5610225" cy="1524000"/>
            <wp:effectExtent l="0" t="0" r="0" b="0"/>
            <wp:docPr id="1123" name="Gráfico 1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214C" w:rsidRPr="00E825D3" w:rsidRDefault="004D214C" w:rsidP="004D214C">
      <w:pPr>
        <w:spacing w:after="120"/>
        <w:jc w:val="center"/>
        <w:rPr>
          <w:rFonts w:ascii="Times New Roman" w:hAnsi="Times New Roman" w:cs="Times New Roman"/>
          <w:sz w:val="20"/>
          <w:szCs w:val="20"/>
        </w:rPr>
      </w:pPr>
      <w:r w:rsidRPr="00E825D3">
        <w:rPr>
          <w:rFonts w:ascii="Times New Roman" w:hAnsi="Times New Roman" w:cs="Times New Roman"/>
          <w:sz w:val="20"/>
          <w:szCs w:val="20"/>
        </w:rPr>
        <w:t xml:space="preserve">Figura </w:t>
      </w:r>
      <w:r w:rsidR="00E825D3" w:rsidRPr="00E825D3">
        <w:rPr>
          <w:rFonts w:ascii="Times New Roman" w:hAnsi="Times New Roman" w:cs="Times New Roman"/>
          <w:sz w:val="20"/>
          <w:szCs w:val="20"/>
        </w:rPr>
        <w:t>1.6</w:t>
      </w:r>
      <w:r w:rsidRPr="00E825D3">
        <w:rPr>
          <w:rFonts w:ascii="Times New Roman" w:hAnsi="Times New Roman" w:cs="Times New Roman"/>
          <w:sz w:val="20"/>
          <w:szCs w:val="20"/>
        </w:rPr>
        <w:t>: Gráfico de pérdidas de potencia activa. P (kW) contra t (h).</w:t>
      </w:r>
    </w:p>
    <w:p w:rsidR="004D214C" w:rsidRPr="00281669" w:rsidRDefault="004D214C" w:rsidP="004D214C">
      <w:pPr>
        <w:rPr>
          <w:rFonts w:cs="Arial"/>
          <w:sz w:val="20"/>
          <w:szCs w:val="20"/>
        </w:rPr>
      </w:pPr>
      <w:r>
        <w:rPr>
          <w:noProof/>
          <w:lang w:val="es-MX" w:eastAsia="es-MX"/>
        </w:rPr>
        <w:drawing>
          <wp:inline distT="0" distB="0" distL="0" distR="0" wp14:anchorId="446C7C9F" wp14:editId="10F5BFC0">
            <wp:extent cx="5467350" cy="1514475"/>
            <wp:effectExtent l="0" t="0" r="0" b="0"/>
            <wp:docPr id="1124" name="Gráfico 1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D214C" w:rsidRPr="00C4558B" w:rsidRDefault="004D214C" w:rsidP="00842E61">
      <w:pPr>
        <w:spacing w:after="120"/>
        <w:rPr>
          <w:rFonts w:ascii="Times New Roman" w:hAnsi="Times New Roman" w:cs="Times New Roman"/>
          <w:sz w:val="20"/>
          <w:szCs w:val="20"/>
        </w:rPr>
      </w:pPr>
      <w:r w:rsidRPr="00C4558B">
        <w:rPr>
          <w:rFonts w:ascii="Times New Roman" w:hAnsi="Times New Roman" w:cs="Times New Roman"/>
          <w:sz w:val="20"/>
          <w:szCs w:val="20"/>
        </w:rPr>
        <w:t xml:space="preserve">Figura </w:t>
      </w:r>
      <w:r w:rsidR="00C4558B" w:rsidRPr="00C4558B">
        <w:rPr>
          <w:rFonts w:ascii="Times New Roman" w:hAnsi="Times New Roman" w:cs="Times New Roman"/>
          <w:sz w:val="20"/>
          <w:szCs w:val="20"/>
        </w:rPr>
        <w:t>1.7</w:t>
      </w:r>
      <w:r w:rsidRPr="00C4558B">
        <w:rPr>
          <w:rFonts w:ascii="Times New Roman" w:hAnsi="Times New Roman" w:cs="Times New Roman"/>
          <w:sz w:val="20"/>
          <w:szCs w:val="20"/>
        </w:rPr>
        <w:t>: Gráfico de carga del circuito 119 con generación de potencia activa y reactiva. Q (</w:t>
      </w:r>
      <w:proofErr w:type="spellStart"/>
      <w:r w:rsidRPr="00C4558B">
        <w:rPr>
          <w:rFonts w:ascii="Times New Roman" w:hAnsi="Times New Roman" w:cs="Times New Roman"/>
          <w:sz w:val="20"/>
          <w:szCs w:val="20"/>
        </w:rPr>
        <w:t>kvar</w:t>
      </w:r>
      <w:proofErr w:type="spellEnd"/>
      <w:r w:rsidRPr="00C4558B">
        <w:rPr>
          <w:rFonts w:ascii="Times New Roman" w:hAnsi="Times New Roman" w:cs="Times New Roman"/>
          <w:sz w:val="20"/>
          <w:szCs w:val="20"/>
        </w:rPr>
        <w:t>) contra t (h).</w:t>
      </w:r>
    </w:p>
    <w:p w:rsidR="004D214C" w:rsidRPr="00C4558B" w:rsidRDefault="004D214C" w:rsidP="004D214C">
      <w:pPr>
        <w:spacing w:before="120"/>
        <w:jc w:val="center"/>
        <w:rPr>
          <w:rFonts w:ascii="Times New Roman" w:hAnsi="Times New Roman" w:cs="Times New Roman"/>
          <w:sz w:val="20"/>
          <w:szCs w:val="20"/>
        </w:rPr>
      </w:pPr>
      <w:r w:rsidRPr="00C4558B">
        <w:rPr>
          <w:rFonts w:ascii="Times New Roman" w:hAnsi="Times New Roman" w:cs="Times New Roman"/>
          <w:sz w:val="20"/>
          <w:szCs w:val="20"/>
        </w:rPr>
        <w:lastRenderedPageBreak/>
        <w:t>Tabla 3.2 Universidad alimentada desde la Sub Santa Clara 110 (Circuito119)</w:t>
      </w:r>
    </w:p>
    <w:tbl>
      <w:tblPr>
        <w:tblStyle w:val="Tablaconcuadrcula"/>
        <w:tblW w:w="8980" w:type="dxa"/>
        <w:tblLook w:val="04A0" w:firstRow="1" w:lastRow="0" w:firstColumn="1" w:lastColumn="0" w:noHBand="0" w:noVBand="1"/>
      </w:tblPr>
      <w:tblGrid>
        <w:gridCol w:w="1683"/>
        <w:gridCol w:w="1332"/>
        <w:gridCol w:w="1453"/>
        <w:gridCol w:w="1473"/>
        <w:gridCol w:w="1238"/>
        <w:gridCol w:w="1801"/>
      </w:tblGrid>
      <w:tr w:rsidR="004D214C" w:rsidRPr="00CF3BA2" w:rsidTr="00842E61">
        <w:trPr>
          <w:trHeight w:val="381"/>
        </w:trPr>
        <w:tc>
          <w:tcPr>
            <w:tcW w:w="1683" w:type="dxa"/>
          </w:tcPr>
          <w:p w:rsidR="004D214C" w:rsidRPr="00CF3BA2" w:rsidRDefault="004D214C" w:rsidP="00F26073">
            <w:pPr>
              <w:spacing w:line="276" w:lineRule="auto"/>
              <w:rPr>
                <w:rFonts w:cs="Arial"/>
              </w:rPr>
            </w:pPr>
          </w:p>
        </w:tc>
        <w:tc>
          <w:tcPr>
            <w:tcW w:w="1332" w:type="dxa"/>
          </w:tcPr>
          <w:p w:rsidR="004D214C" w:rsidRPr="00CF3BA2" w:rsidRDefault="004D214C" w:rsidP="00F26073">
            <w:pPr>
              <w:spacing w:line="276" w:lineRule="auto"/>
              <w:jc w:val="center"/>
              <w:rPr>
                <w:rFonts w:cs="Arial"/>
              </w:rPr>
            </w:pPr>
            <w:r w:rsidRPr="00CF3BA2">
              <w:rPr>
                <w:rFonts w:cs="Arial"/>
              </w:rPr>
              <w:t>Hora</w:t>
            </w:r>
          </w:p>
        </w:tc>
        <w:tc>
          <w:tcPr>
            <w:tcW w:w="1453" w:type="dxa"/>
          </w:tcPr>
          <w:p w:rsidR="004D214C" w:rsidRPr="00CF3BA2" w:rsidRDefault="004D214C" w:rsidP="00F26073">
            <w:pPr>
              <w:spacing w:line="276" w:lineRule="auto"/>
              <w:jc w:val="center"/>
              <w:rPr>
                <w:rFonts w:cs="Arial"/>
              </w:rPr>
            </w:pPr>
            <w:r w:rsidRPr="00CF3BA2">
              <w:rPr>
                <w:rFonts w:cs="Arial"/>
              </w:rPr>
              <w:t>P (kW)</w:t>
            </w:r>
          </w:p>
        </w:tc>
        <w:tc>
          <w:tcPr>
            <w:tcW w:w="1473" w:type="dxa"/>
          </w:tcPr>
          <w:p w:rsidR="004D214C" w:rsidRPr="00CF3BA2" w:rsidRDefault="004D214C" w:rsidP="00F26073">
            <w:pPr>
              <w:spacing w:line="276" w:lineRule="auto"/>
              <w:jc w:val="center"/>
              <w:rPr>
                <w:rFonts w:cs="Arial"/>
              </w:rPr>
            </w:pPr>
            <w:r w:rsidRPr="00CF3BA2">
              <w:rPr>
                <w:rFonts w:cs="Arial"/>
              </w:rPr>
              <w:t>Q (</w:t>
            </w:r>
            <w:proofErr w:type="spellStart"/>
            <w:r w:rsidRPr="00CF3BA2">
              <w:rPr>
                <w:rFonts w:cs="Arial"/>
              </w:rPr>
              <w:t>kvar</w:t>
            </w:r>
            <w:proofErr w:type="spellEnd"/>
            <w:r w:rsidRPr="00CF3BA2">
              <w:rPr>
                <w:rFonts w:cs="Arial"/>
              </w:rPr>
              <w:t>)</w:t>
            </w:r>
          </w:p>
        </w:tc>
        <w:tc>
          <w:tcPr>
            <w:tcW w:w="1238" w:type="dxa"/>
          </w:tcPr>
          <w:p w:rsidR="004D214C" w:rsidRPr="00CF3BA2" w:rsidRDefault="004D214C" w:rsidP="00F26073">
            <w:pPr>
              <w:spacing w:line="276" w:lineRule="auto"/>
              <w:jc w:val="center"/>
              <w:rPr>
                <w:rFonts w:cs="Arial"/>
              </w:rPr>
            </w:pPr>
            <w:proofErr w:type="spellStart"/>
            <w:r w:rsidRPr="00CF3BA2">
              <w:rPr>
                <w:rFonts w:cs="Arial"/>
              </w:rPr>
              <w:t>ΔP</w:t>
            </w:r>
            <w:r w:rsidRPr="00CF3BA2">
              <w:rPr>
                <w:rFonts w:cs="Arial"/>
                <w:vertAlign w:val="subscript"/>
              </w:rPr>
              <w:t>línea</w:t>
            </w:r>
            <w:proofErr w:type="spellEnd"/>
            <w:r w:rsidRPr="00CF3BA2">
              <w:rPr>
                <w:rFonts w:cs="Arial"/>
              </w:rPr>
              <w:t xml:space="preserve"> (kW)</w:t>
            </w:r>
          </w:p>
        </w:tc>
        <w:tc>
          <w:tcPr>
            <w:tcW w:w="1801" w:type="dxa"/>
          </w:tcPr>
          <w:p w:rsidR="004D214C" w:rsidRPr="00CF3BA2" w:rsidRDefault="004D214C" w:rsidP="00F26073">
            <w:pPr>
              <w:spacing w:line="276" w:lineRule="auto"/>
              <w:jc w:val="center"/>
              <w:rPr>
                <w:rFonts w:cs="Arial"/>
              </w:rPr>
            </w:pPr>
            <w:proofErr w:type="spellStart"/>
            <w:r w:rsidRPr="00CF3BA2">
              <w:rPr>
                <w:rFonts w:cs="Arial"/>
              </w:rPr>
              <w:t>ΔE</w:t>
            </w:r>
            <w:r w:rsidRPr="00CF3BA2">
              <w:rPr>
                <w:rFonts w:cs="Arial"/>
                <w:vertAlign w:val="subscript"/>
              </w:rPr>
              <w:t>línea</w:t>
            </w:r>
            <w:proofErr w:type="spellEnd"/>
            <w:r w:rsidRPr="00CF3BA2">
              <w:rPr>
                <w:rFonts w:cs="Arial"/>
              </w:rPr>
              <w:t xml:space="preserve"> (</w:t>
            </w:r>
            <w:proofErr w:type="spellStart"/>
            <w:r w:rsidRPr="00CF3BA2">
              <w:rPr>
                <w:rFonts w:cs="Arial"/>
              </w:rPr>
              <w:t>kW.h</w:t>
            </w:r>
            <w:proofErr w:type="spellEnd"/>
            <w:r w:rsidRPr="00CF3BA2">
              <w:rPr>
                <w:rFonts w:cs="Arial"/>
              </w:rPr>
              <w:t>/día)</w:t>
            </w:r>
          </w:p>
        </w:tc>
      </w:tr>
      <w:tr w:rsidR="004D214C" w:rsidRPr="00CF3BA2" w:rsidTr="00842E61">
        <w:trPr>
          <w:trHeight w:val="197"/>
        </w:trPr>
        <w:tc>
          <w:tcPr>
            <w:tcW w:w="1683" w:type="dxa"/>
            <w:vMerge w:val="restart"/>
          </w:tcPr>
          <w:p w:rsidR="004D214C" w:rsidRPr="00CF3BA2" w:rsidRDefault="004D214C" w:rsidP="00F26073">
            <w:pPr>
              <w:spacing w:line="276" w:lineRule="auto"/>
              <w:rPr>
                <w:rFonts w:cs="Arial"/>
              </w:rPr>
            </w:pPr>
            <w:r w:rsidRPr="00CF3BA2">
              <w:rPr>
                <w:rFonts w:cs="Arial"/>
              </w:rPr>
              <w:t>Sin el Panel</w:t>
            </w:r>
          </w:p>
        </w:tc>
        <w:tc>
          <w:tcPr>
            <w:tcW w:w="1332" w:type="dxa"/>
          </w:tcPr>
          <w:p w:rsidR="004D214C" w:rsidRPr="00CF3BA2" w:rsidRDefault="004D214C" w:rsidP="00F26073">
            <w:pPr>
              <w:spacing w:line="276" w:lineRule="auto"/>
              <w:jc w:val="center"/>
              <w:rPr>
                <w:rFonts w:cs="Arial"/>
              </w:rPr>
            </w:pPr>
            <w:r w:rsidRPr="00CF3BA2">
              <w:rPr>
                <w:rFonts w:cs="Arial"/>
              </w:rPr>
              <w:t xml:space="preserve">20 </w:t>
            </w:r>
            <w:proofErr w:type="spellStart"/>
            <w:r w:rsidRPr="00CF3BA2">
              <w:rPr>
                <w:rFonts w:cs="Arial"/>
              </w:rPr>
              <w:t>max</w:t>
            </w:r>
            <w:proofErr w:type="spellEnd"/>
          </w:p>
        </w:tc>
        <w:tc>
          <w:tcPr>
            <w:tcW w:w="1453" w:type="dxa"/>
          </w:tcPr>
          <w:p w:rsidR="004D214C" w:rsidRPr="00CF3BA2" w:rsidRDefault="004D214C" w:rsidP="00F26073">
            <w:pPr>
              <w:spacing w:line="276" w:lineRule="auto"/>
              <w:jc w:val="center"/>
              <w:rPr>
                <w:rFonts w:cs="Arial"/>
              </w:rPr>
            </w:pPr>
            <w:r w:rsidRPr="00CF3BA2">
              <w:rPr>
                <w:rFonts w:cs="Arial"/>
              </w:rPr>
              <w:t>12 692</w:t>
            </w:r>
          </w:p>
        </w:tc>
        <w:tc>
          <w:tcPr>
            <w:tcW w:w="1473" w:type="dxa"/>
          </w:tcPr>
          <w:p w:rsidR="004D214C" w:rsidRPr="00CF3BA2" w:rsidRDefault="004D214C" w:rsidP="00F26073">
            <w:pPr>
              <w:spacing w:line="276" w:lineRule="auto"/>
              <w:jc w:val="center"/>
              <w:rPr>
                <w:rFonts w:cs="Arial"/>
              </w:rPr>
            </w:pPr>
            <w:r w:rsidRPr="00CF3BA2">
              <w:rPr>
                <w:rFonts w:cs="Arial"/>
              </w:rPr>
              <w:t>7 167</w:t>
            </w:r>
          </w:p>
        </w:tc>
        <w:tc>
          <w:tcPr>
            <w:tcW w:w="1238" w:type="dxa"/>
          </w:tcPr>
          <w:p w:rsidR="004D214C" w:rsidRPr="00CF3BA2" w:rsidRDefault="004D214C" w:rsidP="00F26073">
            <w:pPr>
              <w:spacing w:line="276" w:lineRule="auto"/>
              <w:jc w:val="center"/>
              <w:rPr>
                <w:rFonts w:cs="Arial"/>
              </w:rPr>
            </w:pPr>
            <w:r w:rsidRPr="00CF3BA2">
              <w:rPr>
                <w:rFonts w:cs="Arial"/>
              </w:rPr>
              <w:t>318</w:t>
            </w:r>
          </w:p>
        </w:tc>
        <w:tc>
          <w:tcPr>
            <w:tcW w:w="1801" w:type="dxa"/>
            <w:vMerge w:val="restart"/>
          </w:tcPr>
          <w:p w:rsidR="004D214C" w:rsidRPr="00CF3BA2" w:rsidRDefault="004D214C" w:rsidP="00F26073">
            <w:pPr>
              <w:spacing w:line="276" w:lineRule="auto"/>
              <w:jc w:val="center"/>
              <w:rPr>
                <w:rFonts w:cs="Arial"/>
              </w:rPr>
            </w:pPr>
            <w:r w:rsidRPr="00CF3BA2">
              <w:rPr>
                <w:rFonts w:cs="Arial"/>
              </w:rPr>
              <w:t>3 966</w:t>
            </w:r>
          </w:p>
        </w:tc>
      </w:tr>
      <w:tr w:rsidR="004D214C" w:rsidRPr="00CF3BA2" w:rsidTr="00842E61">
        <w:trPr>
          <w:trHeight w:val="102"/>
        </w:trPr>
        <w:tc>
          <w:tcPr>
            <w:tcW w:w="1683" w:type="dxa"/>
            <w:vMerge/>
          </w:tcPr>
          <w:p w:rsidR="004D214C" w:rsidRPr="00CF3BA2" w:rsidRDefault="004D214C" w:rsidP="00F26073">
            <w:pPr>
              <w:spacing w:line="276" w:lineRule="auto"/>
              <w:rPr>
                <w:rFonts w:cs="Arial"/>
              </w:rPr>
            </w:pPr>
          </w:p>
        </w:tc>
        <w:tc>
          <w:tcPr>
            <w:tcW w:w="1332" w:type="dxa"/>
          </w:tcPr>
          <w:p w:rsidR="004D214C" w:rsidRPr="00CF3BA2" w:rsidRDefault="004D214C" w:rsidP="00F26073">
            <w:pPr>
              <w:spacing w:line="276" w:lineRule="auto"/>
              <w:jc w:val="center"/>
              <w:rPr>
                <w:rFonts w:cs="Arial"/>
              </w:rPr>
            </w:pPr>
            <w:r w:rsidRPr="00CF3BA2">
              <w:rPr>
                <w:rFonts w:cs="Arial"/>
              </w:rPr>
              <w:t>12</w:t>
            </w:r>
          </w:p>
        </w:tc>
        <w:tc>
          <w:tcPr>
            <w:tcW w:w="1453" w:type="dxa"/>
          </w:tcPr>
          <w:p w:rsidR="004D214C" w:rsidRPr="00CF3BA2" w:rsidRDefault="004D214C" w:rsidP="00F26073">
            <w:pPr>
              <w:spacing w:line="276" w:lineRule="auto"/>
              <w:jc w:val="center"/>
              <w:rPr>
                <w:rFonts w:cs="Arial"/>
              </w:rPr>
            </w:pPr>
            <w:r w:rsidRPr="00CF3BA2">
              <w:rPr>
                <w:rFonts w:cs="Arial"/>
              </w:rPr>
              <w:t>11 345</w:t>
            </w:r>
          </w:p>
        </w:tc>
        <w:tc>
          <w:tcPr>
            <w:tcW w:w="1473" w:type="dxa"/>
          </w:tcPr>
          <w:p w:rsidR="004D214C" w:rsidRPr="00CF3BA2" w:rsidRDefault="004D214C" w:rsidP="00F26073">
            <w:pPr>
              <w:spacing w:line="276" w:lineRule="auto"/>
              <w:jc w:val="center"/>
              <w:rPr>
                <w:rFonts w:cs="Arial"/>
              </w:rPr>
            </w:pPr>
            <w:r w:rsidRPr="00CF3BA2">
              <w:rPr>
                <w:rFonts w:cs="Arial"/>
              </w:rPr>
              <w:t>6 479</w:t>
            </w:r>
          </w:p>
        </w:tc>
        <w:tc>
          <w:tcPr>
            <w:tcW w:w="1238" w:type="dxa"/>
          </w:tcPr>
          <w:p w:rsidR="004D214C" w:rsidRPr="00CF3BA2" w:rsidRDefault="004D214C" w:rsidP="00F26073">
            <w:pPr>
              <w:spacing w:line="276" w:lineRule="auto"/>
              <w:jc w:val="center"/>
              <w:rPr>
                <w:rFonts w:cs="Arial"/>
              </w:rPr>
            </w:pPr>
            <w:r w:rsidRPr="00CF3BA2">
              <w:rPr>
                <w:rFonts w:cs="Arial"/>
              </w:rPr>
              <w:t>247</w:t>
            </w:r>
          </w:p>
        </w:tc>
        <w:tc>
          <w:tcPr>
            <w:tcW w:w="1801" w:type="dxa"/>
            <w:vMerge/>
          </w:tcPr>
          <w:p w:rsidR="004D214C" w:rsidRPr="00CF3BA2" w:rsidRDefault="004D214C" w:rsidP="00F26073">
            <w:pPr>
              <w:spacing w:line="276" w:lineRule="auto"/>
              <w:jc w:val="center"/>
              <w:rPr>
                <w:rFonts w:cs="Arial"/>
              </w:rPr>
            </w:pPr>
          </w:p>
        </w:tc>
      </w:tr>
      <w:tr w:rsidR="004D214C" w:rsidRPr="00CF3BA2" w:rsidTr="00842E61">
        <w:trPr>
          <w:trHeight w:val="186"/>
        </w:trPr>
        <w:tc>
          <w:tcPr>
            <w:tcW w:w="8979" w:type="dxa"/>
            <w:gridSpan w:val="6"/>
          </w:tcPr>
          <w:p w:rsidR="004D214C" w:rsidRPr="00CF3BA2" w:rsidRDefault="004D214C" w:rsidP="00F26073">
            <w:pPr>
              <w:spacing w:line="276" w:lineRule="auto"/>
              <w:jc w:val="center"/>
              <w:rPr>
                <w:rFonts w:cs="Arial"/>
              </w:rPr>
            </w:pPr>
          </w:p>
        </w:tc>
      </w:tr>
      <w:tr w:rsidR="004D214C" w:rsidRPr="00CF3BA2" w:rsidTr="00842E61">
        <w:trPr>
          <w:trHeight w:val="197"/>
        </w:trPr>
        <w:tc>
          <w:tcPr>
            <w:tcW w:w="1683" w:type="dxa"/>
            <w:vMerge w:val="restart"/>
          </w:tcPr>
          <w:p w:rsidR="004D214C" w:rsidRPr="00CF3BA2" w:rsidRDefault="004D214C" w:rsidP="00F26073">
            <w:pPr>
              <w:spacing w:line="276" w:lineRule="auto"/>
              <w:rPr>
                <w:rFonts w:cs="Arial"/>
              </w:rPr>
            </w:pPr>
            <w:r w:rsidRPr="00CF3BA2">
              <w:rPr>
                <w:rFonts w:cs="Arial"/>
              </w:rPr>
              <w:t>Con el Panel generando P</w:t>
            </w:r>
          </w:p>
        </w:tc>
        <w:tc>
          <w:tcPr>
            <w:tcW w:w="1332" w:type="dxa"/>
          </w:tcPr>
          <w:p w:rsidR="004D214C" w:rsidRPr="00CF3BA2" w:rsidRDefault="004D214C" w:rsidP="00F26073">
            <w:pPr>
              <w:spacing w:line="276" w:lineRule="auto"/>
              <w:jc w:val="center"/>
              <w:rPr>
                <w:rFonts w:cs="Arial"/>
              </w:rPr>
            </w:pPr>
            <w:r w:rsidRPr="00CF3BA2">
              <w:rPr>
                <w:rFonts w:cs="Arial"/>
              </w:rPr>
              <w:t xml:space="preserve">20 </w:t>
            </w:r>
            <w:proofErr w:type="spellStart"/>
            <w:r w:rsidRPr="00CF3BA2">
              <w:rPr>
                <w:rFonts w:cs="Arial"/>
              </w:rPr>
              <w:t>max</w:t>
            </w:r>
            <w:proofErr w:type="spellEnd"/>
          </w:p>
        </w:tc>
        <w:tc>
          <w:tcPr>
            <w:tcW w:w="1453" w:type="dxa"/>
          </w:tcPr>
          <w:p w:rsidR="004D214C" w:rsidRPr="00CF3BA2" w:rsidRDefault="004D214C" w:rsidP="00F26073">
            <w:pPr>
              <w:spacing w:line="276" w:lineRule="auto"/>
              <w:jc w:val="center"/>
              <w:rPr>
                <w:rFonts w:cs="Arial"/>
              </w:rPr>
            </w:pPr>
            <w:r w:rsidRPr="00CF3BA2">
              <w:rPr>
                <w:rFonts w:cs="Arial"/>
              </w:rPr>
              <w:t>12 692</w:t>
            </w:r>
          </w:p>
        </w:tc>
        <w:tc>
          <w:tcPr>
            <w:tcW w:w="1473" w:type="dxa"/>
          </w:tcPr>
          <w:p w:rsidR="004D214C" w:rsidRPr="00CF3BA2" w:rsidRDefault="004D214C" w:rsidP="00F26073">
            <w:pPr>
              <w:spacing w:line="276" w:lineRule="auto"/>
              <w:jc w:val="center"/>
              <w:rPr>
                <w:rFonts w:cs="Arial"/>
              </w:rPr>
            </w:pPr>
            <w:r w:rsidRPr="00CF3BA2">
              <w:rPr>
                <w:rFonts w:cs="Arial"/>
              </w:rPr>
              <w:t>7 167</w:t>
            </w:r>
          </w:p>
        </w:tc>
        <w:tc>
          <w:tcPr>
            <w:tcW w:w="1238" w:type="dxa"/>
          </w:tcPr>
          <w:p w:rsidR="004D214C" w:rsidRPr="00CF3BA2" w:rsidRDefault="004D214C" w:rsidP="00F26073">
            <w:pPr>
              <w:spacing w:line="276" w:lineRule="auto"/>
              <w:jc w:val="center"/>
              <w:rPr>
                <w:rFonts w:cs="Arial"/>
              </w:rPr>
            </w:pPr>
            <w:r w:rsidRPr="00CF3BA2">
              <w:rPr>
                <w:rFonts w:cs="Arial"/>
              </w:rPr>
              <w:t>318</w:t>
            </w:r>
          </w:p>
        </w:tc>
        <w:tc>
          <w:tcPr>
            <w:tcW w:w="1801" w:type="dxa"/>
            <w:vMerge w:val="restart"/>
          </w:tcPr>
          <w:p w:rsidR="004D214C" w:rsidRPr="00CF3BA2" w:rsidRDefault="004D214C" w:rsidP="00F26073">
            <w:pPr>
              <w:spacing w:line="276" w:lineRule="auto"/>
              <w:jc w:val="center"/>
              <w:rPr>
                <w:rFonts w:cs="Arial"/>
              </w:rPr>
            </w:pPr>
            <w:r w:rsidRPr="00CF3BA2">
              <w:rPr>
                <w:rFonts w:cs="Arial"/>
              </w:rPr>
              <w:t>3 829</w:t>
            </w:r>
          </w:p>
        </w:tc>
      </w:tr>
      <w:tr w:rsidR="004D214C" w:rsidRPr="00CF3BA2" w:rsidTr="00842E61">
        <w:trPr>
          <w:trHeight w:val="102"/>
        </w:trPr>
        <w:tc>
          <w:tcPr>
            <w:tcW w:w="1683" w:type="dxa"/>
            <w:vMerge/>
          </w:tcPr>
          <w:p w:rsidR="004D214C" w:rsidRPr="00CF3BA2" w:rsidRDefault="004D214C" w:rsidP="00F26073">
            <w:pPr>
              <w:spacing w:line="276" w:lineRule="auto"/>
              <w:rPr>
                <w:rFonts w:cs="Arial"/>
              </w:rPr>
            </w:pPr>
          </w:p>
        </w:tc>
        <w:tc>
          <w:tcPr>
            <w:tcW w:w="1332" w:type="dxa"/>
          </w:tcPr>
          <w:p w:rsidR="004D214C" w:rsidRPr="00CF3BA2" w:rsidRDefault="004D214C" w:rsidP="00F26073">
            <w:pPr>
              <w:spacing w:line="276" w:lineRule="auto"/>
              <w:jc w:val="center"/>
              <w:rPr>
                <w:rFonts w:cs="Arial"/>
              </w:rPr>
            </w:pPr>
            <w:r w:rsidRPr="00CF3BA2">
              <w:rPr>
                <w:rFonts w:cs="Arial"/>
              </w:rPr>
              <w:t>12</w:t>
            </w:r>
          </w:p>
        </w:tc>
        <w:tc>
          <w:tcPr>
            <w:tcW w:w="1453" w:type="dxa"/>
          </w:tcPr>
          <w:p w:rsidR="004D214C" w:rsidRPr="00CF3BA2" w:rsidRDefault="004D214C" w:rsidP="00F26073">
            <w:pPr>
              <w:spacing w:line="276" w:lineRule="auto"/>
              <w:jc w:val="center"/>
              <w:rPr>
                <w:rFonts w:cs="Arial"/>
              </w:rPr>
            </w:pPr>
            <w:r w:rsidRPr="00CF3BA2">
              <w:rPr>
                <w:rFonts w:cs="Arial"/>
              </w:rPr>
              <w:t>10 345</w:t>
            </w:r>
          </w:p>
        </w:tc>
        <w:tc>
          <w:tcPr>
            <w:tcW w:w="1473" w:type="dxa"/>
          </w:tcPr>
          <w:p w:rsidR="004D214C" w:rsidRPr="00CF3BA2" w:rsidRDefault="004D214C" w:rsidP="00F26073">
            <w:pPr>
              <w:spacing w:line="276" w:lineRule="auto"/>
              <w:jc w:val="center"/>
              <w:rPr>
                <w:rFonts w:cs="Arial"/>
              </w:rPr>
            </w:pPr>
            <w:r w:rsidRPr="00CF3BA2">
              <w:rPr>
                <w:rFonts w:cs="Arial"/>
              </w:rPr>
              <w:t>6 479</w:t>
            </w:r>
          </w:p>
        </w:tc>
        <w:tc>
          <w:tcPr>
            <w:tcW w:w="1238" w:type="dxa"/>
          </w:tcPr>
          <w:p w:rsidR="004D214C" w:rsidRPr="00CF3BA2" w:rsidRDefault="004D214C" w:rsidP="00F26073">
            <w:pPr>
              <w:spacing w:line="276" w:lineRule="auto"/>
              <w:jc w:val="center"/>
              <w:rPr>
                <w:rFonts w:cs="Arial"/>
              </w:rPr>
            </w:pPr>
            <w:r w:rsidRPr="00CF3BA2">
              <w:rPr>
                <w:rFonts w:cs="Arial"/>
              </w:rPr>
              <w:t>218</w:t>
            </w:r>
          </w:p>
        </w:tc>
        <w:tc>
          <w:tcPr>
            <w:tcW w:w="1801" w:type="dxa"/>
            <w:vMerge/>
          </w:tcPr>
          <w:p w:rsidR="004D214C" w:rsidRPr="00CF3BA2" w:rsidRDefault="004D214C" w:rsidP="00F26073">
            <w:pPr>
              <w:spacing w:line="276" w:lineRule="auto"/>
              <w:jc w:val="center"/>
              <w:rPr>
                <w:rFonts w:cs="Arial"/>
              </w:rPr>
            </w:pPr>
          </w:p>
        </w:tc>
      </w:tr>
      <w:tr w:rsidR="004D214C" w:rsidRPr="00CF3BA2" w:rsidTr="00842E61">
        <w:trPr>
          <w:trHeight w:val="186"/>
        </w:trPr>
        <w:tc>
          <w:tcPr>
            <w:tcW w:w="8979" w:type="dxa"/>
            <w:gridSpan w:val="6"/>
          </w:tcPr>
          <w:p w:rsidR="004D214C" w:rsidRPr="00CF3BA2" w:rsidRDefault="004D214C" w:rsidP="00F26073">
            <w:pPr>
              <w:spacing w:line="276" w:lineRule="auto"/>
              <w:jc w:val="center"/>
              <w:rPr>
                <w:rFonts w:cs="Arial"/>
              </w:rPr>
            </w:pPr>
          </w:p>
        </w:tc>
      </w:tr>
      <w:tr w:rsidR="004D214C" w:rsidRPr="00CF3BA2" w:rsidTr="00842E61">
        <w:trPr>
          <w:trHeight w:val="197"/>
        </w:trPr>
        <w:tc>
          <w:tcPr>
            <w:tcW w:w="1683" w:type="dxa"/>
            <w:vMerge w:val="restart"/>
          </w:tcPr>
          <w:p w:rsidR="004D214C" w:rsidRPr="00CF3BA2" w:rsidRDefault="004D214C" w:rsidP="00F26073">
            <w:pPr>
              <w:spacing w:line="276" w:lineRule="auto"/>
              <w:rPr>
                <w:rFonts w:cs="Arial"/>
              </w:rPr>
            </w:pPr>
            <w:r w:rsidRPr="00CF3BA2">
              <w:rPr>
                <w:rFonts w:cs="Arial"/>
              </w:rPr>
              <w:t>Con el Panel generando P y Q</w:t>
            </w:r>
          </w:p>
        </w:tc>
        <w:tc>
          <w:tcPr>
            <w:tcW w:w="1332" w:type="dxa"/>
          </w:tcPr>
          <w:p w:rsidR="004D214C" w:rsidRPr="00CF3BA2" w:rsidRDefault="004D214C" w:rsidP="00F26073">
            <w:pPr>
              <w:spacing w:line="276" w:lineRule="auto"/>
              <w:jc w:val="center"/>
              <w:rPr>
                <w:rFonts w:cs="Arial"/>
              </w:rPr>
            </w:pPr>
            <w:r w:rsidRPr="00CF3BA2">
              <w:rPr>
                <w:rFonts w:cs="Arial"/>
              </w:rPr>
              <w:t xml:space="preserve">20 </w:t>
            </w:r>
            <w:proofErr w:type="spellStart"/>
            <w:r w:rsidRPr="00CF3BA2">
              <w:rPr>
                <w:rFonts w:cs="Arial"/>
              </w:rPr>
              <w:t>max</w:t>
            </w:r>
            <w:proofErr w:type="spellEnd"/>
          </w:p>
        </w:tc>
        <w:tc>
          <w:tcPr>
            <w:tcW w:w="1453" w:type="dxa"/>
          </w:tcPr>
          <w:p w:rsidR="004D214C" w:rsidRPr="00CF3BA2" w:rsidRDefault="004D214C" w:rsidP="00F26073">
            <w:pPr>
              <w:spacing w:line="276" w:lineRule="auto"/>
              <w:jc w:val="center"/>
              <w:rPr>
                <w:rFonts w:cs="Arial"/>
              </w:rPr>
            </w:pPr>
            <w:r w:rsidRPr="00CF3BA2">
              <w:rPr>
                <w:rFonts w:cs="Arial"/>
              </w:rPr>
              <w:t>12 692</w:t>
            </w:r>
          </w:p>
        </w:tc>
        <w:tc>
          <w:tcPr>
            <w:tcW w:w="1473" w:type="dxa"/>
          </w:tcPr>
          <w:p w:rsidR="004D214C" w:rsidRPr="00CF3BA2" w:rsidRDefault="004D214C" w:rsidP="00F26073">
            <w:pPr>
              <w:spacing w:line="276" w:lineRule="auto"/>
              <w:jc w:val="center"/>
              <w:rPr>
                <w:rFonts w:cs="Arial"/>
              </w:rPr>
            </w:pPr>
            <w:r w:rsidRPr="00CF3BA2">
              <w:rPr>
                <w:rFonts w:cs="Arial"/>
              </w:rPr>
              <w:t>6 167</w:t>
            </w:r>
          </w:p>
        </w:tc>
        <w:tc>
          <w:tcPr>
            <w:tcW w:w="1238" w:type="dxa"/>
          </w:tcPr>
          <w:p w:rsidR="004D214C" w:rsidRPr="00CF3BA2" w:rsidRDefault="004D214C" w:rsidP="00F26073">
            <w:pPr>
              <w:spacing w:line="276" w:lineRule="auto"/>
              <w:jc w:val="center"/>
              <w:rPr>
                <w:rFonts w:cs="Arial"/>
              </w:rPr>
            </w:pPr>
            <w:r w:rsidRPr="00CF3BA2">
              <w:rPr>
                <w:rFonts w:cs="Arial"/>
              </w:rPr>
              <w:t>294</w:t>
            </w:r>
          </w:p>
        </w:tc>
        <w:tc>
          <w:tcPr>
            <w:tcW w:w="1801" w:type="dxa"/>
            <w:vMerge w:val="restart"/>
          </w:tcPr>
          <w:p w:rsidR="004D214C" w:rsidRPr="00CF3BA2" w:rsidRDefault="004D214C" w:rsidP="00F26073">
            <w:pPr>
              <w:spacing w:line="276" w:lineRule="auto"/>
              <w:jc w:val="center"/>
              <w:rPr>
                <w:rFonts w:cs="Arial"/>
              </w:rPr>
            </w:pPr>
            <w:r w:rsidRPr="00CF3BA2">
              <w:rPr>
                <w:rFonts w:cs="Arial"/>
              </w:rPr>
              <w:t>3 511</w:t>
            </w:r>
          </w:p>
        </w:tc>
      </w:tr>
      <w:tr w:rsidR="004D214C" w:rsidRPr="00CF3BA2" w:rsidTr="00842E61">
        <w:trPr>
          <w:trHeight w:val="102"/>
        </w:trPr>
        <w:tc>
          <w:tcPr>
            <w:tcW w:w="1683" w:type="dxa"/>
            <w:vMerge/>
          </w:tcPr>
          <w:p w:rsidR="004D214C" w:rsidRPr="00CF3BA2" w:rsidRDefault="004D214C" w:rsidP="00F26073">
            <w:pPr>
              <w:spacing w:line="276" w:lineRule="auto"/>
              <w:rPr>
                <w:rFonts w:cs="Arial"/>
              </w:rPr>
            </w:pPr>
          </w:p>
        </w:tc>
        <w:tc>
          <w:tcPr>
            <w:tcW w:w="1332" w:type="dxa"/>
          </w:tcPr>
          <w:p w:rsidR="004D214C" w:rsidRPr="00CF3BA2" w:rsidRDefault="004D214C" w:rsidP="00F26073">
            <w:pPr>
              <w:spacing w:line="276" w:lineRule="auto"/>
              <w:jc w:val="center"/>
              <w:rPr>
                <w:rFonts w:cs="Arial"/>
              </w:rPr>
            </w:pPr>
            <w:r w:rsidRPr="00CF3BA2">
              <w:rPr>
                <w:rFonts w:cs="Arial"/>
              </w:rPr>
              <w:t>12</w:t>
            </w:r>
          </w:p>
        </w:tc>
        <w:tc>
          <w:tcPr>
            <w:tcW w:w="1453" w:type="dxa"/>
          </w:tcPr>
          <w:p w:rsidR="004D214C" w:rsidRPr="00CF3BA2" w:rsidRDefault="004D214C" w:rsidP="00F26073">
            <w:pPr>
              <w:spacing w:line="276" w:lineRule="auto"/>
              <w:jc w:val="center"/>
              <w:rPr>
                <w:rFonts w:cs="Arial"/>
              </w:rPr>
            </w:pPr>
            <w:r w:rsidRPr="00CF3BA2">
              <w:rPr>
                <w:rFonts w:cs="Arial"/>
              </w:rPr>
              <w:t>10 345</w:t>
            </w:r>
          </w:p>
        </w:tc>
        <w:tc>
          <w:tcPr>
            <w:tcW w:w="1473" w:type="dxa"/>
          </w:tcPr>
          <w:p w:rsidR="004D214C" w:rsidRPr="00CF3BA2" w:rsidRDefault="004D214C" w:rsidP="00F26073">
            <w:pPr>
              <w:spacing w:line="276" w:lineRule="auto"/>
              <w:jc w:val="center"/>
              <w:rPr>
                <w:rFonts w:cs="Arial"/>
              </w:rPr>
            </w:pPr>
            <w:r w:rsidRPr="00CF3BA2">
              <w:rPr>
                <w:rFonts w:cs="Arial"/>
              </w:rPr>
              <w:t>6 479</w:t>
            </w:r>
          </w:p>
        </w:tc>
        <w:tc>
          <w:tcPr>
            <w:tcW w:w="1238" w:type="dxa"/>
          </w:tcPr>
          <w:p w:rsidR="004D214C" w:rsidRPr="00CF3BA2" w:rsidRDefault="004D214C" w:rsidP="00F26073">
            <w:pPr>
              <w:spacing w:line="276" w:lineRule="auto"/>
              <w:jc w:val="center"/>
              <w:rPr>
                <w:rFonts w:cs="Arial"/>
              </w:rPr>
            </w:pPr>
            <w:r w:rsidRPr="00CF3BA2">
              <w:rPr>
                <w:rFonts w:cs="Arial"/>
              </w:rPr>
              <w:t>218</w:t>
            </w:r>
          </w:p>
        </w:tc>
        <w:tc>
          <w:tcPr>
            <w:tcW w:w="1801" w:type="dxa"/>
            <w:vMerge/>
          </w:tcPr>
          <w:p w:rsidR="004D214C" w:rsidRPr="00CF3BA2" w:rsidRDefault="004D214C" w:rsidP="00F26073">
            <w:pPr>
              <w:spacing w:line="276" w:lineRule="auto"/>
              <w:jc w:val="center"/>
              <w:rPr>
                <w:rFonts w:cs="Arial"/>
              </w:rPr>
            </w:pPr>
          </w:p>
        </w:tc>
      </w:tr>
    </w:tbl>
    <w:p w:rsidR="004D214C" w:rsidRPr="008931E2" w:rsidRDefault="004D214C" w:rsidP="00EB51E3">
      <w:pPr>
        <w:pStyle w:val="Default"/>
        <w:spacing w:before="120" w:after="120" w:line="276" w:lineRule="auto"/>
        <w:jc w:val="both"/>
      </w:pPr>
      <w:r w:rsidRPr="008931E2">
        <w:t xml:space="preserve">La alimentación de la UCLV desde la Sub Santa Clara 110 (119), ocasiona pérdidas en líneas de 3 966 </w:t>
      </w:r>
      <w:proofErr w:type="spellStart"/>
      <w:r w:rsidRPr="008931E2">
        <w:t>kW.h</w:t>
      </w:r>
      <w:proofErr w:type="spellEnd"/>
      <w:r w:rsidRPr="008931E2">
        <w:t xml:space="preserve">/día. La reducción de pérdidas en líneas para este caso es de (3 966 – 3 829)*365/1 000 = 50 </w:t>
      </w:r>
      <w:proofErr w:type="spellStart"/>
      <w:r w:rsidRPr="008931E2">
        <w:t>MW.h</w:t>
      </w:r>
      <w:proofErr w:type="spellEnd"/>
      <w:r w:rsidRPr="008931E2">
        <w:t xml:space="preserve">/año equivalente a 3 250 CUC/año, y 50*1,127 = 56 t/año de CO2 dejadas de emitir a la atmósfera. </w:t>
      </w:r>
    </w:p>
    <w:p w:rsidR="004D214C" w:rsidRPr="008931E2" w:rsidRDefault="004D214C" w:rsidP="00EB51E3">
      <w:pPr>
        <w:pStyle w:val="Default"/>
        <w:spacing w:before="120" w:after="120" w:line="276" w:lineRule="auto"/>
        <w:jc w:val="both"/>
      </w:pPr>
      <w:r w:rsidRPr="008931E2">
        <w:t xml:space="preserve">La disminución de pérdidas para este caso es mayor que en el caso de la alimentación desde el 6375 (24 </w:t>
      </w:r>
      <w:proofErr w:type="spellStart"/>
      <w:r w:rsidRPr="008931E2">
        <w:t>MW.h</w:t>
      </w:r>
      <w:proofErr w:type="spellEnd"/>
      <w:r w:rsidRPr="008931E2">
        <w:t xml:space="preserve">/año); esto se debe a que la alimentación desde el circuito 119 se logra a expensas de mayores pérdidas, 1064 </w:t>
      </w:r>
      <w:proofErr w:type="spellStart"/>
      <w:r w:rsidRPr="008931E2">
        <w:t>kW.h</w:t>
      </w:r>
      <w:proofErr w:type="spellEnd"/>
      <w:r w:rsidRPr="008931E2">
        <w:t xml:space="preserve">/día para el primer caso contra 3 966 </w:t>
      </w:r>
      <w:proofErr w:type="spellStart"/>
      <w:r w:rsidRPr="008931E2">
        <w:t>kW.h</w:t>
      </w:r>
      <w:proofErr w:type="spellEnd"/>
      <w:r w:rsidRPr="008931E2">
        <w:t xml:space="preserve">/día para este, lo que no resiste la más mínima comparación. Esto solo se haría en condiciones de emergencia. </w:t>
      </w:r>
    </w:p>
    <w:p w:rsidR="008931E2" w:rsidRDefault="004D214C" w:rsidP="00EB51E3">
      <w:pPr>
        <w:pStyle w:val="Default"/>
        <w:spacing w:before="120" w:after="120" w:line="276" w:lineRule="auto"/>
        <w:jc w:val="both"/>
      </w:pPr>
      <w:r w:rsidRPr="008931E2">
        <w:t xml:space="preserve">Con respecto al empleo de inversores con posibilidades de generar potencia reactiva, los resultados son los siguientes: (3 966 – 3 511)*365/1 000 = 166 </w:t>
      </w:r>
      <w:proofErr w:type="spellStart"/>
      <w:r w:rsidRPr="008931E2">
        <w:t>MW.h</w:t>
      </w:r>
      <w:proofErr w:type="spellEnd"/>
      <w:r w:rsidRPr="008931E2">
        <w:t xml:space="preserve">/año, 116 </w:t>
      </w:r>
      <w:proofErr w:type="spellStart"/>
      <w:r w:rsidRPr="008931E2">
        <w:t>MW.h</w:t>
      </w:r>
      <w:proofErr w:type="spellEnd"/>
      <w:r w:rsidRPr="008931E2">
        <w:t>/año adicionales equivalente a 7 540 CUC/año, y 166*1,127 = 187 t/año de CO2 dejadas de emitir a la atmósfera.</w:t>
      </w:r>
      <w:bookmarkStart w:id="4" w:name="_Toc517706007"/>
    </w:p>
    <w:p w:rsidR="004D214C" w:rsidRPr="008931E2" w:rsidRDefault="004D214C" w:rsidP="00EB51E3">
      <w:pPr>
        <w:pStyle w:val="Default"/>
        <w:spacing w:before="120" w:after="120" w:line="276" w:lineRule="auto"/>
        <w:jc w:val="both"/>
      </w:pPr>
      <w:r w:rsidRPr="008931E2">
        <w:rPr>
          <w:b/>
        </w:rPr>
        <w:t xml:space="preserve"> Circuito 6595. Posible conexión del PFV UCLV en condiciones normales o de emergencia</w:t>
      </w:r>
      <w:bookmarkEnd w:id="4"/>
    </w:p>
    <w:p w:rsidR="004D214C" w:rsidRPr="008931E2" w:rsidRDefault="004D214C" w:rsidP="00EB51E3">
      <w:pPr>
        <w:pStyle w:val="Default"/>
        <w:spacing w:before="120" w:after="120" w:line="276" w:lineRule="auto"/>
        <w:jc w:val="both"/>
      </w:pPr>
      <w:r w:rsidRPr="008931E2">
        <w:t xml:space="preserve">De la variante de la alimentación desde </w:t>
      </w:r>
      <w:proofErr w:type="spellStart"/>
      <w:r w:rsidRPr="008931E2">
        <w:t>Camajuaní</w:t>
      </w:r>
      <w:proofErr w:type="spellEnd"/>
      <w:r w:rsidRPr="008931E2">
        <w:t xml:space="preserve"> por el Circuito 6595 se tienen los resultados que se muestran en las Figuras </w:t>
      </w:r>
      <w:r w:rsidR="00C4558B" w:rsidRPr="008931E2">
        <w:t>1.8</w:t>
      </w:r>
      <w:r w:rsidRPr="008931E2">
        <w:t xml:space="preserve">, </w:t>
      </w:r>
      <w:r w:rsidR="00C4558B" w:rsidRPr="008931E2">
        <w:t>1.9</w:t>
      </w:r>
      <w:r w:rsidRPr="008931E2">
        <w:t xml:space="preserve"> y </w:t>
      </w:r>
      <w:r w:rsidR="00C4558B" w:rsidRPr="008931E2">
        <w:t>1.10</w:t>
      </w:r>
      <w:r w:rsidRPr="008931E2">
        <w:t xml:space="preserve"> y la Tabla 3.3. </w:t>
      </w:r>
    </w:p>
    <w:p w:rsidR="004D214C" w:rsidRPr="008931E2" w:rsidRDefault="004D214C" w:rsidP="00EB51E3">
      <w:pPr>
        <w:pStyle w:val="Default"/>
        <w:spacing w:before="120" w:after="120" w:line="276" w:lineRule="auto"/>
        <w:jc w:val="both"/>
      </w:pPr>
      <w:r w:rsidRPr="008931E2">
        <w:t xml:space="preserve">La alimentación de la UCLV desde la Sub </w:t>
      </w:r>
      <w:proofErr w:type="spellStart"/>
      <w:r w:rsidRPr="008931E2">
        <w:t>Camajuaní</w:t>
      </w:r>
      <w:proofErr w:type="spellEnd"/>
      <w:r w:rsidRPr="008931E2">
        <w:t xml:space="preserve"> (6595), se hace con </w:t>
      </w:r>
      <w:proofErr w:type="spellStart"/>
      <w:r w:rsidRPr="008931E2">
        <w:t>unaspérdidas</w:t>
      </w:r>
      <w:proofErr w:type="spellEnd"/>
      <w:r w:rsidRPr="008931E2">
        <w:t xml:space="preserve"> 3 627 </w:t>
      </w:r>
      <w:proofErr w:type="spellStart"/>
      <w:r w:rsidRPr="008931E2">
        <w:t>kW.h</w:t>
      </w:r>
      <w:proofErr w:type="spellEnd"/>
      <w:r w:rsidRPr="008931E2">
        <w:t xml:space="preserve">/día, las que se reducen a 3 400 </w:t>
      </w:r>
      <w:proofErr w:type="spellStart"/>
      <w:r w:rsidRPr="008931E2">
        <w:t>kW.h</w:t>
      </w:r>
      <w:proofErr w:type="spellEnd"/>
      <w:r w:rsidRPr="008931E2">
        <w:t xml:space="preserve">/día con un ahorro de (3 627– 3 400)*365/1 000 = 83 </w:t>
      </w:r>
      <w:proofErr w:type="spellStart"/>
      <w:r w:rsidRPr="008931E2">
        <w:t>MW.h</w:t>
      </w:r>
      <w:proofErr w:type="spellEnd"/>
      <w:r w:rsidRPr="008931E2">
        <w:t xml:space="preserve">/año equivalente a 5 386 CUC/año, y 83*1,127 = 94 t/año de CO2 dejadas de emitir a la atmósfera. </w:t>
      </w:r>
    </w:p>
    <w:p w:rsidR="004D214C" w:rsidRPr="008931E2" w:rsidRDefault="004D214C" w:rsidP="00EB51E3">
      <w:pPr>
        <w:pStyle w:val="Default"/>
        <w:spacing w:before="120" w:after="120" w:line="276" w:lineRule="auto"/>
        <w:jc w:val="both"/>
      </w:pPr>
      <w:r w:rsidRPr="008931E2">
        <w:t xml:space="preserve">Si el PFV UCLV hubiera sido instalado con inversores capaces de generar potencia reactiva, el ahorro por disminución de pérdidas de energía en líneas, para el caso real de operación desde Sub </w:t>
      </w:r>
      <w:proofErr w:type="spellStart"/>
      <w:r w:rsidRPr="008931E2">
        <w:t>Camajuaní</w:t>
      </w:r>
      <w:proofErr w:type="spellEnd"/>
      <w:r w:rsidRPr="008931E2">
        <w:t xml:space="preserve">, hubiera sido de (3 627 –3 048)*365/1 000 = 211 </w:t>
      </w:r>
      <w:proofErr w:type="spellStart"/>
      <w:r w:rsidRPr="008931E2">
        <w:t>MW.h</w:t>
      </w:r>
      <w:proofErr w:type="spellEnd"/>
      <w:r w:rsidRPr="008931E2">
        <w:t xml:space="preserve">/año, 128 </w:t>
      </w:r>
      <w:proofErr w:type="spellStart"/>
      <w:r w:rsidRPr="008931E2">
        <w:t>MW.h</w:t>
      </w:r>
      <w:proofErr w:type="spellEnd"/>
      <w:r w:rsidRPr="008931E2">
        <w:t>/año adicionales, equivalente a8 342 CUC/año, y 211*1,127 = 238 t/año de CO2dejadas de emitir a la atmósfera.</w:t>
      </w:r>
    </w:p>
    <w:p w:rsidR="004D214C" w:rsidRDefault="004D214C" w:rsidP="004D214C">
      <w:pPr>
        <w:jc w:val="center"/>
        <w:rPr>
          <w:rFonts w:cs="Arial"/>
          <w:sz w:val="20"/>
          <w:szCs w:val="20"/>
        </w:rPr>
      </w:pPr>
      <w:r>
        <w:rPr>
          <w:noProof/>
          <w:lang w:val="es-MX" w:eastAsia="es-MX"/>
        </w:rPr>
        <w:lastRenderedPageBreak/>
        <w:drawing>
          <wp:inline distT="0" distB="0" distL="0" distR="0">
            <wp:extent cx="5876925" cy="1733550"/>
            <wp:effectExtent l="0" t="0" r="0" b="0"/>
            <wp:docPr id="1125" name="Gráfico 1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D214C" w:rsidRPr="00C4558B" w:rsidRDefault="004D214C" w:rsidP="004D214C">
      <w:pPr>
        <w:spacing w:after="120"/>
        <w:jc w:val="center"/>
        <w:rPr>
          <w:rFonts w:ascii="Times New Roman" w:hAnsi="Times New Roman" w:cs="Times New Roman"/>
        </w:rPr>
      </w:pPr>
      <w:r w:rsidRPr="00C4558B">
        <w:rPr>
          <w:rFonts w:ascii="Times New Roman" w:hAnsi="Times New Roman" w:cs="Times New Roman"/>
          <w:sz w:val="20"/>
          <w:szCs w:val="20"/>
        </w:rPr>
        <w:t xml:space="preserve">Figura </w:t>
      </w:r>
      <w:r w:rsidR="00C4558B" w:rsidRPr="00C4558B">
        <w:rPr>
          <w:rFonts w:ascii="Times New Roman" w:hAnsi="Times New Roman" w:cs="Times New Roman"/>
          <w:sz w:val="20"/>
          <w:szCs w:val="20"/>
        </w:rPr>
        <w:t>1.8</w:t>
      </w:r>
      <w:r w:rsidRPr="00C4558B">
        <w:rPr>
          <w:rFonts w:ascii="Times New Roman" w:hAnsi="Times New Roman" w:cs="Times New Roman"/>
          <w:sz w:val="20"/>
          <w:szCs w:val="20"/>
        </w:rPr>
        <w:t>: Gráfico de carga del circuito 6595. P (kW) contra t (h).</w:t>
      </w:r>
    </w:p>
    <w:p w:rsidR="004D214C" w:rsidRPr="002F20C7" w:rsidRDefault="004D214C" w:rsidP="004D214C">
      <w:pPr>
        <w:rPr>
          <w:rFonts w:cs="Arial"/>
          <w:sz w:val="20"/>
          <w:szCs w:val="20"/>
        </w:rPr>
      </w:pPr>
      <w:r>
        <w:rPr>
          <w:noProof/>
          <w:lang w:val="es-MX" w:eastAsia="es-MX"/>
        </w:rPr>
        <w:drawing>
          <wp:inline distT="0" distB="0" distL="0" distR="0">
            <wp:extent cx="5876925" cy="1485900"/>
            <wp:effectExtent l="0" t="0" r="0" b="0"/>
            <wp:docPr id="1126" name="Gráfico 1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D214C" w:rsidRPr="00C4558B" w:rsidRDefault="004D214C" w:rsidP="004D214C">
      <w:pPr>
        <w:spacing w:after="120"/>
        <w:jc w:val="center"/>
        <w:rPr>
          <w:rFonts w:ascii="Times New Roman" w:hAnsi="Times New Roman" w:cs="Times New Roman"/>
          <w:sz w:val="20"/>
          <w:szCs w:val="20"/>
        </w:rPr>
      </w:pPr>
      <w:r w:rsidRPr="00C4558B">
        <w:rPr>
          <w:rFonts w:ascii="Times New Roman" w:hAnsi="Times New Roman" w:cs="Times New Roman"/>
          <w:sz w:val="20"/>
          <w:szCs w:val="20"/>
        </w:rPr>
        <w:t xml:space="preserve">Figura </w:t>
      </w:r>
      <w:r w:rsidR="00C4558B" w:rsidRPr="00C4558B">
        <w:rPr>
          <w:rFonts w:ascii="Times New Roman" w:hAnsi="Times New Roman" w:cs="Times New Roman"/>
          <w:sz w:val="20"/>
          <w:szCs w:val="20"/>
        </w:rPr>
        <w:t>1.9</w:t>
      </w:r>
      <w:r w:rsidRPr="00C4558B">
        <w:rPr>
          <w:rFonts w:ascii="Times New Roman" w:hAnsi="Times New Roman" w:cs="Times New Roman"/>
          <w:sz w:val="20"/>
          <w:szCs w:val="20"/>
        </w:rPr>
        <w:t>: Gráfico de pérdidas de potencia activa. P (kW) contra t (h).</w:t>
      </w:r>
    </w:p>
    <w:p w:rsidR="004D214C" w:rsidRPr="002F20C7" w:rsidRDefault="004D214C" w:rsidP="004D214C">
      <w:pPr>
        <w:jc w:val="center"/>
        <w:rPr>
          <w:rFonts w:cs="Arial"/>
          <w:szCs w:val="20"/>
        </w:rPr>
      </w:pPr>
      <w:r>
        <w:rPr>
          <w:noProof/>
          <w:lang w:val="es-MX" w:eastAsia="es-MX"/>
        </w:rPr>
        <w:drawing>
          <wp:inline distT="0" distB="0" distL="0" distR="0">
            <wp:extent cx="5762625" cy="1495425"/>
            <wp:effectExtent l="0" t="0" r="0" b="0"/>
            <wp:docPr id="1127" name="Gráfico 1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D214C" w:rsidRPr="00C4558B" w:rsidRDefault="004D214C" w:rsidP="004D214C">
      <w:pPr>
        <w:spacing w:after="120"/>
        <w:jc w:val="center"/>
        <w:rPr>
          <w:rFonts w:ascii="Times New Roman" w:hAnsi="Times New Roman" w:cs="Times New Roman"/>
          <w:sz w:val="20"/>
          <w:szCs w:val="20"/>
        </w:rPr>
      </w:pPr>
      <w:r w:rsidRPr="00C4558B">
        <w:rPr>
          <w:rFonts w:ascii="Times New Roman" w:hAnsi="Times New Roman" w:cs="Times New Roman"/>
          <w:sz w:val="20"/>
          <w:szCs w:val="20"/>
        </w:rPr>
        <w:t xml:space="preserve">Figura </w:t>
      </w:r>
      <w:r w:rsidR="00C4558B" w:rsidRPr="00C4558B">
        <w:rPr>
          <w:rFonts w:ascii="Times New Roman" w:hAnsi="Times New Roman" w:cs="Times New Roman"/>
          <w:sz w:val="20"/>
          <w:szCs w:val="20"/>
        </w:rPr>
        <w:t>1.10</w:t>
      </w:r>
      <w:r w:rsidRPr="00C4558B">
        <w:rPr>
          <w:rFonts w:ascii="Times New Roman" w:hAnsi="Times New Roman" w:cs="Times New Roman"/>
          <w:sz w:val="20"/>
          <w:szCs w:val="20"/>
        </w:rPr>
        <w:t>: Gráfico de carga del circuito 6595 con generación de potencia activa y reactiva. Q (</w:t>
      </w:r>
      <w:proofErr w:type="spellStart"/>
      <w:r w:rsidRPr="00C4558B">
        <w:rPr>
          <w:rFonts w:ascii="Times New Roman" w:hAnsi="Times New Roman" w:cs="Times New Roman"/>
          <w:sz w:val="20"/>
          <w:szCs w:val="20"/>
        </w:rPr>
        <w:t>kvar</w:t>
      </w:r>
      <w:proofErr w:type="spellEnd"/>
      <w:r w:rsidRPr="00C4558B">
        <w:rPr>
          <w:rFonts w:ascii="Times New Roman" w:hAnsi="Times New Roman" w:cs="Times New Roman"/>
          <w:sz w:val="20"/>
          <w:szCs w:val="20"/>
        </w:rPr>
        <w:t>) contra t (h).</w:t>
      </w:r>
    </w:p>
    <w:p w:rsidR="004D214C" w:rsidRPr="00C4558B" w:rsidRDefault="004D214C" w:rsidP="004D214C">
      <w:pPr>
        <w:spacing w:before="120"/>
        <w:jc w:val="center"/>
        <w:rPr>
          <w:rFonts w:ascii="Times New Roman" w:hAnsi="Times New Roman" w:cs="Times New Roman"/>
          <w:sz w:val="20"/>
          <w:szCs w:val="20"/>
        </w:rPr>
      </w:pPr>
      <w:r w:rsidRPr="00C4558B">
        <w:rPr>
          <w:rFonts w:ascii="Times New Roman" w:hAnsi="Times New Roman" w:cs="Times New Roman"/>
          <w:sz w:val="20"/>
          <w:szCs w:val="20"/>
        </w:rPr>
        <w:t xml:space="preserve">Tabla 3.3 Universidad alimentada desde la Sub </w:t>
      </w:r>
      <w:proofErr w:type="spellStart"/>
      <w:r w:rsidRPr="00C4558B">
        <w:rPr>
          <w:rFonts w:ascii="Times New Roman" w:hAnsi="Times New Roman" w:cs="Times New Roman"/>
          <w:sz w:val="20"/>
          <w:szCs w:val="20"/>
        </w:rPr>
        <w:t>Camajuaní</w:t>
      </w:r>
      <w:proofErr w:type="spellEnd"/>
      <w:r w:rsidRPr="00C4558B">
        <w:rPr>
          <w:rFonts w:ascii="Times New Roman" w:hAnsi="Times New Roman" w:cs="Times New Roman"/>
          <w:sz w:val="20"/>
          <w:szCs w:val="20"/>
        </w:rPr>
        <w:t xml:space="preserve"> (6595)</w:t>
      </w:r>
    </w:p>
    <w:tbl>
      <w:tblPr>
        <w:tblStyle w:val="Tablaconcuadrcula"/>
        <w:tblW w:w="9554" w:type="dxa"/>
        <w:tblLook w:val="04A0" w:firstRow="1" w:lastRow="0" w:firstColumn="1" w:lastColumn="0" w:noHBand="0" w:noVBand="1"/>
      </w:tblPr>
      <w:tblGrid>
        <w:gridCol w:w="1792"/>
        <w:gridCol w:w="1421"/>
        <w:gridCol w:w="1542"/>
        <w:gridCol w:w="1563"/>
        <w:gridCol w:w="1321"/>
        <w:gridCol w:w="1915"/>
      </w:tblGrid>
      <w:tr w:rsidR="004D214C" w:rsidRPr="00D26FCC" w:rsidTr="00611E6B">
        <w:trPr>
          <w:trHeight w:val="527"/>
        </w:trPr>
        <w:tc>
          <w:tcPr>
            <w:tcW w:w="1792" w:type="dxa"/>
          </w:tcPr>
          <w:p w:rsidR="004D214C" w:rsidRPr="00D26FCC" w:rsidRDefault="004D214C" w:rsidP="00F26073">
            <w:pPr>
              <w:spacing w:line="276" w:lineRule="auto"/>
              <w:rPr>
                <w:rFonts w:cs="Arial"/>
              </w:rPr>
            </w:pPr>
          </w:p>
        </w:tc>
        <w:tc>
          <w:tcPr>
            <w:tcW w:w="1421" w:type="dxa"/>
          </w:tcPr>
          <w:p w:rsidR="004D214C" w:rsidRPr="00D26FCC" w:rsidRDefault="004D214C" w:rsidP="00F26073">
            <w:pPr>
              <w:spacing w:line="276" w:lineRule="auto"/>
              <w:jc w:val="center"/>
              <w:rPr>
                <w:rFonts w:cs="Arial"/>
              </w:rPr>
            </w:pPr>
            <w:r w:rsidRPr="00D26FCC">
              <w:rPr>
                <w:rFonts w:cs="Arial"/>
              </w:rPr>
              <w:t>Hora</w:t>
            </w:r>
          </w:p>
        </w:tc>
        <w:tc>
          <w:tcPr>
            <w:tcW w:w="1542" w:type="dxa"/>
          </w:tcPr>
          <w:p w:rsidR="004D214C" w:rsidRPr="00D26FCC" w:rsidRDefault="004D214C" w:rsidP="00F26073">
            <w:pPr>
              <w:spacing w:line="276" w:lineRule="auto"/>
              <w:jc w:val="center"/>
              <w:rPr>
                <w:rFonts w:cs="Arial"/>
              </w:rPr>
            </w:pPr>
            <w:r w:rsidRPr="00D26FCC">
              <w:rPr>
                <w:rFonts w:cs="Arial"/>
              </w:rPr>
              <w:t>P (kW)</w:t>
            </w:r>
          </w:p>
        </w:tc>
        <w:tc>
          <w:tcPr>
            <w:tcW w:w="1563" w:type="dxa"/>
          </w:tcPr>
          <w:p w:rsidR="004D214C" w:rsidRPr="00D26FCC" w:rsidRDefault="004D214C" w:rsidP="00F26073">
            <w:pPr>
              <w:spacing w:line="276" w:lineRule="auto"/>
              <w:jc w:val="center"/>
              <w:rPr>
                <w:rFonts w:cs="Arial"/>
              </w:rPr>
            </w:pPr>
            <w:r w:rsidRPr="00D26FCC">
              <w:rPr>
                <w:rFonts w:cs="Arial"/>
              </w:rPr>
              <w:t>Q (</w:t>
            </w:r>
            <w:proofErr w:type="spellStart"/>
            <w:r w:rsidRPr="00D26FCC">
              <w:rPr>
                <w:rFonts w:cs="Arial"/>
              </w:rPr>
              <w:t>kvar</w:t>
            </w:r>
            <w:proofErr w:type="spellEnd"/>
            <w:r w:rsidRPr="00D26FCC">
              <w:rPr>
                <w:rFonts w:cs="Arial"/>
              </w:rPr>
              <w:t>)</w:t>
            </w:r>
          </w:p>
        </w:tc>
        <w:tc>
          <w:tcPr>
            <w:tcW w:w="1321" w:type="dxa"/>
          </w:tcPr>
          <w:p w:rsidR="004D214C" w:rsidRPr="00D26FCC" w:rsidRDefault="004D214C" w:rsidP="00F26073">
            <w:pPr>
              <w:spacing w:line="276" w:lineRule="auto"/>
              <w:jc w:val="center"/>
              <w:rPr>
                <w:rFonts w:cs="Arial"/>
              </w:rPr>
            </w:pPr>
            <w:proofErr w:type="spellStart"/>
            <w:r w:rsidRPr="00D26FCC">
              <w:rPr>
                <w:rFonts w:cs="Arial"/>
              </w:rPr>
              <w:t>ΔP</w:t>
            </w:r>
            <w:r w:rsidRPr="00D26FCC">
              <w:rPr>
                <w:rFonts w:cs="Arial"/>
                <w:vertAlign w:val="subscript"/>
              </w:rPr>
              <w:t>línea</w:t>
            </w:r>
            <w:proofErr w:type="spellEnd"/>
            <w:r w:rsidRPr="00D26FCC">
              <w:rPr>
                <w:rFonts w:cs="Arial"/>
              </w:rPr>
              <w:t xml:space="preserve"> (kW)</w:t>
            </w:r>
          </w:p>
        </w:tc>
        <w:tc>
          <w:tcPr>
            <w:tcW w:w="1915" w:type="dxa"/>
          </w:tcPr>
          <w:p w:rsidR="004D214C" w:rsidRPr="00D26FCC" w:rsidRDefault="004D214C" w:rsidP="00F26073">
            <w:pPr>
              <w:spacing w:line="276" w:lineRule="auto"/>
              <w:jc w:val="center"/>
              <w:rPr>
                <w:rFonts w:cs="Arial"/>
              </w:rPr>
            </w:pPr>
            <w:proofErr w:type="spellStart"/>
            <w:r w:rsidRPr="00D26FCC">
              <w:rPr>
                <w:rFonts w:cs="Arial"/>
              </w:rPr>
              <w:t>ΔE</w:t>
            </w:r>
            <w:r w:rsidRPr="00D26FCC">
              <w:rPr>
                <w:rFonts w:cs="Arial"/>
                <w:vertAlign w:val="subscript"/>
              </w:rPr>
              <w:t>línea</w:t>
            </w:r>
            <w:proofErr w:type="spellEnd"/>
            <w:r w:rsidRPr="00D26FCC">
              <w:rPr>
                <w:rFonts w:cs="Arial"/>
              </w:rPr>
              <w:t xml:space="preserve"> (</w:t>
            </w:r>
            <w:proofErr w:type="spellStart"/>
            <w:r w:rsidRPr="00D26FCC">
              <w:rPr>
                <w:rFonts w:cs="Arial"/>
              </w:rPr>
              <w:t>kW.h</w:t>
            </w:r>
            <w:proofErr w:type="spellEnd"/>
            <w:r w:rsidRPr="00D26FCC">
              <w:rPr>
                <w:rFonts w:cs="Arial"/>
              </w:rPr>
              <w:t>/día)</w:t>
            </w:r>
          </w:p>
        </w:tc>
      </w:tr>
      <w:tr w:rsidR="004D214C" w:rsidRPr="00D26FCC" w:rsidTr="00611E6B">
        <w:trPr>
          <w:trHeight w:val="264"/>
        </w:trPr>
        <w:tc>
          <w:tcPr>
            <w:tcW w:w="1792" w:type="dxa"/>
            <w:vMerge w:val="restart"/>
          </w:tcPr>
          <w:p w:rsidR="004D214C" w:rsidRPr="00D26FCC" w:rsidRDefault="004D214C" w:rsidP="00F26073">
            <w:pPr>
              <w:spacing w:line="276" w:lineRule="auto"/>
              <w:rPr>
                <w:rFonts w:cs="Arial"/>
              </w:rPr>
            </w:pPr>
            <w:r w:rsidRPr="00D26FCC">
              <w:rPr>
                <w:rFonts w:cs="Arial"/>
              </w:rPr>
              <w:t>Sin Panel</w:t>
            </w:r>
          </w:p>
        </w:tc>
        <w:tc>
          <w:tcPr>
            <w:tcW w:w="1421" w:type="dxa"/>
          </w:tcPr>
          <w:p w:rsidR="004D214C" w:rsidRPr="00D26FCC" w:rsidRDefault="004D214C" w:rsidP="00F26073">
            <w:pPr>
              <w:spacing w:line="276" w:lineRule="auto"/>
              <w:jc w:val="center"/>
              <w:rPr>
                <w:rFonts w:cs="Arial"/>
              </w:rPr>
            </w:pPr>
            <w:r w:rsidRPr="00D26FCC">
              <w:rPr>
                <w:rFonts w:cs="Arial"/>
              </w:rPr>
              <w:t xml:space="preserve">19 </w:t>
            </w:r>
            <w:proofErr w:type="spellStart"/>
            <w:r w:rsidRPr="00D26FCC">
              <w:rPr>
                <w:rFonts w:cs="Arial"/>
              </w:rPr>
              <w:t>max</w:t>
            </w:r>
            <w:proofErr w:type="spellEnd"/>
          </w:p>
        </w:tc>
        <w:tc>
          <w:tcPr>
            <w:tcW w:w="1542" w:type="dxa"/>
          </w:tcPr>
          <w:p w:rsidR="004D214C" w:rsidRPr="00D26FCC" w:rsidRDefault="004D214C" w:rsidP="00F26073">
            <w:pPr>
              <w:spacing w:line="276" w:lineRule="auto"/>
              <w:jc w:val="center"/>
              <w:rPr>
                <w:rFonts w:cs="Arial"/>
              </w:rPr>
            </w:pPr>
            <w:r w:rsidRPr="00D26FCC">
              <w:rPr>
                <w:rFonts w:cs="Arial"/>
              </w:rPr>
              <w:t>10 902</w:t>
            </w:r>
          </w:p>
        </w:tc>
        <w:tc>
          <w:tcPr>
            <w:tcW w:w="1563" w:type="dxa"/>
          </w:tcPr>
          <w:p w:rsidR="004D214C" w:rsidRPr="00D26FCC" w:rsidRDefault="004D214C" w:rsidP="00F26073">
            <w:pPr>
              <w:spacing w:line="276" w:lineRule="auto"/>
              <w:jc w:val="center"/>
              <w:rPr>
                <w:rFonts w:cs="Arial"/>
              </w:rPr>
            </w:pPr>
            <w:r w:rsidRPr="00D26FCC">
              <w:rPr>
                <w:rFonts w:cs="Arial"/>
              </w:rPr>
              <w:t>5 459</w:t>
            </w:r>
          </w:p>
        </w:tc>
        <w:tc>
          <w:tcPr>
            <w:tcW w:w="1321" w:type="dxa"/>
          </w:tcPr>
          <w:p w:rsidR="004D214C" w:rsidRPr="00D26FCC" w:rsidRDefault="004D214C" w:rsidP="00F26073">
            <w:pPr>
              <w:spacing w:line="276" w:lineRule="auto"/>
              <w:jc w:val="center"/>
              <w:rPr>
                <w:rFonts w:cs="Arial"/>
              </w:rPr>
            </w:pPr>
            <w:r w:rsidRPr="00D26FCC">
              <w:rPr>
                <w:rFonts w:cs="Arial"/>
              </w:rPr>
              <w:t>260</w:t>
            </w:r>
          </w:p>
        </w:tc>
        <w:tc>
          <w:tcPr>
            <w:tcW w:w="1915" w:type="dxa"/>
            <w:vMerge w:val="restart"/>
          </w:tcPr>
          <w:p w:rsidR="004D214C" w:rsidRPr="00D26FCC" w:rsidRDefault="004D214C" w:rsidP="00F26073">
            <w:pPr>
              <w:spacing w:line="276" w:lineRule="auto"/>
              <w:jc w:val="center"/>
              <w:rPr>
                <w:rFonts w:cs="Arial"/>
              </w:rPr>
            </w:pPr>
            <w:r w:rsidRPr="00D26FCC">
              <w:rPr>
                <w:rFonts w:cs="Arial"/>
              </w:rPr>
              <w:t>3 627</w:t>
            </w:r>
          </w:p>
        </w:tc>
      </w:tr>
      <w:tr w:rsidR="004D214C" w:rsidRPr="00D26FCC" w:rsidTr="00611E6B">
        <w:trPr>
          <w:trHeight w:val="137"/>
        </w:trPr>
        <w:tc>
          <w:tcPr>
            <w:tcW w:w="1792" w:type="dxa"/>
            <w:vMerge/>
          </w:tcPr>
          <w:p w:rsidR="004D214C" w:rsidRPr="00D26FCC" w:rsidRDefault="004D214C" w:rsidP="00F26073">
            <w:pPr>
              <w:spacing w:line="276" w:lineRule="auto"/>
              <w:rPr>
                <w:rFonts w:cs="Arial"/>
              </w:rPr>
            </w:pPr>
          </w:p>
        </w:tc>
        <w:tc>
          <w:tcPr>
            <w:tcW w:w="1421" w:type="dxa"/>
          </w:tcPr>
          <w:p w:rsidR="004D214C" w:rsidRPr="00D26FCC" w:rsidRDefault="004D214C" w:rsidP="00F26073">
            <w:pPr>
              <w:spacing w:line="276" w:lineRule="auto"/>
              <w:jc w:val="center"/>
              <w:rPr>
                <w:rFonts w:cs="Arial"/>
              </w:rPr>
            </w:pPr>
            <w:r w:rsidRPr="00D26FCC">
              <w:rPr>
                <w:rFonts w:cs="Arial"/>
              </w:rPr>
              <w:t>12</w:t>
            </w:r>
          </w:p>
        </w:tc>
        <w:tc>
          <w:tcPr>
            <w:tcW w:w="1542" w:type="dxa"/>
          </w:tcPr>
          <w:p w:rsidR="004D214C" w:rsidRPr="00D26FCC" w:rsidRDefault="004D214C" w:rsidP="00F26073">
            <w:pPr>
              <w:spacing w:line="276" w:lineRule="auto"/>
              <w:jc w:val="center"/>
              <w:rPr>
                <w:rFonts w:cs="Arial"/>
              </w:rPr>
            </w:pPr>
            <w:r w:rsidRPr="00D26FCC">
              <w:rPr>
                <w:rFonts w:cs="Arial"/>
              </w:rPr>
              <w:t>10 286</w:t>
            </w:r>
          </w:p>
        </w:tc>
        <w:tc>
          <w:tcPr>
            <w:tcW w:w="1563" w:type="dxa"/>
          </w:tcPr>
          <w:p w:rsidR="004D214C" w:rsidRPr="00D26FCC" w:rsidRDefault="004D214C" w:rsidP="00F26073">
            <w:pPr>
              <w:spacing w:line="276" w:lineRule="auto"/>
              <w:jc w:val="center"/>
              <w:rPr>
                <w:rFonts w:cs="Arial"/>
              </w:rPr>
            </w:pPr>
            <w:r w:rsidRPr="00D26FCC">
              <w:rPr>
                <w:rFonts w:cs="Arial"/>
              </w:rPr>
              <w:t>5 163</w:t>
            </w:r>
          </w:p>
        </w:tc>
        <w:tc>
          <w:tcPr>
            <w:tcW w:w="1321" w:type="dxa"/>
          </w:tcPr>
          <w:p w:rsidR="004D214C" w:rsidRPr="00D26FCC" w:rsidRDefault="004D214C" w:rsidP="00F26073">
            <w:pPr>
              <w:spacing w:line="276" w:lineRule="auto"/>
              <w:jc w:val="center"/>
              <w:rPr>
                <w:rFonts w:cs="Arial"/>
              </w:rPr>
            </w:pPr>
            <w:r w:rsidRPr="00D26FCC">
              <w:rPr>
                <w:rFonts w:cs="Arial"/>
              </w:rPr>
              <w:t>228</w:t>
            </w:r>
          </w:p>
        </w:tc>
        <w:tc>
          <w:tcPr>
            <w:tcW w:w="1915" w:type="dxa"/>
            <w:vMerge/>
          </w:tcPr>
          <w:p w:rsidR="004D214C" w:rsidRPr="00D26FCC" w:rsidRDefault="004D214C" w:rsidP="00F26073">
            <w:pPr>
              <w:spacing w:line="276" w:lineRule="auto"/>
              <w:jc w:val="center"/>
              <w:rPr>
                <w:rFonts w:cs="Arial"/>
              </w:rPr>
            </w:pPr>
          </w:p>
        </w:tc>
      </w:tr>
      <w:tr w:rsidR="004D214C" w:rsidRPr="00D26FCC" w:rsidTr="00611E6B">
        <w:trPr>
          <w:trHeight w:val="264"/>
        </w:trPr>
        <w:tc>
          <w:tcPr>
            <w:tcW w:w="9553" w:type="dxa"/>
            <w:gridSpan w:val="6"/>
          </w:tcPr>
          <w:p w:rsidR="004D214C" w:rsidRPr="00D26FCC" w:rsidRDefault="004D214C" w:rsidP="00F26073">
            <w:pPr>
              <w:spacing w:line="276" w:lineRule="auto"/>
              <w:jc w:val="center"/>
              <w:rPr>
                <w:rFonts w:cs="Arial"/>
              </w:rPr>
            </w:pPr>
          </w:p>
        </w:tc>
      </w:tr>
      <w:tr w:rsidR="004D214C" w:rsidRPr="00D26FCC" w:rsidTr="00611E6B">
        <w:trPr>
          <w:trHeight w:val="264"/>
        </w:trPr>
        <w:tc>
          <w:tcPr>
            <w:tcW w:w="1792" w:type="dxa"/>
            <w:vMerge w:val="restart"/>
          </w:tcPr>
          <w:p w:rsidR="004D214C" w:rsidRPr="00D26FCC" w:rsidRDefault="004D214C" w:rsidP="00F26073">
            <w:pPr>
              <w:spacing w:line="276" w:lineRule="auto"/>
              <w:rPr>
                <w:rFonts w:cs="Arial"/>
              </w:rPr>
            </w:pPr>
            <w:r w:rsidRPr="00D26FCC">
              <w:rPr>
                <w:rFonts w:cs="Arial"/>
              </w:rPr>
              <w:t>Con Panel generando P</w:t>
            </w:r>
          </w:p>
        </w:tc>
        <w:tc>
          <w:tcPr>
            <w:tcW w:w="1421" w:type="dxa"/>
          </w:tcPr>
          <w:p w:rsidR="004D214C" w:rsidRPr="00D26FCC" w:rsidRDefault="004D214C" w:rsidP="00F26073">
            <w:pPr>
              <w:spacing w:line="276" w:lineRule="auto"/>
              <w:jc w:val="center"/>
              <w:rPr>
                <w:rFonts w:cs="Arial"/>
              </w:rPr>
            </w:pPr>
            <w:r w:rsidRPr="00D26FCC">
              <w:rPr>
                <w:rFonts w:cs="Arial"/>
              </w:rPr>
              <w:t xml:space="preserve">19 </w:t>
            </w:r>
            <w:proofErr w:type="spellStart"/>
            <w:r w:rsidRPr="00D26FCC">
              <w:rPr>
                <w:rFonts w:cs="Arial"/>
              </w:rPr>
              <w:t>max</w:t>
            </w:r>
            <w:proofErr w:type="spellEnd"/>
          </w:p>
        </w:tc>
        <w:tc>
          <w:tcPr>
            <w:tcW w:w="1542" w:type="dxa"/>
          </w:tcPr>
          <w:p w:rsidR="004D214C" w:rsidRPr="00D26FCC" w:rsidRDefault="004D214C" w:rsidP="00F26073">
            <w:pPr>
              <w:spacing w:line="276" w:lineRule="auto"/>
              <w:jc w:val="center"/>
              <w:rPr>
                <w:rFonts w:cs="Arial"/>
              </w:rPr>
            </w:pPr>
            <w:r w:rsidRPr="00D26FCC">
              <w:rPr>
                <w:rFonts w:cs="Arial"/>
              </w:rPr>
              <w:t>10 902</w:t>
            </w:r>
          </w:p>
        </w:tc>
        <w:tc>
          <w:tcPr>
            <w:tcW w:w="1563" w:type="dxa"/>
          </w:tcPr>
          <w:p w:rsidR="004D214C" w:rsidRPr="00D26FCC" w:rsidRDefault="004D214C" w:rsidP="00F26073">
            <w:pPr>
              <w:spacing w:line="276" w:lineRule="auto"/>
              <w:jc w:val="center"/>
              <w:rPr>
                <w:rFonts w:cs="Arial"/>
              </w:rPr>
            </w:pPr>
            <w:r w:rsidRPr="00D26FCC">
              <w:rPr>
                <w:rFonts w:cs="Arial"/>
              </w:rPr>
              <w:t>5 459</w:t>
            </w:r>
          </w:p>
        </w:tc>
        <w:tc>
          <w:tcPr>
            <w:tcW w:w="1321" w:type="dxa"/>
          </w:tcPr>
          <w:p w:rsidR="004D214C" w:rsidRPr="00D26FCC" w:rsidRDefault="004D214C" w:rsidP="00F26073">
            <w:pPr>
              <w:spacing w:line="276" w:lineRule="auto"/>
              <w:jc w:val="center"/>
              <w:rPr>
                <w:rFonts w:cs="Arial"/>
              </w:rPr>
            </w:pPr>
            <w:r w:rsidRPr="00D26FCC">
              <w:rPr>
                <w:rFonts w:cs="Arial"/>
              </w:rPr>
              <w:t>260</w:t>
            </w:r>
          </w:p>
        </w:tc>
        <w:tc>
          <w:tcPr>
            <w:tcW w:w="1915" w:type="dxa"/>
            <w:vMerge w:val="restart"/>
          </w:tcPr>
          <w:p w:rsidR="004D214C" w:rsidRPr="00D26FCC" w:rsidRDefault="004D214C" w:rsidP="00F26073">
            <w:pPr>
              <w:spacing w:line="276" w:lineRule="auto"/>
              <w:jc w:val="center"/>
              <w:rPr>
                <w:rFonts w:cs="Arial"/>
              </w:rPr>
            </w:pPr>
            <w:r w:rsidRPr="00D26FCC">
              <w:rPr>
                <w:rFonts w:cs="Arial"/>
              </w:rPr>
              <w:t>3 400</w:t>
            </w:r>
          </w:p>
        </w:tc>
      </w:tr>
      <w:tr w:rsidR="004D214C" w:rsidRPr="00D26FCC" w:rsidTr="00611E6B">
        <w:trPr>
          <w:trHeight w:val="137"/>
        </w:trPr>
        <w:tc>
          <w:tcPr>
            <w:tcW w:w="1792" w:type="dxa"/>
            <w:vMerge/>
          </w:tcPr>
          <w:p w:rsidR="004D214C" w:rsidRPr="00D26FCC" w:rsidRDefault="004D214C" w:rsidP="00F26073">
            <w:pPr>
              <w:spacing w:line="276" w:lineRule="auto"/>
              <w:rPr>
                <w:rFonts w:cs="Arial"/>
              </w:rPr>
            </w:pPr>
          </w:p>
        </w:tc>
        <w:tc>
          <w:tcPr>
            <w:tcW w:w="1421" w:type="dxa"/>
          </w:tcPr>
          <w:p w:rsidR="004D214C" w:rsidRPr="00D26FCC" w:rsidRDefault="004D214C" w:rsidP="00F26073">
            <w:pPr>
              <w:spacing w:line="276" w:lineRule="auto"/>
              <w:jc w:val="center"/>
              <w:rPr>
                <w:rFonts w:cs="Arial"/>
              </w:rPr>
            </w:pPr>
            <w:r w:rsidRPr="00D26FCC">
              <w:rPr>
                <w:rFonts w:cs="Arial"/>
              </w:rPr>
              <w:t>12</w:t>
            </w:r>
          </w:p>
        </w:tc>
        <w:tc>
          <w:tcPr>
            <w:tcW w:w="1542" w:type="dxa"/>
          </w:tcPr>
          <w:p w:rsidR="004D214C" w:rsidRPr="00D26FCC" w:rsidRDefault="004D214C" w:rsidP="00F26073">
            <w:pPr>
              <w:spacing w:line="276" w:lineRule="auto"/>
              <w:jc w:val="center"/>
              <w:rPr>
                <w:rFonts w:cs="Arial"/>
              </w:rPr>
            </w:pPr>
            <w:r w:rsidRPr="00D26FCC">
              <w:rPr>
                <w:rFonts w:cs="Arial"/>
              </w:rPr>
              <w:t>9 286</w:t>
            </w:r>
          </w:p>
        </w:tc>
        <w:tc>
          <w:tcPr>
            <w:tcW w:w="1563" w:type="dxa"/>
          </w:tcPr>
          <w:p w:rsidR="004D214C" w:rsidRPr="00D26FCC" w:rsidRDefault="004D214C" w:rsidP="00F26073">
            <w:pPr>
              <w:spacing w:line="276" w:lineRule="auto"/>
              <w:jc w:val="center"/>
              <w:rPr>
                <w:rFonts w:cs="Arial"/>
              </w:rPr>
            </w:pPr>
            <w:r w:rsidRPr="00D26FCC">
              <w:rPr>
                <w:rFonts w:cs="Arial"/>
              </w:rPr>
              <w:t>5 163</w:t>
            </w:r>
          </w:p>
        </w:tc>
        <w:tc>
          <w:tcPr>
            <w:tcW w:w="1321" w:type="dxa"/>
          </w:tcPr>
          <w:p w:rsidR="004D214C" w:rsidRPr="00D26FCC" w:rsidRDefault="004D214C" w:rsidP="00F26073">
            <w:pPr>
              <w:spacing w:line="276" w:lineRule="auto"/>
              <w:jc w:val="center"/>
              <w:rPr>
                <w:rFonts w:cs="Arial"/>
              </w:rPr>
            </w:pPr>
            <w:r w:rsidRPr="00D26FCC">
              <w:rPr>
                <w:rFonts w:cs="Arial"/>
              </w:rPr>
              <w:t>180</w:t>
            </w:r>
          </w:p>
        </w:tc>
        <w:tc>
          <w:tcPr>
            <w:tcW w:w="1915" w:type="dxa"/>
            <w:vMerge/>
          </w:tcPr>
          <w:p w:rsidR="004D214C" w:rsidRPr="00D26FCC" w:rsidRDefault="004D214C" w:rsidP="00F26073">
            <w:pPr>
              <w:spacing w:line="276" w:lineRule="auto"/>
              <w:jc w:val="center"/>
              <w:rPr>
                <w:rFonts w:cs="Arial"/>
              </w:rPr>
            </w:pPr>
          </w:p>
        </w:tc>
      </w:tr>
      <w:tr w:rsidR="004D214C" w:rsidRPr="00D26FCC" w:rsidTr="00611E6B">
        <w:trPr>
          <w:trHeight w:val="264"/>
        </w:trPr>
        <w:tc>
          <w:tcPr>
            <w:tcW w:w="9553" w:type="dxa"/>
            <w:gridSpan w:val="6"/>
          </w:tcPr>
          <w:p w:rsidR="004D214C" w:rsidRPr="00D26FCC" w:rsidRDefault="004D214C" w:rsidP="00F26073">
            <w:pPr>
              <w:spacing w:line="276" w:lineRule="auto"/>
              <w:jc w:val="center"/>
              <w:rPr>
                <w:rFonts w:cs="Arial"/>
              </w:rPr>
            </w:pPr>
          </w:p>
        </w:tc>
      </w:tr>
      <w:tr w:rsidR="004D214C" w:rsidRPr="00D26FCC" w:rsidTr="00611E6B">
        <w:trPr>
          <w:trHeight w:val="264"/>
        </w:trPr>
        <w:tc>
          <w:tcPr>
            <w:tcW w:w="1792" w:type="dxa"/>
            <w:vMerge w:val="restart"/>
          </w:tcPr>
          <w:p w:rsidR="004D214C" w:rsidRPr="00D26FCC" w:rsidRDefault="004D214C" w:rsidP="00F26073">
            <w:pPr>
              <w:spacing w:line="276" w:lineRule="auto"/>
              <w:rPr>
                <w:rFonts w:cs="Arial"/>
              </w:rPr>
            </w:pPr>
            <w:r w:rsidRPr="00D26FCC">
              <w:rPr>
                <w:rFonts w:cs="Arial"/>
              </w:rPr>
              <w:t>Con Panel generando P y Q</w:t>
            </w:r>
          </w:p>
        </w:tc>
        <w:tc>
          <w:tcPr>
            <w:tcW w:w="1421" w:type="dxa"/>
          </w:tcPr>
          <w:p w:rsidR="004D214C" w:rsidRPr="00D26FCC" w:rsidRDefault="004D214C" w:rsidP="00F26073">
            <w:pPr>
              <w:spacing w:line="276" w:lineRule="auto"/>
              <w:jc w:val="center"/>
              <w:rPr>
                <w:rFonts w:cs="Arial"/>
              </w:rPr>
            </w:pPr>
            <w:r w:rsidRPr="00D26FCC">
              <w:rPr>
                <w:rFonts w:cs="Arial"/>
              </w:rPr>
              <w:t xml:space="preserve">19 </w:t>
            </w:r>
            <w:proofErr w:type="spellStart"/>
            <w:r w:rsidRPr="00D26FCC">
              <w:rPr>
                <w:rFonts w:cs="Arial"/>
              </w:rPr>
              <w:t>max</w:t>
            </w:r>
            <w:proofErr w:type="spellEnd"/>
          </w:p>
        </w:tc>
        <w:tc>
          <w:tcPr>
            <w:tcW w:w="1542" w:type="dxa"/>
          </w:tcPr>
          <w:p w:rsidR="004D214C" w:rsidRPr="00D26FCC" w:rsidRDefault="004D214C" w:rsidP="00F26073">
            <w:pPr>
              <w:spacing w:line="276" w:lineRule="auto"/>
              <w:jc w:val="center"/>
              <w:rPr>
                <w:rFonts w:cs="Arial"/>
              </w:rPr>
            </w:pPr>
            <w:r w:rsidRPr="00D26FCC">
              <w:rPr>
                <w:rFonts w:cs="Arial"/>
              </w:rPr>
              <w:t>10 902</w:t>
            </w:r>
          </w:p>
        </w:tc>
        <w:tc>
          <w:tcPr>
            <w:tcW w:w="1563" w:type="dxa"/>
          </w:tcPr>
          <w:p w:rsidR="004D214C" w:rsidRPr="00D26FCC" w:rsidRDefault="004D214C" w:rsidP="00F26073">
            <w:pPr>
              <w:spacing w:line="276" w:lineRule="auto"/>
              <w:jc w:val="center"/>
              <w:rPr>
                <w:rFonts w:cs="Arial"/>
              </w:rPr>
            </w:pPr>
            <w:r w:rsidRPr="00D26FCC">
              <w:rPr>
                <w:rFonts w:cs="Arial"/>
              </w:rPr>
              <w:t>4 459</w:t>
            </w:r>
          </w:p>
        </w:tc>
        <w:tc>
          <w:tcPr>
            <w:tcW w:w="1321" w:type="dxa"/>
          </w:tcPr>
          <w:p w:rsidR="004D214C" w:rsidRPr="00D26FCC" w:rsidRDefault="004D214C" w:rsidP="00F26073">
            <w:pPr>
              <w:spacing w:line="276" w:lineRule="auto"/>
              <w:jc w:val="center"/>
              <w:rPr>
                <w:rFonts w:cs="Arial"/>
              </w:rPr>
            </w:pPr>
            <w:r w:rsidRPr="00D26FCC">
              <w:rPr>
                <w:rFonts w:cs="Arial"/>
              </w:rPr>
              <w:t>235</w:t>
            </w:r>
          </w:p>
        </w:tc>
        <w:tc>
          <w:tcPr>
            <w:tcW w:w="1915" w:type="dxa"/>
            <w:vMerge w:val="restart"/>
          </w:tcPr>
          <w:p w:rsidR="004D214C" w:rsidRPr="00D26FCC" w:rsidRDefault="004D214C" w:rsidP="00F26073">
            <w:pPr>
              <w:spacing w:line="276" w:lineRule="auto"/>
              <w:jc w:val="center"/>
              <w:rPr>
                <w:rFonts w:cs="Arial"/>
              </w:rPr>
            </w:pPr>
            <w:r w:rsidRPr="00D26FCC">
              <w:rPr>
                <w:rFonts w:cs="Arial"/>
              </w:rPr>
              <w:t>3 048</w:t>
            </w:r>
          </w:p>
        </w:tc>
      </w:tr>
      <w:tr w:rsidR="004D214C" w:rsidRPr="00D26FCC" w:rsidTr="00611E6B">
        <w:trPr>
          <w:trHeight w:val="137"/>
        </w:trPr>
        <w:tc>
          <w:tcPr>
            <w:tcW w:w="1792" w:type="dxa"/>
            <w:vMerge/>
          </w:tcPr>
          <w:p w:rsidR="004D214C" w:rsidRPr="00D26FCC" w:rsidRDefault="004D214C" w:rsidP="00F26073">
            <w:pPr>
              <w:spacing w:line="276" w:lineRule="auto"/>
              <w:rPr>
                <w:rFonts w:cs="Arial"/>
              </w:rPr>
            </w:pPr>
          </w:p>
        </w:tc>
        <w:tc>
          <w:tcPr>
            <w:tcW w:w="1421" w:type="dxa"/>
          </w:tcPr>
          <w:p w:rsidR="004D214C" w:rsidRPr="00D26FCC" w:rsidRDefault="004D214C" w:rsidP="00F26073">
            <w:pPr>
              <w:spacing w:line="276" w:lineRule="auto"/>
              <w:jc w:val="center"/>
              <w:rPr>
                <w:rFonts w:cs="Arial"/>
              </w:rPr>
            </w:pPr>
            <w:r w:rsidRPr="00D26FCC">
              <w:rPr>
                <w:rFonts w:cs="Arial"/>
              </w:rPr>
              <w:t>12</w:t>
            </w:r>
          </w:p>
        </w:tc>
        <w:tc>
          <w:tcPr>
            <w:tcW w:w="1542" w:type="dxa"/>
          </w:tcPr>
          <w:p w:rsidR="004D214C" w:rsidRPr="00D26FCC" w:rsidRDefault="004D214C" w:rsidP="00F26073">
            <w:pPr>
              <w:spacing w:line="276" w:lineRule="auto"/>
              <w:jc w:val="center"/>
              <w:rPr>
                <w:rFonts w:cs="Arial"/>
              </w:rPr>
            </w:pPr>
            <w:r w:rsidRPr="00D26FCC">
              <w:rPr>
                <w:rFonts w:cs="Arial"/>
              </w:rPr>
              <w:t>9 286</w:t>
            </w:r>
          </w:p>
        </w:tc>
        <w:tc>
          <w:tcPr>
            <w:tcW w:w="1563" w:type="dxa"/>
          </w:tcPr>
          <w:p w:rsidR="004D214C" w:rsidRPr="00D26FCC" w:rsidRDefault="004D214C" w:rsidP="00F26073">
            <w:pPr>
              <w:spacing w:line="276" w:lineRule="auto"/>
              <w:jc w:val="center"/>
              <w:rPr>
                <w:rFonts w:cs="Arial"/>
              </w:rPr>
            </w:pPr>
            <w:r w:rsidRPr="00D26FCC">
              <w:rPr>
                <w:rFonts w:cs="Arial"/>
              </w:rPr>
              <w:t>5 163</w:t>
            </w:r>
          </w:p>
        </w:tc>
        <w:tc>
          <w:tcPr>
            <w:tcW w:w="1321" w:type="dxa"/>
          </w:tcPr>
          <w:p w:rsidR="004D214C" w:rsidRPr="00D26FCC" w:rsidRDefault="004D214C" w:rsidP="00F26073">
            <w:pPr>
              <w:spacing w:line="276" w:lineRule="auto"/>
              <w:jc w:val="center"/>
              <w:rPr>
                <w:rFonts w:cs="Arial"/>
              </w:rPr>
            </w:pPr>
            <w:r w:rsidRPr="00D26FCC">
              <w:rPr>
                <w:rFonts w:cs="Arial"/>
              </w:rPr>
              <w:t>180</w:t>
            </w:r>
          </w:p>
        </w:tc>
        <w:tc>
          <w:tcPr>
            <w:tcW w:w="1915" w:type="dxa"/>
            <w:vMerge/>
          </w:tcPr>
          <w:p w:rsidR="004D214C" w:rsidRPr="00D26FCC" w:rsidRDefault="004D214C" w:rsidP="00F26073">
            <w:pPr>
              <w:spacing w:line="276" w:lineRule="auto"/>
              <w:jc w:val="center"/>
              <w:rPr>
                <w:rFonts w:cs="Arial"/>
              </w:rPr>
            </w:pPr>
          </w:p>
        </w:tc>
      </w:tr>
    </w:tbl>
    <w:p w:rsidR="004D214C" w:rsidRPr="008931E2" w:rsidRDefault="004D214C" w:rsidP="004D214C">
      <w:pPr>
        <w:pStyle w:val="Ttulo3"/>
        <w:spacing w:before="360" w:after="120"/>
        <w:rPr>
          <w:rFonts w:ascii="Times New Roman" w:hAnsi="Times New Roman" w:cs="Times New Roman"/>
          <w:b/>
          <w:color w:val="000000" w:themeColor="text1"/>
        </w:rPr>
      </w:pPr>
      <w:bookmarkStart w:id="5" w:name="_Toc517706008"/>
      <w:r w:rsidRPr="008931E2">
        <w:rPr>
          <w:rFonts w:ascii="Times New Roman" w:hAnsi="Times New Roman" w:cs="Times New Roman"/>
          <w:b/>
          <w:color w:val="000000" w:themeColor="text1"/>
        </w:rPr>
        <w:lastRenderedPageBreak/>
        <w:t>Circuito 1785. Posible conexión del PFV UCLV en condiciones normales o de emergencia</w:t>
      </w:r>
      <w:bookmarkEnd w:id="5"/>
    </w:p>
    <w:p w:rsidR="004D214C" w:rsidRPr="008931E2" w:rsidRDefault="004D214C" w:rsidP="00EB51E3">
      <w:pPr>
        <w:pStyle w:val="Default"/>
        <w:spacing w:before="120" w:after="120" w:line="276" w:lineRule="auto"/>
        <w:jc w:val="both"/>
      </w:pPr>
      <w:r w:rsidRPr="008931E2">
        <w:t>Finalmente</w:t>
      </w:r>
      <w:r w:rsidR="006F4B9D" w:rsidRPr="008931E2">
        <w:t xml:space="preserve"> </w:t>
      </w:r>
      <w:r w:rsidRPr="008931E2">
        <w:t xml:space="preserve">con la variante de alimentación desde la Sub Industrial con el Circuito 1785 se tienen los resultados que se muestran en las Figuras </w:t>
      </w:r>
      <w:r w:rsidR="006F4B9D" w:rsidRPr="008931E2">
        <w:t>1.11</w:t>
      </w:r>
      <w:r w:rsidRPr="008931E2">
        <w:t xml:space="preserve">, </w:t>
      </w:r>
      <w:r w:rsidR="006F4B9D" w:rsidRPr="008931E2">
        <w:t>1.12</w:t>
      </w:r>
      <w:r w:rsidRPr="008931E2">
        <w:t xml:space="preserve"> y </w:t>
      </w:r>
      <w:r w:rsidR="006F4B9D" w:rsidRPr="008931E2">
        <w:t>1.13</w:t>
      </w:r>
      <w:r w:rsidRPr="008931E2">
        <w:t xml:space="preserve"> y la Tabla 3.4.</w:t>
      </w:r>
    </w:p>
    <w:p w:rsidR="004D214C" w:rsidRDefault="004D214C" w:rsidP="004D214C">
      <w:pPr>
        <w:spacing w:before="240" w:after="240"/>
        <w:jc w:val="center"/>
        <w:rPr>
          <w:rFonts w:cs="Arial"/>
          <w:b/>
          <w:sz w:val="20"/>
          <w:szCs w:val="20"/>
        </w:rPr>
      </w:pPr>
      <w:r>
        <w:rPr>
          <w:noProof/>
          <w:lang w:val="es-MX" w:eastAsia="es-MX"/>
        </w:rPr>
        <w:drawing>
          <wp:inline distT="0" distB="0" distL="0" distR="0">
            <wp:extent cx="5781675" cy="1590675"/>
            <wp:effectExtent l="0" t="0" r="0" b="0"/>
            <wp:docPr id="1128" name="Gráfico 1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D214C" w:rsidRPr="006F4B9D" w:rsidRDefault="004D214C" w:rsidP="004D214C">
      <w:pPr>
        <w:spacing w:after="120"/>
        <w:jc w:val="center"/>
        <w:rPr>
          <w:rFonts w:ascii="Times New Roman" w:hAnsi="Times New Roman" w:cs="Times New Roman"/>
        </w:rPr>
      </w:pPr>
      <w:r w:rsidRPr="006F4B9D">
        <w:rPr>
          <w:rFonts w:ascii="Times New Roman" w:hAnsi="Times New Roman" w:cs="Times New Roman"/>
          <w:sz w:val="20"/>
          <w:szCs w:val="20"/>
        </w:rPr>
        <w:t xml:space="preserve">Figura </w:t>
      </w:r>
      <w:r w:rsidR="006F4B9D" w:rsidRPr="006F4B9D">
        <w:rPr>
          <w:rFonts w:ascii="Times New Roman" w:hAnsi="Times New Roman" w:cs="Times New Roman"/>
          <w:sz w:val="20"/>
          <w:szCs w:val="20"/>
        </w:rPr>
        <w:t>1.11</w:t>
      </w:r>
      <w:r w:rsidRPr="006F4B9D">
        <w:rPr>
          <w:rFonts w:ascii="Times New Roman" w:hAnsi="Times New Roman" w:cs="Times New Roman"/>
          <w:sz w:val="20"/>
          <w:szCs w:val="20"/>
        </w:rPr>
        <w:t>: Gráfico de carga del circuito 1785. P (kW) contra t (h).</w:t>
      </w:r>
    </w:p>
    <w:p w:rsidR="004D214C" w:rsidRPr="002F20C7" w:rsidRDefault="004D214C" w:rsidP="004D214C">
      <w:pPr>
        <w:rPr>
          <w:rFonts w:cs="Arial"/>
          <w:sz w:val="20"/>
          <w:szCs w:val="20"/>
        </w:rPr>
      </w:pPr>
      <w:r>
        <w:rPr>
          <w:noProof/>
          <w:lang w:val="es-MX" w:eastAsia="es-MX"/>
        </w:rPr>
        <w:drawing>
          <wp:inline distT="0" distB="0" distL="0" distR="0">
            <wp:extent cx="5867400" cy="1466850"/>
            <wp:effectExtent l="0" t="0" r="0" b="0"/>
            <wp:docPr id="1129" name="Gráfico 1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D214C" w:rsidRPr="006F4B9D" w:rsidRDefault="004D214C" w:rsidP="004D214C">
      <w:pPr>
        <w:spacing w:after="120"/>
        <w:jc w:val="center"/>
        <w:rPr>
          <w:rStyle w:val="EstiloTimesNewRoman"/>
          <w:rFonts w:cs="Times New Roman"/>
        </w:rPr>
      </w:pPr>
      <w:r w:rsidRPr="006F4B9D">
        <w:rPr>
          <w:rFonts w:ascii="Times New Roman" w:hAnsi="Times New Roman" w:cs="Times New Roman"/>
          <w:sz w:val="20"/>
          <w:szCs w:val="20"/>
        </w:rPr>
        <w:t xml:space="preserve">Figura </w:t>
      </w:r>
      <w:r w:rsidR="006F4B9D">
        <w:rPr>
          <w:rFonts w:ascii="Times New Roman" w:hAnsi="Times New Roman" w:cs="Times New Roman"/>
          <w:sz w:val="20"/>
          <w:szCs w:val="20"/>
        </w:rPr>
        <w:t>1.12</w:t>
      </w:r>
      <w:r w:rsidRPr="006F4B9D">
        <w:rPr>
          <w:rFonts w:ascii="Times New Roman" w:hAnsi="Times New Roman" w:cs="Times New Roman"/>
          <w:sz w:val="20"/>
          <w:szCs w:val="20"/>
        </w:rPr>
        <w:t>: Gráfico de pérdidas de potencia activa. P (kW) contra t (h).</w:t>
      </w:r>
    </w:p>
    <w:p w:rsidR="004D214C" w:rsidRPr="008931E2" w:rsidRDefault="004D214C" w:rsidP="00EB51E3">
      <w:pPr>
        <w:pStyle w:val="Default"/>
        <w:spacing w:before="120" w:after="120" w:line="276" w:lineRule="auto"/>
        <w:jc w:val="both"/>
      </w:pPr>
      <w:r w:rsidRPr="008931E2">
        <w:t xml:space="preserve">La alimentación de la UCLV desde la Sub Industrial (1785), se hace con unas pérdidas 1 570 </w:t>
      </w:r>
      <w:proofErr w:type="spellStart"/>
      <w:r w:rsidRPr="008931E2">
        <w:t>kW.h</w:t>
      </w:r>
      <w:proofErr w:type="spellEnd"/>
      <w:r w:rsidRPr="008931E2">
        <w:t xml:space="preserve">/día, las que se reducen a 1 485 </w:t>
      </w:r>
      <w:proofErr w:type="spellStart"/>
      <w:r w:rsidRPr="008931E2">
        <w:t>kW.h</w:t>
      </w:r>
      <w:proofErr w:type="spellEnd"/>
      <w:r w:rsidRPr="008931E2">
        <w:t xml:space="preserve">/día con un ahorro de (1 570– 1 485)*365/1 000 = 31 </w:t>
      </w:r>
      <w:proofErr w:type="spellStart"/>
      <w:r w:rsidRPr="008931E2">
        <w:t>MW.h</w:t>
      </w:r>
      <w:proofErr w:type="spellEnd"/>
      <w:r w:rsidRPr="008931E2">
        <w:t xml:space="preserve">/año equivalente a 2017 CUC/año, y 31*1,127 = 35 t/año de CO2 dejadas de emitir a la atmósfera. </w:t>
      </w:r>
    </w:p>
    <w:p w:rsidR="004D214C" w:rsidRDefault="004D214C" w:rsidP="004D214C">
      <w:pPr>
        <w:spacing w:before="240" w:after="240"/>
        <w:jc w:val="center"/>
        <w:rPr>
          <w:rFonts w:cs="Arial"/>
          <w:b/>
          <w:sz w:val="20"/>
          <w:szCs w:val="20"/>
        </w:rPr>
      </w:pPr>
      <w:r>
        <w:rPr>
          <w:noProof/>
          <w:lang w:val="es-MX" w:eastAsia="es-MX"/>
        </w:rPr>
        <w:drawing>
          <wp:inline distT="0" distB="0" distL="0" distR="0">
            <wp:extent cx="5943600" cy="1619250"/>
            <wp:effectExtent l="0" t="0" r="0" b="0"/>
            <wp:docPr id="1130" name="Gráfico 1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D214C" w:rsidRPr="006F4B9D" w:rsidRDefault="004D214C" w:rsidP="004D214C">
      <w:pPr>
        <w:spacing w:after="120"/>
        <w:jc w:val="center"/>
        <w:rPr>
          <w:rFonts w:ascii="Times New Roman" w:hAnsi="Times New Roman" w:cs="Times New Roman"/>
        </w:rPr>
      </w:pPr>
      <w:r w:rsidRPr="006F4B9D">
        <w:rPr>
          <w:rFonts w:ascii="Times New Roman" w:hAnsi="Times New Roman" w:cs="Times New Roman"/>
          <w:sz w:val="20"/>
          <w:szCs w:val="20"/>
        </w:rPr>
        <w:t xml:space="preserve">Figura </w:t>
      </w:r>
      <w:r w:rsidR="006F4B9D">
        <w:rPr>
          <w:rFonts w:ascii="Times New Roman" w:hAnsi="Times New Roman" w:cs="Times New Roman"/>
          <w:sz w:val="20"/>
          <w:szCs w:val="20"/>
        </w:rPr>
        <w:t>1.13</w:t>
      </w:r>
      <w:r w:rsidRPr="006F4B9D">
        <w:rPr>
          <w:rFonts w:ascii="Times New Roman" w:hAnsi="Times New Roman" w:cs="Times New Roman"/>
          <w:sz w:val="20"/>
          <w:szCs w:val="20"/>
        </w:rPr>
        <w:t>: Gráfico de carga del circuito 1785 con generación de potencia activa y reactiva. Q (</w:t>
      </w:r>
      <w:proofErr w:type="spellStart"/>
      <w:r w:rsidRPr="006F4B9D">
        <w:rPr>
          <w:rFonts w:ascii="Times New Roman" w:hAnsi="Times New Roman" w:cs="Times New Roman"/>
          <w:sz w:val="20"/>
          <w:szCs w:val="20"/>
        </w:rPr>
        <w:t>kvar</w:t>
      </w:r>
      <w:proofErr w:type="spellEnd"/>
      <w:r w:rsidRPr="006F4B9D">
        <w:rPr>
          <w:rFonts w:ascii="Times New Roman" w:hAnsi="Times New Roman" w:cs="Times New Roman"/>
          <w:sz w:val="20"/>
          <w:szCs w:val="20"/>
        </w:rPr>
        <w:t>) contra t (h).</w:t>
      </w:r>
    </w:p>
    <w:p w:rsidR="004D214C" w:rsidRPr="006F4B9D" w:rsidRDefault="004D214C" w:rsidP="004D214C">
      <w:pPr>
        <w:spacing w:before="120"/>
        <w:jc w:val="center"/>
        <w:rPr>
          <w:rFonts w:ascii="Times New Roman" w:hAnsi="Times New Roman" w:cs="Times New Roman"/>
          <w:sz w:val="20"/>
          <w:szCs w:val="20"/>
        </w:rPr>
      </w:pPr>
      <w:r w:rsidRPr="006F4B9D">
        <w:rPr>
          <w:rFonts w:ascii="Times New Roman" w:hAnsi="Times New Roman" w:cs="Times New Roman"/>
          <w:sz w:val="20"/>
          <w:szCs w:val="20"/>
        </w:rPr>
        <w:t>Tabla 3.4 Universidad alimentada desde la Sub Santa Clara Industrial (1785)</w:t>
      </w:r>
    </w:p>
    <w:tbl>
      <w:tblPr>
        <w:tblStyle w:val="Tablaconcuadrcula"/>
        <w:tblW w:w="9628" w:type="dxa"/>
        <w:tblLook w:val="04A0" w:firstRow="1" w:lastRow="0" w:firstColumn="1" w:lastColumn="0" w:noHBand="0" w:noVBand="1"/>
      </w:tblPr>
      <w:tblGrid>
        <w:gridCol w:w="1806"/>
        <w:gridCol w:w="1432"/>
        <w:gridCol w:w="1554"/>
        <w:gridCol w:w="1575"/>
        <w:gridCol w:w="1331"/>
        <w:gridCol w:w="1930"/>
      </w:tblGrid>
      <w:tr w:rsidR="004D214C" w:rsidRPr="00B45520" w:rsidTr="00F26073">
        <w:trPr>
          <w:trHeight w:val="457"/>
        </w:trPr>
        <w:tc>
          <w:tcPr>
            <w:tcW w:w="1806" w:type="dxa"/>
          </w:tcPr>
          <w:p w:rsidR="004D214C" w:rsidRPr="00B45520" w:rsidRDefault="004D214C" w:rsidP="00F26073">
            <w:pPr>
              <w:spacing w:line="276" w:lineRule="auto"/>
              <w:rPr>
                <w:rFonts w:cs="Arial"/>
              </w:rPr>
            </w:pPr>
          </w:p>
        </w:tc>
        <w:tc>
          <w:tcPr>
            <w:tcW w:w="1432" w:type="dxa"/>
          </w:tcPr>
          <w:p w:rsidR="004D214C" w:rsidRPr="00B45520" w:rsidRDefault="004D214C" w:rsidP="00F26073">
            <w:pPr>
              <w:spacing w:line="276" w:lineRule="auto"/>
              <w:jc w:val="center"/>
              <w:rPr>
                <w:rFonts w:cs="Arial"/>
              </w:rPr>
            </w:pPr>
            <w:r w:rsidRPr="00B45520">
              <w:rPr>
                <w:rFonts w:cs="Arial"/>
              </w:rPr>
              <w:t>Hora</w:t>
            </w:r>
          </w:p>
        </w:tc>
        <w:tc>
          <w:tcPr>
            <w:tcW w:w="1554" w:type="dxa"/>
          </w:tcPr>
          <w:p w:rsidR="004D214C" w:rsidRPr="00B45520" w:rsidRDefault="004D214C" w:rsidP="00F26073">
            <w:pPr>
              <w:spacing w:line="276" w:lineRule="auto"/>
              <w:jc w:val="center"/>
              <w:rPr>
                <w:rFonts w:cs="Arial"/>
              </w:rPr>
            </w:pPr>
            <w:r w:rsidRPr="00B45520">
              <w:rPr>
                <w:rFonts w:cs="Arial"/>
              </w:rPr>
              <w:t>P (kW)</w:t>
            </w:r>
          </w:p>
        </w:tc>
        <w:tc>
          <w:tcPr>
            <w:tcW w:w="1575" w:type="dxa"/>
          </w:tcPr>
          <w:p w:rsidR="004D214C" w:rsidRPr="00B45520" w:rsidRDefault="004D214C" w:rsidP="00F26073">
            <w:pPr>
              <w:spacing w:line="276" w:lineRule="auto"/>
              <w:jc w:val="center"/>
              <w:rPr>
                <w:rFonts w:cs="Arial"/>
              </w:rPr>
            </w:pPr>
            <w:r w:rsidRPr="00B45520">
              <w:rPr>
                <w:rFonts w:cs="Arial"/>
              </w:rPr>
              <w:t>Q (</w:t>
            </w:r>
            <w:proofErr w:type="spellStart"/>
            <w:r w:rsidRPr="00B45520">
              <w:rPr>
                <w:rFonts w:cs="Arial"/>
              </w:rPr>
              <w:t>kvar</w:t>
            </w:r>
            <w:proofErr w:type="spellEnd"/>
            <w:r w:rsidRPr="00B45520">
              <w:rPr>
                <w:rFonts w:cs="Arial"/>
              </w:rPr>
              <w:t>)</w:t>
            </w:r>
          </w:p>
        </w:tc>
        <w:tc>
          <w:tcPr>
            <w:tcW w:w="1331" w:type="dxa"/>
          </w:tcPr>
          <w:p w:rsidR="004D214C" w:rsidRPr="00B45520" w:rsidRDefault="004D214C" w:rsidP="00F26073">
            <w:pPr>
              <w:spacing w:line="276" w:lineRule="auto"/>
              <w:jc w:val="center"/>
              <w:rPr>
                <w:rFonts w:cs="Arial"/>
              </w:rPr>
            </w:pPr>
            <w:proofErr w:type="spellStart"/>
            <w:r w:rsidRPr="00B45520">
              <w:rPr>
                <w:rFonts w:cs="Arial"/>
              </w:rPr>
              <w:t>ΔP</w:t>
            </w:r>
            <w:r w:rsidRPr="00B45520">
              <w:rPr>
                <w:rFonts w:cs="Arial"/>
                <w:vertAlign w:val="subscript"/>
              </w:rPr>
              <w:t>línea</w:t>
            </w:r>
            <w:proofErr w:type="spellEnd"/>
            <w:r w:rsidRPr="00B45520">
              <w:rPr>
                <w:rFonts w:cs="Arial"/>
              </w:rPr>
              <w:t xml:space="preserve"> (kW)</w:t>
            </w:r>
          </w:p>
        </w:tc>
        <w:tc>
          <w:tcPr>
            <w:tcW w:w="1930" w:type="dxa"/>
          </w:tcPr>
          <w:p w:rsidR="004D214C" w:rsidRPr="00B45520" w:rsidRDefault="004D214C" w:rsidP="00F26073">
            <w:pPr>
              <w:spacing w:line="276" w:lineRule="auto"/>
              <w:jc w:val="center"/>
              <w:rPr>
                <w:rFonts w:cs="Arial"/>
              </w:rPr>
            </w:pPr>
            <w:proofErr w:type="spellStart"/>
            <w:r w:rsidRPr="00B45520">
              <w:rPr>
                <w:rFonts w:cs="Arial"/>
              </w:rPr>
              <w:t>ΔE</w:t>
            </w:r>
            <w:r w:rsidRPr="00B45520">
              <w:rPr>
                <w:rFonts w:cs="Arial"/>
                <w:vertAlign w:val="subscript"/>
              </w:rPr>
              <w:t>línea</w:t>
            </w:r>
            <w:proofErr w:type="spellEnd"/>
            <w:r w:rsidRPr="00B45520">
              <w:rPr>
                <w:rFonts w:cs="Arial"/>
              </w:rPr>
              <w:t xml:space="preserve"> (</w:t>
            </w:r>
            <w:proofErr w:type="spellStart"/>
            <w:r w:rsidRPr="00B45520">
              <w:rPr>
                <w:rFonts w:cs="Arial"/>
              </w:rPr>
              <w:t>kW.h</w:t>
            </w:r>
            <w:proofErr w:type="spellEnd"/>
            <w:r w:rsidRPr="00B45520">
              <w:rPr>
                <w:rFonts w:cs="Arial"/>
              </w:rPr>
              <w:t>/día)</w:t>
            </w:r>
          </w:p>
        </w:tc>
      </w:tr>
      <w:tr w:rsidR="004D214C" w:rsidRPr="00B45520" w:rsidTr="00F26073">
        <w:trPr>
          <w:trHeight w:val="229"/>
        </w:trPr>
        <w:tc>
          <w:tcPr>
            <w:tcW w:w="1806" w:type="dxa"/>
            <w:vMerge w:val="restart"/>
          </w:tcPr>
          <w:p w:rsidR="004D214C" w:rsidRPr="00B45520" w:rsidRDefault="004D214C" w:rsidP="00F26073">
            <w:pPr>
              <w:spacing w:line="276" w:lineRule="auto"/>
              <w:rPr>
                <w:rFonts w:cs="Arial"/>
              </w:rPr>
            </w:pPr>
            <w:r w:rsidRPr="00B45520">
              <w:rPr>
                <w:rFonts w:cs="Arial"/>
              </w:rPr>
              <w:t>Sin Panel</w:t>
            </w:r>
          </w:p>
        </w:tc>
        <w:tc>
          <w:tcPr>
            <w:tcW w:w="1432" w:type="dxa"/>
          </w:tcPr>
          <w:p w:rsidR="004D214C" w:rsidRPr="00B45520" w:rsidRDefault="004D214C" w:rsidP="00F26073">
            <w:pPr>
              <w:spacing w:line="276" w:lineRule="auto"/>
              <w:jc w:val="center"/>
              <w:rPr>
                <w:rFonts w:cs="Arial"/>
              </w:rPr>
            </w:pPr>
            <w:r w:rsidRPr="00B45520">
              <w:rPr>
                <w:rFonts w:cs="Arial"/>
              </w:rPr>
              <w:t xml:space="preserve">19 </w:t>
            </w:r>
            <w:proofErr w:type="spellStart"/>
            <w:r w:rsidRPr="00B45520">
              <w:rPr>
                <w:rFonts w:cs="Arial"/>
              </w:rPr>
              <w:t>max</w:t>
            </w:r>
            <w:proofErr w:type="spellEnd"/>
          </w:p>
        </w:tc>
        <w:tc>
          <w:tcPr>
            <w:tcW w:w="1554" w:type="dxa"/>
          </w:tcPr>
          <w:p w:rsidR="004D214C" w:rsidRPr="00B45520" w:rsidRDefault="004D214C" w:rsidP="00F26073">
            <w:pPr>
              <w:spacing w:line="276" w:lineRule="auto"/>
              <w:jc w:val="center"/>
              <w:rPr>
                <w:rFonts w:cs="Arial"/>
              </w:rPr>
            </w:pPr>
            <w:r w:rsidRPr="00B45520">
              <w:rPr>
                <w:rFonts w:cs="Arial"/>
              </w:rPr>
              <w:t>11 189</w:t>
            </w:r>
          </w:p>
        </w:tc>
        <w:tc>
          <w:tcPr>
            <w:tcW w:w="1575" w:type="dxa"/>
          </w:tcPr>
          <w:p w:rsidR="004D214C" w:rsidRPr="00B45520" w:rsidRDefault="004D214C" w:rsidP="00F26073">
            <w:pPr>
              <w:spacing w:line="276" w:lineRule="auto"/>
              <w:jc w:val="center"/>
              <w:rPr>
                <w:rFonts w:cs="Arial"/>
              </w:rPr>
            </w:pPr>
            <w:r w:rsidRPr="00B45520">
              <w:rPr>
                <w:rFonts w:cs="Arial"/>
              </w:rPr>
              <w:t>4 930</w:t>
            </w:r>
          </w:p>
        </w:tc>
        <w:tc>
          <w:tcPr>
            <w:tcW w:w="1331" w:type="dxa"/>
          </w:tcPr>
          <w:p w:rsidR="004D214C" w:rsidRPr="00B45520" w:rsidRDefault="004D214C" w:rsidP="00F26073">
            <w:pPr>
              <w:spacing w:line="276" w:lineRule="auto"/>
              <w:jc w:val="center"/>
              <w:rPr>
                <w:rFonts w:cs="Arial"/>
              </w:rPr>
            </w:pPr>
            <w:r w:rsidRPr="00B45520">
              <w:rPr>
                <w:rFonts w:cs="Arial"/>
              </w:rPr>
              <w:t>113</w:t>
            </w:r>
          </w:p>
        </w:tc>
        <w:tc>
          <w:tcPr>
            <w:tcW w:w="1930" w:type="dxa"/>
            <w:vMerge w:val="restart"/>
          </w:tcPr>
          <w:p w:rsidR="004D214C" w:rsidRPr="00B45520" w:rsidRDefault="004D214C" w:rsidP="00F26073">
            <w:pPr>
              <w:spacing w:line="276" w:lineRule="auto"/>
              <w:jc w:val="center"/>
              <w:rPr>
                <w:rFonts w:cs="Arial"/>
              </w:rPr>
            </w:pPr>
            <w:r w:rsidRPr="00B45520">
              <w:rPr>
                <w:rFonts w:cs="Arial"/>
              </w:rPr>
              <w:t>1 570</w:t>
            </w:r>
          </w:p>
        </w:tc>
      </w:tr>
      <w:tr w:rsidR="004D214C" w:rsidRPr="00B45520" w:rsidTr="00F26073">
        <w:trPr>
          <w:trHeight w:val="119"/>
        </w:trPr>
        <w:tc>
          <w:tcPr>
            <w:tcW w:w="1806" w:type="dxa"/>
            <w:vMerge/>
          </w:tcPr>
          <w:p w:rsidR="004D214C" w:rsidRPr="00B45520" w:rsidRDefault="004D214C" w:rsidP="00F26073">
            <w:pPr>
              <w:spacing w:line="276" w:lineRule="auto"/>
              <w:rPr>
                <w:rFonts w:cs="Arial"/>
              </w:rPr>
            </w:pPr>
          </w:p>
        </w:tc>
        <w:tc>
          <w:tcPr>
            <w:tcW w:w="1432" w:type="dxa"/>
          </w:tcPr>
          <w:p w:rsidR="004D214C" w:rsidRPr="00B45520" w:rsidRDefault="004D214C" w:rsidP="00F26073">
            <w:pPr>
              <w:spacing w:line="276" w:lineRule="auto"/>
              <w:jc w:val="center"/>
              <w:rPr>
                <w:rFonts w:cs="Arial"/>
              </w:rPr>
            </w:pPr>
            <w:r w:rsidRPr="00B45520">
              <w:rPr>
                <w:rFonts w:cs="Arial"/>
              </w:rPr>
              <w:t>12</w:t>
            </w:r>
          </w:p>
        </w:tc>
        <w:tc>
          <w:tcPr>
            <w:tcW w:w="1554" w:type="dxa"/>
          </w:tcPr>
          <w:p w:rsidR="004D214C" w:rsidRPr="00B45520" w:rsidRDefault="004D214C" w:rsidP="00F26073">
            <w:pPr>
              <w:spacing w:line="276" w:lineRule="auto"/>
              <w:jc w:val="center"/>
              <w:rPr>
                <w:rFonts w:cs="Arial"/>
              </w:rPr>
            </w:pPr>
            <w:r w:rsidRPr="00B45520">
              <w:rPr>
                <w:rFonts w:cs="Arial"/>
              </w:rPr>
              <w:t>10 128</w:t>
            </w:r>
          </w:p>
        </w:tc>
        <w:tc>
          <w:tcPr>
            <w:tcW w:w="1575" w:type="dxa"/>
          </w:tcPr>
          <w:p w:rsidR="004D214C" w:rsidRPr="00B45520" w:rsidRDefault="004D214C" w:rsidP="00F26073">
            <w:pPr>
              <w:spacing w:line="276" w:lineRule="auto"/>
              <w:jc w:val="center"/>
              <w:rPr>
                <w:rFonts w:cs="Arial"/>
              </w:rPr>
            </w:pPr>
            <w:r w:rsidRPr="00B45520">
              <w:rPr>
                <w:rFonts w:cs="Arial"/>
              </w:rPr>
              <w:t>4 490</w:t>
            </w:r>
          </w:p>
        </w:tc>
        <w:tc>
          <w:tcPr>
            <w:tcW w:w="1331" w:type="dxa"/>
          </w:tcPr>
          <w:p w:rsidR="004D214C" w:rsidRPr="00B45520" w:rsidRDefault="004D214C" w:rsidP="00F26073">
            <w:pPr>
              <w:spacing w:line="276" w:lineRule="auto"/>
              <w:jc w:val="center"/>
              <w:rPr>
                <w:rFonts w:cs="Arial"/>
              </w:rPr>
            </w:pPr>
            <w:r w:rsidRPr="00B45520">
              <w:rPr>
                <w:rFonts w:cs="Arial"/>
              </w:rPr>
              <w:t>93</w:t>
            </w:r>
          </w:p>
        </w:tc>
        <w:tc>
          <w:tcPr>
            <w:tcW w:w="1930" w:type="dxa"/>
            <w:vMerge/>
          </w:tcPr>
          <w:p w:rsidR="004D214C" w:rsidRPr="00B45520" w:rsidRDefault="004D214C" w:rsidP="00F26073">
            <w:pPr>
              <w:spacing w:line="276" w:lineRule="auto"/>
              <w:jc w:val="center"/>
              <w:rPr>
                <w:rFonts w:cs="Arial"/>
              </w:rPr>
            </w:pPr>
          </w:p>
        </w:tc>
      </w:tr>
      <w:tr w:rsidR="004D214C" w:rsidRPr="00B45520" w:rsidTr="00F26073">
        <w:trPr>
          <w:trHeight w:val="229"/>
        </w:trPr>
        <w:tc>
          <w:tcPr>
            <w:tcW w:w="9627" w:type="dxa"/>
            <w:gridSpan w:val="6"/>
          </w:tcPr>
          <w:p w:rsidR="004D214C" w:rsidRPr="00B45520" w:rsidRDefault="004D214C" w:rsidP="00F26073">
            <w:pPr>
              <w:spacing w:line="276" w:lineRule="auto"/>
              <w:jc w:val="center"/>
              <w:rPr>
                <w:rFonts w:cs="Arial"/>
              </w:rPr>
            </w:pPr>
          </w:p>
        </w:tc>
      </w:tr>
      <w:tr w:rsidR="004D214C" w:rsidRPr="00B45520" w:rsidTr="00F26073">
        <w:trPr>
          <w:trHeight w:val="229"/>
        </w:trPr>
        <w:tc>
          <w:tcPr>
            <w:tcW w:w="1806" w:type="dxa"/>
            <w:vMerge w:val="restart"/>
          </w:tcPr>
          <w:p w:rsidR="004D214C" w:rsidRPr="00B45520" w:rsidRDefault="004D214C" w:rsidP="00F26073">
            <w:pPr>
              <w:spacing w:line="276" w:lineRule="auto"/>
              <w:rPr>
                <w:rFonts w:cs="Arial"/>
              </w:rPr>
            </w:pPr>
            <w:r w:rsidRPr="00B45520">
              <w:rPr>
                <w:rFonts w:cs="Arial"/>
              </w:rPr>
              <w:t>Con Panel generando P</w:t>
            </w:r>
          </w:p>
        </w:tc>
        <w:tc>
          <w:tcPr>
            <w:tcW w:w="1432" w:type="dxa"/>
          </w:tcPr>
          <w:p w:rsidR="004D214C" w:rsidRPr="00B45520" w:rsidRDefault="004D214C" w:rsidP="00F26073">
            <w:pPr>
              <w:spacing w:line="276" w:lineRule="auto"/>
              <w:jc w:val="center"/>
              <w:rPr>
                <w:rFonts w:cs="Arial"/>
              </w:rPr>
            </w:pPr>
            <w:r w:rsidRPr="00B45520">
              <w:rPr>
                <w:rFonts w:cs="Arial"/>
              </w:rPr>
              <w:t xml:space="preserve">19 </w:t>
            </w:r>
            <w:proofErr w:type="spellStart"/>
            <w:r w:rsidRPr="00B45520">
              <w:rPr>
                <w:rFonts w:cs="Arial"/>
              </w:rPr>
              <w:t>max</w:t>
            </w:r>
            <w:proofErr w:type="spellEnd"/>
          </w:p>
        </w:tc>
        <w:tc>
          <w:tcPr>
            <w:tcW w:w="1554" w:type="dxa"/>
          </w:tcPr>
          <w:p w:rsidR="004D214C" w:rsidRPr="00B45520" w:rsidRDefault="004D214C" w:rsidP="00F26073">
            <w:pPr>
              <w:spacing w:line="276" w:lineRule="auto"/>
              <w:jc w:val="center"/>
              <w:rPr>
                <w:rFonts w:cs="Arial"/>
              </w:rPr>
            </w:pPr>
            <w:r w:rsidRPr="00B45520">
              <w:rPr>
                <w:rFonts w:cs="Arial"/>
              </w:rPr>
              <w:t>11 189</w:t>
            </w:r>
          </w:p>
        </w:tc>
        <w:tc>
          <w:tcPr>
            <w:tcW w:w="1575" w:type="dxa"/>
          </w:tcPr>
          <w:p w:rsidR="004D214C" w:rsidRPr="00B45520" w:rsidRDefault="004D214C" w:rsidP="00F26073">
            <w:pPr>
              <w:spacing w:line="276" w:lineRule="auto"/>
              <w:jc w:val="center"/>
              <w:rPr>
                <w:rFonts w:cs="Arial"/>
              </w:rPr>
            </w:pPr>
            <w:r w:rsidRPr="00B45520">
              <w:rPr>
                <w:rFonts w:cs="Arial"/>
              </w:rPr>
              <w:t>4 930</w:t>
            </w:r>
          </w:p>
        </w:tc>
        <w:tc>
          <w:tcPr>
            <w:tcW w:w="1331" w:type="dxa"/>
          </w:tcPr>
          <w:p w:rsidR="004D214C" w:rsidRPr="00B45520" w:rsidRDefault="004D214C" w:rsidP="00F26073">
            <w:pPr>
              <w:spacing w:line="276" w:lineRule="auto"/>
              <w:jc w:val="center"/>
              <w:rPr>
                <w:rFonts w:cs="Arial"/>
              </w:rPr>
            </w:pPr>
            <w:r w:rsidRPr="00B45520">
              <w:rPr>
                <w:rFonts w:cs="Arial"/>
              </w:rPr>
              <w:t>113</w:t>
            </w:r>
          </w:p>
        </w:tc>
        <w:tc>
          <w:tcPr>
            <w:tcW w:w="1930" w:type="dxa"/>
            <w:vMerge w:val="restart"/>
          </w:tcPr>
          <w:p w:rsidR="004D214C" w:rsidRPr="00B45520" w:rsidRDefault="004D214C" w:rsidP="00F26073">
            <w:pPr>
              <w:spacing w:line="276" w:lineRule="auto"/>
              <w:jc w:val="center"/>
              <w:rPr>
                <w:rFonts w:cs="Arial"/>
              </w:rPr>
            </w:pPr>
            <w:r w:rsidRPr="00B45520">
              <w:rPr>
                <w:rFonts w:cs="Arial"/>
              </w:rPr>
              <w:t>1 485</w:t>
            </w:r>
          </w:p>
        </w:tc>
      </w:tr>
      <w:tr w:rsidR="004D214C" w:rsidRPr="00B45520" w:rsidTr="00F26073">
        <w:trPr>
          <w:trHeight w:val="119"/>
        </w:trPr>
        <w:tc>
          <w:tcPr>
            <w:tcW w:w="1806" w:type="dxa"/>
            <w:vMerge/>
          </w:tcPr>
          <w:p w:rsidR="004D214C" w:rsidRPr="00B45520" w:rsidRDefault="004D214C" w:rsidP="00F26073">
            <w:pPr>
              <w:spacing w:line="276" w:lineRule="auto"/>
              <w:rPr>
                <w:rFonts w:cs="Arial"/>
              </w:rPr>
            </w:pPr>
          </w:p>
        </w:tc>
        <w:tc>
          <w:tcPr>
            <w:tcW w:w="1432" w:type="dxa"/>
          </w:tcPr>
          <w:p w:rsidR="004D214C" w:rsidRPr="00B45520" w:rsidRDefault="004D214C" w:rsidP="00F26073">
            <w:pPr>
              <w:spacing w:line="276" w:lineRule="auto"/>
              <w:jc w:val="center"/>
              <w:rPr>
                <w:rFonts w:cs="Arial"/>
              </w:rPr>
            </w:pPr>
            <w:r w:rsidRPr="00B45520">
              <w:rPr>
                <w:rFonts w:cs="Arial"/>
              </w:rPr>
              <w:t>12</w:t>
            </w:r>
          </w:p>
        </w:tc>
        <w:tc>
          <w:tcPr>
            <w:tcW w:w="1554" w:type="dxa"/>
          </w:tcPr>
          <w:p w:rsidR="004D214C" w:rsidRPr="00B45520" w:rsidRDefault="004D214C" w:rsidP="00F26073">
            <w:pPr>
              <w:spacing w:line="276" w:lineRule="auto"/>
              <w:jc w:val="center"/>
              <w:rPr>
                <w:rFonts w:cs="Arial"/>
              </w:rPr>
            </w:pPr>
            <w:r w:rsidRPr="00B45520">
              <w:rPr>
                <w:rFonts w:cs="Arial"/>
              </w:rPr>
              <w:t>9 128</w:t>
            </w:r>
          </w:p>
        </w:tc>
        <w:tc>
          <w:tcPr>
            <w:tcW w:w="1575" w:type="dxa"/>
          </w:tcPr>
          <w:p w:rsidR="004D214C" w:rsidRPr="00B45520" w:rsidRDefault="004D214C" w:rsidP="00F26073">
            <w:pPr>
              <w:spacing w:line="276" w:lineRule="auto"/>
              <w:jc w:val="center"/>
              <w:rPr>
                <w:rFonts w:cs="Arial"/>
              </w:rPr>
            </w:pPr>
            <w:r w:rsidRPr="00B45520">
              <w:rPr>
                <w:rFonts w:cs="Arial"/>
              </w:rPr>
              <w:t>4 490</w:t>
            </w:r>
          </w:p>
        </w:tc>
        <w:tc>
          <w:tcPr>
            <w:tcW w:w="1331" w:type="dxa"/>
          </w:tcPr>
          <w:p w:rsidR="004D214C" w:rsidRPr="00B45520" w:rsidRDefault="004D214C" w:rsidP="00F26073">
            <w:pPr>
              <w:spacing w:line="276" w:lineRule="auto"/>
              <w:jc w:val="center"/>
              <w:rPr>
                <w:rFonts w:cs="Arial"/>
              </w:rPr>
            </w:pPr>
            <w:r w:rsidRPr="00B45520">
              <w:rPr>
                <w:rFonts w:cs="Arial"/>
              </w:rPr>
              <w:t>76</w:t>
            </w:r>
          </w:p>
        </w:tc>
        <w:tc>
          <w:tcPr>
            <w:tcW w:w="1930" w:type="dxa"/>
            <w:vMerge/>
          </w:tcPr>
          <w:p w:rsidR="004D214C" w:rsidRPr="00B45520" w:rsidRDefault="004D214C" w:rsidP="00F26073">
            <w:pPr>
              <w:spacing w:line="276" w:lineRule="auto"/>
              <w:jc w:val="center"/>
              <w:rPr>
                <w:rFonts w:cs="Arial"/>
              </w:rPr>
            </w:pPr>
          </w:p>
        </w:tc>
      </w:tr>
      <w:tr w:rsidR="004D214C" w:rsidRPr="00B45520" w:rsidTr="00F26073">
        <w:trPr>
          <w:trHeight w:val="229"/>
        </w:trPr>
        <w:tc>
          <w:tcPr>
            <w:tcW w:w="9627" w:type="dxa"/>
            <w:gridSpan w:val="6"/>
          </w:tcPr>
          <w:p w:rsidR="004D214C" w:rsidRPr="00B45520" w:rsidRDefault="004D214C" w:rsidP="00F26073">
            <w:pPr>
              <w:spacing w:line="276" w:lineRule="auto"/>
              <w:jc w:val="center"/>
              <w:rPr>
                <w:rFonts w:cs="Arial"/>
              </w:rPr>
            </w:pPr>
          </w:p>
        </w:tc>
      </w:tr>
      <w:tr w:rsidR="004D214C" w:rsidRPr="00B45520" w:rsidTr="00F26073">
        <w:trPr>
          <w:trHeight w:val="229"/>
        </w:trPr>
        <w:tc>
          <w:tcPr>
            <w:tcW w:w="1806" w:type="dxa"/>
            <w:vMerge w:val="restart"/>
          </w:tcPr>
          <w:p w:rsidR="004D214C" w:rsidRPr="00B45520" w:rsidRDefault="004D214C" w:rsidP="00F26073">
            <w:pPr>
              <w:spacing w:line="276" w:lineRule="auto"/>
              <w:rPr>
                <w:rFonts w:cs="Arial"/>
              </w:rPr>
            </w:pPr>
            <w:r w:rsidRPr="00B45520">
              <w:rPr>
                <w:rFonts w:cs="Arial"/>
              </w:rPr>
              <w:t>Con Panel generando P y Q</w:t>
            </w:r>
          </w:p>
        </w:tc>
        <w:tc>
          <w:tcPr>
            <w:tcW w:w="1432" w:type="dxa"/>
          </w:tcPr>
          <w:p w:rsidR="004D214C" w:rsidRPr="00B45520" w:rsidRDefault="004D214C" w:rsidP="00F26073">
            <w:pPr>
              <w:spacing w:line="276" w:lineRule="auto"/>
              <w:jc w:val="center"/>
              <w:rPr>
                <w:rFonts w:cs="Arial"/>
              </w:rPr>
            </w:pPr>
            <w:r w:rsidRPr="00B45520">
              <w:rPr>
                <w:rFonts w:cs="Arial"/>
              </w:rPr>
              <w:t xml:space="preserve">19 </w:t>
            </w:r>
            <w:proofErr w:type="spellStart"/>
            <w:r w:rsidRPr="00B45520">
              <w:rPr>
                <w:rFonts w:cs="Arial"/>
              </w:rPr>
              <w:t>max</w:t>
            </w:r>
            <w:proofErr w:type="spellEnd"/>
          </w:p>
        </w:tc>
        <w:tc>
          <w:tcPr>
            <w:tcW w:w="1554" w:type="dxa"/>
          </w:tcPr>
          <w:p w:rsidR="004D214C" w:rsidRPr="00B45520" w:rsidRDefault="004D214C" w:rsidP="00F26073">
            <w:pPr>
              <w:spacing w:line="276" w:lineRule="auto"/>
              <w:jc w:val="center"/>
              <w:rPr>
                <w:rFonts w:cs="Arial"/>
              </w:rPr>
            </w:pPr>
            <w:r w:rsidRPr="00B45520">
              <w:rPr>
                <w:rFonts w:cs="Arial"/>
              </w:rPr>
              <w:t>11 189</w:t>
            </w:r>
          </w:p>
        </w:tc>
        <w:tc>
          <w:tcPr>
            <w:tcW w:w="1575" w:type="dxa"/>
          </w:tcPr>
          <w:p w:rsidR="004D214C" w:rsidRPr="00B45520" w:rsidRDefault="004D214C" w:rsidP="00F26073">
            <w:pPr>
              <w:spacing w:line="276" w:lineRule="auto"/>
              <w:jc w:val="center"/>
              <w:rPr>
                <w:rFonts w:cs="Arial"/>
              </w:rPr>
            </w:pPr>
            <w:r w:rsidRPr="00B45520">
              <w:rPr>
                <w:rFonts w:cs="Arial"/>
              </w:rPr>
              <w:t>3 930</w:t>
            </w:r>
          </w:p>
        </w:tc>
        <w:tc>
          <w:tcPr>
            <w:tcW w:w="1331" w:type="dxa"/>
          </w:tcPr>
          <w:p w:rsidR="004D214C" w:rsidRPr="00B45520" w:rsidRDefault="004D214C" w:rsidP="00F26073">
            <w:pPr>
              <w:spacing w:line="276" w:lineRule="auto"/>
              <w:jc w:val="center"/>
              <w:rPr>
                <w:rFonts w:cs="Arial"/>
              </w:rPr>
            </w:pPr>
            <w:r w:rsidRPr="00B45520">
              <w:rPr>
                <w:rFonts w:cs="Arial"/>
              </w:rPr>
              <w:t>105</w:t>
            </w:r>
          </w:p>
        </w:tc>
        <w:tc>
          <w:tcPr>
            <w:tcW w:w="1930" w:type="dxa"/>
            <w:vMerge w:val="restart"/>
          </w:tcPr>
          <w:p w:rsidR="004D214C" w:rsidRPr="00B45520" w:rsidRDefault="004D214C" w:rsidP="00F26073">
            <w:pPr>
              <w:spacing w:line="276" w:lineRule="auto"/>
              <w:jc w:val="center"/>
              <w:rPr>
                <w:rFonts w:cs="Arial"/>
              </w:rPr>
            </w:pPr>
            <w:r w:rsidRPr="00B45520">
              <w:rPr>
                <w:rFonts w:cs="Arial"/>
              </w:rPr>
              <w:t>1 362</w:t>
            </w:r>
          </w:p>
        </w:tc>
      </w:tr>
      <w:tr w:rsidR="004D214C" w:rsidRPr="00B45520" w:rsidTr="00F26073">
        <w:trPr>
          <w:trHeight w:val="119"/>
        </w:trPr>
        <w:tc>
          <w:tcPr>
            <w:tcW w:w="1806" w:type="dxa"/>
            <w:vMerge/>
          </w:tcPr>
          <w:p w:rsidR="004D214C" w:rsidRPr="00B45520" w:rsidRDefault="004D214C" w:rsidP="00F26073">
            <w:pPr>
              <w:spacing w:line="276" w:lineRule="auto"/>
              <w:rPr>
                <w:rFonts w:cs="Arial"/>
              </w:rPr>
            </w:pPr>
          </w:p>
        </w:tc>
        <w:tc>
          <w:tcPr>
            <w:tcW w:w="1432" w:type="dxa"/>
          </w:tcPr>
          <w:p w:rsidR="004D214C" w:rsidRPr="00B45520" w:rsidRDefault="004D214C" w:rsidP="00F26073">
            <w:pPr>
              <w:spacing w:line="276" w:lineRule="auto"/>
              <w:jc w:val="center"/>
              <w:rPr>
                <w:rFonts w:cs="Arial"/>
              </w:rPr>
            </w:pPr>
            <w:r w:rsidRPr="00B45520">
              <w:rPr>
                <w:rFonts w:cs="Arial"/>
              </w:rPr>
              <w:t>12</w:t>
            </w:r>
          </w:p>
        </w:tc>
        <w:tc>
          <w:tcPr>
            <w:tcW w:w="1554" w:type="dxa"/>
          </w:tcPr>
          <w:p w:rsidR="004D214C" w:rsidRPr="00B45520" w:rsidRDefault="004D214C" w:rsidP="00F26073">
            <w:pPr>
              <w:spacing w:line="276" w:lineRule="auto"/>
              <w:jc w:val="center"/>
              <w:rPr>
                <w:rFonts w:cs="Arial"/>
              </w:rPr>
            </w:pPr>
            <w:r w:rsidRPr="00B45520">
              <w:rPr>
                <w:rFonts w:cs="Arial"/>
              </w:rPr>
              <w:t>9 128</w:t>
            </w:r>
          </w:p>
        </w:tc>
        <w:tc>
          <w:tcPr>
            <w:tcW w:w="1575" w:type="dxa"/>
          </w:tcPr>
          <w:p w:rsidR="004D214C" w:rsidRPr="00B45520" w:rsidRDefault="004D214C" w:rsidP="00F26073">
            <w:pPr>
              <w:spacing w:line="276" w:lineRule="auto"/>
              <w:jc w:val="center"/>
              <w:rPr>
                <w:rFonts w:cs="Arial"/>
              </w:rPr>
            </w:pPr>
            <w:r w:rsidRPr="00B45520">
              <w:rPr>
                <w:rFonts w:cs="Arial"/>
              </w:rPr>
              <w:t>4 490</w:t>
            </w:r>
          </w:p>
        </w:tc>
        <w:tc>
          <w:tcPr>
            <w:tcW w:w="1331" w:type="dxa"/>
          </w:tcPr>
          <w:p w:rsidR="004D214C" w:rsidRPr="00B45520" w:rsidRDefault="004D214C" w:rsidP="00F26073">
            <w:pPr>
              <w:spacing w:line="276" w:lineRule="auto"/>
              <w:jc w:val="center"/>
              <w:rPr>
                <w:rFonts w:cs="Arial"/>
              </w:rPr>
            </w:pPr>
            <w:r w:rsidRPr="00B45520">
              <w:rPr>
                <w:rFonts w:cs="Arial"/>
              </w:rPr>
              <w:t>76</w:t>
            </w:r>
          </w:p>
        </w:tc>
        <w:tc>
          <w:tcPr>
            <w:tcW w:w="1930" w:type="dxa"/>
            <w:vMerge/>
          </w:tcPr>
          <w:p w:rsidR="004D214C" w:rsidRPr="00B45520" w:rsidRDefault="004D214C" w:rsidP="00F26073">
            <w:pPr>
              <w:spacing w:line="276" w:lineRule="auto"/>
              <w:jc w:val="center"/>
              <w:rPr>
                <w:rFonts w:cs="Arial"/>
              </w:rPr>
            </w:pPr>
          </w:p>
        </w:tc>
      </w:tr>
    </w:tbl>
    <w:p w:rsidR="004D214C" w:rsidRPr="008931E2" w:rsidRDefault="004D214C" w:rsidP="00EB51E3">
      <w:pPr>
        <w:pStyle w:val="Default"/>
        <w:spacing w:before="120" w:after="120" w:line="276" w:lineRule="auto"/>
        <w:jc w:val="both"/>
      </w:pPr>
      <w:r w:rsidRPr="008931E2">
        <w:t xml:space="preserve">Si el PFV UCLV hubiera sido instalado con inversores capaces de generar potencia reactiva, el ahorro por disminución de pérdidas de energía en líneas, para el caso real de operación desde Sub Industrial, hubiera sido de (1 570 – 1 362)*365/1 000 = 75 </w:t>
      </w:r>
      <w:proofErr w:type="spellStart"/>
      <w:r w:rsidRPr="008931E2">
        <w:t>MW.h</w:t>
      </w:r>
      <w:proofErr w:type="spellEnd"/>
      <w:r w:rsidRPr="008931E2">
        <w:t xml:space="preserve">/año, 45 </w:t>
      </w:r>
      <w:proofErr w:type="spellStart"/>
      <w:r w:rsidRPr="008931E2">
        <w:t>MW.h</w:t>
      </w:r>
      <w:proofErr w:type="spellEnd"/>
      <w:r w:rsidRPr="008931E2">
        <w:t>/año adicionales equivalente a 2 920 CUC/año, y 75*1,127 = 85 t/año de CO2 dejadas de emitir a la atmósfera.</w:t>
      </w:r>
    </w:p>
    <w:p w:rsidR="004D214C" w:rsidRPr="008931E2" w:rsidRDefault="004D214C" w:rsidP="00EB51E3">
      <w:pPr>
        <w:pStyle w:val="Default"/>
        <w:spacing w:before="120" w:after="120" w:line="276" w:lineRule="auto"/>
        <w:jc w:val="both"/>
      </w:pPr>
      <w:r w:rsidRPr="008931E2">
        <w:t xml:space="preserve">De las cuatro posibilidades analizadas, la alimentación actual (Circuito 6375) resulta la más ventajosa. Figura </w:t>
      </w:r>
      <w:r w:rsidR="006F4B9D" w:rsidRPr="008931E2">
        <w:t>1.1</w:t>
      </w:r>
      <w:r w:rsidRPr="008931E2">
        <w:t>.</w:t>
      </w:r>
    </w:p>
    <w:p w:rsidR="004D214C" w:rsidRPr="008931E2" w:rsidRDefault="004D214C" w:rsidP="00EB51E3">
      <w:pPr>
        <w:pStyle w:val="Default"/>
        <w:spacing w:before="120" w:after="120" w:line="276" w:lineRule="auto"/>
        <w:jc w:val="both"/>
        <w:rPr>
          <w:b/>
        </w:rPr>
      </w:pPr>
      <w:bookmarkStart w:id="6" w:name="_Toc517706009"/>
      <w:r w:rsidRPr="008931E2">
        <w:rPr>
          <w:b/>
        </w:rPr>
        <w:t>Análisis Frigorífico</w:t>
      </w:r>
      <w:bookmarkEnd w:id="6"/>
    </w:p>
    <w:p w:rsidR="004D214C" w:rsidRPr="008931E2" w:rsidRDefault="004D214C" w:rsidP="00EB51E3">
      <w:pPr>
        <w:pStyle w:val="Default"/>
        <w:spacing w:before="120" w:after="120" w:line="276" w:lineRule="auto"/>
        <w:jc w:val="both"/>
      </w:pPr>
      <w:r w:rsidRPr="008931E2">
        <w:t xml:space="preserve">El PFV Frigorífico también está localizado dentro de la red de 33 kV. Se encuentra conectado actualmente en el circuito 1770 (Figura </w:t>
      </w:r>
      <w:r w:rsidR="006F4B9D" w:rsidRPr="008931E2">
        <w:t>1.1</w:t>
      </w:r>
      <w:r w:rsidRPr="008931E2">
        <w:t>) y tiene como posibles conexiones tanto en condiciones normales como de emergencia al circuito 1785, alimentado desde la sub Santa Clara Industrial, el cual se consideró como el de mayor interés para estos casos y el circuito 129 alimentado desde la sub Santa Clara, de ambos circuitos se analizó el 1785 por lo antes expresado.</w:t>
      </w:r>
    </w:p>
    <w:p w:rsidR="004D214C" w:rsidRPr="008931E2" w:rsidRDefault="004D214C" w:rsidP="00EB51E3">
      <w:pPr>
        <w:pStyle w:val="Default"/>
        <w:spacing w:before="120" w:after="120" w:line="276" w:lineRule="auto"/>
        <w:jc w:val="both"/>
      </w:pPr>
      <w:r w:rsidRPr="008931E2">
        <w:t>El estudio del efecto del PFV Frigorífico sobre la red de 33 kV se lleva a cabo simulando estos dos circuitos, a los que se puede conectar dicho parque; para lo cual se cuenta, como en casos anteriores, con el software especializado RADIAL.</w:t>
      </w:r>
    </w:p>
    <w:p w:rsidR="004D214C" w:rsidRPr="008931E2" w:rsidRDefault="004D214C" w:rsidP="00EB51E3">
      <w:pPr>
        <w:pStyle w:val="Default"/>
        <w:spacing w:before="120" w:after="120" w:line="276" w:lineRule="auto"/>
        <w:jc w:val="both"/>
        <w:rPr>
          <w:b/>
        </w:rPr>
      </w:pPr>
      <w:bookmarkStart w:id="7" w:name="_Toc517706010"/>
      <w:r w:rsidRPr="008931E2">
        <w:rPr>
          <w:b/>
        </w:rPr>
        <w:t>Circuito 1770 de conexión actual del PFV Frigorífico</w:t>
      </w:r>
      <w:bookmarkEnd w:id="7"/>
    </w:p>
    <w:p w:rsidR="004D214C" w:rsidRPr="008931E2" w:rsidRDefault="004D214C" w:rsidP="00EB51E3">
      <w:pPr>
        <w:pStyle w:val="Default"/>
        <w:spacing w:before="120" w:after="120" w:line="276" w:lineRule="auto"/>
        <w:jc w:val="both"/>
      </w:pPr>
      <w:r w:rsidRPr="008931E2">
        <w:t xml:space="preserve">Se puede apreciar el gráfico de carga del circuito 1770 Figura </w:t>
      </w:r>
      <w:r w:rsidR="00D87118" w:rsidRPr="008931E2">
        <w:t>1.1</w:t>
      </w:r>
      <w:r w:rsidRPr="008931E2">
        <w:t xml:space="preserve"> con la conexión del parque y sin ella en la Figura </w:t>
      </w:r>
      <w:r w:rsidR="00D87118" w:rsidRPr="008931E2">
        <w:t>1.14</w:t>
      </w:r>
      <w:r w:rsidRPr="008931E2">
        <w:t>.</w:t>
      </w:r>
    </w:p>
    <w:p w:rsidR="004D214C" w:rsidRDefault="004D214C" w:rsidP="004D214C">
      <w:pPr>
        <w:rPr>
          <w:rStyle w:val="EstiloTimesNewRoman"/>
        </w:rPr>
      </w:pPr>
      <w:r>
        <w:rPr>
          <w:noProof/>
          <w:lang w:val="es-MX" w:eastAsia="es-MX"/>
        </w:rPr>
        <w:drawing>
          <wp:inline distT="0" distB="0" distL="0" distR="0">
            <wp:extent cx="6019800" cy="1495425"/>
            <wp:effectExtent l="0" t="0" r="0" b="0"/>
            <wp:docPr id="1131" name="Gráfico 1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D214C" w:rsidRPr="00D87118" w:rsidRDefault="004D214C" w:rsidP="004D214C">
      <w:pPr>
        <w:spacing w:after="120"/>
        <w:jc w:val="center"/>
        <w:rPr>
          <w:rFonts w:ascii="Times New Roman" w:hAnsi="Times New Roman" w:cs="Times New Roman"/>
          <w:sz w:val="20"/>
          <w:szCs w:val="20"/>
        </w:rPr>
      </w:pPr>
      <w:r w:rsidRPr="00D87118">
        <w:rPr>
          <w:rFonts w:ascii="Times New Roman" w:hAnsi="Times New Roman" w:cs="Times New Roman"/>
          <w:sz w:val="20"/>
          <w:szCs w:val="20"/>
        </w:rPr>
        <w:t xml:space="preserve">Figura </w:t>
      </w:r>
      <w:r w:rsidR="00D87118" w:rsidRPr="00D87118">
        <w:rPr>
          <w:rFonts w:ascii="Times New Roman" w:hAnsi="Times New Roman" w:cs="Times New Roman"/>
          <w:sz w:val="20"/>
          <w:szCs w:val="20"/>
        </w:rPr>
        <w:t>1.14</w:t>
      </w:r>
      <w:r w:rsidRPr="00D87118">
        <w:rPr>
          <w:rFonts w:ascii="Times New Roman" w:hAnsi="Times New Roman" w:cs="Times New Roman"/>
          <w:sz w:val="20"/>
          <w:szCs w:val="20"/>
        </w:rPr>
        <w:t>: Gráfico de carga del circuito 1770. P (kW) contra t (h).</w:t>
      </w:r>
    </w:p>
    <w:p w:rsidR="004D214C" w:rsidRPr="008931E2" w:rsidRDefault="004D214C" w:rsidP="00EB51E3">
      <w:pPr>
        <w:pStyle w:val="Default"/>
        <w:spacing w:before="120" w:after="120" w:line="276" w:lineRule="auto"/>
        <w:jc w:val="both"/>
      </w:pPr>
      <w:r w:rsidRPr="008931E2">
        <w:lastRenderedPageBreak/>
        <w:t xml:space="preserve">Las pérdidas de potencia activa con el parque y sin él, se aprecian en la Figura </w:t>
      </w:r>
      <w:r w:rsidR="00D87118" w:rsidRPr="008931E2">
        <w:t>1.15</w:t>
      </w:r>
      <w:r w:rsidRPr="008931E2">
        <w:t xml:space="preserve">.La proximidad del PFV Frigorífico a las barras de la Sub Industrial, unida a esta a través de tramos de línea muy cortos y por tanto con pérdidas mínimas, prácticamente no justifican un análisis similar al que se hizo para el PFV UCLV, el cual se encuentra a más de 10 km de la Sub. Las pérdidas de energía en líneas para las peores condiciones apenas son del orden de los 10 </w:t>
      </w:r>
      <w:proofErr w:type="spellStart"/>
      <w:r w:rsidRPr="008931E2">
        <w:t>kW.h</w:t>
      </w:r>
      <w:proofErr w:type="spellEnd"/>
      <w:r w:rsidRPr="008931E2">
        <w:t>/día, por lo que los beneficios son prácticamente insignificantes.</w:t>
      </w:r>
    </w:p>
    <w:p w:rsidR="004D214C" w:rsidRDefault="004D214C" w:rsidP="004D214C">
      <w:pPr>
        <w:spacing w:before="240" w:after="240"/>
        <w:jc w:val="center"/>
        <w:rPr>
          <w:rFonts w:cs="Arial"/>
          <w:b/>
          <w:sz w:val="20"/>
          <w:szCs w:val="20"/>
        </w:rPr>
      </w:pPr>
      <w:r>
        <w:rPr>
          <w:noProof/>
          <w:lang w:val="es-MX" w:eastAsia="es-MX"/>
        </w:rPr>
        <w:drawing>
          <wp:inline distT="0" distB="0" distL="0" distR="0">
            <wp:extent cx="6057900" cy="1714500"/>
            <wp:effectExtent l="0" t="0" r="0" b="0"/>
            <wp:docPr id="1132" name="Gráfico 1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D214C" w:rsidRPr="00D87118" w:rsidRDefault="004D214C" w:rsidP="004D214C">
      <w:pPr>
        <w:spacing w:after="120"/>
        <w:jc w:val="center"/>
        <w:rPr>
          <w:rFonts w:ascii="Times New Roman" w:hAnsi="Times New Roman" w:cs="Times New Roman"/>
          <w:sz w:val="20"/>
          <w:szCs w:val="20"/>
        </w:rPr>
      </w:pPr>
      <w:r w:rsidRPr="00D87118">
        <w:rPr>
          <w:rFonts w:ascii="Times New Roman" w:hAnsi="Times New Roman" w:cs="Times New Roman"/>
          <w:sz w:val="20"/>
          <w:szCs w:val="20"/>
        </w:rPr>
        <w:t xml:space="preserve">Figura </w:t>
      </w:r>
      <w:r w:rsidR="00D87118">
        <w:rPr>
          <w:rFonts w:ascii="Times New Roman" w:hAnsi="Times New Roman" w:cs="Times New Roman"/>
          <w:sz w:val="20"/>
          <w:szCs w:val="20"/>
        </w:rPr>
        <w:t>1.15</w:t>
      </w:r>
      <w:r w:rsidRPr="00D87118">
        <w:rPr>
          <w:rFonts w:ascii="Times New Roman" w:hAnsi="Times New Roman" w:cs="Times New Roman"/>
          <w:sz w:val="20"/>
          <w:szCs w:val="20"/>
        </w:rPr>
        <w:t>: Gráfico de pérdidas de potencia activa. P (kW) contra t (h).</w:t>
      </w:r>
    </w:p>
    <w:p w:rsidR="004D214C" w:rsidRPr="00D87118" w:rsidRDefault="004D214C" w:rsidP="004D214C">
      <w:pPr>
        <w:spacing w:before="120"/>
        <w:jc w:val="center"/>
        <w:rPr>
          <w:rFonts w:ascii="Times New Roman" w:hAnsi="Times New Roman" w:cs="Times New Roman"/>
          <w:sz w:val="20"/>
          <w:szCs w:val="20"/>
        </w:rPr>
      </w:pPr>
      <w:r w:rsidRPr="00D87118">
        <w:rPr>
          <w:rFonts w:ascii="Times New Roman" w:hAnsi="Times New Roman" w:cs="Times New Roman"/>
          <w:sz w:val="20"/>
          <w:szCs w:val="20"/>
        </w:rPr>
        <w:t>Tabla 3.5 Frigorífico alimentado desde la Sub Industrial (1770)</w:t>
      </w:r>
    </w:p>
    <w:tbl>
      <w:tblPr>
        <w:tblStyle w:val="Tablaconcuadrcula"/>
        <w:tblW w:w="9565" w:type="dxa"/>
        <w:tblLook w:val="04A0" w:firstRow="1" w:lastRow="0" w:firstColumn="1" w:lastColumn="0" w:noHBand="0" w:noVBand="1"/>
      </w:tblPr>
      <w:tblGrid>
        <w:gridCol w:w="1793"/>
        <w:gridCol w:w="1420"/>
        <w:gridCol w:w="1548"/>
        <w:gridCol w:w="1564"/>
        <w:gridCol w:w="1322"/>
        <w:gridCol w:w="1918"/>
      </w:tblGrid>
      <w:tr w:rsidR="004D214C" w:rsidRPr="00B73F36" w:rsidTr="00F26073">
        <w:trPr>
          <w:trHeight w:val="605"/>
        </w:trPr>
        <w:tc>
          <w:tcPr>
            <w:tcW w:w="1793" w:type="dxa"/>
          </w:tcPr>
          <w:p w:rsidR="004D214C" w:rsidRPr="00B73F36" w:rsidRDefault="004D214C" w:rsidP="00F26073">
            <w:pPr>
              <w:spacing w:line="276" w:lineRule="auto"/>
              <w:rPr>
                <w:rFonts w:cs="Arial"/>
              </w:rPr>
            </w:pPr>
          </w:p>
        </w:tc>
        <w:tc>
          <w:tcPr>
            <w:tcW w:w="1420" w:type="dxa"/>
          </w:tcPr>
          <w:p w:rsidR="004D214C" w:rsidRPr="00B73F36" w:rsidRDefault="004D214C" w:rsidP="00F26073">
            <w:pPr>
              <w:spacing w:line="276" w:lineRule="auto"/>
              <w:jc w:val="center"/>
              <w:rPr>
                <w:rFonts w:cs="Arial"/>
              </w:rPr>
            </w:pPr>
            <w:r w:rsidRPr="00B73F36">
              <w:rPr>
                <w:rFonts w:cs="Arial"/>
              </w:rPr>
              <w:t>Hora</w:t>
            </w:r>
          </w:p>
        </w:tc>
        <w:tc>
          <w:tcPr>
            <w:tcW w:w="1548" w:type="dxa"/>
          </w:tcPr>
          <w:p w:rsidR="004D214C" w:rsidRPr="00B73F36" w:rsidRDefault="004D214C" w:rsidP="00F26073">
            <w:pPr>
              <w:spacing w:line="276" w:lineRule="auto"/>
              <w:jc w:val="center"/>
              <w:rPr>
                <w:rFonts w:cs="Arial"/>
              </w:rPr>
            </w:pPr>
            <w:r w:rsidRPr="00B73F36">
              <w:rPr>
                <w:rFonts w:cs="Arial"/>
              </w:rPr>
              <w:t>P (kW)</w:t>
            </w:r>
          </w:p>
        </w:tc>
        <w:tc>
          <w:tcPr>
            <w:tcW w:w="1564" w:type="dxa"/>
          </w:tcPr>
          <w:p w:rsidR="004D214C" w:rsidRPr="00B73F36" w:rsidRDefault="004D214C" w:rsidP="00F26073">
            <w:pPr>
              <w:spacing w:line="276" w:lineRule="auto"/>
              <w:jc w:val="center"/>
              <w:rPr>
                <w:rFonts w:cs="Arial"/>
              </w:rPr>
            </w:pPr>
            <w:r w:rsidRPr="00B73F36">
              <w:rPr>
                <w:rFonts w:cs="Arial"/>
              </w:rPr>
              <w:t>Q (</w:t>
            </w:r>
            <w:proofErr w:type="spellStart"/>
            <w:r w:rsidRPr="00B73F36">
              <w:rPr>
                <w:rFonts w:cs="Arial"/>
              </w:rPr>
              <w:t>kvar</w:t>
            </w:r>
            <w:proofErr w:type="spellEnd"/>
            <w:r w:rsidRPr="00B73F36">
              <w:rPr>
                <w:rFonts w:cs="Arial"/>
              </w:rPr>
              <w:t>)</w:t>
            </w:r>
          </w:p>
        </w:tc>
        <w:tc>
          <w:tcPr>
            <w:tcW w:w="1322" w:type="dxa"/>
          </w:tcPr>
          <w:p w:rsidR="004D214C" w:rsidRPr="00B73F36" w:rsidRDefault="004D214C" w:rsidP="00F26073">
            <w:pPr>
              <w:spacing w:line="276" w:lineRule="auto"/>
              <w:jc w:val="center"/>
              <w:rPr>
                <w:rFonts w:cs="Arial"/>
              </w:rPr>
            </w:pPr>
            <w:proofErr w:type="spellStart"/>
            <w:r w:rsidRPr="00B73F36">
              <w:rPr>
                <w:rFonts w:cs="Arial"/>
              </w:rPr>
              <w:t>ΔP</w:t>
            </w:r>
            <w:r w:rsidRPr="00B73F36">
              <w:rPr>
                <w:rFonts w:cs="Arial"/>
                <w:vertAlign w:val="subscript"/>
              </w:rPr>
              <w:t>línea</w:t>
            </w:r>
            <w:proofErr w:type="spellEnd"/>
            <w:r w:rsidRPr="00B73F36">
              <w:rPr>
                <w:rFonts w:cs="Arial"/>
              </w:rPr>
              <w:t xml:space="preserve"> (kW)</w:t>
            </w:r>
          </w:p>
        </w:tc>
        <w:tc>
          <w:tcPr>
            <w:tcW w:w="1918" w:type="dxa"/>
          </w:tcPr>
          <w:p w:rsidR="004D214C" w:rsidRPr="00B73F36" w:rsidRDefault="004D214C" w:rsidP="00F26073">
            <w:pPr>
              <w:spacing w:line="276" w:lineRule="auto"/>
              <w:jc w:val="center"/>
              <w:rPr>
                <w:rFonts w:cs="Arial"/>
              </w:rPr>
            </w:pPr>
            <w:proofErr w:type="spellStart"/>
            <w:r w:rsidRPr="00B73F36">
              <w:rPr>
                <w:rFonts w:cs="Arial"/>
              </w:rPr>
              <w:t>ΔE</w:t>
            </w:r>
            <w:r w:rsidRPr="00B73F36">
              <w:rPr>
                <w:rFonts w:cs="Arial"/>
                <w:vertAlign w:val="subscript"/>
              </w:rPr>
              <w:t>línea</w:t>
            </w:r>
            <w:proofErr w:type="spellEnd"/>
            <w:r w:rsidRPr="00B73F36">
              <w:rPr>
                <w:rFonts w:cs="Arial"/>
              </w:rPr>
              <w:t xml:space="preserve"> (</w:t>
            </w:r>
            <w:proofErr w:type="spellStart"/>
            <w:r w:rsidRPr="00B73F36">
              <w:rPr>
                <w:rFonts w:cs="Arial"/>
              </w:rPr>
              <w:t>kW.h</w:t>
            </w:r>
            <w:proofErr w:type="spellEnd"/>
            <w:r w:rsidRPr="00B73F36">
              <w:rPr>
                <w:rFonts w:cs="Arial"/>
              </w:rPr>
              <w:t>/día)</w:t>
            </w:r>
          </w:p>
        </w:tc>
      </w:tr>
      <w:tr w:rsidR="004D214C" w:rsidRPr="00B73F36" w:rsidTr="00F26073">
        <w:trPr>
          <w:trHeight w:val="303"/>
        </w:trPr>
        <w:tc>
          <w:tcPr>
            <w:tcW w:w="1793" w:type="dxa"/>
            <w:vMerge w:val="restart"/>
          </w:tcPr>
          <w:p w:rsidR="004D214C" w:rsidRPr="00B73F36" w:rsidRDefault="004D214C" w:rsidP="00F26073">
            <w:pPr>
              <w:spacing w:line="276" w:lineRule="auto"/>
              <w:rPr>
                <w:rFonts w:cs="Arial"/>
              </w:rPr>
            </w:pPr>
            <w:r w:rsidRPr="00B73F36">
              <w:rPr>
                <w:rFonts w:cs="Arial"/>
              </w:rPr>
              <w:t>Sin Panel</w:t>
            </w:r>
          </w:p>
        </w:tc>
        <w:tc>
          <w:tcPr>
            <w:tcW w:w="1420" w:type="dxa"/>
          </w:tcPr>
          <w:p w:rsidR="004D214C" w:rsidRPr="00B73F36" w:rsidRDefault="004D214C" w:rsidP="00F26073">
            <w:pPr>
              <w:spacing w:line="276" w:lineRule="auto"/>
              <w:jc w:val="center"/>
              <w:rPr>
                <w:rFonts w:cs="Arial"/>
              </w:rPr>
            </w:pPr>
            <w:r w:rsidRPr="00B73F36">
              <w:rPr>
                <w:rFonts w:cs="Arial"/>
              </w:rPr>
              <w:t xml:space="preserve">9 </w:t>
            </w:r>
            <w:proofErr w:type="spellStart"/>
            <w:r w:rsidRPr="00B73F36">
              <w:rPr>
                <w:rFonts w:cs="Arial"/>
              </w:rPr>
              <w:t>max</w:t>
            </w:r>
            <w:proofErr w:type="spellEnd"/>
          </w:p>
        </w:tc>
        <w:tc>
          <w:tcPr>
            <w:tcW w:w="1548" w:type="dxa"/>
          </w:tcPr>
          <w:p w:rsidR="004D214C" w:rsidRPr="00B73F36" w:rsidRDefault="004D214C" w:rsidP="00F26073">
            <w:pPr>
              <w:spacing w:line="276" w:lineRule="auto"/>
              <w:jc w:val="center"/>
              <w:rPr>
                <w:rFonts w:cs="Arial"/>
              </w:rPr>
            </w:pPr>
            <w:r w:rsidRPr="00B73F36">
              <w:rPr>
                <w:rFonts w:cs="Arial"/>
              </w:rPr>
              <w:t>1 638</w:t>
            </w:r>
          </w:p>
        </w:tc>
        <w:tc>
          <w:tcPr>
            <w:tcW w:w="1564" w:type="dxa"/>
          </w:tcPr>
          <w:p w:rsidR="004D214C" w:rsidRPr="00B73F36" w:rsidRDefault="004D214C" w:rsidP="00F26073">
            <w:pPr>
              <w:spacing w:line="276" w:lineRule="auto"/>
              <w:jc w:val="center"/>
              <w:rPr>
                <w:rFonts w:cs="Arial"/>
              </w:rPr>
            </w:pPr>
            <w:r w:rsidRPr="00B73F36">
              <w:rPr>
                <w:rFonts w:cs="Arial"/>
              </w:rPr>
              <w:t>804</w:t>
            </w:r>
          </w:p>
        </w:tc>
        <w:tc>
          <w:tcPr>
            <w:tcW w:w="1322" w:type="dxa"/>
          </w:tcPr>
          <w:p w:rsidR="004D214C" w:rsidRPr="00B73F36" w:rsidRDefault="004D214C" w:rsidP="00F26073">
            <w:pPr>
              <w:spacing w:line="276" w:lineRule="auto"/>
              <w:jc w:val="center"/>
              <w:rPr>
                <w:rFonts w:cs="Arial"/>
              </w:rPr>
            </w:pPr>
            <w:r w:rsidRPr="00B73F36">
              <w:rPr>
                <w:rFonts w:cs="Arial"/>
              </w:rPr>
              <w:t>0.42</w:t>
            </w:r>
          </w:p>
        </w:tc>
        <w:tc>
          <w:tcPr>
            <w:tcW w:w="1918" w:type="dxa"/>
            <w:vMerge w:val="restart"/>
          </w:tcPr>
          <w:p w:rsidR="004D214C" w:rsidRPr="00B73F36" w:rsidRDefault="004D214C" w:rsidP="00F26073">
            <w:pPr>
              <w:spacing w:line="276" w:lineRule="auto"/>
              <w:jc w:val="center"/>
              <w:rPr>
                <w:rFonts w:cs="Arial"/>
              </w:rPr>
            </w:pPr>
            <w:r w:rsidRPr="00B73F36">
              <w:rPr>
                <w:rFonts w:cs="Arial"/>
              </w:rPr>
              <w:t>5.87</w:t>
            </w:r>
          </w:p>
        </w:tc>
      </w:tr>
      <w:tr w:rsidR="004D214C" w:rsidRPr="00B73F36" w:rsidTr="00F26073">
        <w:trPr>
          <w:trHeight w:val="158"/>
        </w:trPr>
        <w:tc>
          <w:tcPr>
            <w:tcW w:w="1793" w:type="dxa"/>
            <w:vMerge/>
          </w:tcPr>
          <w:p w:rsidR="004D214C" w:rsidRPr="00B73F36" w:rsidRDefault="004D214C" w:rsidP="00F26073">
            <w:pPr>
              <w:spacing w:line="276" w:lineRule="auto"/>
              <w:rPr>
                <w:rFonts w:cs="Arial"/>
              </w:rPr>
            </w:pPr>
          </w:p>
        </w:tc>
        <w:tc>
          <w:tcPr>
            <w:tcW w:w="1420" w:type="dxa"/>
          </w:tcPr>
          <w:p w:rsidR="004D214C" w:rsidRPr="00B73F36" w:rsidRDefault="004D214C" w:rsidP="00F26073">
            <w:pPr>
              <w:spacing w:line="276" w:lineRule="auto"/>
              <w:jc w:val="center"/>
              <w:rPr>
                <w:rFonts w:cs="Arial"/>
              </w:rPr>
            </w:pPr>
            <w:r w:rsidRPr="00B73F36">
              <w:rPr>
                <w:rFonts w:cs="Arial"/>
              </w:rPr>
              <w:t>12</w:t>
            </w:r>
          </w:p>
        </w:tc>
        <w:tc>
          <w:tcPr>
            <w:tcW w:w="1548" w:type="dxa"/>
          </w:tcPr>
          <w:p w:rsidR="004D214C" w:rsidRPr="00B73F36" w:rsidRDefault="004D214C" w:rsidP="00F26073">
            <w:pPr>
              <w:spacing w:line="276" w:lineRule="auto"/>
              <w:jc w:val="center"/>
              <w:rPr>
                <w:rFonts w:cs="Arial"/>
              </w:rPr>
            </w:pPr>
            <w:r w:rsidRPr="00B73F36">
              <w:rPr>
                <w:rFonts w:cs="Arial"/>
              </w:rPr>
              <w:t>1 515</w:t>
            </w:r>
          </w:p>
        </w:tc>
        <w:tc>
          <w:tcPr>
            <w:tcW w:w="1564" w:type="dxa"/>
          </w:tcPr>
          <w:p w:rsidR="004D214C" w:rsidRPr="00B73F36" w:rsidRDefault="004D214C" w:rsidP="00F26073">
            <w:pPr>
              <w:spacing w:line="276" w:lineRule="auto"/>
              <w:jc w:val="center"/>
              <w:rPr>
                <w:rFonts w:cs="Arial"/>
              </w:rPr>
            </w:pPr>
            <w:r w:rsidRPr="00B73F36">
              <w:rPr>
                <w:rFonts w:cs="Arial"/>
              </w:rPr>
              <w:t>736</w:t>
            </w:r>
          </w:p>
        </w:tc>
        <w:tc>
          <w:tcPr>
            <w:tcW w:w="1322" w:type="dxa"/>
          </w:tcPr>
          <w:p w:rsidR="004D214C" w:rsidRPr="00B73F36" w:rsidRDefault="004D214C" w:rsidP="00F26073">
            <w:pPr>
              <w:spacing w:line="276" w:lineRule="auto"/>
              <w:jc w:val="center"/>
              <w:rPr>
                <w:rFonts w:cs="Arial"/>
              </w:rPr>
            </w:pPr>
            <w:r w:rsidRPr="00B73F36">
              <w:rPr>
                <w:rFonts w:cs="Arial"/>
              </w:rPr>
              <w:t>0.36</w:t>
            </w:r>
          </w:p>
        </w:tc>
        <w:tc>
          <w:tcPr>
            <w:tcW w:w="1918" w:type="dxa"/>
            <w:vMerge/>
          </w:tcPr>
          <w:p w:rsidR="004D214C" w:rsidRPr="00B73F36" w:rsidRDefault="004D214C" w:rsidP="00F26073">
            <w:pPr>
              <w:spacing w:line="276" w:lineRule="auto"/>
              <w:jc w:val="center"/>
              <w:rPr>
                <w:rFonts w:cs="Arial"/>
              </w:rPr>
            </w:pPr>
          </w:p>
        </w:tc>
      </w:tr>
      <w:tr w:rsidR="004D214C" w:rsidRPr="00B73F36" w:rsidTr="00F26073">
        <w:trPr>
          <w:trHeight w:val="303"/>
        </w:trPr>
        <w:tc>
          <w:tcPr>
            <w:tcW w:w="9565" w:type="dxa"/>
            <w:gridSpan w:val="6"/>
          </w:tcPr>
          <w:p w:rsidR="004D214C" w:rsidRPr="00B73F36" w:rsidRDefault="004D214C" w:rsidP="00F26073">
            <w:pPr>
              <w:spacing w:line="276" w:lineRule="auto"/>
              <w:jc w:val="center"/>
              <w:rPr>
                <w:rFonts w:cs="Arial"/>
              </w:rPr>
            </w:pPr>
          </w:p>
        </w:tc>
      </w:tr>
      <w:tr w:rsidR="004D214C" w:rsidRPr="00B73F36" w:rsidTr="00F26073">
        <w:trPr>
          <w:trHeight w:val="303"/>
        </w:trPr>
        <w:tc>
          <w:tcPr>
            <w:tcW w:w="1793" w:type="dxa"/>
            <w:vMerge w:val="restart"/>
          </w:tcPr>
          <w:p w:rsidR="004D214C" w:rsidRPr="00B73F36" w:rsidRDefault="004D214C" w:rsidP="00F26073">
            <w:pPr>
              <w:spacing w:line="276" w:lineRule="auto"/>
              <w:rPr>
                <w:rFonts w:cs="Arial"/>
              </w:rPr>
            </w:pPr>
            <w:r w:rsidRPr="00B73F36">
              <w:rPr>
                <w:rFonts w:cs="Arial"/>
              </w:rPr>
              <w:t>Con Panel generando P</w:t>
            </w:r>
          </w:p>
        </w:tc>
        <w:tc>
          <w:tcPr>
            <w:tcW w:w="1420" w:type="dxa"/>
          </w:tcPr>
          <w:p w:rsidR="004D214C" w:rsidRPr="00B73F36" w:rsidRDefault="004D214C" w:rsidP="00F26073">
            <w:pPr>
              <w:spacing w:line="276" w:lineRule="auto"/>
              <w:jc w:val="center"/>
              <w:rPr>
                <w:rFonts w:cs="Arial"/>
              </w:rPr>
            </w:pPr>
            <w:r w:rsidRPr="00B73F36">
              <w:rPr>
                <w:rFonts w:cs="Arial"/>
              </w:rPr>
              <w:t xml:space="preserve">9 </w:t>
            </w:r>
            <w:proofErr w:type="spellStart"/>
            <w:r w:rsidRPr="00B73F36">
              <w:rPr>
                <w:rFonts w:cs="Arial"/>
              </w:rPr>
              <w:t>max</w:t>
            </w:r>
            <w:proofErr w:type="spellEnd"/>
          </w:p>
        </w:tc>
        <w:tc>
          <w:tcPr>
            <w:tcW w:w="1548" w:type="dxa"/>
          </w:tcPr>
          <w:p w:rsidR="004D214C" w:rsidRPr="00B73F36" w:rsidRDefault="004D214C" w:rsidP="00F26073">
            <w:pPr>
              <w:spacing w:line="276" w:lineRule="auto"/>
              <w:jc w:val="center"/>
              <w:rPr>
                <w:rFonts w:cs="Arial"/>
              </w:rPr>
            </w:pPr>
            <w:r w:rsidRPr="00B73F36">
              <w:rPr>
                <w:rFonts w:cs="Arial"/>
              </w:rPr>
              <w:t>1 238</w:t>
            </w:r>
          </w:p>
        </w:tc>
        <w:tc>
          <w:tcPr>
            <w:tcW w:w="1564" w:type="dxa"/>
          </w:tcPr>
          <w:p w:rsidR="004D214C" w:rsidRPr="00B73F36" w:rsidRDefault="004D214C" w:rsidP="00F26073">
            <w:pPr>
              <w:spacing w:line="276" w:lineRule="auto"/>
              <w:jc w:val="center"/>
              <w:rPr>
                <w:rFonts w:cs="Arial"/>
              </w:rPr>
            </w:pPr>
            <w:r w:rsidRPr="00B73F36">
              <w:rPr>
                <w:rFonts w:cs="Arial"/>
              </w:rPr>
              <w:t>804</w:t>
            </w:r>
          </w:p>
        </w:tc>
        <w:tc>
          <w:tcPr>
            <w:tcW w:w="1322" w:type="dxa"/>
          </w:tcPr>
          <w:p w:rsidR="004D214C" w:rsidRPr="00B73F36" w:rsidRDefault="004D214C" w:rsidP="00F26073">
            <w:pPr>
              <w:spacing w:line="276" w:lineRule="auto"/>
              <w:jc w:val="center"/>
              <w:rPr>
                <w:rFonts w:cs="Arial"/>
              </w:rPr>
            </w:pPr>
            <w:r w:rsidRPr="00B73F36">
              <w:rPr>
                <w:rFonts w:cs="Arial"/>
              </w:rPr>
              <w:t>0.28</w:t>
            </w:r>
          </w:p>
        </w:tc>
        <w:tc>
          <w:tcPr>
            <w:tcW w:w="1918" w:type="dxa"/>
            <w:vMerge w:val="restart"/>
          </w:tcPr>
          <w:p w:rsidR="004D214C" w:rsidRPr="00B73F36" w:rsidRDefault="004D214C" w:rsidP="00F26073">
            <w:pPr>
              <w:spacing w:line="276" w:lineRule="auto"/>
              <w:jc w:val="center"/>
              <w:rPr>
                <w:rFonts w:cs="Arial"/>
              </w:rPr>
            </w:pPr>
            <w:r w:rsidRPr="00B73F36">
              <w:rPr>
                <w:rFonts w:cs="Arial"/>
              </w:rPr>
              <w:t>4.58</w:t>
            </w:r>
          </w:p>
        </w:tc>
      </w:tr>
      <w:tr w:rsidR="004D214C" w:rsidRPr="00B73F36" w:rsidTr="00F26073">
        <w:trPr>
          <w:trHeight w:val="158"/>
        </w:trPr>
        <w:tc>
          <w:tcPr>
            <w:tcW w:w="1793" w:type="dxa"/>
            <w:vMerge/>
          </w:tcPr>
          <w:p w:rsidR="004D214C" w:rsidRPr="00B73F36" w:rsidRDefault="004D214C" w:rsidP="00F26073">
            <w:pPr>
              <w:spacing w:line="276" w:lineRule="auto"/>
              <w:rPr>
                <w:rFonts w:cs="Arial"/>
              </w:rPr>
            </w:pPr>
          </w:p>
        </w:tc>
        <w:tc>
          <w:tcPr>
            <w:tcW w:w="1420" w:type="dxa"/>
          </w:tcPr>
          <w:p w:rsidR="004D214C" w:rsidRPr="00B73F36" w:rsidRDefault="004D214C" w:rsidP="00F26073">
            <w:pPr>
              <w:spacing w:line="276" w:lineRule="auto"/>
              <w:jc w:val="center"/>
              <w:rPr>
                <w:rFonts w:cs="Arial"/>
              </w:rPr>
            </w:pPr>
            <w:r w:rsidRPr="00B73F36">
              <w:rPr>
                <w:rFonts w:cs="Arial"/>
              </w:rPr>
              <w:t>12</w:t>
            </w:r>
          </w:p>
        </w:tc>
        <w:tc>
          <w:tcPr>
            <w:tcW w:w="1548" w:type="dxa"/>
          </w:tcPr>
          <w:p w:rsidR="004D214C" w:rsidRPr="00B73F36" w:rsidRDefault="004D214C" w:rsidP="00F26073">
            <w:pPr>
              <w:spacing w:line="276" w:lineRule="auto"/>
              <w:jc w:val="center"/>
              <w:rPr>
                <w:rFonts w:cs="Arial"/>
              </w:rPr>
            </w:pPr>
            <w:r w:rsidRPr="00B73F36">
              <w:rPr>
                <w:rFonts w:cs="Arial"/>
              </w:rPr>
              <w:t>515</w:t>
            </w:r>
          </w:p>
        </w:tc>
        <w:tc>
          <w:tcPr>
            <w:tcW w:w="1564" w:type="dxa"/>
          </w:tcPr>
          <w:p w:rsidR="004D214C" w:rsidRPr="00B73F36" w:rsidRDefault="004D214C" w:rsidP="00F26073">
            <w:pPr>
              <w:spacing w:line="276" w:lineRule="auto"/>
              <w:jc w:val="center"/>
              <w:rPr>
                <w:rFonts w:cs="Arial"/>
              </w:rPr>
            </w:pPr>
            <w:r w:rsidRPr="00B73F36">
              <w:rPr>
                <w:rFonts w:cs="Arial"/>
              </w:rPr>
              <w:t>736</w:t>
            </w:r>
          </w:p>
        </w:tc>
        <w:tc>
          <w:tcPr>
            <w:tcW w:w="1322" w:type="dxa"/>
          </w:tcPr>
          <w:p w:rsidR="004D214C" w:rsidRPr="00B73F36" w:rsidRDefault="004D214C" w:rsidP="00F26073">
            <w:pPr>
              <w:spacing w:line="276" w:lineRule="auto"/>
              <w:jc w:val="center"/>
              <w:rPr>
                <w:rFonts w:cs="Arial"/>
              </w:rPr>
            </w:pPr>
            <w:r w:rsidRPr="00B73F36">
              <w:rPr>
                <w:rFonts w:cs="Arial"/>
              </w:rPr>
              <w:t>0.19</w:t>
            </w:r>
          </w:p>
        </w:tc>
        <w:tc>
          <w:tcPr>
            <w:tcW w:w="1918" w:type="dxa"/>
            <w:vMerge/>
          </w:tcPr>
          <w:p w:rsidR="004D214C" w:rsidRPr="00B73F36" w:rsidRDefault="004D214C" w:rsidP="00F26073">
            <w:pPr>
              <w:spacing w:line="276" w:lineRule="auto"/>
              <w:jc w:val="center"/>
              <w:rPr>
                <w:rFonts w:cs="Arial"/>
              </w:rPr>
            </w:pPr>
          </w:p>
        </w:tc>
      </w:tr>
      <w:tr w:rsidR="004D214C" w:rsidRPr="00B73F36" w:rsidTr="00F26073">
        <w:trPr>
          <w:trHeight w:val="303"/>
        </w:trPr>
        <w:tc>
          <w:tcPr>
            <w:tcW w:w="9565" w:type="dxa"/>
            <w:gridSpan w:val="6"/>
          </w:tcPr>
          <w:p w:rsidR="004D214C" w:rsidRPr="00B73F36" w:rsidRDefault="004D214C" w:rsidP="00F26073">
            <w:pPr>
              <w:spacing w:line="276" w:lineRule="auto"/>
              <w:jc w:val="center"/>
              <w:rPr>
                <w:rFonts w:cs="Arial"/>
              </w:rPr>
            </w:pPr>
          </w:p>
        </w:tc>
      </w:tr>
      <w:tr w:rsidR="004D214C" w:rsidRPr="00B73F36" w:rsidTr="00F26073">
        <w:trPr>
          <w:trHeight w:val="303"/>
        </w:trPr>
        <w:tc>
          <w:tcPr>
            <w:tcW w:w="1793" w:type="dxa"/>
            <w:vMerge w:val="restart"/>
          </w:tcPr>
          <w:p w:rsidR="004D214C" w:rsidRPr="00B73F36" w:rsidRDefault="004D214C" w:rsidP="00F26073">
            <w:pPr>
              <w:spacing w:line="276" w:lineRule="auto"/>
              <w:rPr>
                <w:rFonts w:cs="Arial"/>
              </w:rPr>
            </w:pPr>
            <w:r w:rsidRPr="00B73F36">
              <w:rPr>
                <w:rFonts w:cs="Arial"/>
              </w:rPr>
              <w:t>Con Panel generando P y Q</w:t>
            </w:r>
          </w:p>
        </w:tc>
        <w:tc>
          <w:tcPr>
            <w:tcW w:w="1420" w:type="dxa"/>
          </w:tcPr>
          <w:p w:rsidR="004D214C" w:rsidRPr="00B73F36" w:rsidRDefault="004D214C" w:rsidP="00F26073">
            <w:pPr>
              <w:spacing w:line="276" w:lineRule="auto"/>
              <w:jc w:val="center"/>
              <w:rPr>
                <w:rFonts w:cs="Arial"/>
              </w:rPr>
            </w:pPr>
            <w:r w:rsidRPr="00B73F36">
              <w:rPr>
                <w:rFonts w:cs="Arial"/>
              </w:rPr>
              <w:t xml:space="preserve">8 </w:t>
            </w:r>
            <w:proofErr w:type="spellStart"/>
            <w:r w:rsidRPr="00B73F36">
              <w:rPr>
                <w:rFonts w:cs="Arial"/>
              </w:rPr>
              <w:t>max</w:t>
            </w:r>
            <w:proofErr w:type="spellEnd"/>
          </w:p>
        </w:tc>
        <w:tc>
          <w:tcPr>
            <w:tcW w:w="1548" w:type="dxa"/>
          </w:tcPr>
          <w:p w:rsidR="004D214C" w:rsidRPr="00B73F36" w:rsidRDefault="004D214C" w:rsidP="00F26073">
            <w:pPr>
              <w:tabs>
                <w:tab w:val="center" w:pos="666"/>
              </w:tabs>
              <w:spacing w:line="276" w:lineRule="auto"/>
              <w:rPr>
                <w:rFonts w:cs="Arial"/>
              </w:rPr>
            </w:pPr>
            <w:r w:rsidRPr="00B73F36">
              <w:rPr>
                <w:rFonts w:cs="Arial"/>
              </w:rPr>
              <w:tab/>
              <w:t>1 256</w:t>
            </w:r>
          </w:p>
        </w:tc>
        <w:tc>
          <w:tcPr>
            <w:tcW w:w="1564" w:type="dxa"/>
          </w:tcPr>
          <w:p w:rsidR="004D214C" w:rsidRPr="00B73F36" w:rsidRDefault="004D214C" w:rsidP="00F26073">
            <w:pPr>
              <w:spacing w:line="276" w:lineRule="auto"/>
              <w:jc w:val="center"/>
              <w:rPr>
                <w:rFonts w:cs="Arial"/>
              </w:rPr>
            </w:pPr>
            <w:r w:rsidRPr="00B73F36">
              <w:rPr>
                <w:rFonts w:cs="Arial"/>
              </w:rPr>
              <w:t>-269</w:t>
            </w:r>
          </w:p>
        </w:tc>
        <w:tc>
          <w:tcPr>
            <w:tcW w:w="1322" w:type="dxa"/>
          </w:tcPr>
          <w:p w:rsidR="004D214C" w:rsidRPr="00B73F36" w:rsidRDefault="004D214C" w:rsidP="00F26073">
            <w:pPr>
              <w:spacing w:line="276" w:lineRule="auto"/>
              <w:jc w:val="center"/>
              <w:rPr>
                <w:rFonts w:cs="Arial"/>
              </w:rPr>
            </w:pPr>
            <w:r w:rsidRPr="00B73F36">
              <w:rPr>
                <w:rFonts w:cs="Arial"/>
              </w:rPr>
              <w:t>0.28</w:t>
            </w:r>
          </w:p>
        </w:tc>
        <w:tc>
          <w:tcPr>
            <w:tcW w:w="1918" w:type="dxa"/>
            <w:vMerge w:val="restart"/>
          </w:tcPr>
          <w:p w:rsidR="004D214C" w:rsidRPr="00B73F36" w:rsidRDefault="004D214C" w:rsidP="00F26073">
            <w:pPr>
              <w:spacing w:line="276" w:lineRule="auto"/>
              <w:jc w:val="center"/>
              <w:rPr>
                <w:rFonts w:cs="Arial"/>
              </w:rPr>
            </w:pPr>
            <w:r w:rsidRPr="00B73F36">
              <w:rPr>
                <w:rFonts w:cs="Arial"/>
              </w:rPr>
              <w:t>5.8</w:t>
            </w:r>
          </w:p>
        </w:tc>
      </w:tr>
      <w:tr w:rsidR="004D214C" w:rsidRPr="00B73F36" w:rsidTr="00F26073">
        <w:trPr>
          <w:trHeight w:val="158"/>
        </w:trPr>
        <w:tc>
          <w:tcPr>
            <w:tcW w:w="1793" w:type="dxa"/>
            <w:vMerge/>
          </w:tcPr>
          <w:p w:rsidR="004D214C" w:rsidRPr="00B73F36" w:rsidRDefault="004D214C" w:rsidP="00F26073">
            <w:pPr>
              <w:spacing w:line="276" w:lineRule="auto"/>
              <w:rPr>
                <w:rFonts w:cs="Arial"/>
              </w:rPr>
            </w:pPr>
          </w:p>
        </w:tc>
        <w:tc>
          <w:tcPr>
            <w:tcW w:w="1420" w:type="dxa"/>
          </w:tcPr>
          <w:p w:rsidR="004D214C" w:rsidRPr="00B73F36" w:rsidRDefault="004D214C" w:rsidP="00F26073">
            <w:pPr>
              <w:spacing w:line="276" w:lineRule="auto"/>
              <w:jc w:val="center"/>
              <w:rPr>
                <w:rFonts w:cs="Arial"/>
              </w:rPr>
            </w:pPr>
            <w:r w:rsidRPr="00B73F36">
              <w:rPr>
                <w:rFonts w:cs="Arial"/>
              </w:rPr>
              <w:t>12</w:t>
            </w:r>
          </w:p>
        </w:tc>
        <w:tc>
          <w:tcPr>
            <w:tcW w:w="1548" w:type="dxa"/>
          </w:tcPr>
          <w:p w:rsidR="004D214C" w:rsidRPr="00B73F36" w:rsidRDefault="004D214C" w:rsidP="00F26073">
            <w:pPr>
              <w:spacing w:line="276" w:lineRule="auto"/>
              <w:jc w:val="center"/>
              <w:rPr>
                <w:rFonts w:cs="Arial"/>
              </w:rPr>
            </w:pPr>
            <w:r w:rsidRPr="00B73F36">
              <w:rPr>
                <w:rFonts w:cs="Arial"/>
              </w:rPr>
              <w:t>515</w:t>
            </w:r>
          </w:p>
        </w:tc>
        <w:tc>
          <w:tcPr>
            <w:tcW w:w="1564" w:type="dxa"/>
          </w:tcPr>
          <w:p w:rsidR="004D214C" w:rsidRPr="00B73F36" w:rsidRDefault="004D214C" w:rsidP="00F26073">
            <w:pPr>
              <w:spacing w:line="276" w:lineRule="auto"/>
              <w:jc w:val="center"/>
              <w:rPr>
                <w:rFonts w:cs="Arial"/>
              </w:rPr>
            </w:pPr>
            <w:r w:rsidRPr="00B73F36">
              <w:rPr>
                <w:rFonts w:cs="Arial"/>
              </w:rPr>
              <w:t>736</w:t>
            </w:r>
          </w:p>
        </w:tc>
        <w:tc>
          <w:tcPr>
            <w:tcW w:w="1322" w:type="dxa"/>
          </w:tcPr>
          <w:p w:rsidR="004D214C" w:rsidRPr="00B73F36" w:rsidRDefault="004D214C" w:rsidP="00F26073">
            <w:pPr>
              <w:spacing w:line="276" w:lineRule="auto"/>
              <w:jc w:val="center"/>
              <w:rPr>
                <w:rFonts w:cs="Arial"/>
              </w:rPr>
            </w:pPr>
            <w:r w:rsidRPr="00B73F36">
              <w:rPr>
                <w:rFonts w:cs="Arial"/>
              </w:rPr>
              <w:t>0.19</w:t>
            </w:r>
          </w:p>
        </w:tc>
        <w:tc>
          <w:tcPr>
            <w:tcW w:w="1918" w:type="dxa"/>
            <w:vMerge/>
          </w:tcPr>
          <w:p w:rsidR="004D214C" w:rsidRPr="00B73F36" w:rsidRDefault="004D214C" w:rsidP="00F26073">
            <w:pPr>
              <w:spacing w:line="276" w:lineRule="auto"/>
              <w:jc w:val="center"/>
              <w:rPr>
                <w:rFonts w:cs="Arial"/>
              </w:rPr>
            </w:pPr>
          </w:p>
        </w:tc>
      </w:tr>
    </w:tbl>
    <w:p w:rsidR="004D214C" w:rsidRPr="008931E2" w:rsidRDefault="004D214C" w:rsidP="004D214C">
      <w:pPr>
        <w:spacing w:before="120" w:after="120"/>
        <w:rPr>
          <w:rFonts w:cs="Arial"/>
          <w:sz w:val="24"/>
          <w:szCs w:val="24"/>
        </w:rPr>
      </w:pPr>
      <w:r w:rsidRPr="008931E2">
        <w:rPr>
          <w:rFonts w:cs="Arial"/>
          <w:sz w:val="24"/>
          <w:szCs w:val="24"/>
        </w:rPr>
        <w:t xml:space="preserve">En la Figura </w:t>
      </w:r>
      <w:r w:rsidR="00D87118" w:rsidRPr="008931E2">
        <w:rPr>
          <w:rFonts w:cs="Arial"/>
          <w:sz w:val="24"/>
          <w:szCs w:val="24"/>
        </w:rPr>
        <w:t>1.16</w:t>
      </w:r>
      <w:r w:rsidRPr="008931E2">
        <w:rPr>
          <w:rFonts w:cs="Arial"/>
          <w:sz w:val="24"/>
          <w:szCs w:val="24"/>
        </w:rPr>
        <w:t xml:space="preserve"> se muestra el parque solar fotovoltaico Frigorífico conectado al circuito 1770 generando potencia reactiva.</w:t>
      </w:r>
    </w:p>
    <w:p w:rsidR="004D214C" w:rsidRPr="00C33700" w:rsidRDefault="004D214C" w:rsidP="004D214C">
      <w:pPr>
        <w:rPr>
          <w:rFonts w:cs="Arial"/>
          <w:sz w:val="20"/>
          <w:szCs w:val="20"/>
        </w:rPr>
      </w:pPr>
      <w:r>
        <w:rPr>
          <w:noProof/>
          <w:lang w:val="es-MX" w:eastAsia="es-MX"/>
        </w:rPr>
        <w:drawing>
          <wp:inline distT="0" distB="0" distL="0" distR="0">
            <wp:extent cx="5810250" cy="1428750"/>
            <wp:effectExtent l="0" t="0" r="0" b="0"/>
            <wp:docPr id="1133" name="Gráfico 1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214C" w:rsidRPr="00D87118" w:rsidRDefault="004D214C" w:rsidP="004D214C">
      <w:pPr>
        <w:spacing w:after="120"/>
        <w:jc w:val="center"/>
        <w:rPr>
          <w:rFonts w:ascii="Times New Roman" w:hAnsi="Times New Roman" w:cs="Times New Roman"/>
          <w:sz w:val="20"/>
          <w:szCs w:val="20"/>
        </w:rPr>
      </w:pPr>
      <w:r w:rsidRPr="00D87118">
        <w:rPr>
          <w:rFonts w:ascii="Times New Roman" w:hAnsi="Times New Roman" w:cs="Times New Roman"/>
          <w:sz w:val="20"/>
          <w:szCs w:val="20"/>
        </w:rPr>
        <w:t xml:space="preserve">Figura </w:t>
      </w:r>
      <w:r w:rsidR="00D87118" w:rsidRPr="00D87118">
        <w:rPr>
          <w:rFonts w:ascii="Times New Roman" w:hAnsi="Times New Roman" w:cs="Times New Roman"/>
          <w:sz w:val="20"/>
          <w:szCs w:val="20"/>
        </w:rPr>
        <w:t>1.16</w:t>
      </w:r>
      <w:r w:rsidRPr="00D87118">
        <w:rPr>
          <w:rFonts w:ascii="Times New Roman" w:hAnsi="Times New Roman" w:cs="Times New Roman"/>
          <w:sz w:val="20"/>
          <w:szCs w:val="20"/>
        </w:rPr>
        <w:t>: Gráfico de carga del circuito 1770 con generación de potencia activa y reactiva .Q (</w:t>
      </w:r>
      <w:proofErr w:type="spellStart"/>
      <w:r w:rsidRPr="00D87118">
        <w:rPr>
          <w:rFonts w:ascii="Times New Roman" w:hAnsi="Times New Roman" w:cs="Times New Roman"/>
          <w:sz w:val="20"/>
          <w:szCs w:val="20"/>
        </w:rPr>
        <w:t>kvar</w:t>
      </w:r>
      <w:proofErr w:type="spellEnd"/>
      <w:r w:rsidRPr="00D87118">
        <w:rPr>
          <w:rFonts w:ascii="Times New Roman" w:hAnsi="Times New Roman" w:cs="Times New Roman"/>
          <w:sz w:val="20"/>
          <w:szCs w:val="20"/>
        </w:rPr>
        <w:t>) contra t (h).</w:t>
      </w:r>
    </w:p>
    <w:p w:rsidR="004D214C" w:rsidRPr="008931E2" w:rsidRDefault="004D214C" w:rsidP="00EB51E3">
      <w:pPr>
        <w:pStyle w:val="Default"/>
        <w:spacing w:before="120" w:after="120" w:line="276" w:lineRule="auto"/>
        <w:jc w:val="both"/>
      </w:pPr>
      <w:r w:rsidRPr="008931E2">
        <w:lastRenderedPageBreak/>
        <w:t>Con el panel generando potencia reactiva, las transferencias en la mayoría de las horas son mayores. Por supuesto el signo sólo va a indicar que la transferencia se invierte. La generación sede potencia reactiva por parte de los paneles tiene que estar subordinada al voltaje; si éste sube mucho, se limita esa generación. Existe, sin embargo, un aspecto que se ha estudiado a lo largo de todo el trabajo y es el relacionado con la generación de potencia reactiva, pero que en este caso tiene que ser analizado desde el punto de vista del SEN, al menos a nivel provincial o regional, lo que queda fuera de los objetivos del trabajo.</w:t>
      </w:r>
    </w:p>
    <w:p w:rsidR="004D214C" w:rsidRPr="008931E2" w:rsidRDefault="004D214C" w:rsidP="00EB51E3">
      <w:pPr>
        <w:pStyle w:val="Default"/>
        <w:spacing w:before="120" w:after="120" w:line="276" w:lineRule="auto"/>
        <w:jc w:val="both"/>
        <w:rPr>
          <w:b/>
        </w:rPr>
      </w:pPr>
      <w:bookmarkStart w:id="8" w:name="_Toc517706011"/>
      <w:r w:rsidRPr="008931E2">
        <w:rPr>
          <w:b/>
        </w:rPr>
        <w:t>Circuito 1785 de posible conexión del PFV Frigorífico en condiciones normales o de emergencia</w:t>
      </w:r>
      <w:bookmarkEnd w:id="8"/>
    </w:p>
    <w:p w:rsidR="004D214C" w:rsidRPr="008931E2" w:rsidRDefault="004D214C" w:rsidP="00EB51E3">
      <w:pPr>
        <w:pStyle w:val="Default"/>
        <w:spacing w:before="120" w:after="120" w:line="276" w:lineRule="auto"/>
        <w:jc w:val="both"/>
      </w:pPr>
      <w:r w:rsidRPr="008931E2">
        <w:t xml:space="preserve">Se puede apreciar el gráfico de carga del circuito 1785 con la conexión del parque y sin ella en la Figura </w:t>
      </w:r>
      <w:r w:rsidR="000B242A" w:rsidRPr="008931E2">
        <w:t>1.17</w:t>
      </w:r>
      <w:r w:rsidRPr="008931E2">
        <w:t>.</w:t>
      </w:r>
    </w:p>
    <w:p w:rsidR="004D214C" w:rsidRDefault="004D214C" w:rsidP="004D214C">
      <w:pPr>
        <w:rPr>
          <w:rStyle w:val="EstiloTimesNewRoman"/>
        </w:rPr>
      </w:pPr>
      <w:r>
        <w:rPr>
          <w:noProof/>
          <w:lang w:val="es-MX" w:eastAsia="es-MX"/>
        </w:rPr>
        <w:drawing>
          <wp:inline distT="0" distB="0" distL="0" distR="0">
            <wp:extent cx="5895975" cy="1647825"/>
            <wp:effectExtent l="0" t="0" r="0" b="0"/>
            <wp:docPr id="1134" name="Gráfico 1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214C" w:rsidRPr="000B242A" w:rsidRDefault="004D214C" w:rsidP="004D214C">
      <w:pPr>
        <w:spacing w:after="120"/>
        <w:jc w:val="center"/>
        <w:rPr>
          <w:rFonts w:ascii="Times New Roman" w:hAnsi="Times New Roman" w:cs="Times New Roman"/>
          <w:sz w:val="20"/>
          <w:szCs w:val="20"/>
        </w:rPr>
      </w:pPr>
      <w:r w:rsidRPr="000B242A">
        <w:rPr>
          <w:rFonts w:ascii="Times New Roman" w:hAnsi="Times New Roman" w:cs="Times New Roman"/>
          <w:sz w:val="20"/>
          <w:szCs w:val="20"/>
        </w:rPr>
        <w:t xml:space="preserve">Figura </w:t>
      </w:r>
      <w:r w:rsidR="000B242A" w:rsidRPr="000B242A">
        <w:rPr>
          <w:rFonts w:ascii="Times New Roman" w:hAnsi="Times New Roman" w:cs="Times New Roman"/>
          <w:sz w:val="20"/>
          <w:szCs w:val="20"/>
        </w:rPr>
        <w:t>1.17</w:t>
      </w:r>
      <w:r w:rsidRPr="000B242A">
        <w:rPr>
          <w:rFonts w:ascii="Times New Roman" w:hAnsi="Times New Roman" w:cs="Times New Roman"/>
          <w:sz w:val="20"/>
          <w:szCs w:val="20"/>
        </w:rPr>
        <w:t>: Gráfico de carga del circuito 1785. P (kW) contra t (h).</w:t>
      </w:r>
    </w:p>
    <w:p w:rsidR="004D214C" w:rsidRPr="008931E2" w:rsidRDefault="004D214C" w:rsidP="00EB51E3">
      <w:pPr>
        <w:pStyle w:val="Default"/>
        <w:spacing w:before="120" w:after="120" w:line="276" w:lineRule="auto"/>
        <w:jc w:val="both"/>
      </w:pPr>
      <w:r w:rsidRPr="008931E2">
        <w:t xml:space="preserve">La alimentación del Frigorífico desde la Sub Industrial (1785), sus pérdidas ocasionadas  en las líneas son de (242 </w:t>
      </w:r>
      <w:proofErr w:type="spellStart"/>
      <w:r w:rsidRPr="008931E2">
        <w:t>kW.h</w:t>
      </w:r>
      <w:proofErr w:type="spellEnd"/>
      <w:r w:rsidRPr="008931E2">
        <w:t xml:space="preserve">/día), su aporte de ahorro de energía adicional por reducción de pérdidas en líneas es de (242– 232)*365/1 000 = 3.65 </w:t>
      </w:r>
      <w:proofErr w:type="spellStart"/>
      <w:r w:rsidRPr="008931E2">
        <w:t>MW.h</w:t>
      </w:r>
      <w:proofErr w:type="spellEnd"/>
      <w:r w:rsidRPr="008931E2">
        <w:t xml:space="preserve">/año equivalente a 237 CUC/año y 3.65*1,127 = 4 t/año de CO2 dejadas de emitir a la atmósfera. Las pérdidas de potencia activa con el parque y sin él se aprecian en la Figura </w:t>
      </w:r>
      <w:r w:rsidR="000B242A" w:rsidRPr="008931E2">
        <w:t>1.18</w:t>
      </w:r>
      <w:r w:rsidRPr="008931E2">
        <w:t>.</w:t>
      </w:r>
    </w:p>
    <w:p w:rsidR="004D214C" w:rsidRPr="007B5FAC" w:rsidRDefault="004D214C" w:rsidP="004D214C">
      <w:pPr>
        <w:rPr>
          <w:rFonts w:cs="Arial"/>
        </w:rPr>
      </w:pPr>
      <w:r>
        <w:rPr>
          <w:noProof/>
          <w:lang w:val="es-MX" w:eastAsia="es-MX"/>
        </w:rPr>
        <w:drawing>
          <wp:inline distT="0" distB="0" distL="0" distR="0">
            <wp:extent cx="5973417" cy="1729409"/>
            <wp:effectExtent l="0" t="0" r="27940" b="23495"/>
            <wp:docPr id="1135" name="Gráfico 1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D214C" w:rsidRPr="000B242A" w:rsidRDefault="004D214C" w:rsidP="004D214C">
      <w:pPr>
        <w:spacing w:after="120"/>
        <w:jc w:val="center"/>
        <w:rPr>
          <w:rFonts w:ascii="Times New Roman" w:hAnsi="Times New Roman" w:cs="Times New Roman"/>
          <w:sz w:val="20"/>
          <w:szCs w:val="20"/>
        </w:rPr>
      </w:pPr>
      <w:r w:rsidRPr="000B242A">
        <w:rPr>
          <w:rFonts w:ascii="Times New Roman" w:hAnsi="Times New Roman" w:cs="Times New Roman"/>
          <w:sz w:val="20"/>
          <w:szCs w:val="20"/>
        </w:rPr>
        <w:t xml:space="preserve">Figura </w:t>
      </w:r>
      <w:r w:rsidR="000B242A" w:rsidRPr="000B242A">
        <w:rPr>
          <w:rFonts w:ascii="Times New Roman" w:hAnsi="Times New Roman" w:cs="Times New Roman"/>
          <w:sz w:val="20"/>
          <w:szCs w:val="20"/>
        </w:rPr>
        <w:t>1.18</w:t>
      </w:r>
      <w:r w:rsidRPr="000B242A">
        <w:rPr>
          <w:rFonts w:ascii="Times New Roman" w:hAnsi="Times New Roman" w:cs="Times New Roman"/>
          <w:sz w:val="20"/>
          <w:szCs w:val="20"/>
        </w:rPr>
        <w:t>: Gráfico de pérdidas de potencia activa. P (kW) contra t (h).</w:t>
      </w:r>
    </w:p>
    <w:p w:rsidR="004D214C" w:rsidRPr="000B242A" w:rsidRDefault="004D214C" w:rsidP="004D214C">
      <w:pPr>
        <w:spacing w:before="120"/>
        <w:jc w:val="center"/>
        <w:rPr>
          <w:rFonts w:ascii="Times New Roman" w:hAnsi="Times New Roman" w:cs="Times New Roman"/>
          <w:sz w:val="20"/>
          <w:szCs w:val="20"/>
        </w:rPr>
      </w:pPr>
      <w:r w:rsidRPr="000B242A">
        <w:rPr>
          <w:rFonts w:ascii="Times New Roman" w:hAnsi="Times New Roman" w:cs="Times New Roman"/>
          <w:sz w:val="20"/>
          <w:szCs w:val="20"/>
        </w:rPr>
        <w:t>Tabla 3.6 Frigorífico alimentado desde la Sub Industrial (1785)</w:t>
      </w:r>
    </w:p>
    <w:tbl>
      <w:tblPr>
        <w:tblStyle w:val="Tablaconcuadrcula"/>
        <w:tblW w:w="9580" w:type="dxa"/>
        <w:tblLook w:val="04A0" w:firstRow="1" w:lastRow="0" w:firstColumn="1" w:lastColumn="0" w:noHBand="0" w:noVBand="1"/>
      </w:tblPr>
      <w:tblGrid>
        <w:gridCol w:w="1793"/>
        <w:gridCol w:w="1458"/>
        <w:gridCol w:w="1540"/>
        <w:gridCol w:w="1557"/>
        <w:gridCol w:w="1318"/>
        <w:gridCol w:w="1914"/>
      </w:tblGrid>
      <w:tr w:rsidR="004D214C" w:rsidRPr="00D90794" w:rsidTr="00F26073">
        <w:trPr>
          <w:trHeight w:val="634"/>
        </w:trPr>
        <w:tc>
          <w:tcPr>
            <w:tcW w:w="1793" w:type="dxa"/>
          </w:tcPr>
          <w:p w:rsidR="004D214C" w:rsidRPr="00D90794" w:rsidRDefault="004D214C" w:rsidP="00F26073">
            <w:pPr>
              <w:spacing w:line="276" w:lineRule="auto"/>
              <w:rPr>
                <w:rFonts w:cs="Arial"/>
              </w:rPr>
            </w:pPr>
          </w:p>
        </w:tc>
        <w:tc>
          <w:tcPr>
            <w:tcW w:w="1458" w:type="dxa"/>
          </w:tcPr>
          <w:p w:rsidR="004D214C" w:rsidRPr="00D90794" w:rsidRDefault="004D214C" w:rsidP="00F26073">
            <w:pPr>
              <w:spacing w:line="276" w:lineRule="auto"/>
              <w:jc w:val="center"/>
              <w:rPr>
                <w:rFonts w:cs="Arial"/>
              </w:rPr>
            </w:pPr>
            <w:r w:rsidRPr="00D90794">
              <w:rPr>
                <w:rFonts w:cs="Arial"/>
              </w:rPr>
              <w:t>Hora</w:t>
            </w:r>
          </w:p>
        </w:tc>
        <w:tc>
          <w:tcPr>
            <w:tcW w:w="1540" w:type="dxa"/>
          </w:tcPr>
          <w:p w:rsidR="004D214C" w:rsidRPr="00D90794" w:rsidRDefault="004D214C" w:rsidP="00F26073">
            <w:pPr>
              <w:spacing w:line="276" w:lineRule="auto"/>
              <w:jc w:val="center"/>
              <w:rPr>
                <w:rFonts w:cs="Arial"/>
              </w:rPr>
            </w:pPr>
            <w:r w:rsidRPr="00D90794">
              <w:rPr>
                <w:rFonts w:cs="Arial"/>
              </w:rPr>
              <w:t>P (kW)</w:t>
            </w:r>
          </w:p>
        </w:tc>
        <w:tc>
          <w:tcPr>
            <w:tcW w:w="1557" w:type="dxa"/>
          </w:tcPr>
          <w:p w:rsidR="004D214C" w:rsidRPr="00D90794" w:rsidRDefault="004D214C" w:rsidP="00F26073">
            <w:pPr>
              <w:spacing w:line="276" w:lineRule="auto"/>
              <w:jc w:val="center"/>
              <w:rPr>
                <w:rFonts w:cs="Arial"/>
              </w:rPr>
            </w:pPr>
            <w:r w:rsidRPr="00D90794">
              <w:rPr>
                <w:rFonts w:cs="Arial"/>
              </w:rPr>
              <w:t>Q (</w:t>
            </w:r>
            <w:proofErr w:type="spellStart"/>
            <w:r w:rsidRPr="00D90794">
              <w:rPr>
                <w:rFonts w:cs="Arial"/>
              </w:rPr>
              <w:t>kvar</w:t>
            </w:r>
            <w:proofErr w:type="spellEnd"/>
            <w:r w:rsidRPr="00D90794">
              <w:rPr>
                <w:rFonts w:cs="Arial"/>
              </w:rPr>
              <w:t>)</w:t>
            </w:r>
          </w:p>
        </w:tc>
        <w:tc>
          <w:tcPr>
            <w:tcW w:w="1318" w:type="dxa"/>
          </w:tcPr>
          <w:p w:rsidR="004D214C" w:rsidRPr="00D90794" w:rsidRDefault="004D214C" w:rsidP="00F26073">
            <w:pPr>
              <w:spacing w:line="276" w:lineRule="auto"/>
              <w:jc w:val="center"/>
              <w:rPr>
                <w:rFonts w:cs="Arial"/>
              </w:rPr>
            </w:pPr>
            <w:proofErr w:type="spellStart"/>
            <w:r w:rsidRPr="00D90794">
              <w:rPr>
                <w:rFonts w:cs="Arial"/>
              </w:rPr>
              <w:t>ΔP</w:t>
            </w:r>
            <w:r w:rsidRPr="00D90794">
              <w:rPr>
                <w:rFonts w:cs="Arial"/>
                <w:vertAlign w:val="subscript"/>
              </w:rPr>
              <w:t>línea</w:t>
            </w:r>
            <w:proofErr w:type="spellEnd"/>
            <w:r w:rsidRPr="00D90794">
              <w:rPr>
                <w:rFonts w:cs="Arial"/>
              </w:rPr>
              <w:t xml:space="preserve"> (kW)</w:t>
            </w:r>
          </w:p>
        </w:tc>
        <w:tc>
          <w:tcPr>
            <w:tcW w:w="1914" w:type="dxa"/>
          </w:tcPr>
          <w:p w:rsidR="004D214C" w:rsidRPr="00D90794" w:rsidRDefault="004D214C" w:rsidP="00F26073">
            <w:pPr>
              <w:spacing w:line="276" w:lineRule="auto"/>
              <w:jc w:val="center"/>
              <w:rPr>
                <w:rFonts w:cs="Arial"/>
              </w:rPr>
            </w:pPr>
            <w:proofErr w:type="spellStart"/>
            <w:r w:rsidRPr="00D90794">
              <w:rPr>
                <w:rFonts w:cs="Arial"/>
              </w:rPr>
              <w:t>ΔE</w:t>
            </w:r>
            <w:r w:rsidRPr="00D90794">
              <w:rPr>
                <w:rFonts w:cs="Arial"/>
                <w:vertAlign w:val="subscript"/>
              </w:rPr>
              <w:t>línea</w:t>
            </w:r>
            <w:proofErr w:type="spellEnd"/>
            <w:r w:rsidRPr="00D90794">
              <w:rPr>
                <w:rFonts w:cs="Arial"/>
              </w:rPr>
              <w:t xml:space="preserve"> (</w:t>
            </w:r>
            <w:proofErr w:type="spellStart"/>
            <w:r w:rsidRPr="00D90794">
              <w:rPr>
                <w:rFonts w:cs="Arial"/>
              </w:rPr>
              <w:t>kW.h</w:t>
            </w:r>
            <w:proofErr w:type="spellEnd"/>
            <w:r w:rsidRPr="00D90794">
              <w:rPr>
                <w:rFonts w:cs="Arial"/>
              </w:rPr>
              <w:t>/día)</w:t>
            </w:r>
          </w:p>
        </w:tc>
      </w:tr>
      <w:tr w:rsidR="004D214C" w:rsidRPr="00D90794" w:rsidTr="00F26073">
        <w:trPr>
          <w:trHeight w:val="299"/>
        </w:trPr>
        <w:tc>
          <w:tcPr>
            <w:tcW w:w="1793" w:type="dxa"/>
            <w:vMerge w:val="restart"/>
          </w:tcPr>
          <w:p w:rsidR="004D214C" w:rsidRPr="00D90794" w:rsidRDefault="004D214C" w:rsidP="00F26073">
            <w:pPr>
              <w:spacing w:line="276" w:lineRule="auto"/>
              <w:rPr>
                <w:rFonts w:cs="Arial"/>
              </w:rPr>
            </w:pPr>
            <w:r w:rsidRPr="00D90794">
              <w:rPr>
                <w:rFonts w:cs="Arial"/>
              </w:rPr>
              <w:t>Sin Panel</w:t>
            </w:r>
          </w:p>
        </w:tc>
        <w:tc>
          <w:tcPr>
            <w:tcW w:w="1458" w:type="dxa"/>
          </w:tcPr>
          <w:p w:rsidR="004D214C" w:rsidRPr="00D90794" w:rsidRDefault="004D214C" w:rsidP="00F26073">
            <w:pPr>
              <w:spacing w:line="276" w:lineRule="auto"/>
              <w:jc w:val="center"/>
              <w:rPr>
                <w:rFonts w:cs="Arial"/>
              </w:rPr>
            </w:pPr>
            <w:r w:rsidRPr="00D90794">
              <w:rPr>
                <w:rFonts w:cs="Arial"/>
              </w:rPr>
              <w:t xml:space="preserve">12max </w:t>
            </w:r>
          </w:p>
        </w:tc>
        <w:tc>
          <w:tcPr>
            <w:tcW w:w="1540" w:type="dxa"/>
          </w:tcPr>
          <w:p w:rsidR="004D214C" w:rsidRPr="00D90794" w:rsidRDefault="004D214C" w:rsidP="00F26073">
            <w:pPr>
              <w:spacing w:line="276" w:lineRule="auto"/>
              <w:jc w:val="center"/>
              <w:rPr>
                <w:rFonts w:cs="Arial"/>
              </w:rPr>
            </w:pPr>
            <w:r w:rsidRPr="00D90794">
              <w:rPr>
                <w:rFonts w:cs="Arial"/>
              </w:rPr>
              <w:t>6 157</w:t>
            </w:r>
          </w:p>
        </w:tc>
        <w:tc>
          <w:tcPr>
            <w:tcW w:w="1557" w:type="dxa"/>
          </w:tcPr>
          <w:p w:rsidR="004D214C" w:rsidRPr="00D90794" w:rsidRDefault="004D214C" w:rsidP="00F26073">
            <w:pPr>
              <w:spacing w:line="276" w:lineRule="auto"/>
              <w:jc w:val="center"/>
              <w:rPr>
                <w:rFonts w:cs="Arial"/>
              </w:rPr>
            </w:pPr>
            <w:r w:rsidRPr="00D90794">
              <w:rPr>
                <w:rFonts w:cs="Arial"/>
              </w:rPr>
              <w:t>2 921</w:t>
            </w:r>
          </w:p>
        </w:tc>
        <w:tc>
          <w:tcPr>
            <w:tcW w:w="1318" w:type="dxa"/>
          </w:tcPr>
          <w:p w:rsidR="004D214C" w:rsidRPr="00D90794" w:rsidRDefault="004D214C" w:rsidP="00F26073">
            <w:pPr>
              <w:spacing w:line="276" w:lineRule="auto"/>
              <w:jc w:val="center"/>
              <w:rPr>
                <w:rFonts w:cs="Arial"/>
              </w:rPr>
            </w:pPr>
            <w:r w:rsidRPr="00D90794">
              <w:rPr>
                <w:rFonts w:cs="Arial"/>
              </w:rPr>
              <w:t>16</w:t>
            </w:r>
          </w:p>
        </w:tc>
        <w:tc>
          <w:tcPr>
            <w:tcW w:w="1914" w:type="dxa"/>
            <w:vMerge w:val="restart"/>
          </w:tcPr>
          <w:p w:rsidR="004D214C" w:rsidRPr="00D90794" w:rsidRDefault="004D214C" w:rsidP="00F26073">
            <w:pPr>
              <w:spacing w:line="276" w:lineRule="auto"/>
              <w:jc w:val="center"/>
              <w:rPr>
                <w:rFonts w:cs="Arial"/>
              </w:rPr>
            </w:pPr>
            <w:r w:rsidRPr="00D90794">
              <w:rPr>
                <w:rFonts w:cs="Arial"/>
              </w:rPr>
              <w:t>242</w:t>
            </w:r>
          </w:p>
        </w:tc>
      </w:tr>
      <w:tr w:rsidR="004D214C" w:rsidRPr="00D90794" w:rsidTr="00F26073">
        <w:trPr>
          <w:trHeight w:val="166"/>
        </w:trPr>
        <w:tc>
          <w:tcPr>
            <w:tcW w:w="1793" w:type="dxa"/>
            <w:vMerge/>
          </w:tcPr>
          <w:p w:rsidR="004D214C" w:rsidRPr="00D90794" w:rsidRDefault="004D214C" w:rsidP="00F26073">
            <w:pPr>
              <w:spacing w:line="276" w:lineRule="auto"/>
              <w:rPr>
                <w:rFonts w:cs="Arial"/>
              </w:rPr>
            </w:pPr>
          </w:p>
        </w:tc>
        <w:tc>
          <w:tcPr>
            <w:tcW w:w="1458" w:type="dxa"/>
          </w:tcPr>
          <w:p w:rsidR="004D214C" w:rsidRPr="00D90794" w:rsidRDefault="004D214C" w:rsidP="00F26073">
            <w:pPr>
              <w:spacing w:line="276" w:lineRule="auto"/>
              <w:jc w:val="center"/>
              <w:rPr>
                <w:rFonts w:cs="Arial"/>
              </w:rPr>
            </w:pPr>
            <w:r w:rsidRPr="00D90794">
              <w:rPr>
                <w:rFonts w:cs="Arial"/>
              </w:rPr>
              <w:t>12</w:t>
            </w:r>
          </w:p>
        </w:tc>
        <w:tc>
          <w:tcPr>
            <w:tcW w:w="1540" w:type="dxa"/>
          </w:tcPr>
          <w:p w:rsidR="004D214C" w:rsidRPr="00D90794" w:rsidRDefault="004D214C" w:rsidP="00F26073">
            <w:pPr>
              <w:spacing w:line="276" w:lineRule="auto"/>
              <w:jc w:val="center"/>
              <w:rPr>
                <w:rFonts w:cs="Arial"/>
              </w:rPr>
            </w:pPr>
            <w:r w:rsidRPr="00D90794">
              <w:rPr>
                <w:rFonts w:cs="Arial"/>
              </w:rPr>
              <w:t>6 157</w:t>
            </w:r>
          </w:p>
        </w:tc>
        <w:tc>
          <w:tcPr>
            <w:tcW w:w="1557" w:type="dxa"/>
          </w:tcPr>
          <w:p w:rsidR="004D214C" w:rsidRPr="00D90794" w:rsidRDefault="004D214C" w:rsidP="00F26073">
            <w:pPr>
              <w:spacing w:line="276" w:lineRule="auto"/>
              <w:jc w:val="center"/>
              <w:rPr>
                <w:rFonts w:cs="Arial"/>
              </w:rPr>
            </w:pPr>
            <w:r w:rsidRPr="00D90794">
              <w:rPr>
                <w:rFonts w:cs="Arial"/>
              </w:rPr>
              <w:t>2 921</w:t>
            </w:r>
          </w:p>
        </w:tc>
        <w:tc>
          <w:tcPr>
            <w:tcW w:w="1318" w:type="dxa"/>
          </w:tcPr>
          <w:p w:rsidR="004D214C" w:rsidRPr="00D90794" w:rsidRDefault="004D214C" w:rsidP="00F26073">
            <w:pPr>
              <w:spacing w:line="276" w:lineRule="auto"/>
              <w:jc w:val="center"/>
              <w:rPr>
                <w:rFonts w:cs="Arial"/>
              </w:rPr>
            </w:pPr>
            <w:r w:rsidRPr="00D90794">
              <w:rPr>
                <w:rFonts w:cs="Arial"/>
              </w:rPr>
              <w:t>16</w:t>
            </w:r>
          </w:p>
        </w:tc>
        <w:tc>
          <w:tcPr>
            <w:tcW w:w="1914" w:type="dxa"/>
            <w:vMerge/>
          </w:tcPr>
          <w:p w:rsidR="004D214C" w:rsidRPr="00D90794" w:rsidRDefault="004D214C" w:rsidP="00F26073">
            <w:pPr>
              <w:spacing w:line="276" w:lineRule="auto"/>
              <w:jc w:val="center"/>
              <w:rPr>
                <w:rFonts w:cs="Arial"/>
              </w:rPr>
            </w:pPr>
          </w:p>
        </w:tc>
      </w:tr>
      <w:tr w:rsidR="004D214C" w:rsidRPr="00D90794" w:rsidTr="00F26073">
        <w:trPr>
          <w:trHeight w:val="318"/>
        </w:trPr>
        <w:tc>
          <w:tcPr>
            <w:tcW w:w="9580" w:type="dxa"/>
            <w:gridSpan w:val="6"/>
          </w:tcPr>
          <w:p w:rsidR="004D214C" w:rsidRPr="00D90794" w:rsidRDefault="004D214C" w:rsidP="00F26073">
            <w:pPr>
              <w:spacing w:line="276" w:lineRule="auto"/>
              <w:jc w:val="center"/>
              <w:rPr>
                <w:rFonts w:cs="Arial"/>
              </w:rPr>
            </w:pPr>
          </w:p>
        </w:tc>
      </w:tr>
      <w:tr w:rsidR="004D214C" w:rsidRPr="00D90794" w:rsidTr="00F26073">
        <w:trPr>
          <w:trHeight w:val="299"/>
        </w:trPr>
        <w:tc>
          <w:tcPr>
            <w:tcW w:w="1793" w:type="dxa"/>
            <w:vMerge w:val="restart"/>
          </w:tcPr>
          <w:p w:rsidR="004D214C" w:rsidRPr="00D90794" w:rsidRDefault="004D214C" w:rsidP="00F26073">
            <w:pPr>
              <w:spacing w:line="276" w:lineRule="auto"/>
              <w:rPr>
                <w:rFonts w:cs="Arial"/>
              </w:rPr>
            </w:pPr>
            <w:r w:rsidRPr="00D90794">
              <w:rPr>
                <w:rFonts w:cs="Arial"/>
              </w:rPr>
              <w:t>Con Panel generando P</w:t>
            </w:r>
          </w:p>
        </w:tc>
        <w:tc>
          <w:tcPr>
            <w:tcW w:w="1458" w:type="dxa"/>
          </w:tcPr>
          <w:p w:rsidR="004D214C" w:rsidRPr="00D90794" w:rsidRDefault="004D214C" w:rsidP="00F26073">
            <w:pPr>
              <w:spacing w:line="276" w:lineRule="auto"/>
              <w:jc w:val="center"/>
              <w:rPr>
                <w:rFonts w:cs="Arial"/>
              </w:rPr>
            </w:pPr>
            <w:r w:rsidRPr="00D90794">
              <w:rPr>
                <w:rFonts w:cs="Arial"/>
              </w:rPr>
              <w:t xml:space="preserve">18 </w:t>
            </w:r>
            <w:proofErr w:type="spellStart"/>
            <w:r w:rsidRPr="00D90794">
              <w:rPr>
                <w:rFonts w:cs="Arial"/>
              </w:rPr>
              <w:t>max</w:t>
            </w:r>
            <w:proofErr w:type="spellEnd"/>
          </w:p>
        </w:tc>
        <w:tc>
          <w:tcPr>
            <w:tcW w:w="1540" w:type="dxa"/>
          </w:tcPr>
          <w:p w:rsidR="004D214C" w:rsidRPr="00D90794" w:rsidRDefault="004D214C" w:rsidP="00F26073">
            <w:pPr>
              <w:spacing w:line="276" w:lineRule="auto"/>
              <w:jc w:val="center"/>
              <w:rPr>
                <w:rFonts w:cs="Arial"/>
              </w:rPr>
            </w:pPr>
            <w:r w:rsidRPr="00D90794">
              <w:rPr>
                <w:rFonts w:cs="Arial"/>
              </w:rPr>
              <w:t>6 021</w:t>
            </w:r>
          </w:p>
        </w:tc>
        <w:tc>
          <w:tcPr>
            <w:tcW w:w="1557" w:type="dxa"/>
          </w:tcPr>
          <w:p w:rsidR="004D214C" w:rsidRPr="00D90794" w:rsidRDefault="004D214C" w:rsidP="00F26073">
            <w:pPr>
              <w:spacing w:line="276" w:lineRule="auto"/>
              <w:jc w:val="center"/>
              <w:rPr>
                <w:rFonts w:cs="Arial"/>
              </w:rPr>
            </w:pPr>
            <w:r w:rsidRPr="00D90794">
              <w:rPr>
                <w:rFonts w:cs="Arial"/>
              </w:rPr>
              <w:t>2 809</w:t>
            </w:r>
          </w:p>
        </w:tc>
        <w:tc>
          <w:tcPr>
            <w:tcW w:w="1318" w:type="dxa"/>
          </w:tcPr>
          <w:p w:rsidR="004D214C" w:rsidRPr="00D90794" w:rsidRDefault="004D214C" w:rsidP="00F26073">
            <w:pPr>
              <w:spacing w:line="276" w:lineRule="auto"/>
              <w:jc w:val="center"/>
              <w:rPr>
                <w:rFonts w:cs="Arial"/>
              </w:rPr>
            </w:pPr>
            <w:r w:rsidRPr="00D90794">
              <w:rPr>
                <w:rFonts w:cs="Arial"/>
              </w:rPr>
              <w:t>16</w:t>
            </w:r>
          </w:p>
        </w:tc>
        <w:tc>
          <w:tcPr>
            <w:tcW w:w="1914" w:type="dxa"/>
            <w:vMerge w:val="restart"/>
          </w:tcPr>
          <w:p w:rsidR="004D214C" w:rsidRPr="00D90794" w:rsidRDefault="004D214C" w:rsidP="00F26073">
            <w:pPr>
              <w:spacing w:line="276" w:lineRule="auto"/>
              <w:jc w:val="center"/>
              <w:rPr>
                <w:rFonts w:cs="Arial"/>
              </w:rPr>
            </w:pPr>
            <w:r w:rsidRPr="00D90794">
              <w:rPr>
                <w:rFonts w:cs="Arial"/>
              </w:rPr>
              <w:t>232</w:t>
            </w:r>
          </w:p>
        </w:tc>
      </w:tr>
      <w:tr w:rsidR="004D214C" w:rsidRPr="00D90794" w:rsidTr="00F26073">
        <w:trPr>
          <w:trHeight w:val="166"/>
        </w:trPr>
        <w:tc>
          <w:tcPr>
            <w:tcW w:w="1793" w:type="dxa"/>
            <w:vMerge/>
          </w:tcPr>
          <w:p w:rsidR="004D214C" w:rsidRPr="00D90794" w:rsidRDefault="004D214C" w:rsidP="00F26073">
            <w:pPr>
              <w:spacing w:line="276" w:lineRule="auto"/>
              <w:rPr>
                <w:rFonts w:cs="Arial"/>
              </w:rPr>
            </w:pPr>
          </w:p>
        </w:tc>
        <w:tc>
          <w:tcPr>
            <w:tcW w:w="1458" w:type="dxa"/>
          </w:tcPr>
          <w:p w:rsidR="004D214C" w:rsidRPr="00D90794" w:rsidRDefault="004D214C" w:rsidP="00F26073">
            <w:pPr>
              <w:spacing w:line="276" w:lineRule="auto"/>
              <w:jc w:val="center"/>
              <w:rPr>
                <w:rFonts w:cs="Arial"/>
              </w:rPr>
            </w:pPr>
            <w:r w:rsidRPr="00D90794">
              <w:rPr>
                <w:rFonts w:cs="Arial"/>
              </w:rPr>
              <w:t>12</w:t>
            </w:r>
          </w:p>
        </w:tc>
        <w:tc>
          <w:tcPr>
            <w:tcW w:w="1540" w:type="dxa"/>
          </w:tcPr>
          <w:p w:rsidR="004D214C" w:rsidRPr="00D90794" w:rsidRDefault="004D214C" w:rsidP="00F26073">
            <w:pPr>
              <w:spacing w:line="276" w:lineRule="auto"/>
              <w:jc w:val="center"/>
              <w:rPr>
                <w:rFonts w:cs="Arial"/>
              </w:rPr>
            </w:pPr>
            <w:r w:rsidRPr="00D90794">
              <w:rPr>
                <w:rFonts w:cs="Arial"/>
              </w:rPr>
              <w:t>5 157</w:t>
            </w:r>
          </w:p>
        </w:tc>
        <w:tc>
          <w:tcPr>
            <w:tcW w:w="1557" w:type="dxa"/>
          </w:tcPr>
          <w:p w:rsidR="004D214C" w:rsidRPr="00D90794" w:rsidRDefault="004D214C" w:rsidP="00F26073">
            <w:pPr>
              <w:spacing w:line="276" w:lineRule="auto"/>
              <w:jc w:val="center"/>
              <w:rPr>
                <w:rFonts w:cs="Arial"/>
              </w:rPr>
            </w:pPr>
            <w:r w:rsidRPr="00D90794">
              <w:rPr>
                <w:rFonts w:cs="Arial"/>
              </w:rPr>
              <w:t>2 921</w:t>
            </w:r>
          </w:p>
        </w:tc>
        <w:tc>
          <w:tcPr>
            <w:tcW w:w="1318" w:type="dxa"/>
          </w:tcPr>
          <w:p w:rsidR="004D214C" w:rsidRPr="00D90794" w:rsidRDefault="004D214C" w:rsidP="00F26073">
            <w:pPr>
              <w:spacing w:line="276" w:lineRule="auto"/>
              <w:jc w:val="center"/>
              <w:rPr>
                <w:rFonts w:cs="Arial"/>
              </w:rPr>
            </w:pPr>
            <w:r w:rsidRPr="00D90794">
              <w:rPr>
                <w:rFonts w:cs="Arial"/>
              </w:rPr>
              <w:t>14</w:t>
            </w:r>
          </w:p>
        </w:tc>
        <w:tc>
          <w:tcPr>
            <w:tcW w:w="1914" w:type="dxa"/>
            <w:vMerge/>
          </w:tcPr>
          <w:p w:rsidR="004D214C" w:rsidRPr="00D90794" w:rsidRDefault="004D214C" w:rsidP="00F26073">
            <w:pPr>
              <w:spacing w:line="276" w:lineRule="auto"/>
              <w:jc w:val="center"/>
              <w:rPr>
                <w:rFonts w:cs="Arial"/>
              </w:rPr>
            </w:pPr>
          </w:p>
        </w:tc>
      </w:tr>
      <w:tr w:rsidR="004D214C" w:rsidRPr="00D90794" w:rsidTr="00F26073">
        <w:trPr>
          <w:trHeight w:val="318"/>
        </w:trPr>
        <w:tc>
          <w:tcPr>
            <w:tcW w:w="9580" w:type="dxa"/>
            <w:gridSpan w:val="6"/>
          </w:tcPr>
          <w:p w:rsidR="004D214C" w:rsidRPr="00D90794" w:rsidRDefault="004D214C" w:rsidP="00F26073">
            <w:pPr>
              <w:spacing w:line="276" w:lineRule="auto"/>
              <w:jc w:val="center"/>
              <w:rPr>
                <w:rFonts w:cs="Arial"/>
              </w:rPr>
            </w:pPr>
          </w:p>
        </w:tc>
      </w:tr>
      <w:tr w:rsidR="004D214C" w:rsidRPr="00D90794" w:rsidTr="00F26073">
        <w:trPr>
          <w:trHeight w:val="299"/>
        </w:trPr>
        <w:tc>
          <w:tcPr>
            <w:tcW w:w="1793" w:type="dxa"/>
            <w:vMerge w:val="restart"/>
          </w:tcPr>
          <w:p w:rsidR="004D214C" w:rsidRPr="00D90794" w:rsidRDefault="004D214C" w:rsidP="00F26073">
            <w:pPr>
              <w:spacing w:line="276" w:lineRule="auto"/>
              <w:rPr>
                <w:rFonts w:cs="Arial"/>
              </w:rPr>
            </w:pPr>
            <w:r w:rsidRPr="00D90794">
              <w:rPr>
                <w:rFonts w:cs="Arial"/>
              </w:rPr>
              <w:t>Con Panel generando P y Q</w:t>
            </w:r>
          </w:p>
        </w:tc>
        <w:tc>
          <w:tcPr>
            <w:tcW w:w="1458" w:type="dxa"/>
          </w:tcPr>
          <w:p w:rsidR="004D214C" w:rsidRPr="00D90794" w:rsidRDefault="004D214C" w:rsidP="00F26073">
            <w:pPr>
              <w:spacing w:line="276" w:lineRule="auto"/>
              <w:jc w:val="center"/>
              <w:rPr>
                <w:rFonts w:cs="Arial"/>
              </w:rPr>
            </w:pPr>
            <w:r w:rsidRPr="00D90794">
              <w:rPr>
                <w:rFonts w:cs="Arial"/>
              </w:rPr>
              <w:t xml:space="preserve">18 </w:t>
            </w:r>
            <w:proofErr w:type="spellStart"/>
            <w:r w:rsidRPr="00D90794">
              <w:rPr>
                <w:rFonts w:cs="Arial"/>
              </w:rPr>
              <w:t>max</w:t>
            </w:r>
            <w:proofErr w:type="spellEnd"/>
          </w:p>
        </w:tc>
        <w:tc>
          <w:tcPr>
            <w:tcW w:w="1540" w:type="dxa"/>
          </w:tcPr>
          <w:p w:rsidR="004D214C" w:rsidRPr="00D90794" w:rsidRDefault="004D214C" w:rsidP="00F26073">
            <w:pPr>
              <w:spacing w:line="276" w:lineRule="auto"/>
              <w:jc w:val="center"/>
              <w:rPr>
                <w:rFonts w:cs="Arial"/>
              </w:rPr>
            </w:pPr>
            <w:r w:rsidRPr="00D90794">
              <w:rPr>
                <w:rFonts w:cs="Arial"/>
              </w:rPr>
              <w:t>6 021</w:t>
            </w:r>
          </w:p>
        </w:tc>
        <w:tc>
          <w:tcPr>
            <w:tcW w:w="1557" w:type="dxa"/>
          </w:tcPr>
          <w:p w:rsidR="004D214C" w:rsidRPr="00D90794" w:rsidRDefault="004D214C" w:rsidP="00F26073">
            <w:pPr>
              <w:spacing w:line="276" w:lineRule="auto"/>
              <w:jc w:val="center"/>
              <w:rPr>
                <w:rFonts w:cs="Arial"/>
              </w:rPr>
            </w:pPr>
            <w:r w:rsidRPr="00D90794">
              <w:rPr>
                <w:rFonts w:cs="Arial"/>
              </w:rPr>
              <w:t>1 809</w:t>
            </w:r>
          </w:p>
        </w:tc>
        <w:tc>
          <w:tcPr>
            <w:tcW w:w="1318" w:type="dxa"/>
          </w:tcPr>
          <w:p w:rsidR="004D214C" w:rsidRPr="00D90794" w:rsidRDefault="004D214C" w:rsidP="00F26073">
            <w:pPr>
              <w:spacing w:line="276" w:lineRule="auto"/>
              <w:jc w:val="center"/>
              <w:rPr>
                <w:rFonts w:cs="Arial"/>
              </w:rPr>
            </w:pPr>
            <w:r w:rsidRPr="00D90794">
              <w:rPr>
                <w:rFonts w:cs="Arial"/>
              </w:rPr>
              <w:t>15</w:t>
            </w:r>
          </w:p>
        </w:tc>
        <w:tc>
          <w:tcPr>
            <w:tcW w:w="1914" w:type="dxa"/>
            <w:vMerge w:val="restart"/>
          </w:tcPr>
          <w:p w:rsidR="004D214C" w:rsidRPr="00D90794" w:rsidRDefault="004D214C" w:rsidP="00F26073">
            <w:pPr>
              <w:spacing w:line="276" w:lineRule="auto"/>
              <w:jc w:val="center"/>
              <w:rPr>
                <w:rFonts w:cs="Arial"/>
              </w:rPr>
            </w:pPr>
            <w:r w:rsidRPr="00D90794">
              <w:rPr>
                <w:rFonts w:cs="Arial"/>
              </w:rPr>
              <w:t>219</w:t>
            </w:r>
          </w:p>
        </w:tc>
      </w:tr>
      <w:tr w:rsidR="004D214C" w:rsidRPr="00D90794" w:rsidTr="00F26073">
        <w:trPr>
          <w:trHeight w:val="166"/>
        </w:trPr>
        <w:tc>
          <w:tcPr>
            <w:tcW w:w="1793" w:type="dxa"/>
            <w:vMerge/>
          </w:tcPr>
          <w:p w:rsidR="004D214C" w:rsidRPr="00D90794" w:rsidRDefault="004D214C" w:rsidP="00F26073">
            <w:pPr>
              <w:spacing w:line="276" w:lineRule="auto"/>
              <w:rPr>
                <w:rFonts w:cs="Arial"/>
              </w:rPr>
            </w:pPr>
          </w:p>
        </w:tc>
        <w:tc>
          <w:tcPr>
            <w:tcW w:w="1458" w:type="dxa"/>
          </w:tcPr>
          <w:p w:rsidR="004D214C" w:rsidRPr="00D90794" w:rsidRDefault="004D214C" w:rsidP="00F26073">
            <w:pPr>
              <w:spacing w:line="276" w:lineRule="auto"/>
              <w:jc w:val="center"/>
              <w:rPr>
                <w:rFonts w:cs="Arial"/>
              </w:rPr>
            </w:pPr>
            <w:r w:rsidRPr="00D90794">
              <w:rPr>
                <w:rFonts w:cs="Arial"/>
              </w:rPr>
              <w:t>12</w:t>
            </w:r>
          </w:p>
        </w:tc>
        <w:tc>
          <w:tcPr>
            <w:tcW w:w="1540" w:type="dxa"/>
          </w:tcPr>
          <w:p w:rsidR="004D214C" w:rsidRPr="00D90794" w:rsidRDefault="004D214C" w:rsidP="00F26073">
            <w:pPr>
              <w:spacing w:line="276" w:lineRule="auto"/>
              <w:jc w:val="center"/>
              <w:rPr>
                <w:rFonts w:cs="Arial"/>
              </w:rPr>
            </w:pPr>
            <w:r w:rsidRPr="00D90794">
              <w:rPr>
                <w:rFonts w:cs="Arial"/>
              </w:rPr>
              <w:t>5 157</w:t>
            </w:r>
          </w:p>
        </w:tc>
        <w:tc>
          <w:tcPr>
            <w:tcW w:w="1557" w:type="dxa"/>
          </w:tcPr>
          <w:p w:rsidR="004D214C" w:rsidRPr="00D90794" w:rsidRDefault="004D214C" w:rsidP="00F26073">
            <w:pPr>
              <w:spacing w:line="276" w:lineRule="auto"/>
              <w:jc w:val="center"/>
              <w:rPr>
                <w:rFonts w:cs="Arial"/>
              </w:rPr>
            </w:pPr>
            <w:r w:rsidRPr="00D90794">
              <w:rPr>
                <w:rFonts w:cs="Arial"/>
              </w:rPr>
              <w:t>2 921</w:t>
            </w:r>
          </w:p>
        </w:tc>
        <w:tc>
          <w:tcPr>
            <w:tcW w:w="1318" w:type="dxa"/>
          </w:tcPr>
          <w:p w:rsidR="004D214C" w:rsidRPr="00D90794" w:rsidRDefault="004D214C" w:rsidP="00F26073">
            <w:pPr>
              <w:spacing w:line="276" w:lineRule="auto"/>
              <w:jc w:val="center"/>
              <w:rPr>
                <w:rFonts w:cs="Arial"/>
              </w:rPr>
            </w:pPr>
            <w:r w:rsidRPr="00D90794">
              <w:rPr>
                <w:rFonts w:cs="Arial"/>
              </w:rPr>
              <w:t>14</w:t>
            </w:r>
          </w:p>
        </w:tc>
        <w:tc>
          <w:tcPr>
            <w:tcW w:w="1914" w:type="dxa"/>
            <w:vMerge/>
          </w:tcPr>
          <w:p w:rsidR="004D214C" w:rsidRPr="00D90794" w:rsidRDefault="004D214C" w:rsidP="00F26073">
            <w:pPr>
              <w:spacing w:line="276" w:lineRule="auto"/>
              <w:jc w:val="center"/>
              <w:rPr>
                <w:rFonts w:cs="Arial"/>
              </w:rPr>
            </w:pPr>
          </w:p>
        </w:tc>
      </w:tr>
    </w:tbl>
    <w:p w:rsidR="004D214C" w:rsidRPr="008931E2" w:rsidRDefault="004D214C" w:rsidP="00EB51E3">
      <w:pPr>
        <w:pStyle w:val="Default"/>
        <w:spacing w:before="120" w:after="120" w:line="276" w:lineRule="auto"/>
        <w:jc w:val="both"/>
      </w:pPr>
      <w:r w:rsidRPr="008931E2">
        <w:t xml:space="preserve">Si el PFV Frigorífico  hubiera sido instalado con inversores capaces de generar potencia reactiva, el ahorro por disminución de pérdidas de energía en líneas, para el caso real de operación desde Sub Industrial, hubiera sido de (242 – 219)*365/1 000 = 8.4 </w:t>
      </w:r>
      <w:proofErr w:type="spellStart"/>
      <w:r w:rsidRPr="008931E2">
        <w:t>MW.h</w:t>
      </w:r>
      <w:proofErr w:type="spellEnd"/>
      <w:r w:rsidRPr="008931E2">
        <w:t xml:space="preserve">/año, 4.7 </w:t>
      </w:r>
      <w:proofErr w:type="spellStart"/>
      <w:r w:rsidRPr="008931E2">
        <w:t>MW.h</w:t>
      </w:r>
      <w:proofErr w:type="spellEnd"/>
      <w:r w:rsidRPr="008931E2">
        <w:t>/año adicionales equivalente a 308 CUC/</w:t>
      </w:r>
      <w:proofErr w:type="spellStart"/>
      <w:r w:rsidRPr="008931E2">
        <w:t>añoy</w:t>
      </w:r>
      <w:proofErr w:type="spellEnd"/>
      <w:r w:rsidRPr="008931E2">
        <w:t xml:space="preserve"> 8.4*1,127 = 9 t/año de CO2 dejadas de emitir a la atmósfera.</w:t>
      </w:r>
    </w:p>
    <w:p w:rsidR="004D214C" w:rsidRPr="008931E2" w:rsidRDefault="004D214C" w:rsidP="00EB51E3">
      <w:pPr>
        <w:pStyle w:val="Default"/>
        <w:spacing w:before="120" w:after="120" w:line="276" w:lineRule="auto"/>
        <w:jc w:val="both"/>
      </w:pPr>
      <w:r w:rsidRPr="008931E2">
        <w:t xml:space="preserve">En la Figura </w:t>
      </w:r>
      <w:r w:rsidR="000B242A" w:rsidRPr="008931E2">
        <w:t>1.19</w:t>
      </w:r>
      <w:r w:rsidRPr="008931E2">
        <w:t xml:space="preserve"> se muestra el parque solar fotovoltaico Frigorífico conectado al circuito 1785 generando potencia reactiva.</w:t>
      </w:r>
    </w:p>
    <w:p w:rsidR="004D214C" w:rsidRPr="00061829" w:rsidRDefault="004D214C" w:rsidP="004D214C">
      <w:pPr>
        <w:rPr>
          <w:rFonts w:cs="Arial"/>
        </w:rPr>
      </w:pPr>
      <w:bookmarkStart w:id="9" w:name="_GoBack"/>
      <w:r>
        <w:rPr>
          <w:noProof/>
          <w:lang w:val="es-MX" w:eastAsia="es-MX"/>
        </w:rPr>
        <w:drawing>
          <wp:inline distT="0" distB="0" distL="0" distR="0">
            <wp:extent cx="5953125" cy="1771650"/>
            <wp:effectExtent l="0" t="0" r="0" b="0"/>
            <wp:docPr id="1136" name="Gráfico 1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9"/>
    </w:p>
    <w:p w:rsidR="004D214C" w:rsidRPr="000B242A" w:rsidRDefault="004D214C" w:rsidP="004D214C">
      <w:pPr>
        <w:spacing w:after="120"/>
        <w:jc w:val="center"/>
        <w:rPr>
          <w:rFonts w:ascii="Times New Roman" w:hAnsi="Times New Roman" w:cs="Times New Roman"/>
          <w:sz w:val="20"/>
          <w:szCs w:val="20"/>
        </w:rPr>
      </w:pPr>
      <w:r w:rsidRPr="000B242A">
        <w:rPr>
          <w:rFonts w:ascii="Times New Roman" w:hAnsi="Times New Roman" w:cs="Times New Roman"/>
          <w:sz w:val="20"/>
          <w:szCs w:val="20"/>
        </w:rPr>
        <w:t xml:space="preserve">Figura </w:t>
      </w:r>
      <w:r w:rsidR="000B242A" w:rsidRPr="000B242A">
        <w:rPr>
          <w:rFonts w:ascii="Times New Roman" w:hAnsi="Times New Roman" w:cs="Times New Roman"/>
          <w:sz w:val="20"/>
          <w:szCs w:val="20"/>
        </w:rPr>
        <w:t>1.19</w:t>
      </w:r>
      <w:r w:rsidRPr="000B242A">
        <w:rPr>
          <w:rFonts w:ascii="Times New Roman" w:hAnsi="Times New Roman" w:cs="Times New Roman"/>
          <w:sz w:val="20"/>
          <w:szCs w:val="20"/>
        </w:rPr>
        <w:t>: Gráfico de carga del circuito 1785 con generación de potencia activa y reactiva. Q (</w:t>
      </w:r>
      <w:proofErr w:type="spellStart"/>
      <w:r w:rsidRPr="000B242A">
        <w:rPr>
          <w:rFonts w:ascii="Times New Roman" w:hAnsi="Times New Roman" w:cs="Times New Roman"/>
          <w:sz w:val="20"/>
          <w:szCs w:val="20"/>
        </w:rPr>
        <w:t>kvar</w:t>
      </w:r>
      <w:proofErr w:type="spellEnd"/>
      <w:r w:rsidRPr="000B242A">
        <w:rPr>
          <w:rFonts w:ascii="Times New Roman" w:hAnsi="Times New Roman" w:cs="Times New Roman"/>
          <w:sz w:val="20"/>
          <w:szCs w:val="20"/>
        </w:rPr>
        <w:t>) contra t (h).</w:t>
      </w:r>
    </w:p>
    <w:p w:rsidR="00FF3346" w:rsidRPr="008931E2" w:rsidRDefault="00FF3346" w:rsidP="00FF3346">
      <w:pPr>
        <w:spacing w:after="0" w:line="360" w:lineRule="auto"/>
        <w:jc w:val="both"/>
        <w:rPr>
          <w:rFonts w:ascii="Times New Roman" w:hAnsi="Times New Roman" w:cs="Times New Roman"/>
          <w:b/>
          <w:sz w:val="24"/>
          <w:szCs w:val="24"/>
        </w:rPr>
      </w:pPr>
      <w:r w:rsidRPr="008931E2">
        <w:rPr>
          <w:rFonts w:ascii="Times New Roman" w:hAnsi="Times New Roman" w:cs="Times New Roman"/>
          <w:b/>
          <w:sz w:val="24"/>
          <w:szCs w:val="24"/>
        </w:rPr>
        <w:t>Conclusiones</w:t>
      </w:r>
    </w:p>
    <w:p w:rsidR="004D214C" w:rsidRPr="008931E2" w:rsidRDefault="004D214C" w:rsidP="00EB51E3">
      <w:pPr>
        <w:pStyle w:val="Default"/>
        <w:spacing w:before="120" w:after="120" w:line="276" w:lineRule="auto"/>
        <w:jc w:val="both"/>
      </w:pPr>
      <w:r w:rsidRPr="008931E2">
        <w:t>Resultan de gran interés los resultados que se han obtenido mediante los estudios realizados, entre los que se destacan aspectos, que no por ser un tanto evidentes, dejan de recalcar criterios básicos en el diseño y operación de los circuitos de distribución, entre los que se encuentran la gran diferencia que se produce entre instalar estas fuentes FV de generación (distribuida) en lugares próximos a los lugares de consumo de la energía eléctrica, y situarlas en lugares más alejados.</w:t>
      </w:r>
    </w:p>
    <w:p w:rsidR="004D214C" w:rsidRPr="008931E2" w:rsidRDefault="004D214C" w:rsidP="00EB51E3">
      <w:pPr>
        <w:pStyle w:val="Default"/>
        <w:spacing w:before="120" w:after="120" w:line="276" w:lineRule="auto"/>
        <w:jc w:val="both"/>
      </w:pPr>
      <w:r w:rsidRPr="008931E2">
        <w:t>El otro acápite que resalta, es el referente a la posibilidad de tener la generación de potencia reactiva presente, como parte inseparable de estas instalaciones; tendencia que cada vez goza de mayor aceptación en todo el mundo.</w:t>
      </w:r>
    </w:p>
    <w:p w:rsidR="004D214C" w:rsidRPr="008931E2" w:rsidRDefault="004D214C" w:rsidP="00EB51E3">
      <w:pPr>
        <w:pStyle w:val="Default"/>
        <w:spacing w:before="120" w:after="120" w:line="276" w:lineRule="auto"/>
        <w:jc w:val="both"/>
      </w:pPr>
      <w:r w:rsidRPr="008931E2">
        <w:lastRenderedPageBreak/>
        <w:t>Los gráficos horarios de generación de los PFV forzosamente tienen que  tenerse en cuenta a la hora de estudiar el comportamiento y el efecto de estas fuentes sobre el entorno en que los mismos se localizan. Este hecho apunta a la proposición de un método, reglamento o serie de instrucciones que conduzcan a un resultado fiable, como el que aquí se expone, usando el software RADIAL ya que cumple satisfactoriamente con estos requisitos como se ha mostrado en este trabajo.</w:t>
      </w:r>
    </w:p>
    <w:p w:rsidR="004D214C" w:rsidRPr="008931E2" w:rsidRDefault="004D214C" w:rsidP="00EB51E3">
      <w:pPr>
        <w:pStyle w:val="Default"/>
        <w:spacing w:before="120" w:after="120" w:line="276" w:lineRule="auto"/>
        <w:jc w:val="both"/>
      </w:pPr>
      <w:r w:rsidRPr="008931E2">
        <w:t xml:space="preserve">El efecto de los PFV sobre las redes de su entorno, tiene que ser valorado como elemento indispensable en la etapa de proyecto de estas instalaciones de generación distribuida, en la que hasta el momento han sido priorizadas, fundamentalmente, variables de interés urbanístico o agropecuario. </w:t>
      </w:r>
    </w:p>
    <w:p w:rsidR="004D214C" w:rsidRPr="008931E2" w:rsidRDefault="004D214C" w:rsidP="00EB51E3">
      <w:pPr>
        <w:pStyle w:val="Default"/>
        <w:spacing w:before="120" w:after="120" w:line="276" w:lineRule="auto"/>
        <w:jc w:val="both"/>
      </w:pPr>
      <w:r w:rsidRPr="008931E2">
        <w:t>En este mismo aspecto, hay que tener en cuenta  la posibilidad de revisar las estrategias de generación de potencia reactiva en la zona o región, donde estas instalaciones vayan a ser indicadas.</w:t>
      </w:r>
    </w:p>
    <w:p w:rsidR="004D214C" w:rsidRPr="008931E2" w:rsidRDefault="004D214C" w:rsidP="00EB51E3">
      <w:pPr>
        <w:pStyle w:val="Default"/>
        <w:spacing w:before="120" w:after="120" w:line="276" w:lineRule="auto"/>
        <w:jc w:val="both"/>
      </w:pPr>
      <w:r w:rsidRPr="008931E2">
        <w:t>Los resultados de los dos PFV de la provincia de Villa Clara muestran a las claras las ventajas de su ubicación en cuanto a la distancia que presentan de las subestaciones de 110/33 para la colocación.</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Referencias bibliográficas</w:t>
      </w:r>
    </w:p>
    <w:p w:rsidR="00D36D1C" w:rsidRDefault="0048329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83295" w:rsidRDefault="00483295" w:rsidP="00483295">
      <w:pPr>
        <w:pStyle w:val="EndNoteBibliography"/>
        <w:ind w:left="720" w:hanging="720"/>
      </w:pPr>
      <w:bookmarkStart w:id="10" w:name="_ENREF_1"/>
      <w:r w:rsidRPr="00A05E26">
        <w:t>[1]</w:t>
      </w:r>
      <w:r w:rsidRPr="00A05E26">
        <w:tab/>
        <w:t>F. C. B., "ESTUDIO DE FACTIBILIDAD PARA LA IMPLEMENTACION DE SISTEMAS FOTOVOLTAICOS COMO FUENTE DE ENERGÍA EN EL SECTOR INDUSTRIAL DE COLOMBIA," 2017.</w:t>
      </w:r>
      <w:bookmarkEnd w:id="10"/>
    </w:p>
    <w:p w:rsidR="00595CB4" w:rsidRPr="00A05E26" w:rsidRDefault="00595CB4" w:rsidP="00595CB4">
      <w:pPr>
        <w:pStyle w:val="EndNoteBibliography"/>
        <w:ind w:left="720" w:hanging="720"/>
      </w:pPr>
      <w:bookmarkStart w:id="11" w:name="_ENREF_26"/>
      <w:r w:rsidRPr="00A05E26">
        <w:t>[</w:t>
      </w:r>
      <w:r>
        <w:t>2</w:t>
      </w:r>
      <w:r w:rsidRPr="00A05E26">
        <w:t>]</w:t>
      </w:r>
      <w:r w:rsidRPr="00A05E26">
        <w:tab/>
        <w:t>M. Solano-Peralta, "ESTADO ACTUAL DE LA ENERGÍASOLAR FOTOVOLTAICA ENLATINOAMÉRICA Y EL CARIBE," 19 de Marzo de 2015.</w:t>
      </w:r>
      <w:bookmarkEnd w:id="11"/>
    </w:p>
    <w:p w:rsidR="00595CB4" w:rsidRPr="00A05E26" w:rsidRDefault="00595CB4" w:rsidP="00595CB4">
      <w:pPr>
        <w:pStyle w:val="EndNoteBibliography"/>
        <w:ind w:left="720" w:hanging="720"/>
      </w:pPr>
      <w:bookmarkStart w:id="12" w:name="_ENREF_27"/>
      <w:r w:rsidRPr="00A05E26">
        <w:t>[</w:t>
      </w:r>
      <w:r>
        <w:t>3</w:t>
      </w:r>
      <w:r w:rsidRPr="00A05E26">
        <w:t>]</w:t>
      </w:r>
      <w:r w:rsidRPr="00A05E26">
        <w:tab/>
        <w:t>Y. H. Milanés, "Estudio de Pre Factibilidad Técnico Económico y Financiero Programa de Instalación de 29 MW en Parques Solares Fotovoltaicos," Junio 2014.</w:t>
      </w:r>
      <w:bookmarkEnd w:id="12"/>
    </w:p>
    <w:p w:rsidR="00595CB4" w:rsidRPr="00A05E26" w:rsidRDefault="00595CB4" w:rsidP="00595CB4">
      <w:pPr>
        <w:pStyle w:val="EndNoteBibliography"/>
        <w:ind w:left="720" w:hanging="720"/>
      </w:pPr>
      <w:bookmarkStart w:id="13" w:name="_ENREF_28"/>
      <w:r w:rsidRPr="00A05E26">
        <w:t>[</w:t>
      </w:r>
      <w:r>
        <w:t>4</w:t>
      </w:r>
      <w:r w:rsidRPr="00A05E26">
        <w:t>]</w:t>
      </w:r>
      <w:r w:rsidRPr="00A05E26">
        <w:tab/>
        <w:t>Y. A. G. Landela, "Análisis de la implementacion de un parque fotovoltaico en la Universidad Central de las Villas," 2018.</w:t>
      </w:r>
      <w:bookmarkEnd w:id="13"/>
    </w:p>
    <w:p w:rsidR="00595CB4" w:rsidRPr="00A05E26" w:rsidRDefault="00595CB4" w:rsidP="00483295">
      <w:pPr>
        <w:pStyle w:val="EndNoteBibliography"/>
        <w:ind w:left="720" w:hanging="720"/>
      </w:pPr>
    </w:p>
    <w:p w:rsidR="00483295" w:rsidRPr="009D5E02" w:rsidRDefault="00483295" w:rsidP="00FF3346">
      <w:pPr>
        <w:spacing w:after="0" w:line="360" w:lineRule="auto"/>
        <w:jc w:val="both"/>
        <w:rPr>
          <w:rFonts w:ascii="Times New Roman" w:hAnsi="Times New Roman" w:cs="Times New Roman"/>
          <w:sz w:val="24"/>
          <w:szCs w:val="24"/>
        </w:rPr>
      </w:pPr>
    </w:p>
    <w:sectPr w:rsidR="00483295" w:rsidRPr="009D5E02" w:rsidSect="00C8585B">
      <w:headerReference w:type="default" r:id="rId30"/>
      <w:footerReference w:type="default" r:id="rId3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7C" w:rsidRDefault="00EA227C" w:rsidP="00C8585B">
      <w:pPr>
        <w:spacing w:after="0" w:line="240" w:lineRule="auto"/>
      </w:pPr>
      <w:r>
        <w:separator/>
      </w:r>
    </w:p>
  </w:endnote>
  <w:endnote w:type="continuationSeparator" w:id="0">
    <w:p w:rsidR="00EA227C" w:rsidRDefault="00EA227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7C" w:rsidRDefault="00EA227C" w:rsidP="00C8585B">
      <w:pPr>
        <w:spacing w:after="0" w:line="240" w:lineRule="auto"/>
      </w:pPr>
      <w:r>
        <w:separator/>
      </w:r>
    </w:p>
  </w:footnote>
  <w:footnote w:type="continuationSeparator" w:id="0">
    <w:p w:rsidR="00EA227C" w:rsidRDefault="00EA227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5A5"/>
    <w:multiLevelType w:val="hybridMultilevel"/>
    <w:tmpl w:val="1526AECE"/>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5664D"/>
    <w:multiLevelType w:val="hybridMultilevel"/>
    <w:tmpl w:val="A664EC34"/>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192104"/>
    <w:multiLevelType w:val="hybridMultilevel"/>
    <w:tmpl w:val="56300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C4E1A7B"/>
    <w:multiLevelType w:val="hybridMultilevel"/>
    <w:tmpl w:val="4170E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pStyle w:val="EstiloTtulo3Despus6pto"/>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FC15CA7"/>
    <w:multiLevelType w:val="hybridMultilevel"/>
    <w:tmpl w:val="B38ED0EC"/>
    <w:lvl w:ilvl="0" w:tplc="6EF635FE">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366A3"/>
    <w:multiLevelType w:val="multilevel"/>
    <w:tmpl w:val="AB101144"/>
    <w:lvl w:ilvl="0">
      <w:start w:val="3"/>
      <w:numFmt w:val="decimal"/>
      <w:lvlText w:val="%1"/>
      <w:lvlJc w:val="left"/>
      <w:pPr>
        <w:ind w:left="405" w:hanging="405"/>
      </w:pPr>
      <w:rPr>
        <w:rFonts w:hint="default"/>
      </w:rPr>
    </w:lvl>
    <w:lvl w:ilvl="1">
      <w:start w:val="3"/>
      <w:numFmt w:val="decimal"/>
      <w:lvlText w:val="%1.%2"/>
      <w:lvlJc w:val="left"/>
      <w:pPr>
        <w:ind w:left="2760" w:hanging="72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7200" w:hanging="1080"/>
      </w:pPr>
      <w:rPr>
        <w:rFonts w:hint="default"/>
      </w:rPr>
    </w:lvl>
    <w:lvl w:ilvl="4">
      <w:start w:val="1"/>
      <w:numFmt w:val="decimal"/>
      <w:lvlText w:val="%1.%2.%3.%4.%5"/>
      <w:lvlJc w:val="left"/>
      <w:pPr>
        <w:ind w:left="9600" w:hanging="1440"/>
      </w:pPr>
      <w:rPr>
        <w:rFonts w:hint="default"/>
      </w:rPr>
    </w:lvl>
    <w:lvl w:ilvl="5">
      <w:start w:val="1"/>
      <w:numFmt w:val="decimal"/>
      <w:lvlText w:val="%1.%2.%3.%4.%5.%6"/>
      <w:lvlJc w:val="left"/>
      <w:pPr>
        <w:ind w:left="11640" w:hanging="1440"/>
      </w:pPr>
      <w:rPr>
        <w:rFonts w:hint="default"/>
      </w:rPr>
    </w:lvl>
    <w:lvl w:ilvl="6">
      <w:start w:val="1"/>
      <w:numFmt w:val="decimal"/>
      <w:lvlText w:val="%1.%2.%3.%4.%5.%6.%7"/>
      <w:lvlJc w:val="left"/>
      <w:pPr>
        <w:ind w:left="14040" w:hanging="1800"/>
      </w:pPr>
      <w:rPr>
        <w:rFonts w:hint="default"/>
      </w:rPr>
    </w:lvl>
    <w:lvl w:ilvl="7">
      <w:start w:val="1"/>
      <w:numFmt w:val="decimal"/>
      <w:lvlText w:val="%1.%2.%3.%4.%5.%6.%7.%8"/>
      <w:lvlJc w:val="left"/>
      <w:pPr>
        <w:ind w:left="16080" w:hanging="1800"/>
      </w:pPr>
      <w:rPr>
        <w:rFonts w:hint="default"/>
      </w:rPr>
    </w:lvl>
    <w:lvl w:ilvl="8">
      <w:start w:val="1"/>
      <w:numFmt w:val="decimal"/>
      <w:lvlText w:val="%1.%2.%3.%4.%5.%6.%7.%8.%9"/>
      <w:lvlJc w:val="left"/>
      <w:pPr>
        <w:ind w:left="18480" w:hanging="2160"/>
      </w:pPr>
      <w:rPr>
        <w:rFonts w:hint="default"/>
      </w:rPr>
    </w:lvl>
  </w:abstractNum>
  <w:abstractNum w:abstractNumId="6">
    <w:nsid w:val="67A73893"/>
    <w:multiLevelType w:val="hybridMultilevel"/>
    <w:tmpl w:val="2218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A3167"/>
    <w:multiLevelType w:val="hybridMultilevel"/>
    <w:tmpl w:val="2A207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6"/>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C8585B"/>
    <w:rsid w:val="00046F14"/>
    <w:rsid w:val="00082031"/>
    <w:rsid w:val="000B0EB6"/>
    <w:rsid w:val="000B242A"/>
    <w:rsid w:val="000C14DC"/>
    <w:rsid w:val="000F3E9F"/>
    <w:rsid w:val="001025B1"/>
    <w:rsid w:val="00114C82"/>
    <w:rsid w:val="0012608A"/>
    <w:rsid w:val="001A4E03"/>
    <w:rsid w:val="00262D42"/>
    <w:rsid w:val="002C4923"/>
    <w:rsid w:val="002E0882"/>
    <w:rsid w:val="002E272A"/>
    <w:rsid w:val="002E509F"/>
    <w:rsid w:val="003068F5"/>
    <w:rsid w:val="00362E5F"/>
    <w:rsid w:val="00403285"/>
    <w:rsid w:val="00421124"/>
    <w:rsid w:val="00436EA6"/>
    <w:rsid w:val="004561B3"/>
    <w:rsid w:val="00466EBC"/>
    <w:rsid w:val="00475011"/>
    <w:rsid w:val="00483295"/>
    <w:rsid w:val="004D214C"/>
    <w:rsid w:val="00536EBA"/>
    <w:rsid w:val="005754D8"/>
    <w:rsid w:val="00590080"/>
    <w:rsid w:val="00595CB4"/>
    <w:rsid w:val="005E2497"/>
    <w:rsid w:val="005E3A95"/>
    <w:rsid w:val="00611E6B"/>
    <w:rsid w:val="006271E4"/>
    <w:rsid w:val="00640758"/>
    <w:rsid w:val="00667F10"/>
    <w:rsid w:val="006D5963"/>
    <w:rsid w:val="006F4B9D"/>
    <w:rsid w:val="00712A31"/>
    <w:rsid w:val="007402B0"/>
    <w:rsid w:val="00747D16"/>
    <w:rsid w:val="0075317F"/>
    <w:rsid w:val="007559FA"/>
    <w:rsid w:val="00760008"/>
    <w:rsid w:val="008075E4"/>
    <w:rsid w:val="00820076"/>
    <w:rsid w:val="00842E61"/>
    <w:rsid w:val="00863A9D"/>
    <w:rsid w:val="0088159E"/>
    <w:rsid w:val="008931E2"/>
    <w:rsid w:val="008A1C16"/>
    <w:rsid w:val="008A2E7E"/>
    <w:rsid w:val="008B06F8"/>
    <w:rsid w:val="009061A5"/>
    <w:rsid w:val="0091621C"/>
    <w:rsid w:val="00924E03"/>
    <w:rsid w:val="00970D48"/>
    <w:rsid w:val="009B1EF2"/>
    <w:rsid w:val="009D5E02"/>
    <w:rsid w:val="009D67CD"/>
    <w:rsid w:val="009D7E71"/>
    <w:rsid w:val="00A1393E"/>
    <w:rsid w:val="00A156A5"/>
    <w:rsid w:val="00A21A1F"/>
    <w:rsid w:val="00A62A14"/>
    <w:rsid w:val="00AB0D0A"/>
    <w:rsid w:val="00B123CB"/>
    <w:rsid w:val="00B2024E"/>
    <w:rsid w:val="00B413C3"/>
    <w:rsid w:val="00B65ECF"/>
    <w:rsid w:val="00B67336"/>
    <w:rsid w:val="00B80E97"/>
    <w:rsid w:val="00B97A3A"/>
    <w:rsid w:val="00BD37E0"/>
    <w:rsid w:val="00BF107B"/>
    <w:rsid w:val="00C15190"/>
    <w:rsid w:val="00C313D1"/>
    <w:rsid w:val="00C4558B"/>
    <w:rsid w:val="00C56288"/>
    <w:rsid w:val="00C6208A"/>
    <w:rsid w:val="00C65B0A"/>
    <w:rsid w:val="00C74CA6"/>
    <w:rsid w:val="00C768B3"/>
    <w:rsid w:val="00C8585B"/>
    <w:rsid w:val="00CA0EFC"/>
    <w:rsid w:val="00CD2BC3"/>
    <w:rsid w:val="00CE0ADB"/>
    <w:rsid w:val="00CF1A6E"/>
    <w:rsid w:val="00D05242"/>
    <w:rsid w:val="00D36D1C"/>
    <w:rsid w:val="00D73DE9"/>
    <w:rsid w:val="00D87118"/>
    <w:rsid w:val="00DC5617"/>
    <w:rsid w:val="00E04EBF"/>
    <w:rsid w:val="00E7461A"/>
    <w:rsid w:val="00E825D3"/>
    <w:rsid w:val="00E83573"/>
    <w:rsid w:val="00E912D0"/>
    <w:rsid w:val="00EA1598"/>
    <w:rsid w:val="00EA227C"/>
    <w:rsid w:val="00EA7584"/>
    <w:rsid w:val="00EB51E3"/>
    <w:rsid w:val="00F119CA"/>
    <w:rsid w:val="00FB188D"/>
    <w:rsid w:val="00FC7DAE"/>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262D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4D214C"/>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CA0E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EstiloTimesNewRoman">
    <w:name w:val="Estilo Times New Roman"/>
    <w:basedOn w:val="Fuentedeprrafopredeter"/>
    <w:rsid w:val="00CA0EFC"/>
    <w:rPr>
      <w:rFonts w:ascii="Times New Roman" w:hAnsi="Times New Roman"/>
    </w:rPr>
  </w:style>
  <w:style w:type="character" w:customStyle="1" w:styleId="PrrafodelistaCar">
    <w:name w:val="Párrafo de lista Car"/>
    <w:link w:val="Prrafodelista"/>
    <w:uiPriority w:val="34"/>
    <w:locked/>
    <w:rsid w:val="00CA0EFC"/>
  </w:style>
  <w:style w:type="paragraph" w:customStyle="1" w:styleId="EstiloTtulo3Despus6pto">
    <w:name w:val="Estilo Título 3 + Después:  6 pto"/>
    <w:basedOn w:val="Ttulo3"/>
    <w:rsid w:val="00CA0EFC"/>
    <w:pPr>
      <w:keepLines w:val="0"/>
      <w:numPr>
        <w:ilvl w:val="2"/>
        <w:numId w:val="2"/>
      </w:numPr>
      <w:spacing w:before="120" w:after="120" w:line="360" w:lineRule="auto"/>
      <w:jc w:val="both"/>
    </w:pPr>
    <w:rPr>
      <w:rFonts w:ascii="Arial" w:eastAsia="Times New Roman" w:hAnsi="Arial" w:cs="Times New Roman"/>
      <w:b/>
      <w:bCs/>
      <w:noProof/>
      <w:color w:val="auto"/>
      <w:sz w:val="28"/>
      <w:szCs w:val="20"/>
      <w:lang w:eastAsia="es-ES"/>
    </w:rPr>
  </w:style>
  <w:style w:type="character" w:customStyle="1" w:styleId="Ttulo3Car">
    <w:name w:val="Título 3 Car"/>
    <w:basedOn w:val="Fuentedeprrafopredeter"/>
    <w:link w:val="Ttulo3"/>
    <w:uiPriority w:val="9"/>
    <w:semiHidden/>
    <w:rsid w:val="00CA0EFC"/>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Fuentedeprrafopredeter"/>
    <w:rsid w:val="00CA0EFC"/>
    <w:rPr>
      <w:rFonts w:ascii="Arial" w:hAnsi="Arial" w:cs="Arial" w:hint="default"/>
      <w:b w:val="0"/>
      <w:bCs w:val="0"/>
      <w:i w:val="0"/>
      <w:iCs w:val="0"/>
      <w:color w:val="000000"/>
      <w:sz w:val="24"/>
      <w:szCs w:val="24"/>
    </w:rPr>
  </w:style>
  <w:style w:type="character" w:customStyle="1" w:styleId="Ttulo1Car">
    <w:name w:val="Título 1 Car"/>
    <w:basedOn w:val="Fuentedeprrafopredeter"/>
    <w:link w:val="Ttulo1"/>
    <w:uiPriority w:val="9"/>
    <w:rsid w:val="00262D42"/>
    <w:rPr>
      <w:rFonts w:asciiTheme="majorHAnsi" w:eastAsiaTheme="majorEastAsia" w:hAnsiTheme="majorHAnsi" w:cstheme="majorBidi"/>
      <w:color w:val="365F91" w:themeColor="accent1" w:themeShade="BF"/>
      <w:sz w:val="32"/>
      <w:szCs w:val="32"/>
    </w:rPr>
  </w:style>
  <w:style w:type="paragraph" w:customStyle="1" w:styleId="Default">
    <w:name w:val="Default"/>
    <w:rsid w:val="008075E4"/>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Ttulo2Car">
    <w:name w:val="Título 2 Car"/>
    <w:basedOn w:val="Fuentedeprrafopredeter"/>
    <w:link w:val="Ttulo2"/>
    <w:rsid w:val="004D214C"/>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39"/>
    <w:rsid w:val="004D214C"/>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483295"/>
    <w:pPr>
      <w:spacing w:after="0" w:line="240" w:lineRule="auto"/>
      <w:jc w:val="both"/>
    </w:pPr>
    <w:rPr>
      <w:rFonts w:ascii="Times New Roman" w:eastAsia="Times New Roman" w:hAnsi="Times New Roman" w:cs="Times New Roman"/>
      <w:noProof/>
      <w:sz w:val="24"/>
      <w:szCs w:val="24"/>
      <w:lang w:eastAsia="es-ES"/>
    </w:rPr>
  </w:style>
  <w:style w:type="character" w:customStyle="1" w:styleId="EndNoteBibliographyCar">
    <w:name w:val="EndNote Bibliography Car"/>
    <w:link w:val="EndNoteBibliography"/>
    <w:rsid w:val="00483295"/>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enriquealonsotrimino@gmail.com" TargetMode="External"/><Relationship Id="rId13" Type="http://schemas.openxmlformats.org/officeDocument/2006/relationships/image" Target="media/image2.emf"/><Relationship Id="rId18" Type="http://schemas.openxmlformats.org/officeDocument/2006/relationships/chart" Target="charts/chart7.xml"/><Relationship Id="rId26" Type="http://schemas.openxmlformats.org/officeDocument/2006/relationships/chart" Target="charts/chart15.xml"/><Relationship Id="rId3" Type="http://schemas.microsoft.com/office/2007/relationships/stylesWithEffects" Target="stylesWithEffect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e\Desktop\Potencia%20Activa\Analisis%20de%20PFV%20UCLV.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ose\Desktop\Potencia%20Activa\1785%20UCLV.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ose\Desktop\Potencia%20Activa\1785%20UCLV.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ose\Desktop\Potencia%20Reactiva\1785%20UCLV.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ose\Desktop\Potencia%20Activa\analisis%20frigorific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ose\Desktop\Potencia%20Activa\analisis%20frigorific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ose\Desktop\Potencia%20Reactiva\analisis%20frigorific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ose\Desktop\Potencia%20Activa\178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Jose\Desktop\Potencia%20Activa\178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Jose\Desktop\Potencia%20Reactiva\178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se\Desktop\Potencia%20Activa\Analisis%20de%20PFV%20UCL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ose\Desktop\Potencia%20Reactiva\Analisis%20de%20PFV%20UCLV.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ose\Desktop\Potencia%20Activa\1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ose\Desktop\Potencia%20Activa\1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ose\Desktop\Potencia%20Reactiva\1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ose\Desktop\Potencia%20Activa\Camajuan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ose\Desktop\Potencia%20Activa\Camajuan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ose\Desktop\Potencia%20Reactiva\Camajua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Activa</a:t>
            </a:r>
          </a:p>
        </c:rich>
      </c:tx>
      <c:layout/>
      <c:overlay val="0"/>
    </c:title>
    <c:autoTitleDeleted val="0"/>
    <c:plotArea>
      <c:layout>
        <c:manualLayout>
          <c:layoutTarget val="inner"/>
          <c:xMode val="edge"/>
          <c:yMode val="edge"/>
          <c:x val="7.1039652977509554E-2"/>
          <c:y val="0.17157006750303"/>
          <c:w val="0.75024643626133636"/>
          <c:h val="0.72628251743761352"/>
        </c:manualLayout>
      </c:layout>
      <c:lineChart>
        <c:grouping val="standard"/>
        <c:varyColors val="0"/>
        <c:ser>
          <c:idx val="0"/>
          <c:order val="0"/>
          <c:tx>
            <c:strRef>
              <c:f>Potencia!$B$5</c:f>
              <c:strCache>
                <c:ptCount val="1"/>
                <c:pt idx="0">
                  <c:v>Potencia (kW) -PFV desconectado</c:v>
                </c:pt>
              </c:strCache>
            </c:strRef>
          </c:tx>
          <c:marker>
            <c:symbol val="none"/>
          </c:marker>
          <c:val>
            <c:numRef>
              <c:f>Potencia!$B$6:$B$29</c:f>
              <c:numCache>
                <c:formatCode>General</c:formatCode>
                <c:ptCount val="24"/>
                <c:pt idx="0">
                  <c:v>3534</c:v>
                </c:pt>
                <c:pt idx="1">
                  <c:v>3376</c:v>
                </c:pt>
                <c:pt idx="2">
                  <c:v>3272</c:v>
                </c:pt>
                <c:pt idx="3">
                  <c:v>3250</c:v>
                </c:pt>
                <c:pt idx="4">
                  <c:v>3330</c:v>
                </c:pt>
                <c:pt idx="5">
                  <c:v>4034</c:v>
                </c:pt>
                <c:pt idx="6">
                  <c:v>4310</c:v>
                </c:pt>
                <c:pt idx="7">
                  <c:v>4573</c:v>
                </c:pt>
                <c:pt idx="8">
                  <c:v>4683</c:v>
                </c:pt>
                <c:pt idx="9">
                  <c:v>4811</c:v>
                </c:pt>
                <c:pt idx="10">
                  <c:v>5131</c:v>
                </c:pt>
                <c:pt idx="11">
                  <c:v>5486</c:v>
                </c:pt>
                <c:pt idx="12">
                  <c:v>5018</c:v>
                </c:pt>
                <c:pt idx="13">
                  <c:v>4903</c:v>
                </c:pt>
                <c:pt idx="14">
                  <c:v>4983</c:v>
                </c:pt>
                <c:pt idx="15">
                  <c:v>4950</c:v>
                </c:pt>
                <c:pt idx="16">
                  <c:v>5110</c:v>
                </c:pt>
                <c:pt idx="17">
                  <c:v>5727</c:v>
                </c:pt>
                <c:pt idx="18">
                  <c:v>6031</c:v>
                </c:pt>
                <c:pt idx="19">
                  <c:v>6110</c:v>
                </c:pt>
                <c:pt idx="20">
                  <c:v>5276</c:v>
                </c:pt>
                <c:pt idx="21">
                  <c:v>4610</c:v>
                </c:pt>
                <c:pt idx="22">
                  <c:v>4610</c:v>
                </c:pt>
                <c:pt idx="23">
                  <c:v>3684</c:v>
                </c:pt>
              </c:numCache>
            </c:numRef>
          </c:val>
          <c:smooth val="0"/>
          <c:extLst xmlns:c16r2="http://schemas.microsoft.com/office/drawing/2015/06/chart">
            <c:ext xmlns:c16="http://schemas.microsoft.com/office/drawing/2014/chart" uri="{C3380CC4-5D6E-409C-BE32-E72D297353CC}">
              <c16:uniqueId val="{00000000-A7FC-49E6-B189-CFAA817F577E}"/>
            </c:ext>
          </c:extLst>
        </c:ser>
        <c:ser>
          <c:idx val="1"/>
          <c:order val="1"/>
          <c:tx>
            <c:strRef>
              <c:f>Potencia!$C$5</c:f>
              <c:strCache>
                <c:ptCount val="1"/>
                <c:pt idx="0">
                  <c:v>Potencia (kW) -PFV conectado</c:v>
                </c:pt>
              </c:strCache>
            </c:strRef>
          </c:tx>
          <c:marker>
            <c:symbol val="none"/>
          </c:marker>
          <c:val>
            <c:numRef>
              <c:f>Potencia!$C$6:$C$29</c:f>
              <c:numCache>
                <c:formatCode>General</c:formatCode>
                <c:ptCount val="24"/>
                <c:pt idx="0">
                  <c:v>3534</c:v>
                </c:pt>
                <c:pt idx="1">
                  <c:v>3376</c:v>
                </c:pt>
                <c:pt idx="2">
                  <c:v>3272</c:v>
                </c:pt>
                <c:pt idx="3">
                  <c:v>3250</c:v>
                </c:pt>
                <c:pt idx="4">
                  <c:v>3330</c:v>
                </c:pt>
                <c:pt idx="5">
                  <c:v>4034</c:v>
                </c:pt>
                <c:pt idx="6">
                  <c:v>4210</c:v>
                </c:pt>
                <c:pt idx="7">
                  <c:v>4373</c:v>
                </c:pt>
                <c:pt idx="8">
                  <c:v>4283</c:v>
                </c:pt>
                <c:pt idx="9">
                  <c:v>4210</c:v>
                </c:pt>
                <c:pt idx="10">
                  <c:v>4331</c:v>
                </c:pt>
                <c:pt idx="11">
                  <c:v>4486</c:v>
                </c:pt>
                <c:pt idx="12">
                  <c:v>4218</c:v>
                </c:pt>
                <c:pt idx="13">
                  <c:v>4303</c:v>
                </c:pt>
                <c:pt idx="14">
                  <c:v>4583</c:v>
                </c:pt>
                <c:pt idx="15">
                  <c:v>4750</c:v>
                </c:pt>
                <c:pt idx="16">
                  <c:v>5010</c:v>
                </c:pt>
                <c:pt idx="17">
                  <c:v>5727</c:v>
                </c:pt>
                <c:pt idx="18">
                  <c:v>6031</c:v>
                </c:pt>
                <c:pt idx="19">
                  <c:v>6110</c:v>
                </c:pt>
                <c:pt idx="20">
                  <c:v>5276</c:v>
                </c:pt>
                <c:pt idx="21">
                  <c:v>4610</c:v>
                </c:pt>
                <c:pt idx="22">
                  <c:v>4610</c:v>
                </c:pt>
                <c:pt idx="23">
                  <c:v>3684</c:v>
                </c:pt>
              </c:numCache>
            </c:numRef>
          </c:val>
          <c:smooth val="0"/>
          <c:extLst xmlns:c16r2="http://schemas.microsoft.com/office/drawing/2015/06/chart">
            <c:ext xmlns:c16="http://schemas.microsoft.com/office/drawing/2014/chart" uri="{C3380CC4-5D6E-409C-BE32-E72D297353CC}">
              <c16:uniqueId val="{00000001-A7FC-49E6-B189-CFAA817F577E}"/>
            </c:ext>
          </c:extLst>
        </c:ser>
        <c:dLbls>
          <c:showLegendKey val="0"/>
          <c:showVal val="0"/>
          <c:showCatName val="0"/>
          <c:showSerName val="0"/>
          <c:showPercent val="0"/>
          <c:showBubbleSize val="0"/>
        </c:dLbls>
        <c:marker val="1"/>
        <c:smooth val="0"/>
        <c:axId val="155169536"/>
        <c:axId val="155171072"/>
      </c:lineChart>
      <c:catAx>
        <c:axId val="155169536"/>
        <c:scaling>
          <c:orientation val="minMax"/>
        </c:scaling>
        <c:delete val="0"/>
        <c:axPos val="b"/>
        <c:majorTickMark val="none"/>
        <c:minorTickMark val="none"/>
        <c:tickLblPos val="nextTo"/>
        <c:crossAx val="155171072"/>
        <c:crosses val="autoZero"/>
        <c:auto val="1"/>
        <c:lblAlgn val="ctr"/>
        <c:lblOffset val="100"/>
        <c:noMultiLvlLbl val="0"/>
      </c:catAx>
      <c:valAx>
        <c:axId val="155171072"/>
        <c:scaling>
          <c:orientation val="minMax"/>
        </c:scaling>
        <c:delete val="0"/>
        <c:axPos val="l"/>
        <c:majorGridlines/>
        <c:title>
          <c:tx>
            <c:rich>
              <a:bodyPr rot="0" vert="horz"/>
              <a:lstStyle/>
              <a:p>
                <a:pPr>
                  <a:defRPr/>
                </a:pPr>
                <a:r>
                  <a:rPr lang="es-ES"/>
                  <a:t>kW</a:t>
                </a:r>
              </a:p>
            </c:rich>
          </c:tx>
          <c:layout>
            <c:manualLayout>
              <c:xMode val="edge"/>
              <c:yMode val="edge"/>
              <c:x val="7.5000000000000067E-2"/>
              <c:y val="5.9770341207349108E-2"/>
            </c:manualLayout>
          </c:layout>
          <c:overlay val="0"/>
        </c:title>
        <c:numFmt formatCode="General" sourceLinked="1"/>
        <c:majorTickMark val="none"/>
        <c:minorTickMark val="none"/>
        <c:tickLblPos val="nextTo"/>
        <c:crossAx val="155169536"/>
        <c:crosses val="autoZero"/>
        <c:crossBetween val="between"/>
      </c:valAx>
    </c:plotArea>
    <c:legend>
      <c:legendPos val="r"/>
      <c:layout>
        <c:manualLayout>
          <c:xMode val="edge"/>
          <c:yMode val="edge"/>
          <c:x val="0.81929008125481362"/>
          <c:y val="0.19991684525672851"/>
          <c:w val="0.16873387084099545"/>
          <c:h val="0.70200133240225704"/>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a:t>
            </a:r>
            <a:r>
              <a:rPr lang="es-ES" baseline="0"/>
              <a:t> activa</a:t>
            </a:r>
            <a:endParaRPr lang="es-ES"/>
          </a:p>
        </c:rich>
      </c:tx>
      <c:layout/>
      <c:overlay val="0"/>
    </c:title>
    <c:autoTitleDeleted val="0"/>
    <c:plotArea>
      <c:layout>
        <c:manualLayout>
          <c:layoutTarget val="inner"/>
          <c:xMode val="edge"/>
          <c:yMode val="edge"/>
          <c:x val="8.7302209134896031E-2"/>
          <c:y val="0.12982853191255284"/>
          <c:w val="0.74631351351351438"/>
          <c:h val="0.68948807800528222"/>
        </c:manualLayout>
      </c:layout>
      <c:lineChart>
        <c:grouping val="standard"/>
        <c:varyColors val="0"/>
        <c:ser>
          <c:idx val="0"/>
          <c:order val="0"/>
          <c:tx>
            <c:strRef>
              <c:f>Potencia!$B$5</c:f>
              <c:strCache>
                <c:ptCount val="1"/>
                <c:pt idx="0">
                  <c:v>Potencia (kW) -PFV desconectado</c:v>
                </c:pt>
              </c:strCache>
            </c:strRef>
          </c:tx>
          <c:marker>
            <c:symbol val="none"/>
          </c:marker>
          <c:val>
            <c:numRef>
              <c:f>Potencia!$B$6:$B$29</c:f>
              <c:numCache>
                <c:formatCode>General</c:formatCode>
                <c:ptCount val="24"/>
                <c:pt idx="0">
                  <c:v>6231</c:v>
                </c:pt>
                <c:pt idx="1">
                  <c:v>5995</c:v>
                </c:pt>
                <c:pt idx="2">
                  <c:v>5930</c:v>
                </c:pt>
                <c:pt idx="3">
                  <c:v>5921</c:v>
                </c:pt>
                <c:pt idx="4">
                  <c:v>6313</c:v>
                </c:pt>
                <c:pt idx="5">
                  <c:v>7188</c:v>
                </c:pt>
                <c:pt idx="6">
                  <c:v>7854</c:v>
                </c:pt>
                <c:pt idx="7">
                  <c:v>8241</c:v>
                </c:pt>
                <c:pt idx="8">
                  <c:v>8390</c:v>
                </c:pt>
                <c:pt idx="9">
                  <c:v>9004</c:v>
                </c:pt>
                <c:pt idx="10">
                  <c:v>9597</c:v>
                </c:pt>
                <c:pt idx="11">
                  <c:v>10127.5</c:v>
                </c:pt>
                <c:pt idx="12">
                  <c:v>9152.5</c:v>
                </c:pt>
                <c:pt idx="13">
                  <c:v>8626</c:v>
                </c:pt>
                <c:pt idx="14">
                  <c:v>8784</c:v>
                </c:pt>
                <c:pt idx="15">
                  <c:v>9086.2999999999884</c:v>
                </c:pt>
                <c:pt idx="16">
                  <c:v>9636.2999999999884</c:v>
                </c:pt>
                <c:pt idx="17">
                  <c:v>10721.3</c:v>
                </c:pt>
                <c:pt idx="18">
                  <c:v>11188.5</c:v>
                </c:pt>
                <c:pt idx="19">
                  <c:v>10430</c:v>
                </c:pt>
                <c:pt idx="20">
                  <c:v>9013</c:v>
                </c:pt>
                <c:pt idx="21">
                  <c:v>7892</c:v>
                </c:pt>
                <c:pt idx="22">
                  <c:v>7892</c:v>
                </c:pt>
                <c:pt idx="23">
                  <c:v>6225</c:v>
                </c:pt>
              </c:numCache>
            </c:numRef>
          </c:val>
          <c:smooth val="0"/>
          <c:extLst xmlns:c16r2="http://schemas.microsoft.com/office/drawing/2015/06/chart">
            <c:ext xmlns:c16="http://schemas.microsoft.com/office/drawing/2014/chart" uri="{C3380CC4-5D6E-409C-BE32-E72D297353CC}">
              <c16:uniqueId val="{00000000-08AF-4978-AE0C-5A7EB047C131}"/>
            </c:ext>
          </c:extLst>
        </c:ser>
        <c:ser>
          <c:idx val="1"/>
          <c:order val="1"/>
          <c:tx>
            <c:strRef>
              <c:f>Potencia!$C$5</c:f>
              <c:strCache>
                <c:ptCount val="1"/>
                <c:pt idx="0">
                  <c:v>Potencia (kW) -PFV conectado</c:v>
                </c:pt>
              </c:strCache>
            </c:strRef>
          </c:tx>
          <c:marker>
            <c:symbol val="none"/>
          </c:marker>
          <c:val>
            <c:numRef>
              <c:f>Potencia!$C$6:$C$29</c:f>
              <c:numCache>
                <c:formatCode>General</c:formatCode>
                <c:ptCount val="24"/>
                <c:pt idx="0">
                  <c:v>6231</c:v>
                </c:pt>
                <c:pt idx="1">
                  <c:v>5995</c:v>
                </c:pt>
                <c:pt idx="2">
                  <c:v>5930</c:v>
                </c:pt>
                <c:pt idx="3">
                  <c:v>5921</c:v>
                </c:pt>
                <c:pt idx="4">
                  <c:v>6313</c:v>
                </c:pt>
                <c:pt idx="5">
                  <c:v>7188</c:v>
                </c:pt>
                <c:pt idx="6">
                  <c:v>7754</c:v>
                </c:pt>
                <c:pt idx="7">
                  <c:v>8041</c:v>
                </c:pt>
                <c:pt idx="8">
                  <c:v>7990</c:v>
                </c:pt>
                <c:pt idx="9">
                  <c:v>8404</c:v>
                </c:pt>
                <c:pt idx="10">
                  <c:v>8797</c:v>
                </c:pt>
                <c:pt idx="11">
                  <c:v>9127.5</c:v>
                </c:pt>
                <c:pt idx="12">
                  <c:v>8352.5</c:v>
                </c:pt>
                <c:pt idx="13">
                  <c:v>8026</c:v>
                </c:pt>
                <c:pt idx="14">
                  <c:v>8384</c:v>
                </c:pt>
                <c:pt idx="15">
                  <c:v>8886.2999999999884</c:v>
                </c:pt>
                <c:pt idx="16">
                  <c:v>9536.2999999999884</c:v>
                </c:pt>
                <c:pt idx="17">
                  <c:v>10721.3</c:v>
                </c:pt>
                <c:pt idx="18">
                  <c:v>11188.5</c:v>
                </c:pt>
                <c:pt idx="19">
                  <c:v>10430</c:v>
                </c:pt>
                <c:pt idx="20">
                  <c:v>9013</c:v>
                </c:pt>
                <c:pt idx="21">
                  <c:v>7892</c:v>
                </c:pt>
                <c:pt idx="22">
                  <c:v>7892</c:v>
                </c:pt>
                <c:pt idx="23">
                  <c:v>6225</c:v>
                </c:pt>
              </c:numCache>
            </c:numRef>
          </c:val>
          <c:smooth val="0"/>
          <c:extLst xmlns:c16r2="http://schemas.microsoft.com/office/drawing/2015/06/chart">
            <c:ext xmlns:c16="http://schemas.microsoft.com/office/drawing/2014/chart" uri="{C3380CC4-5D6E-409C-BE32-E72D297353CC}">
              <c16:uniqueId val="{00000001-08AF-4978-AE0C-5A7EB047C131}"/>
            </c:ext>
          </c:extLst>
        </c:ser>
        <c:dLbls>
          <c:showLegendKey val="0"/>
          <c:showVal val="0"/>
          <c:showCatName val="0"/>
          <c:showSerName val="0"/>
          <c:showPercent val="0"/>
          <c:showBubbleSize val="0"/>
        </c:dLbls>
        <c:marker val="1"/>
        <c:smooth val="0"/>
        <c:axId val="176021888"/>
        <c:axId val="176023424"/>
      </c:lineChart>
      <c:catAx>
        <c:axId val="176021888"/>
        <c:scaling>
          <c:orientation val="minMax"/>
        </c:scaling>
        <c:delete val="0"/>
        <c:axPos val="b"/>
        <c:majorTickMark val="none"/>
        <c:minorTickMark val="none"/>
        <c:tickLblPos val="nextTo"/>
        <c:crossAx val="176023424"/>
        <c:crosses val="autoZero"/>
        <c:auto val="1"/>
        <c:lblAlgn val="ctr"/>
        <c:lblOffset val="100"/>
        <c:noMultiLvlLbl val="0"/>
      </c:catAx>
      <c:valAx>
        <c:axId val="176023424"/>
        <c:scaling>
          <c:orientation val="minMax"/>
        </c:scaling>
        <c:delete val="0"/>
        <c:axPos val="l"/>
        <c:majorGridlines/>
        <c:title>
          <c:tx>
            <c:rich>
              <a:bodyPr rot="0" vert="horz"/>
              <a:lstStyle/>
              <a:p>
                <a:pPr>
                  <a:defRPr/>
                </a:pPr>
                <a:r>
                  <a:rPr lang="es-ES"/>
                  <a:t>kW</a:t>
                </a:r>
              </a:p>
            </c:rich>
          </c:tx>
          <c:layout>
            <c:manualLayout>
              <c:xMode val="edge"/>
              <c:yMode val="edge"/>
              <c:x val="7.7777777777777779E-2"/>
              <c:y val="6.4399970836978834E-2"/>
            </c:manualLayout>
          </c:layout>
          <c:overlay val="0"/>
        </c:title>
        <c:numFmt formatCode="General" sourceLinked="1"/>
        <c:majorTickMark val="none"/>
        <c:minorTickMark val="none"/>
        <c:tickLblPos val="nextTo"/>
        <c:crossAx val="176021888"/>
        <c:crosses val="autoZero"/>
        <c:crossBetween val="between"/>
      </c:valAx>
    </c:plotArea>
    <c:legend>
      <c:legendPos val="r"/>
      <c:layout>
        <c:manualLayout>
          <c:xMode val="edge"/>
          <c:yMode val="edge"/>
          <c:x val="0.80399201501661721"/>
          <c:y val="7.6707131943369034E-2"/>
          <c:w val="0.17942575015960843"/>
          <c:h val="0.81529526942549113"/>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Pérdidas de P(kW)</a:t>
            </a:r>
          </a:p>
        </c:rich>
      </c:tx>
      <c:layout/>
      <c:overlay val="0"/>
    </c:title>
    <c:autoTitleDeleted val="0"/>
    <c:plotArea>
      <c:layout>
        <c:manualLayout>
          <c:layoutTarget val="inner"/>
          <c:xMode val="edge"/>
          <c:yMode val="edge"/>
          <c:x val="6.1189624024269695E-2"/>
          <c:y val="0.1234461601390735"/>
          <c:w val="0.77135337709271912"/>
          <c:h val="0.70164794400699915"/>
        </c:manualLayout>
      </c:layout>
      <c:lineChart>
        <c:grouping val="standard"/>
        <c:varyColors val="0"/>
        <c:ser>
          <c:idx val="0"/>
          <c:order val="0"/>
          <c:tx>
            <c:strRef>
              <c:f>Perdidas!$C$4</c:f>
              <c:strCache>
                <c:ptCount val="1"/>
                <c:pt idx="0">
                  <c:v>P de potencia (kW) -PFV desconectado</c:v>
                </c:pt>
              </c:strCache>
            </c:strRef>
          </c:tx>
          <c:marker>
            <c:symbol val="none"/>
          </c:marker>
          <c:val>
            <c:numRef>
              <c:f>Perdidas!$C$5:$C$28</c:f>
              <c:numCache>
                <c:formatCode>General</c:formatCode>
                <c:ptCount val="24"/>
                <c:pt idx="0">
                  <c:v>34.950000000000003</c:v>
                </c:pt>
                <c:pt idx="1">
                  <c:v>31.75</c:v>
                </c:pt>
                <c:pt idx="2">
                  <c:v>30.34</c:v>
                </c:pt>
                <c:pt idx="3">
                  <c:v>30.17</c:v>
                </c:pt>
                <c:pt idx="4">
                  <c:v>32.99</c:v>
                </c:pt>
                <c:pt idx="5">
                  <c:v>46.85</c:v>
                </c:pt>
                <c:pt idx="6">
                  <c:v>55</c:v>
                </c:pt>
                <c:pt idx="7">
                  <c:v>62.05</c:v>
                </c:pt>
                <c:pt idx="8">
                  <c:v>65.69</c:v>
                </c:pt>
                <c:pt idx="9">
                  <c:v>71.61999999999999</c:v>
                </c:pt>
                <c:pt idx="10">
                  <c:v>82.72</c:v>
                </c:pt>
                <c:pt idx="11">
                  <c:v>93.410000000000025</c:v>
                </c:pt>
                <c:pt idx="12">
                  <c:v>75.179999999999978</c:v>
                </c:pt>
                <c:pt idx="13">
                  <c:v>68.33</c:v>
                </c:pt>
                <c:pt idx="14">
                  <c:v>71.06</c:v>
                </c:pt>
                <c:pt idx="15">
                  <c:v>72.940000000000026</c:v>
                </c:pt>
                <c:pt idx="16">
                  <c:v>80.510000000000005</c:v>
                </c:pt>
                <c:pt idx="17">
                  <c:v>101.72</c:v>
                </c:pt>
                <c:pt idx="18">
                  <c:v>112.96000000000002</c:v>
                </c:pt>
                <c:pt idx="19">
                  <c:v>110.06</c:v>
                </c:pt>
                <c:pt idx="20">
                  <c:v>81.7</c:v>
                </c:pt>
                <c:pt idx="21">
                  <c:v>60.74</c:v>
                </c:pt>
                <c:pt idx="22">
                  <c:v>60.74</c:v>
                </c:pt>
                <c:pt idx="23">
                  <c:v>36.96</c:v>
                </c:pt>
              </c:numCache>
            </c:numRef>
          </c:val>
          <c:smooth val="0"/>
          <c:extLst xmlns:c16r2="http://schemas.microsoft.com/office/drawing/2015/06/chart">
            <c:ext xmlns:c16="http://schemas.microsoft.com/office/drawing/2014/chart" uri="{C3380CC4-5D6E-409C-BE32-E72D297353CC}">
              <c16:uniqueId val="{00000000-D1A2-4947-A194-189F7762E1B1}"/>
            </c:ext>
          </c:extLst>
        </c:ser>
        <c:ser>
          <c:idx val="1"/>
          <c:order val="1"/>
          <c:tx>
            <c:strRef>
              <c:f>Perdidas!$D$4</c:f>
              <c:strCache>
                <c:ptCount val="1"/>
                <c:pt idx="0">
                  <c:v>P de potencia (kW) -PFV conectado</c:v>
                </c:pt>
              </c:strCache>
            </c:strRef>
          </c:tx>
          <c:marker>
            <c:symbol val="none"/>
          </c:marker>
          <c:val>
            <c:numRef>
              <c:f>Perdidas!$D$5:$D$28</c:f>
              <c:numCache>
                <c:formatCode>General</c:formatCode>
                <c:ptCount val="24"/>
                <c:pt idx="0">
                  <c:v>34.950000000000003</c:v>
                </c:pt>
                <c:pt idx="1">
                  <c:v>31.75</c:v>
                </c:pt>
                <c:pt idx="2">
                  <c:v>30.34</c:v>
                </c:pt>
                <c:pt idx="3">
                  <c:v>30.17</c:v>
                </c:pt>
                <c:pt idx="4">
                  <c:v>32.99</c:v>
                </c:pt>
                <c:pt idx="5">
                  <c:v>46.85</c:v>
                </c:pt>
                <c:pt idx="6">
                  <c:v>53.49</c:v>
                </c:pt>
                <c:pt idx="7">
                  <c:v>58.86</c:v>
                </c:pt>
                <c:pt idx="8">
                  <c:v>59.35</c:v>
                </c:pt>
                <c:pt idx="9">
                  <c:v>62.08</c:v>
                </c:pt>
                <c:pt idx="10">
                  <c:v>69.400000000000006</c:v>
                </c:pt>
                <c:pt idx="11">
                  <c:v>75.910000000000025</c:v>
                </c:pt>
                <c:pt idx="12">
                  <c:v>62.27</c:v>
                </c:pt>
                <c:pt idx="13">
                  <c:v>58.84</c:v>
                </c:pt>
                <c:pt idx="14">
                  <c:v>64.42</c:v>
                </c:pt>
                <c:pt idx="15">
                  <c:v>69.540000000000006</c:v>
                </c:pt>
                <c:pt idx="16">
                  <c:v>78.709999999999994</c:v>
                </c:pt>
                <c:pt idx="17">
                  <c:v>101.72</c:v>
                </c:pt>
                <c:pt idx="18">
                  <c:v>112.96000000000002</c:v>
                </c:pt>
                <c:pt idx="19">
                  <c:v>110.06</c:v>
                </c:pt>
                <c:pt idx="20">
                  <c:v>81.7</c:v>
                </c:pt>
                <c:pt idx="21">
                  <c:v>60.74</c:v>
                </c:pt>
                <c:pt idx="22">
                  <c:v>60.74</c:v>
                </c:pt>
                <c:pt idx="23">
                  <c:v>36.96</c:v>
                </c:pt>
              </c:numCache>
            </c:numRef>
          </c:val>
          <c:smooth val="0"/>
          <c:extLst xmlns:c16r2="http://schemas.microsoft.com/office/drawing/2015/06/chart">
            <c:ext xmlns:c16="http://schemas.microsoft.com/office/drawing/2014/chart" uri="{C3380CC4-5D6E-409C-BE32-E72D297353CC}">
              <c16:uniqueId val="{00000001-D1A2-4947-A194-189F7762E1B1}"/>
            </c:ext>
          </c:extLst>
        </c:ser>
        <c:dLbls>
          <c:showLegendKey val="0"/>
          <c:showVal val="0"/>
          <c:showCatName val="0"/>
          <c:showSerName val="0"/>
          <c:showPercent val="0"/>
          <c:showBubbleSize val="0"/>
        </c:dLbls>
        <c:marker val="1"/>
        <c:smooth val="0"/>
        <c:axId val="176058752"/>
        <c:axId val="176060288"/>
      </c:lineChart>
      <c:catAx>
        <c:axId val="176058752"/>
        <c:scaling>
          <c:orientation val="minMax"/>
        </c:scaling>
        <c:delete val="0"/>
        <c:axPos val="b"/>
        <c:majorTickMark val="none"/>
        <c:minorTickMark val="none"/>
        <c:tickLblPos val="nextTo"/>
        <c:crossAx val="176060288"/>
        <c:crosses val="autoZero"/>
        <c:auto val="1"/>
        <c:lblAlgn val="ctr"/>
        <c:lblOffset val="100"/>
        <c:noMultiLvlLbl val="0"/>
      </c:catAx>
      <c:valAx>
        <c:axId val="176060288"/>
        <c:scaling>
          <c:orientation val="minMax"/>
        </c:scaling>
        <c:delete val="0"/>
        <c:axPos val="l"/>
        <c:majorGridlines/>
        <c:title>
          <c:tx>
            <c:rich>
              <a:bodyPr rot="0" vert="horz"/>
              <a:lstStyle/>
              <a:p>
                <a:pPr>
                  <a:defRPr/>
                </a:pPr>
                <a:r>
                  <a:rPr lang="es-ES"/>
                  <a:t>kW</a:t>
                </a:r>
              </a:p>
            </c:rich>
          </c:tx>
          <c:layout>
            <c:manualLayout>
              <c:xMode val="edge"/>
              <c:yMode val="edge"/>
              <c:x val="4.6351775380785457E-2"/>
              <c:y val="3.4304951011558331E-2"/>
            </c:manualLayout>
          </c:layout>
          <c:overlay val="0"/>
        </c:title>
        <c:numFmt formatCode="General" sourceLinked="1"/>
        <c:majorTickMark val="none"/>
        <c:minorTickMark val="none"/>
        <c:tickLblPos val="nextTo"/>
        <c:crossAx val="176058752"/>
        <c:crosses val="autoZero"/>
        <c:crossBetween val="between"/>
      </c:valAx>
    </c:plotArea>
    <c:legend>
      <c:legendPos val="r"/>
      <c:layout>
        <c:manualLayout>
          <c:xMode val="edge"/>
          <c:yMode val="edge"/>
          <c:x val="0.79457722283865617"/>
          <c:y val="0.13225487304000538"/>
          <c:w val="0.19352757152951217"/>
          <c:h val="0.60942745793139563"/>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a:t>
            </a:r>
            <a:r>
              <a:rPr lang="es-ES" baseline="0"/>
              <a:t> reactiva</a:t>
            </a:r>
            <a:endParaRPr lang="es-ES"/>
          </a:p>
        </c:rich>
      </c:tx>
      <c:layout/>
      <c:overlay val="0"/>
    </c:title>
    <c:autoTitleDeleted val="0"/>
    <c:plotArea>
      <c:layout>
        <c:manualLayout>
          <c:layoutTarget val="inner"/>
          <c:xMode val="edge"/>
          <c:yMode val="edge"/>
          <c:x val="7.4605281536969589E-2"/>
          <c:y val="0.19480351414406533"/>
          <c:w val="0.75147993978239369"/>
          <c:h val="0.67319640364103528"/>
        </c:manualLayout>
      </c:layout>
      <c:lineChart>
        <c:grouping val="standard"/>
        <c:varyColors val="0"/>
        <c:ser>
          <c:idx val="0"/>
          <c:order val="0"/>
          <c:tx>
            <c:strRef>
              <c:f>Potencia!$B$5</c:f>
              <c:strCache>
                <c:ptCount val="1"/>
                <c:pt idx="0">
                  <c:v>Potencia (kvar) -PFV desconectado</c:v>
                </c:pt>
              </c:strCache>
            </c:strRef>
          </c:tx>
          <c:marker>
            <c:symbol val="none"/>
          </c:marker>
          <c:val>
            <c:numRef>
              <c:f>Potencia!$B$6:$B$29</c:f>
              <c:numCache>
                <c:formatCode>General</c:formatCode>
                <c:ptCount val="24"/>
                <c:pt idx="0">
                  <c:v>2722.5</c:v>
                </c:pt>
                <c:pt idx="1">
                  <c:v>2626</c:v>
                </c:pt>
                <c:pt idx="2">
                  <c:v>2623.5</c:v>
                </c:pt>
                <c:pt idx="3">
                  <c:v>2641.5</c:v>
                </c:pt>
                <c:pt idx="4">
                  <c:v>2834</c:v>
                </c:pt>
                <c:pt idx="5">
                  <c:v>3162.5</c:v>
                </c:pt>
                <c:pt idx="6">
                  <c:v>3469.5</c:v>
                </c:pt>
                <c:pt idx="7">
                  <c:v>3664.5</c:v>
                </c:pt>
                <c:pt idx="8">
                  <c:v>3759</c:v>
                </c:pt>
                <c:pt idx="9">
                  <c:v>4003</c:v>
                </c:pt>
                <c:pt idx="10">
                  <c:v>4304.5</c:v>
                </c:pt>
                <c:pt idx="11">
                  <c:v>4489.5</c:v>
                </c:pt>
                <c:pt idx="12">
                  <c:v>3958.5</c:v>
                </c:pt>
                <c:pt idx="13">
                  <c:v>3688.5</c:v>
                </c:pt>
                <c:pt idx="14">
                  <c:v>3774.5</c:v>
                </c:pt>
                <c:pt idx="15">
                  <c:v>3952.5</c:v>
                </c:pt>
                <c:pt idx="16">
                  <c:v>4253</c:v>
                </c:pt>
                <c:pt idx="17">
                  <c:v>4691</c:v>
                </c:pt>
                <c:pt idx="18">
                  <c:v>4929.5</c:v>
                </c:pt>
                <c:pt idx="19">
                  <c:v>4536</c:v>
                </c:pt>
                <c:pt idx="20">
                  <c:v>3933</c:v>
                </c:pt>
                <c:pt idx="21">
                  <c:v>3483</c:v>
                </c:pt>
                <c:pt idx="22">
                  <c:v>3483</c:v>
                </c:pt>
                <c:pt idx="23">
                  <c:v>2708</c:v>
                </c:pt>
              </c:numCache>
            </c:numRef>
          </c:val>
          <c:smooth val="0"/>
          <c:extLst xmlns:c16r2="http://schemas.microsoft.com/office/drawing/2015/06/chart">
            <c:ext xmlns:c16="http://schemas.microsoft.com/office/drawing/2014/chart" uri="{C3380CC4-5D6E-409C-BE32-E72D297353CC}">
              <c16:uniqueId val="{00000000-3F4C-4377-AE9B-FB2F1B6B96F0}"/>
            </c:ext>
          </c:extLst>
        </c:ser>
        <c:ser>
          <c:idx val="1"/>
          <c:order val="1"/>
          <c:tx>
            <c:strRef>
              <c:f>Potencia!$C$5</c:f>
              <c:strCache>
                <c:ptCount val="1"/>
                <c:pt idx="0">
                  <c:v>Potencia (kvar) -PFV conectado</c:v>
                </c:pt>
              </c:strCache>
            </c:strRef>
          </c:tx>
          <c:marker>
            <c:symbol val="none"/>
          </c:marker>
          <c:val>
            <c:numRef>
              <c:f>Potencia!$C$6:$C$29</c:f>
              <c:numCache>
                <c:formatCode>General</c:formatCode>
                <c:ptCount val="24"/>
                <c:pt idx="0">
                  <c:v>1722.5</c:v>
                </c:pt>
                <c:pt idx="1">
                  <c:v>1626</c:v>
                </c:pt>
                <c:pt idx="2">
                  <c:v>1623.5</c:v>
                </c:pt>
                <c:pt idx="3">
                  <c:v>1641.5</c:v>
                </c:pt>
                <c:pt idx="4">
                  <c:v>1834</c:v>
                </c:pt>
                <c:pt idx="5">
                  <c:v>2162.5</c:v>
                </c:pt>
                <c:pt idx="6">
                  <c:v>2479.5</c:v>
                </c:pt>
                <c:pt idx="7">
                  <c:v>2684.5</c:v>
                </c:pt>
                <c:pt idx="8">
                  <c:v>2839</c:v>
                </c:pt>
                <c:pt idx="9">
                  <c:v>3203</c:v>
                </c:pt>
                <c:pt idx="10">
                  <c:v>3704.5</c:v>
                </c:pt>
                <c:pt idx="11">
                  <c:v>4489.5</c:v>
                </c:pt>
                <c:pt idx="12">
                  <c:v>3358.5</c:v>
                </c:pt>
                <c:pt idx="13">
                  <c:v>2888.5</c:v>
                </c:pt>
                <c:pt idx="14">
                  <c:v>2854.5</c:v>
                </c:pt>
                <c:pt idx="15">
                  <c:v>2972.5</c:v>
                </c:pt>
                <c:pt idx="16">
                  <c:v>3263</c:v>
                </c:pt>
                <c:pt idx="17">
                  <c:v>3691</c:v>
                </c:pt>
                <c:pt idx="18">
                  <c:v>3929.5</c:v>
                </c:pt>
                <c:pt idx="19">
                  <c:v>3536</c:v>
                </c:pt>
                <c:pt idx="20">
                  <c:v>2933</c:v>
                </c:pt>
                <c:pt idx="21">
                  <c:v>2483</c:v>
                </c:pt>
                <c:pt idx="22">
                  <c:v>2483</c:v>
                </c:pt>
                <c:pt idx="23">
                  <c:v>1708</c:v>
                </c:pt>
              </c:numCache>
            </c:numRef>
          </c:val>
          <c:smooth val="0"/>
          <c:extLst xmlns:c16r2="http://schemas.microsoft.com/office/drawing/2015/06/chart">
            <c:ext xmlns:c16="http://schemas.microsoft.com/office/drawing/2014/chart" uri="{C3380CC4-5D6E-409C-BE32-E72D297353CC}">
              <c16:uniqueId val="{00000001-3F4C-4377-AE9B-FB2F1B6B96F0}"/>
            </c:ext>
          </c:extLst>
        </c:ser>
        <c:dLbls>
          <c:showLegendKey val="0"/>
          <c:showVal val="0"/>
          <c:showCatName val="0"/>
          <c:showSerName val="0"/>
          <c:showPercent val="0"/>
          <c:showBubbleSize val="0"/>
        </c:dLbls>
        <c:marker val="1"/>
        <c:smooth val="0"/>
        <c:axId val="176078848"/>
        <c:axId val="176080384"/>
      </c:lineChart>
      <c:catAx>
        <c:axId val="176078848"/>
        <c:scaling>
          <c:orientation val="minMax"/>
        </c:scaling>
        <c:delete val="0"/>
        <c:axPos val="b"/>
        <c:majorTickMark val="none"/>
        <c:minorTickMark val="none"/>
        <c:tickLblPos val="nextTo"/>
        <c:crossAx val="176080384"/>
        <c:crosses val="autoZero"/>
        <c:auto val="1"/>
        <c:lblAlgn val="ctr"/>
        <c:lblOffset val="100"/>
        <c:noMultiLvlLbl val="0"/>
      </c:catAx>
      <c:valAx>
        <c:axId val="176080384"/>
        <c:scaling>
          <c:orientation val="minMax"/>
        </c:scaling>
        <c:delete val="0"/>
        <c:axPos val="l"/>
        <c:majorGridlines/>
        <c:title>
          <c:tx>
            <c:rich>
              <a:bodyPr rot="0" vert="horz"/>
              <a:lstStyle/>
              <a:p>
                <a:pPr>
                  <a:defRPr/>
                </a:pPr>
                <a:r>
                  <a:rPr lang="es-ES"/>
                  <a:t>kvar</a:t>
                </a:r>
              </a:p>
            </c:rich>
          </c:tx>
          <c:layout>
            <c:manualLayout>
              <c:xMode val="edge"/>
              <c:yMode val="edge"/>
              <c:x val="6.1111111111111123E-2"/>
              <c:y val="6.4399970836978834E-2"/>
            </c:manualLayout>
          </c:layout>
          <c:overlay val="0"/>
        </c:title>
        <c:numFmt formatCode="General" sourceLinked="1"/>
        <c:majorTickMark val="none"/>
        <c:minorTickMark val="none"/>
        <c:tickLblPos val="nextTo"/>
        <c:crossAx val="176078848"/>
        <c:crosses val="autoZero"/>
        <c:crossBetween val="between"/>
      </c:valAx>
    </c:plotArea>
    <c:legend>
      <c:legendPos val="r"/>
      <c:layout>
        <c:manualLayout>
          <c:xMode val="edge"/>
          <c:yMode val="edge"/>
          <c:x val="0.81550241012493507"/>
          <c:y val="0.17741506270049612"/>
          <c:w val="0.16784320611722858"/>
          <c:h val="0.72375765529308966"/>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activa</a:t>
            </a:r>
          </a:p>
        </c:rich>
      </c:tx>
      <c:layout/>
      <c:overlay val="0"/>
    </c:title>
    <c:autoTitleDeleted val="0"/>
    <c:plotArea>
      <c:layout>
        <c:manualLayout>
          <c:layoutTarget val="inner"/>
          <c:xMode val="edge"/>
          <c:yMode val="edge"/>
          <c:x val="7.1920301065793377E-2"/>
          <c:y val="0.15715241477168296"/>
          <c:w val="0.76337896999702326"/>
          <c:h val="0.61340287878027988"/>
        </c:manualLayout>
      </c:layout>
      <c:lineChart>
        <c:grouping val="standard"/>
        <c:varyColors val="0"/>
        <c:ser>
          <c:idx val="0"/>
          <c:order val="0"/>
          <c:tx>
            <c:strRef>
              <c:f>Potencia!$B$5</c:f>
              <c:strCache>
                <c:ptCount val="1"/>
                <c:pt idx="0">
                  <c:v>Potencia (kW) -PFV desconectado</c:v>
                </c:pt>
              </c:strCache>
            </c:strRef>
          </c:tx>
          <c:marker>
            <c:symbol val="none"/>
          </c:marker>
          <c:val>
            <c:numRef>
              <c:f>Potencia!$B$6:$B$29</c:f>
              <c:numCache>
                <c:formatCode>General</c:formatCode>
                <c:ptCount val="24"/>
                <c:pt idx="0">
                  <c:v>1082</c:v>
                </c:pt>
                <c:pt idx="1">
                  <c:v>1082</c:v>
                </c:pt>
                <c:pt idx="2">
                  <c:v>1082</c:v>
                </c:pt>
                <c:pt idx="3">
                  <c:v>1082</c:v>
                </c:pt>
                <c:pt idx="4">
                  <c:v>1082</c:v>
                </c:pt>
                <c:pt idx="5">
                  <c:v>1214</c:v>
                </c:pt>
                <c:pt idx="6">
                  <c:v>1214</c:v>
                </c:pt>
                <c:pt idx="7">
                  <c:v>1455.5</c:v>
                </c:pt>
                <c:pt idx="8">
                  <c:v>1637.5</c:v>
                </c:pt>
                <c:pt idx="9">
                  <c:v>1559</c:v>
                </c:pt>
                <c:pt idx="10">
                  <c:v>1579</c:v>
                </c:pt>
                <c:pt idx="11">
                  <c:v>1515</c:v>
                </c:pt>
                <c:pt idx="12">
                  <c:v>1515</c:v>
                </c:pt>
                <c:pt idx="13">
                  <c:v>1609</c:v>
                </c:pt>
                <c:pt idx="14">
                  <c:v>1427</c:v>
                </c:pt>
                <c:pt idx="15">
                  <c:v>1222</c:v>
                </c:pt>
                <c:pt idx="16">
                  <c:v>1118</c:v>
                </c:pt>
                <c:pt idx="17">
                  <c:v>1027</c:v>
                </c:pt>
                <c:pt idx="18">
                  <c:v>854</c:v>
                </c:pt>
                <c:pt idx="19">
                  <c:v>748</c:v>
                </c:pt>
                <c:pt idx="20">
                  <c:v>900</c:v>
                </c:pt>
                <c:pt idx="21">
                  <c:v>1082</c:v>
                </c:pt>
                <c:pt idx="22">
                  <c:v>1082</c:v>
                </c:pt>
                <c:pt idx="23">
                  <c:v>1082</c:v>
                </c:pt>
              </c:numCache>
            </c:numRef>
          </c:val>
          <c:smooth val="0"/>
          <c:extLst xmlns:c16r2="http://schemas.microsoft.com/office/drawing/2015/06/chart">
            <c:ext xmlns:c16="http://schemas.microsoft.com/office/drawing/2014/chart" uri="{C3380CC4-5D6E-409C-BE32-E72D297353CC}">
              <c16:uniqueId val="{00000000-1B0C-436C-91C7-4400022CB07B}"/>
            </c:ext>
          </c:extLst>
        </c:ser>
        <c:ser>
          <c:idx val="1"/>
          <c:order val="1"/>
          <c:tx>
            <c:strRef>
              <c:f>Potencia!$C$5</c:f>
              <c:strCache>
                <c:ptCount val="1"/>
                <c:pt idx="0">
                  <c:v>Potencia (kW) -PFV conectado</c:v>
                </c:pt>
              </c:strCache>
            </c:strRef>
          </c:tx>
          <c:marker>
            <c:symbol val="none"/>
          </c:marker>
          <c:val>
            <c:numRef>
              <c:f>Potencia!$C$6:$C$29</c:f>
              <c:numCache>
                <c:formatCode>General</c:formatCode>
                <c:ptCount val="24"/>
                <c:pt idx="0">
                  <c:v>1082</c:v>
                </c:pt>
                <c:pt idx="1">
                  <c:v>1082</c:v>
                </c:pt>
                <c:pt idx="2">
                  <c:v>1082</c:v>
                </c:pt>
                <c:pt idx="3">
                  <c:v>1082</c:v>
                </c:pt>
                <c:pt idx="4">
                  <c:v>1082</c:v>
                </c:pt>
                <c:pt idx="5">
                  <c:v>1214</c:v>
                </c:pt>
                <c:pt idx="6">
                  <c:v>1114</c:v>
                </c:pt>
                <c:pt idx="7">
                  <c:v>1255.5</c:v>
                </c:pt>
                <c:pt idx="8">
                  <c:v>1237.5</c:v>
                </c:pt>
                <c:pt idx="9">
                  <c:v>979</c:v>
                </c:pt>
                <c:pt idx="10">
                  <c:v>779</c:v>
                </c:pt>
                <c:pt idx="11">
                  <c:v>515</c:v>
                </c:pt>
                <c:pt idx="12">
                  <c:v>715</c:v>
                </c:pt>
                <c:pt idx="13">
                  <c:v>1009</c:v>
                </c:pt>
                <c:pt idx="14">
                  <c:v>1027</c:v>
                </c:pt>
                <c:pt idx="15">
                  <c:v>1022</c:v>
                </c:pt>
                <c:pt idx="16">
                  <c:v>1018</c:v>
                </c:pt>
                <c:pt idx="17">
                  <c:v>1027</c:v>
                </c:pt>
                <c:pt idx="18">
                  <c:v>854</c:v>
                </c:pt>
                <c:pt idx="19">
                  <c:v>748</c:v>
                </c:pt>
                <c:pt idx="20">
                  <c:v>900</c:v>
                </c:pt>
                <c:pt idx="21">
                  <c:v>1082</c:v>
                </c:pt>
                <c:pt idx="22">
                  <c:v>1082</c:v>
                </c:pt>
                <c:pt idx="23">
                  <c:v>1082</c:v>
                </c:pt>
              </c:numCache>
            </c:numRef>
          </c:val>
          <c:smooth val="0"/>
          <c:extLst xmlns:c16r2="http://schemas.microsoft.com/office/drawing/2015/06/chart">
            <c:ext xmlns:c16="http://schemas.microsoft.com/office/drawing/2014/chart" uri="{C3380CC4-5D6E-409C-BE32-E72D297353CC}">
              <c16:uniqueId val="{00000001-1B0C-436C-91C7-4400022CB07B}"/>
            </c:ext>
          </c:extLst>
        </c:ser>
        <c:dLbls>
          <c:showLegendKey val="0"/>
          <c:showVal val="0"/>
          <c:showCatName val="0"/>
          <c:showSerName val="0"/>
          <c:showPercent val="0"/>
          <c:showBubbleSize val="0"/>
        </c:dLbls>
        <c:marker val="1"/>
        <c:smooth val="0"/>
        <c:axId val="176128384"/>
        <c:axId val="176129920"/>
      </c:lineChart>
      <c:catAx>
        <c:axId val="176128384"/>
        <c:scaling>
          <c:orientation val="minMax"/>
        </c:scaling>
        <c:delete val="0"/>
        <c:axPos val="b"/>
        <c:majorTickMark val="none"/>
        <c:minorTickMark val="none"/>
        <c:tickLblPos val="nextTo"/>
        <c:crossAx val="176129920"/>
        <c:crosses val="autoZero"/>
        <c:auto val="1"/>
        <c:lblAlgn val="ctr"/>
        <c:lblOffset val="100"/>
        <c:noMultiLvlLbl val="0"/>
      </c:catAx>
      <c:valAx>
        <c:axId val="176129920"/>
        <c:scaling>
          <c:orientation val="minMax"/>
        </c:scaling>
        <c:delete val="0"/>
        <c:axPos val="l"/>
        <c:majorGridlines/>
        <c:title>
          <c:tx>
            <c:rich>
              <a:bodyPr rot="0" vert="horz"/>
              <a:lstStyle/>
              <a:p>
                <a:pPr>
                  <a:defRPr/>
                </a:pPr>
                <a:r>
                  <a:rPr lang="es-ES"/>
                  <a:t>kW</a:t>
                </a:r>
              </a:p>
            </c:rich>
          </c:tx>
          <c:layout>
            <c:manualLayout>
              <c:xMode val="edge"/>
              <c:yMode val="edge"/>
              <c:x val="3.25414364640884E-2"/>
              <c:y val="4.4016556753935218E-2"/>
            </c:manualLayout>
          </c:layout>
          <c:overlay val="0"/>
        </c:title>
        <c:numFmt formatCode="General" sourceLinked="1"/>
        <c:majorTickMark val="none"/>
        <c:minorTickMark val="none"/>
        <c:tickLblPos val="nextTo"/>
        <c:crossAx val="176128384"/>
        <c:crosses val="autoZero"/>
        <c:crossBetween val="between"/>
      </c:valAx>
    </c:plotArea>
    <c:legend>
      <c:legendPos val="r"/>
      <c:layout>
        <c:manualLayout>
          <c:xMode val="edge"/>
          <c:yMode val="edge"/>
          <c:x val="0.80868484002790786"/>
          <c:y val="0.13949044991646198"/>
          <c:w val="0.18872059414453121"/>
          <c:h val="0.79987236889506386"/>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Pérdidas de P(kW)</a:t>
            </a:r>
          </a:p>
        </c:rich>
      </c:tx>
      <c:layout/>
      <c:overlay val="0"/>
    </c:title>
    <c:autoTitleDeleted val="0"/>
    <c:plotArea>
      <c:layout>
        <c:manualLayout>
          <c:layoutTarget val="inner"/>
          <c:xMode val="edge"/>
          <c:yMode val="edge"/>
          <c:x val="5.6425294922737797E-2"/>
          <c:y val="0.20108749847129356"/>
          <c:w val="0.74850924346403536"/>
          <c:h val="0.6112773403324584"/>
        </c:manualLayout>
      </c:layout>
      <c:lineChart>
        <c:grouping val="standard"/>
        <c:varyColors val="0"/>
        <c:ser>
          <c:idx val="0"/>
          <c:order val="0"/>
          <c:tx>
            <c:strRef>
              <c:f>Perdidas!$C$4</c:f>
              <c:strCache>
                <c:ptCount val="1"/>
                <c:pt idx="0">
                  <c:v>P de potencia (kW) -PFV desconectado</c:v>
                </c:pt>
              </c:strCache>
            </c:strRef>
          </c:tx>
          <c:marker>
            <c:symbol val="none"/>
          </c:marker>
          <c:val>
            <c:numRef>
              <c:f>Perdidas!$C$5:$C$28</c:f>
              <c:numCache>
                <c:formatCode>General</c:formatCode>
                <c:ptCount val="24"/>
                <c:pt idx="0">
                  <c:v>0.19</c:v>
                </c:pt>
                <c:pt idx="1">
                  <c:v>0.19</c:v>
                </c:pt>
                <c:pt idx="2">
                  <c:v>0.19</c:v>
                </c:pt>
                <c:pt idx="3">
                  <c:v>0.19</c:v>
                </c:pt>
                <c:pt idx="4">
                  <c:v>0.19</c:v>
                </c:pt>
                <c:pt idx="5">
                  <c:v>0.22</c:v>
                </c:pt>
                <c:pt idx="6">
                  <c:v>0.22</c:v>
                </c:pt>
                <c:pt idx="7">
                  <c:v>0.33000000000000046</c:v>
                </c:pt>
                <c:pt idx="8">
                  <c:v>0.42000000000000032</c:v>
                </c:pt>
                <c:pt idx="9">
                  <c:v>0.4</c:v>
                </c:pt>
                <c:pt idx="10">
                  <c:v>0.4</c:v>
                </c:pt>
                <c:pt idx="11">
                  <c:v>0.36000000000000032</c:v>
                </c:pt>
                <c:pt idx="12">
                  <c:v>0.36000000000000032</c:v>
                </c:pt>
                <c:pt idx="13">
                  <c:v>0.41000000000000031</c:v>
                </c:pt>
                <c:pt idx="14">
                  <c:v>0.3200000000000004</c:v>
                </c:pt>
                <c:pt idx="15">
                  <c:v>0.24000000000000016</c:v>
                </c:pt>
                <c:pt idx="16">
                  <c:v>0.2</c:v>
                </c:pt>
                <c:pt idx="17">
                  <c:v>0.17</c:v>
                </c:pt>
                <c:pt idx="18">
                  <c:v>0.11</c:v>
                </c:pt>
                <c:pt idx="19">
                  <c:v>8.0000000000000043E-2</c:v>
                </c:pt>
                <c:pt idx="20">
                  <c:v>0.13</c:v>
                </c:pt>
                <c:pt idx="21">
                  <c:v>0.19</c:v>
                </c:pt>
                <c:pt idx="22">
                  <c:v>0.19</c:v>
                </c:pt>
                <c:pt idx="23">
                  <c:v>0.19</c:v>
                </c:pt>
              </c:numCache>
            </c:numRef>
          </c:val>
          <c:smooth val="0"/>
          <c:extLst xmlns:c16r2="http://schemas.microsoft.com/office/drawing/2015/06/chart">
            <c:ext xmlns:c16="http://schemas.microsoft.com/office/drawing/2014/chart" uri="{C3380CC4-5D6E-409C-BE32-E72D297353CC}">
              <c16:uniqueId val="{00000000-AF6B-49E8-A8E7-6B9C0A5F189E}"/>
            </c:ext>
          </c:extLst>
        </c:ser>
        <c:ser>
          <c:idx val="1"/>
          <c:order val="1"/>
          <c:tx>
            <c:strRef>
              <c:f>Perdidas!$D$4</c:f>
              <c:strCache>
                <c:ptCount val="1"/>
                <c:pt idx="0">
                  <c:v>P de potencia (kW) -PFV conectado</c:v>
                </c:pt>
              </c:strCache>
            </c:strRef>
          </c:tx>
          <c:marker>
            <c:symbol val="none"/>
          </c:marker>
          <c:val>
            <c:numRef>
              <c:f>Perdidas!$D$5:$D$28</c:f>
              <c:numCache>
                <c:formatCode>General</c:formatCode>
                <c:ptCount val="24"/>
                <c:pt idx="0">
                  <c:v>0.19</c:v>
                </c:pt>
                <c:pt idx="1">
                  <c:v>0.19</c:v>
                </c:pt>
                <c:pt idx="2">
                  <c:v>0.19</c:v>
                </c:pt>
                <c:pt idx="3">
                  <c:v>0.19</c:v>
                </c:pt>
                <c:pt idx="4">
                  <c:v>0.19</c:v>
                </c:pt>
                <c:pt idx="5">
                  <c:v>0.22</c:v>
                </c:pt>
                <c:pt idx="6">
                  <c:v>0.19</c:v>
                </c:pt>
                <c:pt idx="7">
                  <c:v>0.26</c:v>
                </c:pt>
                <c:pt idx="8">
                  <c:v>0.28000000000000008</c:v>
                </c:pt>
                <c:pt idx="9">
                  <c:v>0.23</c:v>
                </c:pt>
                <c:pt idx="10">
                  <c:v>0.21000000000000016</c:v>
                </c:pt>
                <c:pt idx="11">
                  <c:v>0.19</c:v>
                </c:pt>
                <c:pt idx="12">
                  <c:v>0.19</c:v>
                </c:pt>
                <c:pt idx="13">
                  <c:v>0.24000000000000016</c:v>
                </c:pt>
                <c:pt idx="14">
                  <c:v>0.2</c:v>
                </c:pt>
                <c:pt idx="15">
                  <c:v>0.18000000000000016</c:v>
                </c:pt>
                <c:pt idx="16">
                  <c:v>0.17</c:v>
                </c:pt>
                <c:pt idx="17">
                  <c:v>0.17</c:v>
                </c:pt>
                <c:pt idx="18">
                  <c:v>0.11</c:v>
                </c:pt>
                <c:pt idx="19">
                  <c:v>8.0000000000000043E-2</c:v>
                </c:pt>
                <c:pt idx="20">
                  <c:v>0.13</c:v>
                </c:pt>
                <c:pt idx="21">
                  <c:v>0.19</c:v>
                </c:pt>
                <c:pt idx="22">
                  <c:v>0.19</c:v>
                </c:pt>
                <c:pt idx="23">
                  <c:v>0.19</c:v>
                </c:pt>
              </c:numCache>
            </c:numRef>
          </c:val>
          <c:smooth val="0"/>
          <c:extLst xmlns:c16r2="http://schemas.microsoft.com/office/drawing/2015/06/chart">
            <c:ext xmlns:c16="http://schemas.microsoft.com/office/drawing/2014/chart" uri="{C3380CC4-5D6E-409C-BE32-E72D297353CC}">
              <c16:uniqueId val="{00000001-AF6B-49E8-A8E7-6B9C0A5F189E}"/>
            </c:ext>
          </c:extLst>
        </c:ser>
        <c:dLbls>
          <c:showLegendKey val="0"/>
          <c:showVal val="0"/>
          <c:showCatName val="0"/>
          <c:showSerName val="0"/>
          <c:showPercent val="0"/>
          <c:showBubbleSize val="0"/>
        </c:dLbls>
        <c:marker val="1"/>
        <c:smooth val="0"/>
        <c:axId val="175579136"/>
        <c:axId val="175580672"/>
      </c:lineChart>
      <c:catAx>
        <c:axId val="175579136"/>
        <c:scaling>
          <c:orientation val="minMax"/>
        </c:scaling>
        <c:delete val="0"/>
        <c:axPos val="b"/>
        <c:majorTickMark val="none"/>
        <c:minorTickMark val="none"/>
        <c:tickLblPos val="nextTo"/>
        <c:crossAx val="175580672"/>
        <c:crosses val="autoZero"/>
        <c:auto val="1"/>
        <c:lblAlgn val="ctr"/>
        <c:lblOffset val="100"/>
        <c:noMultiLvlLbl val="0"/>
      </c:catAx>
      <c:valAx>
        <c:axId val="175580672"/>
        <c:scaling>
          <c:orientation val="minMax"/>
        </c:scaling>
        <c:delete val="0"/>
        <c:axPos val="l"/>
        <c:majorGridlines/>
        <c:title>
          <c:tx>
            <c:rich>
              <a:bodyPr rot="0" vert="horz"/>
              <a:lstStyle/>
              <a:p>
                <a:pPr>
                  <a:defRPr/>
                </a:pPr>
                <a:r>
                  <a:rPr lang="es-ES"/>
                  <a:t>kW</a:t>
                </a:r>
              </a:p>
            </c:rich>
          </c:tx>
          <c:layout>
            <c:manualLayout>
              <c:xMode val="edge"/>
              <c:yMode val="edge"/>
              <c:x val="3.4623111011341356E-2"/>
              <c:y val="5.9906490183350841E-2"/>
            </c:manualLayout>
          </c:layout>
          <c:overlay val="0"/>
        </c:title>
        <c:numFmt formatCode="General" sourceLinked="1"/>
        <c:majorTickMark val="none"/>
        <c:minorTickMark val="none"/>
        <c:tickLblPos val="nextTo"/>
        <c:crossAx val="175579136"/>
        <c:crosses val="autoZero"/>
        <c:crossBetween val="between"/>
      </c:valAx>
    </c:plotArea>
    <c:legend>
      <c:legendPos val="r"/>
      <c:layout>
        <c:manualLayout>
          <c:xMode val="edge"/>
          <c:yMode val="edge"/>
          <c:x val="0.77950058668987598"/>
          <c:y val="9.5720938108543097E-2"/>
          <c:w val="0.21045455036933117"/>
          <c:h val="0.83884806625908193"/>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reactiva</a:t>
            </a:r>
          </a:p>
        </c:rich>
      </c:tx>
      <c:layout/>
      <c:overlay val="0"/>
    </c:title>
    <c:autoTitleDeleted val="0"/>
    <c:plotArea>
      <c:layout>
        <c:manualLayout>
          <c:layoutTarget val="inner"/>
          <c:xMode val="edge"/>
          <c:yMode val="edge"/>
          <c:x val="6.3095517756413103E-2"/>
          <c:y val="0.16382009625845934"/>
          <c:w val="0.7554391612650625"/>
          <c:h val="0.69575424851753065"/>
        </c:manualLayout>
      </c:layout>
      <c:lineChart>
        <c:grouping val="standard"/>
        <c:varyColors val="0"/>
        <c:ser>
          <c:idx val="0"/>
          <c:order val="0"/>
          <c:tx>
            <c:strRef>
              <c:f>Potencia!$B$5</c:f>
              <c:strCache>
                <c:ptCount val="1"/>
                <c:pt idx="0">
                  <c:v>Potencia (kvar) -PFV desconectado</c:v>
                </c:pt>
              </c:strCache>
            </c:strRef>
          </c:tx>
          <c:marker>
            <c:symbol val="none"/>
          </c:marker>
          <c:val>
            <c:numRef>
              <c:f>Potencia!$B$6:$B$29</c:f>
              <c:numCache>
                <c:formatCode>General</c:formatCode>
                <c:ptCount val="24"/>
                <c:pt idx="0">
                  <c:v>519.84999999999934</c:v>
                </c:pt>
                <c:pt idx="1">
                  <c:v>519.84999999999934</c:v>
                </c:pt>
                <c:pt idx="2">
                  <c:v>519.84999999999934</c:v>
                </c:pt>
                <c:pt idx="3">
                  <c:v>519.84999999999934</c:v>
                </c:pt>
                <c:pt idx="4">
                  <c:v>519.84999999999934</c:v>
                </c:pt>
                <c:pt idx="5">
                  <c:v>587.34999999999934</c:v>
                </c:pt>
                <c:pt idx="6">
                  <c:v>587.34999999999934</c:v>
                </c:pt>
                <c:pt idx="7">
                  <c:v>711.34999999999934</c:v>
                </c:pt>
                <c:pt idx="8">
                  <c:v>803.75</c:v>
                </c:pt>
                <c:pt idx="9">
                  <c:v>770</c:v>
                </c:pt>
                <c:pt idx="10">
                  <c:v>770</c:v>
                </c:pt>
                <c:pt idx="11">
                  <c:v>736.3</c:v>
                </c:pt>
                <c:pt idx="12">
                  <c:v>736.3</c:v>
                </c:pt>
                <c:pt idx="13">
                  <c:v>777.5</c:v>
                </c:pt>
                <c:pt idx="14">
                  <c:v>685.1</c:v>
                </c:pt>
                <c:pt idx="15">
                  <c:v>580.15</c:v>
                </c:pt>
                <c:pt idx="16">
                  <c:v>527.34999999999934</c:v>
                </c:pt>
                <c:pt idx="17">
                  <c:v>481.15000000000032</c:v>
                </c:pt>
                <c:pt idx="18">
                  <c:v>392.5</c:v>
                </c:pt>
                <c:pt idx="19">
                  <c:v>342.55</c:v>
                </c:pt>
                <c:pt idx="20">
                  <c:v>427.45</c:v>
                </c:pt>
                <c:pt idx="21">
                  <c:v>519.84999999999934</c:v>
                </c:pt>
                <c:pt idx="22">
                  <c:v>519.84999999999934</c:v>
                </c:pt>
                <c:pt idx="23">
                  <c:v>519.84999999999934</c:v>
                </c:pt>
              </c:numCache>
            </c:numRef>
          </c:val>
          <c:smooth val="0"/>
          <c:extLst xmlns:c16r2="http://schemas.microsoft.com/office/drawing/2015/06/chart">
            <c:ext xmlns:c16="http://schemas.microsoft.com/office/drawing/2014/chart" uri="{C3380CC4-5D6E-409C-BE32-E72D297353CC}">
              <c16:uniqueId val="{00000000-3EF8-4CAD-B20F-C1483ACA71EE}"/>
            </c:ext>
          </c:extLst>
        </c:ser>
        <c:ser>
          <c:idx val="1"/>
          <c:order val="1"/>
          <c:tx>
            <c:strRef>
              <c:f>Potencia!$C$5</c:f>
              <c:strCache>
                <c:ptCount val="1"/>
                <c:pt idx="0">
                  <c:v>Potencia (kvar) -PFV conectado</c:v>
                </c:pt>
              </c:strCache>
            </c:strRef>
          </c:tx>
          <c:marker>
            <c:symbol val="none"/>
          </c:marker>
          <c:val>
            <c:numRef>
              <c:f>Potencia!$C$6:$C$29</c:f>
              <c:numCache>
                <c:formatCode>General</c:formatCode>
                <c:ptCount val="24"/>
                <c:pt idx="0">
                  <c:v>-480.15000000000032</c:v>
                </c:pt>
                <c:pt idx="1">
                  <c:v>-480.15000000000032</c:v>
                </c:pt>
                <c:pt idx="2">
                  <c:v>-480.15000000000032</c:v>
                </c:pt>
                <c:pt idx="3">
                  <c:v>-480.15000000000032</c:v>
                </c:pt>
                <c:pt idx="4">
                  <c:v>-480.15000000000032</c:v>
                </c:pt>
                <c:pt idx="5">
                  <c:v>-412.65000000000032</c:v>
                </c:pt>
                <c:pt idx="6">
                  <c:v>-402.65000000000032</c:v>
                </c:pt>
                <c:pt idx="7">
                  <c:v>-268.64999999999998</c:v>
                </c:pt>
                <c:pt idx="8">
                  <c:v>-116.25</c:v>
                </c:pt>
                <c:pt idx="9">
                  <c:v>-30</c:v>
                </c:pt>
                <c:pt idx="10">
                  <c:v>170</c:v>
                </c:pt>
                <c:pt idx="11">
                  <c:v>736.3</c:v>
                </c:pt>
                <c:pt idx="12">
                  <c:v>136.30000000000001</c:v>
                </c:pt>
                <c:pt idx="13">
                  <c:v>-22.5</c:v>
                </c:pt>
                <c:pt idx="14">
                  <c:v>-234.9</c:v>
                </c:pt>
                <c:pt idx="15">
                  <c:v>-399.85</c:v>
                </c:pt>
                <c:pt idx="16">
                  <c:v>-462.65000000000032</c:v>
                </c:pt>
                <c:pt idx="17">
                  <c:v>-518.84999999999934</c:v>
                </c:pt>
                <c:pt idx="18">
                  <c:v>-607.5</c:v>
                </c:pt>
                <c:pt idx="19">
                  <c:v>-657.44999999999948</c:v>
                </c:pt>
                <c:pt idx="20">
                  <c:v>-572.54999999999939</c:v>
                </c:pt>
                <c:pt idx="21">
                  <c:v>-480.15000000000032</c:v>
                </c:pt>
                <c:pt idx="22">
                  <c:v>-480.15000000000032</c:v>
                </c:pt>
                <c:pt idx="23">
                  <c:v>-480.15000000000032</c:v>
                </c:pt>
              </c:numCache>
            </c:numRef>
          </c:val>
          <c:smooth val="0"/>
          <c:extLst xmlns:c16r2="http://schemas.microsoft.com/office/drawing/2015/06/chart">
            <c:ext xmlns:c16="http://schemas.microsoft.com/office/drawing/2014/chart" uri="{C3380CC4-5D6E-409C-BE32-E72D297353CC}">
              <c16:uniqueId val="{00000001-3EF8-4CAD-B20F-C1483ACA71EE}"/>
            </c:ext>
          </c:extLst>
        </c:ser>
        <c:dLbls>
          <c:showLegendKey val="0"/>
          <c:showVal val="0"/>
          <c:showCatName val="0"/>
          <c:showSerName val="0"/>
          <c:showPercent val="0"/>
          <c:showBubbleSize val="0"/>
        </c:dLbls>
        <c:marker val="1"/>
        <c:smooth val="0"/>
        <c:axId val="175611904"/>
        <c:axId val="175613440"/>
      </c:lineChart>
      <c:catAx>
        <c:axId val="175611904"/>
        <c:scaling>
          <c:orientation val="minMax"/>
        </c:scaling>
        <c:delete val="0"/>
        <c:axPos val="b"/>
        <c:majorTickMark val="none"/>
        <c:minorTickMark val="none"/>
        <c:tickLblPos val="low"/>
        <c:spPr>
          <a:ln>
            <a:solidFill>
              <a:schemeClr val="accent1"/>
            </a:solidFill>
          </a:ln>
        </c:spPr>
        <c:txPr>
          <a:bodyPr/>
          <a:lstStyle/>
          <a:p>
            <a:pPr>
              <a:defRPr sz="1050"/>
            </a:pPr>
            <a:endParaRPr lang="es-MX"/>
          </a:p>
        </c:txPr>
        <c:crossAx val="175613440"/>
        <c:crosses val="autoZero"/>
        <c:auto val="1"/>
        <c:lblAlgn val="ctr"/>
        <c:lblOffset val="100"/>
        <c:noMultiLvlLbl val="0"/>
      </c:catAx>
      <c:valAx>
        <c:axId val="175613440"/>
        <c:scaling>
          <c:orientation val="minMax"/>
        </c:scaling>
        <c:delete val="0"/>
        <c:axPos val="l"/>
        <c:majorGridlines/>
        <c:title>
          <c:tx>
            <c:rich>
              <a:bodyPr rot="0" vert="horz"/>
              <a:lstStyle/>
              <a:p>
                <a:pPr>
                  <a:defRPr/>
                </a:pPr>
                <a:r>
                  <a:rPr lang="es-ES"/>
                  <a:t>kvar</a:t>
                </a:r>
              </a:p>
            </c:rich>
          </c:tx>
          <c:layout>
            <c:manualLayout>
              <c:xMode val="edge"/>
              <c:yMode val="edge"/>
              <c:x val="4.3591160220994477E-2"/>
              <c:y val="4.0281729489696105E-2"/>
            </c:manualLayout>
          </c:layout>
          <c:overlay val="0"/>
        </c:title>
        <c:numFmt formatCode="General" sourceLinked="1"/>
        <c:majorTickMark val="none"/>
        <c:minorTickMark val="none"/>
        <c:tickLblPos val="nextTo"/>
        <c:crossAx val="175611904"/>
        <c:crosses val="autoZero"/>
        <c:crossBetween val="between"/>
      </c:valAx>
    </c:plotArea>
    <c:legend>
      <c:legendPos val="r"/>
      <c:layout>
        <c:manualLayout>
          <c:xMode val="edge"/>
          <c:yMode val="edge"/>
          <c:x val="0.81057119673755851"/>
          <c:y val="0.15043737179911354"/>
          <c:w val="0.17838392626188437"/>
          <c:h val="0.79987236889506386"/>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a:t>
            </a:r>
            <a:r>
              <a:rPr lang="es-ES" baseline="0"/>
              <a:t> activa</a:t>
            </a:r>
            <a:endParaRPr lang="es-ES"/>
          </a:p>
        </c:rich>
      </c:tx>
      <c:layout/>
      <c:overlay val="0"/>
    </c:title>
    <c:autoTitleDeleted val="0"/>
    <c:plotArea>
      <c:layout>
        <c:manualLayout>
          <c:layoutTarget val="inner"/>
          <c:xMode val="edge"/>
          <c:yMode val="edge"/>
          <c:x val="7.1533856936943904E-2"/>
          <c:y val="0.19480351414406533"/>
          <c:w val="0.74573691122664809"/>
          <c:h val="0.61214510035956493"/>
        </c:manualLayout>
      </c:layout>
      <c:lineChart>
        <c:grouping val="standard"/>
        <c:varyColors val="0"/>
        <c:ser>
          <c:idx val="0"/>
          <c:order val="0"/>
          <c:tx>
            <c:strRef>
              <c:f>Potencia!$B$5</c:f>
              <c:strCache>
                <c:ptCount val="1"/>
                <c:pt idx="0">
                  <c:v>Potencia (kW) -PFV desconectado</c:v>
                </c:pt>
              </c:strCache>
            </c:strRef>
          </c:tx>
          <c:marker>
            <c:symbol val="none"/>
          </c:marker>
          <c:val>
            <c:numRef>
              <c:f>Potencia!$B$6:$B$29</c:f>
              <c:numCache>
                <c:formatCode>General</c:formatCode>
                <c:ptCount val="24"/>
                <c:pt idx="0">
                  <c:v>3779</c:v>
                </c:pt>
                <c:pt idx="1">
                  <c:v>3701</c:v>
                </c:pt>
                <c:pt idx="2">
                  <c:v>3740</c:v>
                </c:pt>
                <c:pt idx="3">
                  <c:v>3753</c:v>
                </c:pt>
                <c:pt idx="4">
                  <c:v>4065</c:v>
                </c:pt>
                <c:pt idx="5">
                  <c:v>4368</c:v>
                </c:pt>
                <c:pt idx="6">
                  <c:v>4758</c:v>
                </c:pt>
                <c:pt idx="7">
                  <c:v>5123.5</c:v>
                </c:pt>
                <c:pt idx="8">
                  <c:v>5344.5</c:v>
                </c:pt>
                <c:pt idx="9">
                  <c:v>5772</c:v>
                </c:pt>
                <c:pt idx="10">
                  <c:v>6045</c:v>
                </c:pt>
                <c:pt idx="11">
                  <c:v>6156.5</c:v>
                </c:pt>
                <c:pt idx="12">
                  <c:v>5649.5</c:v>
                </c:pt>
                <c:pt idx="13">
                  <c:v>5332</c:v>
                </c:pt>
                <c:pt idx="14">
                  <c:v>5228</c:v>
                </c:pt>
                <c:pt idx="15">
                  <c:v>5358.3</c:v>
                </c:pt>
                <c:pt idx="16">
                  <c:v>5644.3</c:v>
                </c:pt>
                <c:pt idx="17">
                  <c:v>6021.3</c:v>
                </c:pt>
                <c:pt idx="18">
                  <c:v>6011.5</c:v>
                </c:pt>
                <c:pt idx="19">
                  <c:v>5068</c:v>
                </c:pt>
                <c:pt idx="20">
                  <c:v>4637</c:v>
                </c:pt>
                <c:pt idx="21">
                  <c:v>4364</c:v>
                </c:pt>
                <c:pt idx="22">
                  <c:v>4364</c:v>
                </c:pt>
                <c:pt idx="23">
                  <c:v>3623</c:v>
                </c:pt>
              </c:numCache>
            </c:numRef>
          </c:val>
          <c:smooth val="0"/>
          <c:extLst xmlns:c16r2="http://schemas.microsoft.com/office/drawing/2015/06/chart">
            <c:ext xmlns:c16="http://schemas.microsoft.com/office/drawing/2014/chart" uri="{C3380CC4-5D6E-409C-BE32-E72D297353CC}">
              <c16:uniqueId val="{00000000-F860-477A-93CD-CE2BCC7A1ADC}"/>
            </c:ext>
          </c:extLst>
        </c:ser>
        <c:ser>
          <c:idx val="1"/>
          <c:order val="1"/>
          <c:tx>
            <c:strRef>
              <c:f>Potencia!$C$5</c:f>
              <c:strCache>
                <c:ptCount val="1"/>
                <c:pt idx="0">
                  <c:v>Potencia (kW) -PFV conectado</c:v>
                </c:pt>
              </c:strCache>
            </c:strRef>
          </c:tx>
          <c:marker>
            <c:symbol val="none"/>
          </c:marker>
          <c:val>
            <c:numRef>
              <c:f>Potencia!$C$6:$C$29</c:f>
              <c:numCache>
                <c:formatCode>General</c:formatCode>
                <c:ptCount val="24"/>
                <c:pt idx="0">
                  <c:v>3779</c:v>
                </c:pt>
                <c:pt idx="1">
                  <c:v>3701</c:v>
                </c:pt>
                <c:pt idx="2">
                  <c:v>3740</c:v>
                </c:pt>
                <c:pt idx="3">
                  <c:v>3753</c:v>
                </c:pt>
                <c:pt idx="4">
                  <c:v>4065</c:v>
                </c:pt>
                <c:pt idx="5">
                  <c:v>4368</c:v>
                </c:pt>
                <c:pt idx="6">
                  <c:v>4658</c:v>
                </c:pt>
                <c:pt idx="7">
                  <c:v>4923.5</c:v>
                </c:pt>
                <c:pt idx="8">
                  <c:v>4944.5</c:v>
                </c:pt>
                <c:pt idx="9">
                  <c:v>5172</c:v>
                </c:pt>
                <c:pt idx="10">
                  <c:v>5245</c:v>
                </c:pt>
                <c:pt idx="11">
                  <c:v>5156.5</c:v>
                </c:pt>
                <c:pt idx="12">
                  <c:v>4849.5</c:v>
                </c:pt>
                <c:pt idx="13">
                  <c:v>4732</c:v>
                </c:pt>
                <c:pt idx="14">
                  <c:v>4828</c:v>
                </c:pt>
                <c:pt idx="15">
                  <c:v>5158.3</c:v>
                </c:pt>
                <c:pt idx="16">
                  <c:v>5544.3</c:v>
                </c:pt>
                <c:pt idx="17">
                  <c:v>6021.3</c:v>
                </c:pt>
                <c:pt idx="18">
                  <c:v>6011.5</c:v>
                </c:pt>
                <c:pt idx="19">
                  <c:v>5068</c:v>
                </c:pt>
                <c:pt idx="20">
                  <c:v>4637</c:v>
                </c:pt>
                <c:pt idx="21">
                  <c:v>4364</c:v>
                </c:pt>
                <c:pt idx="22">
                  <c:v>4364</c:v>
                </c:pt>
                <c:pt idx="23">
                  <c:v>3623</c:v>
                </c:pt>
              </c:numCache>
            </c:numRef>
          </c:val>
          <c:smooth val="0"/>
          <c:extLst xmlns:c16r2="http://schemas.microsoft.com/office/drawing/2015/06/chart">
            <c:ext xmlns:c16="http://schemas.microsoft.com/office/drawing/2014/chart" uri="{C3380CC4-5D6E-409C-BE32-E72D297353CC}">
              <c16:uniqueId val="{00000001-F860-477A-93CD-CE2BCC7A1ADC}"/>
            </c:ext>
          </c:extLst>
        </c:ser>
        <c:dLbls>
          <c:showLegendKey val="0"/>
          <c:showVal val="0"/>
          <c:showCatName val="0"/>
          <c:showSerName val="0"/>
          <c:showPercent val="0"/>
          <c:showBubbleSize val="0"/>
        </c:dLbls>
        <c:marker val="1"/>
        <c:smooth val="0"/>
        <c:axId val="175635840"/>
        <c:axId val="175654016"/>
      </c:lineChart>
      <c:catAx>
        <c:axId val="175635840"/>
        <c:scaling>
          <c:orientation val="minMax"/>
        </c:scaling>
        <c:delete val="0"/>
        <c:axPos val="b"/>
        <c:majorTickMark val="none"/>
        <c:minorTickMark val="none"/>
        <c:tickLblPos val="nextTo"/>
        <c:crossAx val="175654016"/>
        <c:crosses val="autoZero"/>
        <c:auto val="1"/>
        <c:lblAlgn val="ctr"/>
        <c:lblOffset val="100"/>
        <c:noMultiLvlLbl val="0"/>
      </c:catAx>
      <c:valAx>
        <c:axId val="175654016"/>
        <c:scaling>
          <c:orientation val="minMax"/>
        </c:scaling>
        <c:delete val="0"/>
        <c:axPos val="l"/>
        <c:majorGridlines/>
        <c:title>
          <c:tx>
            <c:rich>
              <a:bodyPr rot="0" vert="horz"/>
              <a:lstStyle/>
              <a:p>
                <a:pPr>
                  <a:defRPr/>
                </a:pPr>
                <a:r>
                  <a:rPr lang="es-ES"/>
                  <a:t>kW</a:t>
                </a:r>
              </a:p>
            </c:rich>
          </c:tx>
          <c:layout>
            <c:manualLayout>
              <c:xMode val="edge"/>
              <c:yMode val="edge"/>
              <c:x val="7.7777777777777779E-2"/>
              <c:y val="6.4399970836978834E-2"/>
            </c:manualLayout>
          </c:layout>
          <c:overlay val="0"/>
        </c:title>
        <c:numFmt formatCode="General" sourceLinked="1"/>
        <c:majorTickMark val="none"/>
        <c:minorTickMark val="none"/>
        <c:tickLblPos val="nextTo"/>
        <c:crossAx val="175635840"/>
        <c:crosses val="autoZero"/>
        <c:crossBetween val="between"/>
      </c:valAx>
    </c:plotArea>
    <c:legend>
      <c:legendPos val="r"/>
      <c:layout>
        <c:manualLayout>
          <c:xMode val="edge"/>
          <c:yMode val="edge"/>
          <c:x val="0.7902766841644796"/>
          <c:y val="0.17741506270049612"/>
          <c:w val="0.19305664916885387"/>
          <c:h val="0.71449839603383003"/>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Pérdidas de P(kW)</a:t>
            </a:r>
          </a:p>
        </c:rich>
      </c:tx>
      <c:layout/>
      <c:overlay val="0"/>
    </c:title>
    <c:autoTitleDeleted val="0"/>
    <c:plotArea>
      <c:layout>
        <c:manualLayout>
          <c:layoutTarget val="inner"/>
          <c:xMode val="edge"/>
          <c:yMode val="edge"/>
          <c:x val="4.3623087404695282E-2"/>
          <c:y val="0.18701137357830303"/>
          <c:w val="0.78831557294832366"/>
          <c:h val="0.70164794400699915"/>
        </c:manualLayout>
      </c:layout>
      <c:lineChart>
        <c:grouping val="standard"/>
        <c:varyColors val="0"/>
        <c:ser>
          <c:idx val="0"/>
          <c:order val="0"/>
          <c:tx>
            <c:strRef>
              <c:f>Perdidas!$C$4</c:f>
              <c:strCache>
                <c:ptCount val="1"/>
                <c:pt idx="0">
                  <c:v>P de potencia (kW) -PFV desconectado</c:v>
                </c:pt>
              </c:strCache>
            </c:strRef>
          </c:tx>
          <c:marker>
            <c:symbol val="none"/>
          </c:marker>
          <c:val>
            <c:numRef>
              <c:f>Perdidas!$C$5:$C$28</c:f>
              <c:numCache>
                <c:formatCode>General</c:formatCode>
                <c:ptCount val="24"/>
                <c:pt idx="0">
                  <c:v>5.4</c:v>
                </c:pt>
                <c:pt idx="1">
                  <c:v>5.14</c:v>
                </c:pt>
                <c:pt idx="2">
                  <c:v>5.2700000000000014</c:v>
                </c:pt>
                <c:pt idx="3">
                  <c:v>5.38</c:v>
                </c:pt>
                <c:pt idx="4">
                  <c:v>6.54</c:v>
                </c:pt>
                <c:pt idx="5">
                  <c:v>7.42</c:v>
                </c:pt>
                <c:pt idx="6">
                  <c:v>9.14</c:v>
                </c:pt>
                <c:pt idx="7">
                  <c:v>10.15</c:v>
                </c:pt>
                <c:pt idx="8">
                  <c:v>10.82</c:v>
                </c:pt>
                <c:pt idx="9">
                  <c:v>13.04</c:v>
                </c:pt>
                <c:pt idx="10">
                  <c:v>14.6</c:v>
                </c:pt>
                <c:pt idx="11">
                  <c:v>15.57</c:v>
                </c:pt>
                <c:pt idx="12">
                  <c:v>12.61</c:v>
                </c:pt>
                <c:pt idx="13">
                  <c:v>10.73</c:v>
                </c:pt>
                <c:pt idx="14">
                  <c:v>10.65</c:v>
                </c:pt>
                <c:pt idx="15">
                  <c:v>11.75</c:v>
                </c:pt>
                <c:pt idx="16">
                  <c:v>13.63</c:v>
                </c:pt>
                <c:pt idx="17">
                  <c:v>16.21</c:v>
                </c:pt>
                <c:pt idx="18">
                  <c:v>16.73</c:v>
                </c:pt>
                <c:pt idx="19">
                  <c:v>11.73</c:v>
                </c:pt>
                <c:pt idx="20">
                  <c:v>9.25</c:v>
                </c:pt>
                <c:pt idx="21">
                  <c:v>7.67</c:v>
                </c:pt>
                <c:pt idx="22">
                  <c:v>7.67</c:v>
                </c:pt>
                <c:pt idx="23">
                  <c:v>4.87</c:v>
                </c:pt>
              </c:numCache>
            </c:numRef>
          </c:val>
          <c:smooth val="0"/>
          <c:extLst xmlns:c16r2="http://schemas.microsoft.com/office/drawing/2015/06/chart">
            <c:ext xmlns:c16="http://schemas.microsoft.com/office/drawing/2014/chart" uri="{C3380CC4-5D6E-409C-BE32-E72D297353CC}">
              <c16:uniqueId val="{00000000-19B2-4C9A-8BEB-1F8C6C035EA7}"/>
            </c:ext>
          </c:extLst>
        </c:ser>
        <c:ser>
          <c:idx val="1"/>
          <c:order val="1"/>
          <c:tx>
            <c:strRef>
              <c:f>Perdidas!$D$4</c:f>
              <c:strCache>
                <c:ptCount val="1"/>
                <c:pt idx="0">
                  <c:v>P de potencia (kW) -PFV conectado</c:v>
                </c:pt>
              </c:strCache>
            </c:strRef>
          </c:tx>
          <c:marker>
            <c:symbol val="none"/>
          </c:marker>
          <c:val>
            <c:numRef>
              <c:f>Perdidas!$D$5:$D$28</c:f>
              <c:numCache>
                <c:formatCode>General</c:formatCode>
                <c:ptCount val="24"/>
                <c:pt idx="0">
                  <c:v>5.4</c:v>
                </c:pt>
                <c:pt idx="1">
                  <c:v>5.14</c:v>
                </c:pt>
                <c:pt idx="2">
                  <c:v>5.2700000000000014</c:v>
                </c:pt>
                <c:pt idx="3">
                  <c:v>5.38</c:v>
                </c:pt>
                <c:pt idx="4">
                  <c:v>6.54</c:v>
                </c:pt>
                <c:pt idx="5">
                  <c:v>7.42</c:v>
                </c:pt>
                <c:pt idx="6">
                  <c:v>8.9600000000000026</c:v>
                </c:pt>
                <c:pt idx="7">
                  <c:v>9.76</c:v>
                </c:pt>
                <c:pt idx="8">
                  <c:v>10.030000000000001</c:v>
                </c:pt>
                <c:pt idx="9">
                  <c:v>11.81</c:v>
                </c:pt>
                <c:pt idx="10">
                  <c:v>12.950000000000006</c:v>
                </c:pt>
                <c:pt idx="11">
                  <c:v>13.54</c:v>
                </c:pt>
                <c:pt idx="12">
                  <c:v>11.08</c:v>
                </c:pt>
                <c:pt idx="13">
                  <c:v>9.6</c:v>
                </c:pt>
                <c:pt idx="14">
                  <c:v>9.8800000000000008</c:v>
                </c:pt>
                <c:pt idx="15">
                  <c:v>11.35000000000001</c:v>
                </c:pt>
                <c:pt idx="16">
                  <c:v>13.41</c:v>
                </c:pt>
                <c:pt idx="17">
                  <c:v>16.21</c:v>
                </c:pt>
                <c:pt idx="18">
                  <c:v>16.73</c:v>
                </c:pt>
                <c:pt idx="19">
                  <c:v>11.73</c:v>
                </c:pt>
                <c:pt idx="20">
                  <c:v>9.25</c:v>
                </c:pt>
                <c:pt idx="21">
                  <c:v>7.67</c:v>
                </c:pt>
                <c:pt idx="22">
                  <c:v>7.67</c:v>
                </c:pt>
                <c:pt idx="23">
                  <c:v>4.87</c:v>
                </c:pt>
              </c:numCache>
            </c:numRef>
          </c:val>
          <c:smooth val="0"/>
          <c:extLst xmlns:c16r2="http://schemas.microsoft.com/office/drawing/2015/06/chart">
            <c:ext xmlns:c16="http://schemas.microsoft.com/office/drawing/2014/chart" uri="{C3380CC4-5D6E-409C-BE32-E72D297353CC}">
              <c16:uniqueId val="{00000001-19B2-4C9A-8BEB-1F8C6C035EA7}"/>
            </c:ext>
          </c:extLst>
        </c:ser>
        <c:dLbls>
          <c:showLegendKey val="0"/>
          <c:showVal val="0"/>
          <c:showCatName val="0"/>
          <c:showSerName val="0"/>
          <c:showPercent val="0"/>
          <c:showBubbleSize val="0"/>
        </c:dLbls>
        <c:marker val="1"/>
        <c:smooth val="0"/>
        <c:axId val="175680512"/>
        <c:axId val="175682304"/>
      </c:lineChart>
      <c:catAx>
        <c:axId val="175680512"/>
        <c:scaling>
          <c:orientation val="minMax"/>
        </c:scaling>
        <c:delete val="0"/>
        <c:axPos val="b"/>
        <c:majorTickMark val="none"/>
        <c:minorTickMark val="none"/>
        <c:tickLblPos val="nextTo"/>
        <c:crossAx val="175682304"/>
        <c:crosses val="autoZero"/>
        <c:auto val="1"/>
        <c:lblAlgn val="ctr"/>
        <c:lblOffset val="100"/>
        <c:noMultiLvlLbl val="0"/>
      </c:catAx>
      <c:valAx>
        <c:axId val="175682304"/>
        <c:scaling>
          <c:orientation val="minMax"/>
        </c:scaling>
        <c:delete val="0"/>
        <c:axPos val="l"/>
        <c:majorGridlines/>
        <c:title>
          <c:tx>
            <c:rich>
              <a:bodyPr rot="0" vert="horz"/>
              <a:lstStyle/>
              <a:p>
                <a:pPr>
                  <a:defRPr/>
                </a:pPr>
                <a:r>
                  <a:rPr lang="es-ES"/>
                  <a:t>kW</a:t>
                </a:r>
              </a:p>
            </c:rich>
          </c:tx>
          <c:layout>
            <c:manualLayout>
              <c:xMode val="edge"/>
              <c:yMode val="edge"/>
              <c:x val="4.6351775380785457E-2"/>
              <c:y val="3.4304951011558331E-2"/>
            </c:manualLayout>
          </c:layout>
          <c:overlay val="0"/>
        </c:title>
        <c:numFmt formatCode="General" sourceLinked="1"/>
        <c:majorTickMark val="none"/>
        <c:minorTickMark val="none"/>
        <c:tickLblPos val="nextTo"/>
        <c:crossAx val="175680512"/>
        <c:crosses val="autoZero"/>
        <c:crossBetween val="between"/>
      </c:valAx>
    </c:plotArea>
    <c:legend>
      <c:legendPos val="r"/>
      <c:layout>
        <c:manualLayout>
          <c:xMode val="edge"/>
          <c:yMode val="edge"/>
          <c:x val="0.82305619680575859"/>
          <c:y val="0.12812436906925087"/>
          <c:w val="0.17356420021808039"/>
          <c:h val="0.79258512685914251"/>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a:t>
            </a:r>
            <a:r>
              <a:rPr lang="es-ES" baseline="0"/>
              <a:t> reactiva</a:t>
            </a:r>
            <a:endParaRPr lang="es-ES"/>
          </a:p>
        </c:rich>
      </c:tx>
      <c:layout/>
      <c:overlay val="0"/>
    </c:title>
    <c:autoTitleDeleted val="0"/>
    <c:plotArea>
      <c:layout>
        <c:manualLayout>
          <c:layoutTarget val="inner"/>
          <c:xMode val="edge"/>
          <c:yMode val="edge"/>
          <c:x val="7.7841279982680811E-2"/>
          <c:y val="0.19480351414406533"/>
          <c:w val="0.73692167359808236"/>
          <c:h val="0.62470070273473877"/>
        </c:manualLayout>
      </c:layout>
      <c:lineChart>
        <c:grouping val="standard"/>
        <c:varyColors val="0"/>
        <c:ser>
          <c:idx val="0"/>
          <c:order val="0"/>
          <c:tx>
            <c:strRef>
              <c:f>Potencia!$B$5</c:f>
              <c:strCache>
                <c:ptCount val="1"/>
                <c:pt idx="0">
                  <c:v>Potencia (kvar) -PFV desconectado</c:v>
                </c:pt>
              </c:strCache>
            </c:strRef>
          </c:tx>
          <c:marker>
            <c:symbol val="none"/>
          </c:marker>
          <c:val>
            <c:numRef>
              <c:f>Potencia!$B$6:$B$29</c:f>
              <c:numCache>
                <c:formatCode>General</c:formatCode>
                <c:ptCount val="24"/>
                <c:pt idx="0">
                  <c:v>1719.85</c:v>
                </c:pt>
                <c:pt idx="1">
                  <c:v>1678.85</c:v>
                </c:pt>
                <c:pt idx="2">
                  <c:v>1699.35</c:v>
                </c:pt>
                <c:pt idx="3">
                  <c:v>1724.85</c:v>
                </c:pt>
                <c:pt idx="4">
                  <c:v>1888.85</c:v>
                </c:pt>
                <c:pt idx="5">
                  <c:v>2048.8500000000022</c:v>
                </c:pt>
                <c:pt idx="6">
                  <c:v>2253.8500000000022</c:v>
                </c:pt>
                <c:pt idx="7">
                  <c:v>2424.3500000000022</c:v>
                </c:pt>
                <c:pt idx="8">
                  <c:v>2537.25</c:v>
                </c:pt>
                <c:pt idx="9">
                  <c:v>2729.5</c:v>
                </c:pt>
                <c:pt idx="10">
                  <c:v>2873</c:v>
                </c:pt>
                <c:pt idx="11">
                  <c:v>2920.8</c:v>
                </c:pt>
                <c:pt idx="12">
                  <c:v>2654.3</c:v>
                </c:pt>
                <c:pt idx="13">
                  <c:v>2459.5</c:v>
                </c:pt>
                <c:pt idx="14">
                  <c:v>2408.1</c:v>
                </c:pt>
                <c:pt idx="15">
                  <c:v>2457.15</c:v>
                </c:pt>
                <c:pt idx="16">
                  <c:v>2609.3500000000022</c:v>
                </c:pt>
                <c:pt idx="17">
                  <c:v>2809.15</c:v>
                </c:pt>
                <c:pt idx="18">
                  <c:v>2802.5</c:v>
                </c:pt>
                <c:pt idx="19">
                  <c:v>2352.5500000000002</c:v>
                </c:pt>
                <c:pt idx="20">
                  <c:v>2170.9499999999998</c:v>
                </c:pt>
                <c:pt idx="21">
                  <c:v>2027.35</c:v>
                </c:pt>
                <c:pt idx="22">
                  <c:v>2027.35</c:v>
                </c:pt>
                <c:pt idx="23">
                  <c:v>1637.85</c:v>
                </c:pt>
              </c:numCache>
            </c:numRef>
          </c:val>
          <c:smooth val="0"/>
          <c:extLst xmlns:c16r2="http://schemas.microsoft.com/office/drawing/2015/06/chart">
            <c:ext xmlns:c16="http://schemas.microsoft.com/office/drawing/2014/chart" uri="{C3380CC4-5D6E-409C-BE32-E72D297353CC}">
              <c16:uniqueId val="{00000000-6616-471B-8240-C59F12749496}"/>
            </c:ext>
          </c:extLst>
        </c:ser>
        <c:ser>
          <c:idx val="1"/>
          <c:order val="1"/>
          <c:tx>
            <c:strRef>
              <c:f>Potencia!$C$5</c:f>
              <c:strCache>
                <c:ptCount val="1"/>
                <c:pt idx="0">
                  <c:v>Potencia (kvar) -PFV conectado</c:v>
                </c:pt>
              </c:strCache>
            </c:strRef>
          </c:tx>
          <c:marker>
            <c:symbol val="none"/>
          </c:marker>
          <c:val>
            <c:numRef>
              <c:f>Potencia!$C$6:$C$29</c:f>
              <c:numCache>
                <c:formatCode>General</c:formatCode>
                <c:ptCount val="24"/>
                <c:pt idx="0">
                  <c:v>719.84999999999934</c:v>
                </c:pt>
                <c:pt idx="1">
                  <c:v>678.84999999999934</c:v>
                </c:pt>
                <c:pt idx="2">
                  <c:v>699.34999999999934</c:v>
                </c:pt>
                <c:pt idx="3">
                  <c:v>724.84999999999934</c:v>
                </c:pt>
                <c:pt idx="4">
                  <c:v>888.84999999999934</c:v>
                </c:pt>
                <c:pt idx="5">
                  <c:v>1048.8499999999999</c:v>
                </c:pt>
                <c:pt idx="6">
                  <c:v>1263.8499999999999</c:v>
                </c:pt>
                <c:pt idx="7">
                  <c:v>1444.35</c:v>
                </c:pt>
                <c:pt idx="8">
                  <c:v>1617.25</c:v>
                </c:pt>
                <c:pt idx="9">
                  <c:v>1929.5</c:v>
                </c:pt>
                <c:pt idx="10">
                  <c:v>2273</c:v>
                </c:pt>
                <c:pt idx="11">
                  <c:v>2920.8</c:v>
                </c:pt>
                <c:pt idx="12">
                  <c:v>2054.3000000000002</c:v>
                </c:pt>
                <c:pt idx="13">
                  <c:v>1659.5</c:v>
                </c:pt>
                <c:pt idx="14">
                  <c:v>1488.1</c:v>
                </c:pt>
                <c:pt idx="15">
                  <c:v>1477.1499999999999</c:v>
                </c:pt>
                <c:pt idx="16">
                  <c:v>1619.35</c:v>
                </c:pt>
                <c:pt idx="17">
                  <c:v>1809.1499999999999</c:v>
                </c:pt>
                <c:pt idx="18">
                  <c:v>1802.5</c:v>
                </c:pt>
                <c:pt idx="19">
                  <c:v>1352.55</c:v>
                </c:pt>
                <c:pt idx="20">
                  <c:v>1170.95</c:v>
                </c:pt>
                <c:pt idx="21">
                  <c:v>1027.3499999999999</c:v>
                </c:pt>
                <c:pt idx="22">
                  <c:v>1027.3499999999999</c:v>
                </c:pt>
                <c:pt idx="23">
                  <c:v>637.84999999999934</c:v>
                </c:pt>
              </c:numCache>
            </c:numRef>
          </c:val>
          <c:smooth val="0"/>
          <c:extLst xmlns:c16r2="http://schemas.microsoft.com/office/drawing/2015/06/chart">
            <c:ext xmlns:c16="http://schemas.microsoft.com/office/drawing/2014/chart" uri="{C3380CC4-5D6E-409C-BE32-E72D297353CC}">
              <c16:uniqueId val="{00000001-6616-471B-8240-C59F12749496}"/>
            </c:ext>
          </c:extLst>
        </c:ser>
        <c:dLbls>
          <c:showLegendKey val="0"/>
          <c:showVal val="0"/>
          <c:showCatName val="0"/>
          <c:showSerName val="0"/>
          <c:showPercent val="0"/>
          <c:showBubbleSize val="0"/>
        </c:dLbls>
        <c:marker val="1"/>
        <c:smooth val="0"/>
        <c:axId val="175720704"/>
        <c:axId val="175726592"/>
      </c:lineChart>
      <c:catAx>
        <c:axId val="175720704"/>
        <c:scaling>
          <c:orientation val="minMax"/>
        </c:scaling>
        <c:delete val="0"/>
        <c:axPos val="b"/>
        <c:majorTickMark val="none"/>
        <c:minorTickMark val="none"/>
        <c:tickLblPos val="nextTo"/>
        <c:crossAx val="175726592"/>
        <c:crosses val="autoZero"/>
        <c:auto val="1"/>
        <c:lblAlgn val="ctr"/>
        <c:lblOffset val="100"/>
        <c:noMultiLvlLbl val="0"/>
      </c:catAx>
      <c:valAx>
        <c:axId val="175726592"/>
        <c:scaling>
          <c:orientation val="minMax"/>
        </c:scaling>
        <c:delete val="0"/>
        <c:axPos val="l"/>
        <c:majorGridlines/>
        <c:title>
          <c:tx>
            <c:rich>
              <a:bodyPr rot="0" vert="horz"/>
              <a:lstStyle/>
              <a:p>
                <a:pPr>
                  <a:defRPr/>
                </a:pPr>
                <a:r>
                  <a:rPr lang="es-ES"/>
                  <a:t>kvar</a:t>
                </a:r>
              </a:p>
            </c:rich>
          </c:tx>
          <c:layout>
            <c:manualLayout>
              <c:xMode val="edge"/>
              <c:yMode val="edge"/>
              <c:x val="6.1111111111111123E-2"/>
              <c:y val="6.4399970836978834E-2"/>
            </c:manualLayout>
          </c:layout>
          <c:overlay val="0"/>
        </c:title>
        <c:numFmt formatCode="General" sourceLinked="1"/>
        <c:majorTickMark val="none"/>
        <c:minorTickMark val="none"/>
        <c:tickLblPos val="nextTo"/>
        <c:crossAx val="175720704"/>
        <c:crosses val="autoZero"/>
        <c:crossBetween val="between"/>
      </c:valAx>
    </c:plotArea>
    <c:legend>
      <c:legendPos val="r"/>
      <c:layout>
        <c:manualLayout>
          <c:xMode val="edge"/>
          <c:yMode val="edge"/>
          <c:x val="0.80051521929821667"/>
          <c:y val="0.17741506270049612"/>
          <c:w val="0.18283806162079488"/>
          <c:h val="0.7237576552930896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Pérdidas de P(kW)</a:t>
            </a:r>
          </a:p>
        </c:rich>
      </c:tx>
      <c:layout/>
      <c:overlay val="0"/>
    </c:title>
    <c:autoTitleDeleted val="0"/>
    <c:plotArea>
      <c:layout>
        <c:manualLayout>
          <c:layoutTarget val="inner"/>
          <c:xMode val="edge"/>
          <c:yMode val="edge"/>
          <c:x val="5.6282925647939235E-2"/>
          <c:y val="0.18701158379937491"/>
          <c:w val="0.75448742619193732"/>
          <c:h val="0.70164794400699915"/>
        </c:manualLayout>
      </c:layout>
      <c:lineChart>
        <c:grouping val="standard"/>
        <c:varyColors val="0"/>
        <c:ser>
          <c:idx val="0"/>
          <c:order val="0"/>
          <c:tx>
            <c:strRef>
              <c:f>Perdidas!$C$4</c:f>
              <c:strCache>
                <c:ptCount val="1"/>
                <c:pt idx="0">
                  <c:v>P de potencia (kW) -PFV desconectado</c:v>
                </c:pt>
              </c:strCache>
            </c:strRef>
          </c:tx>
          <c:marker>
            <c:symbol val="none"/>
          </c:marker>
          <c:val>
            <c:numRef>
              <c:f>Perdidas!$C$5:$C$28</c:f>
              <c:numCache>
                <c:formatCode>General</c:formatCode>
                <c:ptCount val="24"/>
                <c:pt idx="0">
                  <c:v>23.93</c:v>
                </c:pt>
                <c:pt idx="1">
                  <c:v>21.54</c:v>
                </c:pt>
                <c:pt idx="2">
                  <c:v>20.23</c:v>
                </c:pt>
                <c:pt idx="3">
                  <c:v>20</c:v>
                </c:pt>
                <c:pt idx="4">
                  <c:v>21.1</c:v>
                </c:pt>
                <c:pt idx="5">
                  <c:v>31.95</c:v>
                </c:pt>
                <c:pt idx="6">
                  <c:v>36.82</c:v>
                </c:pt>
                <c:pt idx="7">
                  <c:v>42.160000000000011</c:v>
                </c:pt>
                <c:pt idx="8">
                  <c:v>45.04</c:v>
                </c:pt>
                <c:pt idx="9">
                  <c:v>47.34</c:v>
                </c:pt>
                <c:pt idx="10">
                  <c:v>54.86</c:v>
                </c:pt>
                <c:pt idx="11">
                  <c:v>62.38</c:v>
                </c:pt>
                <c:pt idx="12">
                  <c:v>50.49</c:v>
                </c:pt>
                <c:pt idx="13">
                  <c:v>46.97</c:v>
                </c:pt>
                <c:pt idx="14">
                  <c:v>48.82</c:v>
                </c:pt>
                <c:pt idx="15">
                  <c:v>48.53</c:v>
                </c:pt>
                <c:pt idx="16">
                  <c:v>52.39</c:v>
                </c:pt>
                <c:pt idx="17">
                  <c:v>66.669999999999987</c:v>
                </c:pt>
                <c:pt idx="18">
                  <c:v>74.679999999999978</c:v>
                </c:pt>
                <c:pt idx="19">
                  <c:v>78.28</c:v>
                </c:pt>
                <c:pt idx="20">
                  <c:v>58.28</c:v>
                </c:pt>
                <c:pt idx="21">
                  <c:v>42.89</c:v>
                </c:pt>
                <c:pt idx="22">
                  <c:v>42.89</c:v>
                </c:pt>
                <c:pt idx="23">
                  <c:v>26.21</c:v>
                </c:pt>
              </c:numCache>
            </c:numRef>
          </c:val>
          <c:smooth val="0"/>
          <c:extLst xmlns:c16r2="http://schemas.microsoft.com/office/drawing/2015/06/chart">
            <c:ext xmlns:c16="http://schemas.microsoft.com/office/drawing/2014/chart" uri="{C3380CC4-5D6E-409C-BE32-E72D297353CC}">
              <c16:uniqueId val="{00000000-477A-4A22-92BA-7E536B434769}"/>
            </c:ext>
          </c:extLst>
        </c:ser>
        <c:ser>
          <c:idx val="1"/>
          <c:order val="1"/>
          <c:tx>
            <c:strRef>
              <c:f>Perdidas!$D$4</c:f>
              <c:strCache>
                <c:ptCount val="1"/>
                <c:pt idx="0">
                  <c:v>P de potencia (kW) -PFV conectado</c:v>
                </c:pt>
              </c:strCache>
            </c:strRef>
          </c:tx>
          <c:marker>
            <c:symbol val="none"/>
          </c:marker>
          <c:val>
            <c:numRef>
              <c:f>Perdidas!$D$5:$D$28</c:f>
              <c:numCache>
                <c:formatCode>General</c:formatCode>
                <c:ptCount val="24"/>
                <c:pt idx="0">
                  <c:v>23.93</c:v>
                </c:pt>
                <c:pt idx="1">
                  <c:v>21.54</c:v>
                </c:pt>
                <c:pt idx="2">
                  <c:v>20.23</c:v>
                </c:pt>
                <c:pt idx="3">
                  <c:v>20</c:v>
                </c:pt>
                <c:pt idx="4">
                  <c:v>21.1</c:v>
                </c:pt>
                <c:pt idx="5">
                  <c:v>31.95</c:v>
                </c:pt>
                <c:pt idx="6">
                  <c:v>35.6</c:v>
                </c:pt>
                <c:pt idx="7">
                  <c:v>39.61</c:v>
                </c:pt>
                <c:pt idx="8">
                  <c:v>39.980000000000004</c:v>
                </c:pt>
                <c:pt idx="9">
                  <c:v>39.83</c:v>
                </c:pt>
                <c:pt idx="10">
                  <c:v>44.39</c:v>
                </c:pt>
                <c:pt idx="11">
                  <c:v>48.620000000000012</c:v>
                </c:pt>
                <c:pt idx="12">
                  <c:v>40.290000000000013</c:v>
                </c:pt>
                <c:pt idx="13">
                  <c:v>39.42</c:v>
                </c:pt>
                <c:pt idx="14">
                  <c:v>43.52</c:v>
                </c:pt>
                <c:pt idx="15">
                  <c:v>45.84</c:v>
                </c:pt>
                <c:pt idx="16">
                  <c:v>50.97</c:v>
                </c:pt>
                <c:pt idx="17">
                  <c:v>66.669999999999987</c:v>
                </c:pt>
                <c:pt idx="18">
                  <c:v>74.679999999999978</c:v>
                </c:pt>
                <c:pt idx="19">
                  <c:v>78.28</c:v>
                </c:pt>
                <c:pt idx="20">
                  <c:v>58.28</c:v>
                </c:pt>
                <c:pt idx="21">
                  <c:v>42.89</c:v>
                </c:pt>
                <c:pt idx="22">
                  <c:v>42.89</c:v>
                </c:pt>
                <c:pt idx="23">
                  <c:v>26.21</c:v>
                </c:pt>
              </c:numCache>
            </c:numRef>
          </c:val>
          <c:smooth val="0"/>
          <c:extLst xmlns:c16r2="http://schemas.microsoft.com/office/drawing/2015/06/chart">
            <c:ext xmlns:c16="http://schemas.microsoft.com/office/drawing/2014/chart" uri="{C3380CC4-5D6E-409C-BE32-E72D297353CC}">
              <c16:uniqueId val="{00000001-477A-4A22-92BA-7E536B434769}"/>
            </c:ext>
          </c:extLst>
        </c:ser>
        <c:dLbls>
          <c:showLegendKey val="0"/>
          <c:showVal val="0"/>
          <c:showCatName val="0"/>
          <c:showSerName val="0"/>
          <c:showPercent val="0"/>
          <c:showBubbleSize val="0"/>
        </c:dLbls>
        <c:marker val="1"/>
        <c:smooth val="0"/>
        <c:axId val="157045120"/>
        <c:axId val="157046656"/>
      </c:lineChart>
      <c:catAx>
        <c:axId val="157045120"/>
        <c:scaling>
          <c:orientation val="minMax"/>
        </c:scaling>
        <c:delete val="0"/>
        <c:axPos val="b"/>
        <c:majorTickMark val="none"/>
        <c:minorTickMark val="none"/>
        <c:tickLblPos val="nextTo"/>
        <c:crossAx val="157046656"/>
        <c:crosses val="autoZero"/>
        <c:auto val="1"/>
        <c:lblAlgn val="ctr"/>
        <c:lblOffset val="100"/>
        <c:noMultiLvlLbl val="0"/>
      </c:catAx>
      <c:valAx>
        <c:axId val="157046656"/>
        <c:scaling>
          <c:orientation val="minMax"/>
        </c:scaling>
        <c:delete val="0"/>
        <c:axPos val="l"/>
        <c:majorGridlines/>
        <c:title>
          <c:tx>
            <c:rich>
              <a:bodyPr rot="0" vert="horz"/>
              <a:lstStyle/>
              <a:p>
                <a:pPr>
                  <a:defRPr/>
                </a:pPr>
                <a:r>
                  <a:rPr lang="es-ES"/>
                  <a:t>kW</a:t>
                </a:r>
              </a:p>
            </c:rich>
          </c:tx>
          <c:layout>
            <c:manualLayout>
              <c:xMode val="edge"/>
              <c:yMode val="edge"/>
              <c:x val="4.5171539819081404E-2"/>
              <c:y val="5.6396211343147463E-2"/>
            </c:manualLayout>
          </c:layout>
          <c:overlay val="0"/>
        </c:title>
        <c:numFmt formatCode="General" sourceLinked="1"/>
        <c:majorTickMark val="none"/>
        <c:minorTickMark val="none"/>
        <c:tickLblPos val="nextTo"/>
        <c:crossAx val="157045120"/>
        <c:crosses val="autoZero"/>
        <c:crossBetween val="between"/>
      </c:valAx>
    </c:plotArea>
    <c:legend>
      <c:legendPos val="r"/>
      <c:layout>
        <c:manualLayout>
          <c:xMode val="edge"/>
          <c:yMode val="edge"/>
          <c:x val="0.82632222108600062"/>
          <c:y val="0.1455375940198288"/>
          <c:w val="0.16180787549721851"/>
          <c:h val="0.7925851268591425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reactiva</a:t>
            </a:r>
          </a:p>
        </c:rich>
      </c:tx>
      <c:layout/>
      <c:overlay val="0"/>
    </c:title>
    <c:autoTitleDeleted val="0"/>
    <c:plotArea>
      <c:layout>
        <c:manualLayout>
          <c:layoutTarget val="inner"/>
          <c:xMode val="edge"/>
          <c:yMode val="edge"/>
          <c:x val="7.060554663192066E-2"/>
          <c:y val="0.15627691385373491"/>
          <c:w val="0.75572788779433964"/>
          <c:h val="0.72078528300554434"/>
        </c:manualLayout>
      </c:layout>
      <c:lineChart>
        <c:grouping val="standard"/>
        <c:varyColors val="0"/>
        <c:ser>
          <c:idx val="0"/>
          <c:order val="0"/>
          <c:tx>
            <c:strRef>
              <c:f>Potencia!$B$5</c:f>
              <c:strCache>
                <c:ptCount val="1"/>
                <c:pt idx="0">
                  <c:v>Potencia (kvar) -PFV desconectado</c:v>
                </c:pt>
              </c:strCache>
            </c:strRef>
          </c:tx>
          <c:marker>
            <c:symbol val="none"/>
          </c:marker>
          <c:val>
            <c:numRef>
              <c:f>Potencia!$B$6:$B$29</c:f>
              <c:numCache>
                <c:formatCode>General</c:formatCode>
                <c:ptCount val="24"/>
                <c:pt idx="0">
                  <c:v>1522.5</c:v>
                </c:pt>
                <c:pt idx="1">
                  <c:v>1467</c:v>
                </c:pt>
                <c:pt idx="2">
                  <c:v>1444</c:v>
                </c:pt>
                <c:pt idx="3">
                  <c:v>1436.5</c:v>
                </c:pt>
                <c:pt idx="4">
                  <c:v>1465</c:v>
                </c:pt>
                <c:pt idx="5">
                  <c:v>1701</c:v>
                </c:pt>
                <c:pt idx="6">
                  <c:v>1803</c:v>
                </c:pt>
                <c:pt idx="7">
                  <c:v>1951.5</c:v>
                </c:pt>
                <c:pt idx="8">
                  <c:v>2025.5</c:v>
                </c:pt>
                <c:pt idx="9">
                  <c:v>2043.5</c:v>
                </c:pt>
                <c:pt idx="10">
                  <c:v>2201.5</c:v>
                </c:pt>
                <c:pt idx="11">
                  <c:v>2305</c:v>
                </c:pt>
                <c:pt idx="12">
                  <c:v>2040.5</c:v>
                </c:pt>
                <c:pt idx="13">
                  <c:v>2006.5</c:v>
                </c:pt>
                <c:pt idx="14">
                  <c:v>2051.5</c:v>
                </c:pt>
                <c:pt idx="15">
                  <c:v>2075.5</c:v>
                </c:pt>
                <c:pt idx="16">
                  <c:v>2171</c:v>
                </c:pt>
                <c:pt idx="17">
                  <c:v>2363</c:v>
                </c:pt>
                <c:pt idx="18">
                  <c:v>2519.5</c:v>
                </c:pt>
                <c:pt idx="19">
                  <c:v>2526</c:v>
                </c:pt>
                <c:pt idx="20">
                  <c:v>2189.5</c:v>
                </c:pt>
                <c:pt idx="21">
                  <c:v>1975.5</c:v>
                </c:pt>
                <c:pt idx="22">
                  <c:v>1975.5</c:v>
                </c:pt>
                <c:pt idx="23">
                  <c:v>1590</c:v>
                </c:pt>
              </c:numCache>
            </c:numRef>
          </c:val>
          <c:smooth val="0"/>
          <c:extLst xmlns:c16r2="http://schemas.microsoft.com/office/drawing/2015/06/chart">
            <c:ext xmlns:c16="http://schemas.microsoft.com/office/drawing/2014/chart" uri="{C3380CC4-5D6E-409C-BE32-E72D297353CC}">
              <c16:uniqueId val="{00000000-5350-40AF-A61D-371DFAB184B4}"/>
            </c:ext>
          </c:extLst>
        </c:ser>
        <c:ser>
          <c:idx val="1"/>
          <c:order val="1"/>
          <c:tx>
            <c:strRef>
              <c:f>Potencia!$C$5</c:f>
              <c:strCache>
                <c:ptCount val="1"/>
                <c:pt idx="0">
                  <c:v>Potencia (kvar) -PFV conectado</c:v>
                </c:pt>
              </c:strCache>
            </c:strRef>
          </c:tx>
          <c:marker>
            <c:symbol val="none"/>
          </c:marker>
          <c:val>
            <c:numRef>
              <c:f>Potencia!$C$6:$C$29</c:f>
              <c:numCache>
                <c:formatCode>General</c:formatCode>
                <c:ptCount val="24"/>
                <c:pt idx="0">
                  <c:v>522.5</c:v>
                </c:pt>
                <c:pt idx="1">
                  <c:v>467</c:v>
                </c:pt>
                <c:pt idx="2">
                  <c:v>444</c:v>
                </c:pt>
                <c:pt idx="3">
                  <c:v>436.5</c:v>
                </c:pt>
                <c:pt idx="4">
                  <c:v>465</c:v>
                </c:pt>
                <c:pt idx="5">
                  <c:v>701</c:v>
                </c:pt>
                <c:pt idx="6">
                  <c:v>813</c:v>
                </c:pt>
                <c:pt idx="7">
                  <c:v>971.5</c:v>
                </c:pt>
                <c:pt idx="8">
                  <c:v>1105.5</c:v>
                </c:pt>
                <c:pt idx="9">
                  <c:v>1243.5</c:v>
                </c:pt>
                <c:pt idx="10">
                  <c:v>1601.5</c:v>
                </c:pt>
                <c:pt idx="11">
                  <c:v>2305</c:v>
                </c:pt>
                <c:pt idx="12">
                  <c:v>1440.5</c:v>
                </c:pt>
                <c:pt idx="13">
                  <c:v>1206.5</c:v>
                </c:pt>
                <c:pt idx="14">
                  <c:v>1131.5</c:v>
                </c:pt>
                <c:pt idx="15">
                  <c:v>1095.5</c:v>
                </c:pt>
                <c:pt idx="16">
                  <c:v>1181</c:v>
                </c:pt>
                <c:pt idx="17">
                  <c:v>1363</c:v>
                </c:pt>
                <c:pt idx="18">
                  <c:v>1519.5</c:v>
                </c:pt>
                <c:pt idx="19">
                  <c:v>1526</c:v>
                </c:pt>
                <c:pt idx="20">
                  <c:v>1189.5</c:v>
                </c:pt>
                <c:pt idx="21">
                  <c:v>975.5</c:v>
                </c:pt>
                <c:pt idx="22">
                  <c:v>975.5</c:v>
                </c:pt>
                <c:pt idx="23">
                  <c:v>590</c:v>
                </c:pt>
              </c:numCache>
            </c:numRef>
          </c:val>
          <c:smooth val="0"/>
          <c:extLst xmlns:c16r2="http://schemas.microsoft.com/office/drawing/2015/06/chart">
            <c:ext xmlns:c16="http://schemas.microsoft.com/office/drawing/2014/chart" uri="{C3380CC4-5D6E-409C-BE32-E72D297353CC}">
              <c16:uniqueId val="{00000001-5350-40AF-A61D-371DFAB184B4}"/>
            </c:ext>
          </c:extLst>
        </c:ser>
        <c:dLbls>
          <c:showLegendKey val="0"/>
          <c:showVal val="0"/>
          <c:showCatName val="0"/>
          <c:showSerName val="0"/>
          <c:showPercent val="0"/>
          <c:showBubbleSize val="0"/>
        </c:dLbls>
        <c:marker val="1"/>
        <c:smooth val="0"/>
        <c:axId val="157085696"/>
        <c:axId val="157087232"/>
      </c:lineChart>
      <c:catAx>
        <c:axId val="157085696"/>
        <c:scaling>
          <c:orientation val="minMax"/>
        </c:scaling>
        <c:delete val="0"/>
        <c:axPos val="b"/>
        <c:majorTickMark val="none"/>
        <c:minorTickMark val="none"/>
        <c:tickLblPos val="nextTo"/>
        <c:crossAx val="157087232"/>
        <c:crosses val="autoZero"/>
        <c:auto val="1"/>
        <c:lblAlgn val="ctr"/>
        <c:lblOffset val="100"/>
        <c:noMultiLvlLbl val="0"/>
      </c:catAx>
      <c:valAx>
        <c:axId val="157087232"/>
        <c:scaling>
          <c:orientation val="minMax"/>
        </c:scaling>
        <c:delete val="0"/>
        <c:axPos val="l"/>
        <c:majorGridlines/>
        <c:title>
          <c:tx>
            <c:rich>
              <a:bodyPr rot="0" vert="horz"/>
              <a:lstStyle/>
              <a:p>
                <a:pPr>
                  <a:defRPr/>
                </a:pPr>
                <a:r>
                  <a:rPr lang="es-ES"/>
                  <a:t>kvar</a:t>
                </a:r>
              </a:p>
            </c:rich>
          </c:tx>
          <c:layout>
            <c:manualLayout>
              <c:xMode val="edge"/>
              <c:yMode val="edge"/>
              <c:x val="4.945316214931051E-2"/>
              <c:y val="3.9128813633671836E-2"/>
            </c:manualLayout>
          </c:layout>
          <c:overlay val="0"/>
        </c:title>
        <c:numFmt formatCode="General" sourceLinked="1"/>
        <c:majorTickMark val="none"/>
        <c:minorTickMark val="none"/>
        <c:tickLblPos val="nextTo"/>
        <c:crossAx val="157085696"/>
        <c:crosses val="autoZero"/>
        <c:crossBetween val="between"/>
      </c:valAx>
    </c:plotArea>
    <c:legend>
      <c:legendPos val="r"/>
      <c:layout>
        <c:manualLayout>
          <c:xMode val="edge"/>
          <c:yMode val="edge"/>
          <c:x val="0.82609470535156004"/>
          <c:y val="0.11524459164052962"/>
          <c:w val="0.16249302646013772"/>
          <c:h val="0.7991302758464383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activa</a:t>
            </a:r>
          </a:p>
        </c:rich>
      </c:tx>
      <c:layout/>
      <c:overlay val="0"/>
    </c:title>
    <c:autoTitleDeleted val="0"/>
    <c:plotArea>
      <c:layout>
        <c:manualLayout>
          <c:layoutTarget val="inner"/>
          <c:xMode val="edge"/>
          <c:yMode val="edge"/>
          <c:x val="8.5725534308211546E-2"/>
          <c:y val="0.19480351414406533"/>
          <c:w val="0.73845251486421337"/>
          <c:h val="0.68469387196711662"/>
        </c:manualLayout>
      </c:layout>
      <c:lineChart>
        <c:grouping val="standard"/>
        <c:varyColors val="0"/>
        <c:ser>
          <c:idx val="0"/>
          <c:order val="0"/>
          <c:tx>
            <c:strRef>
              <c:f>Potencia!$B$5</c:f>
              <c:strCache>
                <c:ptCount val="1"/>
                <c:pt idx="0">
                  <c:v>Potencia (kW) -PFV desconectado</c:v>
                </c:pt>
              </c:strCache>
            </c:strRef>
          </c:tx>
          <c:marker>
            <c:symbol val="none"/>
          </c:marker>
          <c:val>
            <c:numRef>
              <c:f>Potencia!$B$6:$B$29</c:f>
              <c:numCache>
                <c:formatCode>General</c:formatCode>
                <c:ptCount val="24"/>
                <c:pt idx="0">
                  <c:v>7084.2</c:v>
                </c:pt>
                <c:pt idx="1">
                  <c:v>6804.2</c:v>
                </c:pt>
                <c:pt idx="2">
                  <c:v>6578.2</c:v>
                </c:pt>
                <c:pt idx="3">
                  <c:v>6556.2</c:v>
                </c:pt>
                <c:pt idx="4">
                  <c:v>6758.2</c:v>
                </c:pt>
                <c:pt idx="5">
                  <c:v>7827.8</c:v>
                </c:pt>
                <c:pt idx="6">
                  <c:v>8469.7999999999884</c:v>
                </c:pt>
                <c:pt idx="7">
                  <c:v>8965</c:v>
                </c:pt>
                <c:pt idx="8">
                  <c:v>9380</c:v>
                </c:pt>
                <c:pt idx="9">
                  <c:v>9869.7000000000007</c:v>
                </c:pt>
                <c:pt idx="10">
                  <c:v>10677.7</c:v>
                </c:pt>
                <c:pt idx="11">
                  <c:v>11344.8</c:v>
                </c:pt>
                <c:pt idx="12">
                  <c:v>10144.799999999988</c:v>
                </c:pt>
                <c:pt idx="13">
                  <c:v>9943.7000000000007</c:v>
                </c:pt>
                <c:pt idx="14">
                  <c:v>10145.700000000004</c:v>
                </c:pt>
                <c:pt idx="15">
                  <c:v>10211</c:v>
                </c:pt>
                <c:pt idx="16">
                  <c:v>10615</c:v>
                </c:pt>
                <c:pt idx="17">
                  <c:v>11903</c:v>
                </c:pt>
                <c:pt idx="18">
                  <c:v>12665.2</c:v>
                </c:pt>
                <c:pt idx="19">
                  <c:v>12692.2</c:v>
                </c:pt>
                <c:pt idx="20">
                  <c:v>10717.2</c:v>
                </c:pt>
                <c:pt idx="21">
                  <c:v>9380.2000000000007</c:v>
                </c:pt>
                <c:pt idx="22">
                  <c:v>9380.2000000000007</c:v>
                </c:pt>
                <c:pt idx="23">
                  <c:v>7417.2</c:v>
                </c:pt>
              </c:numCache>
            </c:numRef>
          </c:val>
          <c:smooth val="0"/>
          <c:extLst xmlns:c16r2="http://schemas.microsoft.com/office/drawing/2015/06/chart">
            <c:ext xmlns:c16="http://schemas.microsoft.com/office/drawing/2014/chart" uri="{C3380CC4-5D6E-409C-BE32-E72D297353CC}">
              <c16:uniqueId val="{00000000-AF1A-49A9-8332-FA3F46EDF4FB}"/>
            </c:ext>
          </c:extLst>
        </c:ser>
        <c:ser>
          <c:idx val="1"/>
          <c:order val="1"/>
          <c:tx>
            <c:strRef>
              <c:f>Potencia!$C$5</c:f>
              <c:strCache>
                <c:ptCount val="1"/>
                <c:pt idx="0">
                  <c:v>Potencia (kW) -PFV conectado</c:v>
                </c:pt>
              </c:strCache>
            </c:strRef>
          </c:tx>
          <c:marker>
            <c:symbol val="none"/>
          </c:marker>
          <c:val>
            <c:numRef>
              <c:f>Potencia!$C$6:$C$29</c:f>
              <c:numCache>
                <c:formatCode>General</c:formatCode>
                <c:ptCount val="24"/>
                <c:pt idx="0">
                  <c:v>7084.2</c:v>
                </c:pt>
                <c:pt idx="1">
                  <c:v>6804.2</c:v>
                </c:pt>
                <c:pt idx="2">
                  <c:v>6578.2</c:v>
                </c:pt>
                <c:pt idx="3">
                  <c:v>6556.2</c:v>
                </c:pt>
                <c:pt idx="4">
                  <c:v>6758.2</c:v>
                </c:pt>
                <c:pt idx="5">
                  <c:v>7827.8</c:v>
                </c:pt>
                <c:pt idx="6">
                  <c:v>8369.7999999999884</c:v>
                </c:pt>
                <c:pt idx="7">
                  <c:v>8765</c:v>
                </c:pt>
                <c:pt idx="8">
                  <c:v>8980</c:v>
                </c:pt>
                <c:pt idx="9">
                  <c:v>9269</c:v>
                </c:pt>
                <c:pt idx="10">
                  <c:v>9877.7000000000007</c:v>
                </c:pt>
                <c:pt idx="11">
                  <c:v>10344.799999999988</c:v>
                </c:pt>
                <c:pt idx="12">
                  <c:v>9344.7999999999884</c:v>
                </c:pt>
                <c:pt idx="13">
                  <c:v>9343.7000000000007</c:v>
                </c:pt>
                <c:pt idx="14">
                  <c:v>9745.7000000000007</c:v>
                </c:pt>
                <c:pt idx="15">
                  <c:v>10011</c:v>
                </c:pt>
                <c:pt idx="16">
                  <c:v>10515</c:v>
                </c:pt>
                <c:pt idx="17">
                  <c:v>11903</c:v>
                </c:pt>
                <c:pt idx="18">
                  <c:v>12665.2</c:v>
                </c:pt>
                <c:pt idx="19">
                  <c:v>12692.2</c:v>
                </c:pt>
                <c:pt idx="20">
                  <c:v>10717.2</c:v>
                </c:pt>
                <c:pt idx="21">
                  <c:v>9380.2000000000007</c:v>
                </c:pt>
                <c:pt idx="22">
                  <c:v>9380.2000000000007</c:v>
                </c:pt>
                <c:pt idx="23">
                  <c:v>7417.2</c:v>
                </c:pt>
              </c:numCache>
            </c:numRef>
          </c:val>
          <c:smooth val="0"/>
          <c:extLst xmlns:c16r2="http://schemas.microsoft.com/office/drawing/2015/06/chart">
            <c:ext xmlns:c16="http://schemas.microsoft.com/office/drawing/2014/chart" uri="{C3380CC4-5D6E-409C-BE32-E72D297353CC}">
              <c16:uniqueId val="{00000001-AF1A-49A9-8332-FA3F46EDF4FB}"/>
            </c:ext>
          </c:extLst>
        </c:ser>
        <c:dLbls>
          <c:showLegendKey val="0"/>
          <c:showVal val="0"/>
          <c:showCatName val="0"/>
          <c:showSerName val="0"/>
          <c:showPercent val="0"/>
          <c:showBubbleSize val="0"/>
        </c:dLbls>
        <c:marker val="1"/>
        <c:smooth val="0"/>
        <c:axId val="175773568"/>
        <c:axId val="175775104"/>
      </c:lineChart>
      <c:catAx>
        <c:axId val="175773568"/>
        <c:scaling>
          <c:orientation val="minMax"/>
        </c:scaling>
        <c:delete val="0"/>
        <c:axPos val="b"/>
        <c:majorTickMark val="none"/>
        <c:minorTickMark val="none"/>
        <c:tickLblPos val="nextTo"/>
        <c:crossAx val="175775104"/>
        <c:crosses val="autoZero"/>
        <c:auto val="1"/>
        <c:lblAlgn val="ctr"/>
        <c:lblOffset val="100"/>
        <c:noMultiLvlLbl val="0"/>
      </c:catAx>
      <c:valAx>
        <c:axId val="175775104"/>
        <c:scaling>
          <c:orientation val="minMax"/>
        </c:scaling>
        <c:delete val="0"/>
        <c:axPos val="l"/>
        <c:majorGridlines/>
        <c:title>
          <c:tx>
            <c:rich>
              <a:bodyPr rot="0" vert="horz"/>
              <a:lstStyle/>
              <a:p>
                <a:pPr>
                  <a:defRPr/>
                </a:pPr>
                <a:r>
                  <a:rPr lang="es-ES"/>
                  <a:t>kW</a:t>
                </a:r>
              </a:p>
            </c:rich>
          </c:tx>
          <c:layout>
            <c:manualLayout>
              <c:xMode val="edge"/>
              <c:yMode val="edge"/>
              <c:x val="8.6111111111110972E-2"/>
              <c:y val="7.365923009623794E-2"/>
            </c:manualLayout>
          </c:layout>
          <c:overlay val="0"/>
        </c:title>
        <c:numFmt formatCode="General" sourceLinked="1"/>
        <c:majorTickMark val="none"/>
        <c:minorTickMark val="none"/>
        <c:tickLblPos val="nextTo"/>
        <c:crossAx val="175773568"/>
        <c:crosses val="autoZero"/>
        <c:crossBetween val="between"/>
      </c:valAx>
    </c:plotArea>
    <c:legend>
      <c:legendPos val="r"/>
      <c:layout>
        <c:manualLayout>
          <c:xMode val="edge"/>
          <c:yMode val="edge"/>
          <c:x val="0.80785044726552113"/>
          <c:y val="9.8711358996792342E-2"/>
          <c:w val="0.19135590194082883"/>
          <c:h val="0.8070909886264217"/>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Pérdidas de P(kW)</a:t>
            </a:r>
          </a:p>
        </c:rich>
      </c:tx>
      <c:layout/>
      <c:overlay val="0"/>
    </c:title>
    <c:autoTitleDeleted val="0"/>
    <c:plotArea>
      <c:layout>
        <c:manualLayout>
          <c:layoutTarget val="inner"/>
          <c:xMode val="edge"/>
          <c:yMode val="edge"/>
          <c:x val="8.9336375286109132E-2"/>
          <c:y val="0.18701137357830303"/>
          <c:w val="0.73580998803720976"/>
          <c:h val="0.67796070945677323"/>
        </c:manualLayout>
      </c:layout>
      <c:lineChart>
        <c:grouping val="standard"/>
        <c:varyColors val="0"/>
        <c:ser>
          <c:idx val="0"/>
          <c:order val="0"/>
          <c:tx>
            <c:strRef>
              <c:f>Perdidas!$C$4</c:f>
              <c:strCache>
                <c:ptCount val="1"/>
                <c:pt idx="0">
                  <c:v>P de potencia (kW) -PFV desconectado</c:v>
                </c:pt>
              </c:strCache>
            </c:strRef>
          </c:tx>
          <c:marker>
            <c:symbol val="none"/>
          </c:marker>
          <c:val>
            <c:numRef>
              <c:f>Perdidas!$C$5:$C$28</c:f>
              <c:numCache>
                <c:formatCode>General</c:formatCode>
                <c:ptCount val="24"/>
                <c:pt idx="0">
                  <c:v>80.31</c:v>
                </c:pt>
                <c:pt idx="1">
                  <c:v>73.06</c:v>
                </c:pt>
                <c:pt idx="2">
                  <c:v>67.819999999999993</c:v>
                </c:pt>
                <c:pt idx="3">
                  <c:v>67.349999999999994</c:v>
                </c:pt>
                <c:pt idx="4">
                  <c:v>72.209999999999994</c:v>
                </c:pt>
                <c:pt idx="5">
                  <c:v>102.91000000000008</c:v>
                </c:pt>
                <c:pt idx="6">
                  <c:v>123.39</c:v>
                </c:pt>
                <c:pt idx="7">
                  <c:v>142.16</c:v>
                </c:pt>
                <c:pt idx="8">
                  <c:v>159.29</c:v>
                </c:pt>
                <c:pt idx="9">
                  <c:v>176.76999999999998</c:v>
                </c:pt>
                <c:pt idx="10">
                  <c:v>215</c:v>
                </c:pt>
                <c:pt idx="11">
                  <c:v>246.9</c:v>
                </c:pt>
                <c:pt idx="12">
                  <c:v>185.69</c:v>
                </c:pt>
                <c:pt idx="13">
                  <c:v>172.26</c:v>
                </c:pt>
                <c:pt idx="14">
                  <c:v>181.25</c:v>
                </c:pt>
                <c:pt idx="15">
                  <c:v>183.57</c:v>
                </c:pt>
                <c:pt idx="16">
                  <c:v>202.83</c:v>
                </c:pt>
                <c:pt idx="17">
                  <c:v>267.74</c:v>
                </c:pt>
                <c:pt idx="18">
                  <c:v>312.61</c:v>
                </c:pt>
                <c:pt idx="19">
                  <c:v>317.7</c:v>
                </c:pt>
                <c:pt idx="20">
                  <c:v>214.17</c:v>
                </c:pt>
                <c:pt idx="21">
                  <c:v>155.63</c:v>
                </c:pt>
                <c:pt idx="22">
                  <c:v>155.63</c:v>
                </c:pt>
                <c:pt idx="23">
                  <c:v>89.4</c:v>
                </c:pt>
              </c:numCache>
            </c:numRef>
          </c:val>
          <c:smooth val="0"/>
          <c:extLst xmlns:c16r2="http://schemas.microsoft.com/office/drawing/2015/06/chart">
            <c:ext xmlns:c16="http://schemas.microsoft.com/office/drawing/2014/chart" uri="{C3380CC4-5D6E-409C-BE32-E72D297353CC}">
              <c16:uniqueId val="{00000000-5AED-443D-821C-F480072CA273}"/>
            </c:ext>
          </c:extLst>
        </c:ser>
        <c:ser>
          <c:idx val="1"/>
          <c:order val="1"/>
          <c:tx>
            <c:strRef>
              <c:f>Perdidas!$D$4</c:f>
              <c:strCache>
                <c:ptCount val="1"/>
                <c:pt idx="0">
                  <c:v>P de potencia (kW) -PFV conectado</c:v>
                </c:pt>
              </c:strCache>
            </c:strRef>
          </c:tx>
          <c:marker>
            <c:symbol val="none"/>
          </c:marker>
          <c:val>
            <c:numRef>
              <c:f>Perdidas!$D$5:$D$28</c:f>
              <c:numCache>
                <c:formatCode>General</c:formatCode>
                <c:ptCount val="24"/>
                <c:pt idx="0">
                  <c:v>80.31</c:v>
                </c:pt>
                <c:pt idx="1">
                  <c:v>73.06</c:v>
                </c:pt>
                <c:pt idx="2">
                  <c:v>67.819999999999993</c:v>
                </c:pt>
                <c:pt idx="3">
                  <c:v>67.349999999999994</c:v>
                </c:pt>
                <c:pt idx="4">
                  <c:v>72.209999999999994</c:v>
                </c:pt>
                <c:pt idx="5">
                  <c:v>102.91000000000008</c:v>
                </c:pt>
                <c:pt idx="6">
                  <c:v>121.11999999999999</c:v>
                </c:pt>
                <c:pt idx="7">
                  <c:v>137.34</c:v>
                </c:pt>
                <c:pt idx="8">
                  <c:v>149.43</c:v>
                </c:pt>
                <c:pt idx="9">
                  <c:v>161.62</c:v>
                </c:pt>
                <c:pt idx="10">
                  <c:v>193.28</c:v>
                </c:pt>
                <c:pt idx="11">
                  <c:v>218.15</c:v>
                </c:pt>
                <c:pt idx="12">
                  <c:v>165.2</c:v>
                </c:pt>
                <c:pt idx="13">
                  <c:v>157.19</c:v>
                </c:pt>
                <c:pt idx="14">
                  <c:v>170.73</c:v>
                </c:pt>
                <c:pt idx="15">
                  <c:v>178.19</c:v>
                </c:pt>
                <c:pt idx="16">
                  <c:v>199.99</c:v>
                </c:pt>
                <c:pt idx="17">
                  <c:v>267.74</c:v>
                </c:pt>
                <c:pt idx="18">
                  <c:v>312.61</c:v>
                </c:pt>
                <c:pt idx="19">
                  <c:v>317.7</c:v>
                </c:pt>
                <c:pt idx="20">
                  <c:v>214.17</c:v>
                </c:pt>
                <c:pt idx="21">
                  <c:v>155.63</c:v>
                </c:pt>
                <c:pt idx="22">
                  <c:v>155.63</c:v>
                </c:pt>
                <c:pt idx="23">
                  <c:v>89.4</c:v>
                </c:pt>
              </c:numCache>
            </c:numRef>
          </c:val>
          <c:smooth val="0"/>
          <c:extLst xmlns:c16r2="http://schemas.microsoft.com/office/drawing/2015/06/chart">
            <c:ext xmlns:c16="http://schemas.microsoft.com/office/drawing/2014/chart" uri="{C3380CC4-5D6E-409C-BE32-E72D297353CC}">
              <c16:uniqueId val="{00000001-5AED-443D-821C-F480072CA273}"/>
            </c:ext>
          </c:extLst>
        </c:ser>
        <c:dLbls>
          <c:showLegendKey val="0"/>
          <c:showVal val="0"/>
          <c:showCatName val="0"/>
          <c:showSerName val="0"/>
          <c:showPercent val="0"/>
          <c:showBubbleSize val="0"/>
        </c:dLbls>
        <c:marker val="1"/>
        <c:smooth val="0"/>
        <c:axId val="175838720"/>
        <c:axId val="175840256"/>
      </c:lineChart>
      <c:catAx>
        <c:axId val="175838720"/>
        <c:scaling>
          <c:orientation val="minMax"/>
        </c:scaling>
        <c:delete val="0"/>
        <c:axPos val="b"/>
        <c:majorTickMark val="none"/>
        <c:minorTickMark val="none"/>
        <c:tickLblPos val="nextTo"/>
        <c:crossAx val="175840256"/>
        <c:crosses val="autoZero"/>
        <c:auto val="1"/>
        <c:lblAlgn val="ctr"/>
        <c:lblOffset val="100"/>
        <c:noMultiLvlLbl val="0"/>
      </c:catAx>
      <c:valAx>
        <c:axId val="175840256"/>
        <c:scaling>
          <c:orientation val="minMax"/>
        </c:scaling>
        <c:delete val="0"/>
        <c:axPos val="l"/>
        <c:majorGridlines/>
        <c:title>
          <c:tx>
            <c:rich>
              <a:bodyPr rot="0" vert="horz"/>
              <a:lstStyle/>
              <a:p>
                <a:pPr>
                  <a:defRPr/>
                </a:pPr>
                <a:r>
                  <a:rPr lang="es-ES"/>
                  <a:t>kW</a:t>
                </a:r>
              </a:p>
            </c:rich>
          </c:tx>
          <c:layout>
            <c:manualLayout>
              <c:xMode val="edge"/>
              <c:yMode val="edge"/>
              <c:x val="4.0944465825523503E-2"/>
              <c:y val="7.1572031756899954E-2"/>
            </c:manualLayout>
          </c:layout>
          <c:overlay val="0"/>
        </c:title>
        <c:numFmt formatCode="General" sourceLinked="1"/>
        <c:majorTickMark val="none"/>
        <c:minorTickMark val="none"/>
        <c:tickLblPos val="nextTo"/>
        <c:crossAx val="175838720"/>
        <c:crosses val="autoZero"/>
        <c:crossBetween val="between"/>
      </c:valAx>
    </c:plotArea>
    <c:legend>
      <c:legendPos val="r"/>
      <c:layout>
        <c:manualLayout>
          <c:xMode val="edge"/>
          <c:yMode val="edge"/>
          <c:x val="0.79860267466566681"/>
          <c:y val="0.12809623797025374"/>
          <c:w val="0.18952434517113967"/>
          <c:h val="0.7925851268591425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reactiva</a:t>
            </a:r>
          </a:p>
        </c:rich>
      </c:tx>
      <c:layout/>
      <c:overlay val="0"/>
    </c:title>
    <c:autoTitleDeleted val="0"/>
    <c:plotArea>
      <c:layout>
        <c:manualLayout>
          <c:layoutTarget val="inner"/>
          <c:xMode val="edge"/>
          <c:yMode val="edge"/>
          <c:x val="7.5823696910551838E-2"/>
          <c:y val="0.19480351414406533"/>
          <c:w val="0.75011073530919081"/>
          <c:h val="0.68921660834062359"/>
        </c:manualLayout>
      </c:layout>
      <c:lineChart>
        <c:grouping val="standard"/>
        <c:varyColors val="0"/>
        <c:ser>
          <c:idx val="0"/>
          <c:order val="0"/>
          <c:tx>
            <c:strRef>
              <c:f>Potencia!$B$5</c:f>
              <c:strCache>
                <c:ptCount val="1"/>
                <c:pt idx="0">
                  <c:v>Potencia (kvar) -PFV desconectado</c:v>
                </c:pt>
              </c:strCache>
            </c:strRef>
          </c:tx>
          <c:marker>
            <c:symbol val="none"/>
          </c:marker>
          <c:val>
            <c:numRef>
              <c:f>Potencia!$B$6:$B$29</c:f>
              <c:numCache>
                <c:formatCode>General</c:formatCode>
                <c:ptCount val="24"/>
                <c:pt idx="0">
                  <c:v>4001.5</c:v>
                </c:pt>
                <c:pt idx="1">
                  <c:v>3858</c:v>
                </c:pt>
                <c:pt idx="2">
                  <c:v>3747</c:v>
                </c:pt>
                <c:pt idx="3">
                  <c:v>3739.5</c:v>
                </c:pt>
                <c:pt idx="4">
                  <c:v>3856</c:v>
                </c:pt>
                <c:pt idx="5">
                  <c:v>4398</c:v>
                </c:pt>
                <c:pt idx="6">
                  <c:v>4764</c:v>
                </c:pt>
                <c:pt idx="7">
                  <c:v>5104.5</c:v>
                </c:pt>
                <c:pt idx="8">
                  <c:v>5398.5</c:v>
                </c:pt>
                <c:pt idx="9">
                  <c:v>5637.5</c:v>
                </c:pt>
                <c:pt idx="10">
                  <c:v>6147.5</c:v>
                </c:pt>
                <c:pt idx="11">
                  <c:v>6479</c:v>
                </c:pt>
                <c:pt idx="12">
                  <c:v>5686.5</c:v>
                </c:pt>
                <c:pt idx="13">
                  <c:v>5562.5</c:v>
                </c:pt>
                <c:pt idx="14">
                  <c:v>5695.5</c:v>
                </c:pt>
                <c:pt idx="15">
                  <c:v>5748.5</c:v>
                </c:pt>
                <c:pt idx="16">
                  <c:v>6020</c:v>
                </c:pt>
                <c:pt idx="17">
                  <c:v>6696</c:v>
                </c:pt>
                <c:pt idx="18">
                  <c:v>7185.5</c:v>
                </c:pt>
                <c:pt idx="19">
                  <c:v>7167</c:v>
                </c:pt>
                <c:pt idx="20">
                  <c:v>6032.5</c:v>
                </c:pt>
                <c:pt idx="21">
                  <c:v>5334.5</c:v>
                </c:pt>
                <c:pt idx="22">
                  <c:v>5334.5</c:v>
                </c:pt>
                <c:pt idx="23">
                  <c:v>4201</c:v>
                </c:pt>
              </c:numCache>
            </c:numRef>
          </c:val>
          <c:smooth val="0"/>
          <c:extLst xmlns:c16r2="http://schemas.microsoft.com/office/drawing/2015/06/chart">
            <c:ext xmlns:c16="http://schemas.microsoft.com/office/drawing/2014/chart" uri="{C3380CC4-5D6E-409C-BE32-E72D297353CC}">
              <c16:uniqueId val="{00000000-1E99-4E51-BAD6-899254CA7C42}"/>
            </c:ext>
          </c:extLst>
        </c:ser>
        <c:ser>
          <c:idx val="1"/>
          <c:order val="1"/>
          <c:tx>
            <c:strRef>
              <c:f>Potencia!$C$5</c:f>
              <c:strCache>
                <c:ptCount val="1"/>
                <c:pt idx="0">
                  <c:v>Potencia (kvar) -PFV conectado</c:v>
                </c:pt>
              </c:strCache>
            </c:strRef>
          </c:tx>
          <c:marker>
            <c:symbol val="none"/>
          </c:marker>
          <c:val>
            <c:numRef>
              <c:f>Potencia!$C$6:$C$29</c:f>
              <c:numCache>
                <c:formatCode>General</c:formatCode>
                <c:ptCount val="24"/>
                <c:pt idx="0">
                  <c:v>3001.5</c:v>
                </c:pt>
                <c:pt idx="1">
                  <c:v>2858</c:v>
                </c:pt>
                <c:pt idx="2">
                  <c:v>2747</c:v>
                </c:pt>
                <c:pt idx="3">
                  <c:v>2739.5</c:v>
                </c:pt>
                <c:pt idx="4">
                  <c:v>2856</c:v>
                </c:pt>
                <c:pt idx="5">
                  <c:v>3398</c:v>
                </c:pt>
                <c:pt idx="6">
                  <c:v>3774</c:v>
                </c:pt>
                <c:pt idx="7">
                  <c:v>4124.5</c:v>
                </c:pt>
                <c:pt idx="8">
                  <c:v>4478.5</c:v>
                </c:pt>
                <c:pt idx="9">
                  <c:v>4837.5</c:v>
                </c:pt>
                <c:pt idx="10">
                  <c:v>5547.5</c:v>
                </c:pt>
                <c:pt idx="11">
                  <c:v>6479</c:v>
                </c:pt>
                <c:pt idx="12">
                  <c:v>5086.5</c:v>
                </c:pt>
                <c:pt idx="13">
                  <c:v>4762.5</c:v>
                </c:pt>
                <c:pt idx="14">
                  <c:v>4775.5</c:v>
                </c:pt>
                <c:pt idx="15">
                  <c:v>4768.5</c:v>
                </c:pt>
                <c:pt idx="16">
                  <c:v>5030</c:v>
                </c:pt>
                <c:pt idx="17">
                  <c:v>5696</c:v>
                </c:pt>
                <c:pt idx="18">
                  <c:v>6185.5</c:v>
                </c:pt>
                <c:pt idx="19">
                  <c:v>6167</c:v>
                </c:pt>
                <c:pt idx="20">
                  <c:v>5032.5</c:v>
                </c:pt>
                <c:pt idx="21">
                  <c:v>4334.5</c:v>
                </c:pt>
                <c:pt idx="22">
                  <c:v>4334.5</c:v>
                </c:pt>
                <c:pt idx="23">
                  <c:v>3201</c:v>
                </c:pt>
              </c:numCache>
            </c:numRef>
          </c:val>
          <c:smooth val="0"/>
          <c:extLst xmlns:c16r2="http://schemas.microsoft.com/office/drawing/2015/06/chart">
            <c:ext xmlns:c16="http://schemas.microsoft.com/office/drawing/2014/chart" uri="{C3380CC4-5D6E-409C-BE32-E72D297353CC}">
              <c16:uniqueId val="{00000001-1E99-4E51-BAD6-899254CA7C42}"/>
            </c:ext>
          </c:extLst>
        </c:ser>
        <c:dLbls>
          <c:showLegendKey val="0"/>
          <c:showVal val="0"/>
          <c:showCatName val="0"/>
          <c:showSerName val="0"/>
          <c:showPercent val="0"/>
          <c:showBubbleSize val="0"/>
        </c:dLbls>
        <c:marker val="1"/>
        <c:smooth val="0"/>
        <c:axId val="175859200"/>
        <c:axId val="175860736"/>
      </c:lineChart>
      <c:catAx>
        <c:axId val="175859200"/>
        <c:scaling>
          <c:orientation val="minMax"/>
        </c:scaling>
        <c:delete val="0"/>
        <c:axPos val="b"/>
        <c:majorTickMark val="none"/>
        <c:minorTickMark val="none"/>
        <c:tickLblPos val="nextTo"/>
        <c:crossAx val="175860736"/>
        <c:crosses val="autoZero"/>
        <c:auto val="1"/>
        <c:lblAlgn val="ctr"/>
        <c:lblOffset val="100"/>
        <c:noMultiLvlLbl val="0"/>
      </c:catAx>
      <c:valAx>
        <c:axId val="175860736"/>
        <c:scaling>
          <c:orientation val="minMax"/>
        </c:scaling>
        <c:delete val="0"/>
        <c:axPos val="l"/>
        <c:majorGridlines/>
        <c:title>
          <c:tx>
            <c:rich>
              <a:bodyPr rot="0" vert="horz"/>
              <a:lstStyle/>
              <a:p>
                <a:pPr>
                  <a:defRPr/>
                </a:pPr>
                <a:r>
                  <a:rPr lang="es-ES"/>
                  <a:t>kvar</a:t>
                </a:r>
              </a:p>
            </c:rich>
          </c:tx>
          <c:layout>
            <c:manualLayout>
              <c:xMode val="edge"/>
              <c:yMode val="edge"/>
              <c:x val="8.6111111111110972E-2"/>
              <c:y val="8.7548118985126822E-2"/>
            </c:manualLayout>
          </c:layout>
          <c:overlay val="0"/>
        </c:title>
        <c:numFmt formatCode="General" sourceLinked="1"/>
        <c:majorTickMark val="none"/>
        <c:minorTickMark val="none"/>
        <c:tickLblPos val="nextTo"/>
        <c:crossAx val="175859200"/>
        <c:crosses val="autoZero"/>
        <c:crossBetween val="between"/>
      </c:valAx>
    </c:plotArea>
    <c:legend>
      <c:legendPos val="r"/>
      <c:layout>
        <c:manualLayout>
          <c:xMode val="edge"/>
          <c:yMode val="edge"/>
          <c:x val="0.81751712275354349"/>
          <c:y val="0.15476720815303519"/>
          <c:w val="0.16581616601829696"/>
          <c:h val="0.71449839603383003"/>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activa </a:t>
            </a:r>
          </a:p>
        </c:rich>
      </c:tx>
      <c:layout>
        <c:manualLayout>
          <c:xMode val="edge"/>
          <c:yMode val="edge"/>
          <c:x val="0.37154594594594642"/>
          <c:y val="4.5101478326234026E-2"/>
        </c:manualLayout>
      </c:layout>
      <c:overlay val="0"/>
    </c:title>
    <c:autoTitleDeleted val="0"/>
    <c:plotArea>
      <c:layout>
        <c:manualLayout>
          <c:layoutTarget val="inner"/>
          <c:xMode val="edge"/>
          <c:yMode val="edge"/>
          <c:x val="8.9950611927155782E-2"/>
          <c:y val="0.17110142958018573"/>
          <c:w val="0.73394961236506984"/>
          <c:h val="0.66453069000892651"/>
        </c:manualLayout>
      </c:layout>
      <c:lineChart>
        <c:grouping val="standard"/>
        <c:varyColors val="0"/>
        <c:ser>
          <c:idx val="0"/>
          <c:order val="0"/>
          <c:tx>
            <c:strRef>
              <c:f>Potencia!$B$5</c:f>
              <c:strCache>
                <c:ptCount val="1"/>
                <c:pt idx="0">
                  <c:v>Potencia (kW) -PFV desconectado</c:v>
                </c:pt>
              </c:strCache>
            </c:strRef>
          </c:tx>
          <c:marker>
            <c:symbol val="none"/>
          </c:marker>
          <c:val>
            <c:numRef>
              <c:f>Potencia!$B$6:$B$29</c:f>
              <c:numCache>
                <c:formatCode>General</c:formatCode>
                <c:ptCount val="24"/>
                <c:pt idx="0">
                  <c:v>5849.67</c:v>
                </c:pt>
                <c:pt idx="1">
                  <c:v>5588.45</c:v>
                </c:pt>
                <c:pt idx="2">
                  <c:v>5536.06</c:v>
                </c:pt>
                <c:pt idx="3">
                  <c:v>5617.28</c:v>
                </c:pt>
                <c:pt idx="4">
                  <c:v>6110.1600000000044</c:v>
                </c:pt>
                <c:pt idx="5">
                  <c:v>7182.21</c:v>
                </c:pt>
                <c:pt idx="6">
                  <c:v>7974.31</c:v>
                </c:pt>
                <c:pt idx="7">
                  <c:v>8307.31</c:v>
                </c:pt>
                <c:pt idx="8">
                  <c:v>8468.92</c:v>
                </c:pt>
                <c:pt idx="9">
                  <c:v>8873.19</c:v>
                </c:pt>
                <c:pt idx="10">
                  <c:v>9554.4599999999773</c:v>
                </c:pt>
                <c:pt idx="11">
                  <c:v>10285.73000000001</c:v>
                </c:pt>
                <c:pt idx="12">
                  <c:v>9146.7999999999884</c:v>
                </c:pt>
                <c:pt idx="13">
                  <c:v>8377.48</c:v>
                </c:pt>
                <c:pt idx="14">
                  <c:v>8560.7000000000007</c:v>
                </c:pt>
                <c:pt idx="15">
                  <c:v>8570.75</c:v>
                </c:pt>
                <c:pt idx="16">
                  <c:v>9246.8499999999858</c:v>
                </c:pt>
                <c:pt idx="17">
                  <c:v>10443.17</c:v>
                </c:pt>
                <c:pt idx="18">
                  <c:v>10902</c:v>
                </c:pt>
                <c:pt idx="19">
                  <c:v>10063.629999999988</c:v>
                </c:pt>
                <c:pt idx="20">
                  <c:v>8661.92</c:v>
                </c:pt>
                <c:pt idx="21">
                  <c:v>7599.8200000000024</c:v>
                </c:pt>
                <c:pt idx="22">
                  <c:v>7032.1100000000024</c:v>
                </c:pt>
                <c:pt idx="23">
                  <c:v>5793.23</c:v>
                </c:pt>
              </c:numCache>
            </c:numRef>
          </c:val>
          <c:smooth val="0"/>
          <c:extLst xmlns:c16r2="http://schemas.microsoft.com/office/drawing/2015/06/chart">
            <c:ext xmlns:c16="http://schemas.microsoft.com/office/drawing/2014/chart" uri="{C3380CC4-5D6E-409C-BE32-E72D297353CC}">
              <c16:uniqueId val="{00000000-6D9E-4BB5-8464-D180E09A3F3B}"/>
            </c:ext>
          </c:extLst>
        </c:ser>
        <c:ser>
          <c:idx val="1"/>
          <c:order val="1"/>
          <c:tx>
            <c:strRef>
              <c:f>Potencia!$C$5</c:f>
              <c:strCache>
                <c:ptCount val="1"/>
                <c:pt idx="0">
                  <c:v>Potencia (kW) -PFV conectado</c:v>
                </c:pt>
              </c:strCache>
            </c:strRef>
          </c:tx>
          <c:marker>
            <c:symbol val="none"/>
          </c:marker>
          <c:val>
            <c:numRef>
              <c:f>Potencia!$C$6:$C$29</c:f>
              <c:numCache>
                <c:formatCode>General</c:formatCode>
                <c:ptCount val="24"/>
                <c:pt idx="0">
                  <c:v>5849.67</c:v>
                </c:pt>
                <c:pt idx="1">
                  <c:v>5588.45</c:v>
                </c:pt>
                <c:pt idx="2">
                  <c:v>5536.06</c:v>
                </c:pt>
                <c:pt idx="3">
                  <c:v>5617.28</c:v>
                </c:pt>
                <c:pt idx="4">
                  <c:v>6110.1600000000044</c:v>
                </c:pt>
                <c:pt idx="5">
                  <c:v>7182.21</c:v>
                </c:pt>
                <c:pt idx="6">
                  <c:v>7874.31</c:v>
                </c:pt>
                <c:pt idx="7">
                  <c:v>8107.31</c:v>
                </c:pt>
                <c:pt idx="8">
                  <c:v>8068.92</c:v>
                </c:pt>
                <c:pt idx="9">
                  <c:v>8273.19</c:v>
                </c:pt>
                <c:pt idx="10">
                  <c:v>8754.4599999999773</c:v>
                </c:pt>
                <c:pt idx="11">
                  <c:v>9285.7300000000068</c:v>
                </c:pt>
                <c:pt idx="12">
                  <c:v>8346.7999999999884</c:v>
                </c:pt>
                <c:pt idx="13">
                  <c:v>7777.48</c:v>
                </c:pt>
                <c:pt idx="14">
                  <c:v>8160.7</c:v>
                </c:pt>
                <c:pt idx="15">
                  <c:v>8370.75</c:v>
                </c:pt>
                <c:pt idx="16">
                  <c:v>9146.8499999999858</c:v>
                </c:pt>
                <c:pt idx="17">
                  <c:v>10443.17</c:v>
                </c:pt>
                <c:pt idx="18">
                  <c:v>10902</c:v>
                </c:pt>
                <c:pt idx="19">
                  <c:v>10063.629999999988</c:v>
                </c:pt>
                <c:pt idx="20">
                  <c:v>8661.92</c:v>
                </c:pt>
                <c:pt idx="21">
                  <c:v>7599.8200000000024</c:v>
                </c:pt>
                <c:pt idx="22">
                  <c:v>7032.1100000000024</c:v>
                </c:pt>
                <c:pt idx="23">
                  <c:v>5793.23</c:v>
                </c:pt>
              </c:numCache>
            </c:numRef>
          </c:val>
          <c:smooth val="0"/>
          <c:extLst xmlns:c16r2="http://schemas.microsoft.com/office/drawing/2015/06/chart">
            <c:ext xmlns:c16="http://schemas.microsoft.com/office/drawing/2014/chart" uri="{C3380CC4-5D6E-409C-BE32-E72D297353CC}">
              <c16:uniqueId val="{00000001-6D9E-4BB5-8464-D180E09A3F3B}"/>
            </c:ext>
          </c:extLst>
        </c:ser>
        <c:dLbls>
          <c:showLegendKey val="0"/>
          <c:showVal val="0"/>
          <c:showCatName val="0"/>
          <c:showSerName val="0"/>
          <c:showPercent val="0"/>
          <c:showBubbleSize val="0"/>
        </c:dLbls>
        <c:marker val="1"/>
        <c:smooth val="0"/>
        <c:axId val="175924352"/>
        <c:axId val="175925888"/>
      </c:lineChart>
      <c:catAx>
        <c:axId val="175924352"/>
        <c:scaling>
          <c:orientation val="minMax"/>
        </c:scaling>
        <c:delete val="0"/>
        <c:axPos val="b"/>
        <c:majorTickMark val="none"/>
        <c:minorTickMark val="none"/>
        <c:tickLblPos val="nextTo"/>
        <c:crossAx val="175925888"/>
        <c:crosses val="autoZero"/>
        <c:auto val="1"/>
        <c:lblAlgn val="ctr"/>
        <c:lblOffset val="100"/>
        <c:noMultiLvlLbl val="0"/>
      </c:catAx>
      <c:valAx>
        <c:axId val="175925888"/>
        <c:scaling>
          <c:orientation val="minMax"/>
        </c:scaling>
        <c:delete val="0"/>
        <c:axPos val="l"/>
        <c:majorGridlines/>
        <c:title>
          <c:tx>
            <c:rich>
              <a:bodyPr rot="0" vert="horz"/>
              <a:lstStyle/>
              <a:p>
                <a:pPr>
                  <a:defRPr/>
                </a:pPr>
                <a:r>
                  <a:rPr lang="es-ES"/>
                  <a:t>kW</a:t>
                </a:r>
              </a:p>
            </c:rich>
          </c:tx>
          <c:layout>
            <c:manualLayout>
              <c:xMode val="edge"/>
              <c:yMode val="edge"/>
              <c:x val="8.8888888888888989E-2"/>
              <c:y val="5.9770341207349094E-2"/>
            </c:manualLayout>
          </c:layout>
          <c:overlay val="0"/>
        </c:title>
        <c:numFmt formatCode="General" sourceLinked="1"/>
        <c:majorTickMark val="none"/>
        <c:minorTickMark val="none"/>
        <c:tickLblPos val="nextTo"/>
        <c:crossAx val="175924352"/>
        <c:crosses val="autoZero"/>
        <c:crossBetween val="between"/>
      </c:valAx>
    </c:plotArea>
    <c:legend>
      <c:legendPos val="r"/>
      <c:layout>
        <c:manualLayout>
          <c:xMode val="edge"/>
          <c:yMode val="edge"/>
          <c:x val="0.78194335083114608"/>
          <c:y val="0.18667432195975489"/>
          <c:w val="0.20138998250218743"/>
          <c:h val="0.74227617381160649"/>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Pérdidas de P(kW)</a:t>
            </a:r>
          </a:p>
        </c:rich>
      </c:tx>
      <c:layout/>
      <c:overlay val="0"/>
    </c:title>
    <c:autoTitleDeleted val="0"/>
    <c:plotArea>
      <c:layout>
        <c:manualLayout>
          <c:layoutTarget val="inner"/>
          <c:xMode val="edge"/>
          <c:yMode val="edge"/>
          <c:x val="6.475915081288551E-2"/>
          <c:y val="0.18701137357830303"/>
          <c:w val="0.76480820791912718"/>
          <c:h val="0.62228283964504438"/>
        </c:manualLayout>
      </c:layout>
      <c:lineChart>
        <c:grouping val="standard"/>
        <c:varyColors val="0"/>
        <c:ser>
          <c:idx val="0"/>
          <c:order val="0"/>
          <c:tx>
            <c:strRef>
              <c:f>Perdidas!$C$4</c:f>
              <c:strCache>
                <c:ptCount val="1"/>
                <c:pt idx="0">
                  <c:v>P de potencia (kW) -PFV desconectado</c:v>
                </c:pt>
              </c:strCache>
            </c:strRef>
          </c:tx>
          <c:marker>
            <c:symbol val="none"/>
          </c:marker>
          <c:val>
            <c:numRef>
              <c:f>Perdidas!$C$5:$C$28</c:f>
              <c:numCache>
                <c:formatCode>General</c:formatCode>
                <c:ptCount val="24"/>
                <c:pt idx="0">
                  <c:v>78.940000000000026</c:v>
                </c:pt>
                <c:pt idx="1">
                  <c:v>71.89</c:v>
                </c:pt>
                <c:pt idx="2">
                  <c:v>68.98</c:v>
                </c:pt>
                <c:pt idx="3">
                  <c:v>69.400000000000006</c:v>
                </c:pt>
                <c:pt idx="4">
                  <c:v>77.239999999999995</c:v>
                </c:pt>
                <c:pt idx="5">
                  <c:v>112.4</c:v>
                </c:pt>
                <c:pt idx="6">
                  <c:v>133.88000000000017</c:v>
                </c:pt>
                <c:pt idx="7">
                  <c:v>151.54</c:v>
                </c:pt>
                <c:pt idx="8">
                  <c:v>159.41</c:v>
                </c:pt>
                <c:pt idx="9">
                  <c:v>169.18</c:v>
                </c:pt>
                <c:pt idx="10">
                  <c:v>196.72</c:v>
                </c:pt>
                <c:pt idx="11">
                  <c:v>227.53</c:v>
                </c:pt>
                <c:pt idx="12">
                  <c:v>180.85000000000016</c:v>
                </c:pt>
                <c:pt idx="13">
                  <c:v>161.46</c:v>
                </c:pt>
                <c:pt idx="14">
                  <c:v>168.3</c:v>
                </c:pt>
                <c:pt idx="15">
                  <c:v>162.79</c:v>
                </c:pt>
                <c:pt idx="16">
                  <c:v>182.91</c:v>
                </c:pt>
                <c:pt idx="17">
                  <c:v>232.9</c:v>
                </c:pt>
                <c:pt idx="18">
                  <c:v>259.83999999999969</c:v>
                </c:pt>
                <c:pt idx="19">
                  <c:v>242.09</c:v>
                </c:pt>
                <c:pt idx="20">
                  <c:v>174.67</c:v>
                </c:pt>
                <c:pt idx="21">
                  <c:v>135.30000000000001</c:v>
                </c:pt>
                <c:pt idx="22">
                  <c:v>126.5</c:v>
                </c:pt>
                <c:pt idx="23">
                  <c:v>82.5</c:v>
                </c:pt>
              </c:numCache>
            </c:numRef>
          </c:val>
          <c:smooth val="0"/>
          <c:extLst xmlns:c16r2="http://schemas.microsoft.com/office/drawing/2015/06/chart">
            <c:ext xmlns:c16="http://schemas.microsoft.com/office/drawing/2014/chart" uri="{C3380CC4-5D6E-409C-BE32-E72D297353CC}">
              <c16:uniqueId val="{00000000-51D0-4E1A-BD7A-1C5F3CEE5C02}"/>
            </c:ext>
          </c:extLst>
        </c:ser>
        <c:ser>
          <c:idx val="1"/>
          <c:order val="1"/>
          <c:tx>
            <c:strRef>
              <c:f>Perdidas!$D$4</c:f>
              <c:strCache>
                <c:ptCount val="1"/>
                <c:pt idx="0">
                  <c:v>P de potencia (kW) -PFV conectado</c:v>
                </c:pt>
              </c:strCache>
            </c:strRef>
          </c:tx>
          <c:marker>
            <c:symbol val="none"/>
          </c:marker>
          <c:val>
            <c:numRef>
              <c:f>Perdidas!$D$5:$D$28</c:f>
              <c:numCache>
                <c:formatCode>General</c:formatCode>
                <c:ptCount val="24"/>
                <c:pt idx="0">
                  <c:v>78.940000000000026</c:v>
                </c:pt>
                <c:pt idx="1">
                  <c:v>71.89</c:v>
                </c:pt>
                <c:pt idx="2">
                  <c:v>68.98</c:v>
                </c:pt>
                <c:pt idx="3">
                  <c:v>69.400000000000006</c:v>
                </c:pt>
                <c:pt idx="4">
                  <c:v>77.239999999999995</c:v>
                </c:pt>
                <c:pt idx="5">
                  <c:v>112.4</c:v>
                </c:pt>
                <c:pt idx="6">
                  <c:v>129.9</c:v>
                </c:pt>
                <c:pt idx="7">
                  <c:v>143.13</c:v>
                </c:pt>
                <c:pt idx="8">
                  <c:v>142.66</c:v>
                </c:pt>
                <c:pt idx="9">
                  <c:v>143.96</c:v>
                </c:pt>
                <c:pt idx="10">
                  <c:v>161.19</c:v>
                </c:pt>
                <c:pt idx="11">
                  <c:v>180.28</c:v>
                </c:pt>
                <c:pt idx="12">
                  <c:v>146.52000000000001</c:v>
                </c:pt>
                <c:pt idx="13">
                  <c:v>136.47</c:v>
                </c:pt>
                <c:pt idx="14">
                  <c:v>150.81</c:v>
                </c:pt>
                <c:pt idx="15">
                  <c:v>154.05000000000001</c:v>
                </c:pt>
                <c:pt idx="16">
                  <c:v>178.23</c:v>
                </c:pt>
                <c:pt idx="17">
                  <c:v>232.9</c:v>
                </c:pt>
                <c:pt idx="18">
                  <c:v>259.83999999999969</c:v>
                </c:pt>
                <c:pt idx="19">
                  <c:v>242.09</c:v>
                </c:pt>
                <c:pt idx="20">
                  <c:v>174.67</c:v>
                </c:pt>
                <c:pt idx="21">
                  <c:v>135.30000000000001</c:v>
                </c:pt>
                <c:pt idx="22">
                  <c:v>126.5</c:v>
                </c:pt>
                <c:pt idx="23">
                  <c:v>82.5</c:v>
                </c:pt>
              </c:numCache>
            </c:numRef>
          </c:val>
          <c:smooth val="0"/>
          <c:extLst xmlns:c16r2="http://schemas.microsoft.com/office/drawing/2015/06/chart">
            <c:ext xmlns:c16="http://schemas.microsoft.com/office/drawing/2014/chart" uri="{C3380CC4-5D6E-409C-BE32-E72D297353CC}">
              <c16:uniqueId val="{00000001-51D0-4E1A-BD7A-1C5F3CEE5C02}"/>
            </c:ext>
          </c:extLst>
        </c:ser>
        <c:dLbls>
          <c:showLegendKey val="0"/>
          <c:showVal val="0"/>
          <c:showCatName val="0"/>
          <c:showSerName val="0"/>
          <c:showPercent val="0"/>
          <c:showBubbleSize val="0"/>
        </c:dLbls>
        <c:marker val="1"/>
        <c:smooth val="0"/>
        <c:axId val="175939968"/>
        <c:axId val="175941504"/>
      </c:lineChart>
      <c:catAx>
        <c:axId val="175939968"/>
        <c:scaling>
          <c:orientation val="minMax"/>
        </c:scaling>
        <c:delete val="0"/>
        <c:axPos val="b"/>
        <c:majorTickMark val="none"/>
        <c:minorTickMark val="none"/>
        <c:tickLblPos val="nextTo"/>
        <c:crossAx val="175941504"/>
        <c:crosses val="autoZero"/>
        <c:auto val="1"/>
        <c:lblAlgn val="ctr"/>
        <c:lblOffset val="100"/>
        <c:noMultiLvlLbl val="0"/>
      </c:catAx>
      <c:valAx>
        <c:axId val="175941504"/>
        <c:scaling>
          <c:orientation val="minMax"/>
        </c:scaling>
        <c:delete val="0"/>
        <c:axPos val="l"/>
        <c:majorGridlines/>
        <c:title>
          <c:tx>
            <c:rich>
              <a:bodyPr rot="0" vert="horz"/>
              <a:lstStyle/>
              <a:p>
                <a:pPr>
                  <a:defRPr/>
                </a:pPr>
                <a:r>
                  <a:rPr lang="es-ES"/>
                  <a:t>kW</a:t>
                </a:r>
              </a:p>
            </c:rich>
          </c:tx>
          <c:layout>
            <c:manualLayout>
              <c:xMode val="edge"/>
              <c:yMode val="edge"/>
              <c:x val="3.9183127208174316E-2"/>
              <c:y val="6.743124500741754E-2"/>
            </c:manualLayout>
          </c:layout>
          <c:overlay val="0"/>
        </c:title>
        <c:numFmt formatCode="General" sourceLinked="1"/>
        <c:majorTickMark val="none"/>
        <c:minorTickMark val="none"/>
        <c:tickLblPos val="nextTo"/>
        <c:crossAx val="175939968"/>
        <c:crosses val="autoZero"/>
        <c:crossBetween val="between"/>
      </c:valAx>
    </c:plotArea>
    <c:legend>
      <c:legendPos val="r"/>
      <c:layout>
        <c:manualLayout>
          <c:xMode val="edge"/>
          <c:yMode val="edge"/>
          <c:x val="0.80439775275021952"/>
          <c:y val="0.12809623797025374"/>
          <c:w val="0.18377709314432653"/>
          <c:h val="0.79258512685914251"/>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Potencia reactiva</a:t>
            </a:r>
          </a:p>
        </c:rich>
      </c:tx>
      <c:layout/>
      <c:overlay val="0"/>
    </c:title>
    <c:autoTitleDeleted val="0"/>
    <c:plotArea>
      <c:layout>
        <c:manualLayout>
          <c:layoutTarget val="inner"/>
          <c:xMode val="edge"/>
          <c:yMode val="edge"/>
          <c:x val="7.8383483012066477E-2"/>
          <c:y val="0.19480351414406533"/>
          <c:w val="0.74834492371344352"/>
          <c:h val="0.64363236646701261"/>
        </c:manualLayout>
      </c:layout>
      <c:lineChart>
        <c:grouping val="standard"/>
        <c:varyColors val="0"/>
        <c:ser>
          <c:idx val="0"/>
          <c:order val="0"/>
          <c:tx>
            <c:strRef>
              <c:f>Potencia!$B$5</c:f>
              <c:strCache>
                <c:ptCount val="1"/>
                <c:pt idx="0">
                  <c:v>Potencia (kvar) -PFV desconectado</c:v>
                </c:pt>
              </c:strCache>
            </c:strRef>
          </c:tx>
          <c:marker>
            <c:symbol val="none"/>
          </c:marker>
          <c:val>
            <c:numRef>
              <c:f>Potencia!$B$6:$B$29</c:f>
              <c:numCache>
                <c:formatCode>General</c:formatCode>
                <c:ptCount val="24"/>
                <c:pt idx="0">
                  <c:v>2921.18</c:v>
                </c:pt>
                <c:pt idx="1">
                  <c:v>2806.8</c:v>
                </c:pt>
                <c:pt idx="2">
                  <c:v>2813.24</c:v>
                </c:pt>
                <c:pt idx="3">
                  <c:v>2864.62</c:v>
                </c:pt>
                <c:pt idx="4">
                  <c:v>3128.64</c:v>
                </c:pt>
                <c:pt idx="5">
                  <c:v>3616.84</c:v>
                </c:pt>
                <c:pt idx="6">
                  <c:v>4013.24</c:v>
                </c:pt>
                <c:pt idx="7">
                  <c:v>4201.74</c:v>
                </c:pt>
                <c:pt idx="8">
                  <c:v>4305.18</c:v>
                </c:pt>
                <c:pt idx="9">
                  <c:v>4469.26</c:v>
                </c:pt>
                <c:pt idx="10">
                  <c:v>4833.34</c:v>
                </c:pt>
                <c:pt idx="11">
                  <c:v>5162.92</c:v>
                </c:pt>
                <c:pt idx="12">
                  <c:v>4515.7</c:v>
                </c:pt>
                <c:pt idx="13">
                  <c:v>4108.42</c:v>
                </c:pt>
                <c:pt idx="14">
                  <c:v>4212.3</c:v>
                </c:pt>
                <c:pt idx="15">
                  <c:v>4278.5</c:v>
                </c:pt>
                <c:pt idx="16">
                  <c:v>4668.4000000000005</c:v>
                </c:pt>
                <c:pt idx="17">
                  <c:v>5213.68</c:v>
                </c:pt>
                <c:pt idx="18">
                  <c:v>5458.5</c:v>
                </c:pt>
                <c:pt idx="19">
                  <c:v>4959.5200000000004</c:v>
                </c:pt>
                <c:pt idx="20">
                  <c:v>4299.18</c:v>
                </c:pt>
                <c:pt idx="21">
                  <c:v>3805.7799999999997</c:v>
                </c:pt>
                <c:pt idx="22">
                  <c:v>3481.94</c:v>
                </c:pt>
                <c:pt idx="23">
                  <c:v>2870.92</c:v>
                </c:pt>
              </c:numCache>
            </c:numRef>
          </c:val>
          <c:smooth val="0"/>
          <c:extLst xmlns:c16r2="http://schemas.microsoft.com/office/drawing/2015/06/chart">
            <c:ext xmlns:c16="http://schemas.microsoft.com/office/drawing/2014/chart" uri="{C3380CC4-5D6E-409C-BE32-E72D297353CC}">
              <c16:uniqueId val="{00000000-F7B5-483E-AF94-7644E06F4840}"/>
            </c:ext>
          </c:extLst>
        </c:ser>
        <c:ser>
          <c:idx val="1"/>
          <c:order val="1"/>
          <c:tx>
            <c:strRef>
              <c:f>Potencia!$C$5</c:f>
              <c:strCache>
                <c:ptCount val="1"/>
                <c:pt idx="0">
                  <c:v>Potencia (kvar) -PFV conectado</c:v>
                </c:pt>
              </c:strCache>
            </c:strRef>
          </c:tx>
          <c:marker>
            <c:symbol val="none"/>
          </c:marker>
          <c:val>
            <c:numRef>
              <c:f>Potencia!$C$6:$C$29</c:f>
              <c:numCache>
                <c:formatCode>General</c:formatCode>
                <c:ptCount val="24"/>
                <c:pt idx="0">
                  <c:v>1921.1799999999998</c:v>
                </c:pt>
                <c:pt idx="1">
                  <c:v>1806.8</c:v>
                </c:pt>
                <c:pt idx="2">
                  <c:v>1813.24</c:v>
                </c:pt>
                <c:pt idx="3">
                  <c:v>1864.62</c:v>
                </c:pt>
                <c:pt idx="4">
                  <c:v>2128.64</c:v>
                </c:pt>
                <c:pt idx="5">
                  <c:v>2616.84</c:v>
                </c:pt>
                <c:pt idx="6">
                  <c:v>3023.24</c:v>
                </c:pt>
                <c:pt idx="7">
                  <c:v>3221.74</c:v>
                </c:pt>
                <c:pt idx="8">
                  <c:v>3385.18</c:v>
                </c:pt>
                <c:pt idx="9">
                  <c:v>3669.2599999999998</c:v>
                </c:pt>
                <c:pt idx="10">
                  <c:v>4233.34</c:v>
                </c:pt>
                <c:pt idx="11">
                  <c:v>5162.92</c:v>
                </c:pt>
                <c:pt idx="12">
                  <c:v>3915.7</c:v>
                </c:pt>
                <c:pt idx="13">
                  <c:v>3308.42</c:v>
                </c:pt>
                <c:pt idx="14">
                  <c:v>3292.3</c:v>
                </c:pt>
                <c:pt idx="15">
                  <c:v>3298.5</c:v>
                </c:pt>
                <c:pt idx="16">
                  <c:v>3678.4</c:v>
                </c:pt>
                <c:pt idx="17">
                  <c:v>4213.68</c:v>
                </c:pt>
                <c:pt idx="18">
                  <c:v>4458.5</c:v>
                </c:pt>
                <c:pt idx="19">
                  <c:v>3959.52</c:v>
                </c:pt>
                <c:pt idx="20">
                  <c:v>3299.18</c:v>
                </c:pt>
                <c:pt idx="21">
                  <c:v>2805.7799999999997</c:v>
                </c:pt>
                <c:pt idx="22">
                  <c:v>2481.94</c:v>
                </c:pt>
                <c:pt idx="23">
                  <c:v>1870.92</c:v>
                </c:pt>
              </c:numCache>
            </c:numRef>
          </c:val>
          <c:smooth val="0"/>
          <c:extLst xmlns:c16r2="http://schemas.microsoft.com/office/drawing/2015/06/chart">
            <c:ext xmlns:c16="http://schemas.microsoft.com/office/drawing/2014/chart" uri="{C3380CC4-5D6E-409C-BE32-E72D297353CC}">
              <c16:uniqueId val="{00000001-F7B5-483E-AF94-7644E06F4840}"/>
            </c:ext>
          </c:extLst>
        </c:ser>
        <c:dLbls>
          <c:showLegendKey val="0"/>
          <c:showVal val="0"/>
          <c:showCatName val="0"/>
          <c:showSerName val="0"/>
          <c:showPercent val="0"/>
          <c:showBubbleSize val="0"/>
        </c:dLbls>
        <c:marker val="1"/>
        <c:smooth val="0"/>
        <c:axId val="175993216"/>
        <c:axId val="175994752"/>
      </c:lineChart>
      <c:catAx>
        <c:axId val="175993216"/>
        <c:scaling>
          <c:orientation val="minMax"/>
        </c:scaling>
        <c:delete val="0"/>
        <c:axPos val="b"/>
        <c:majorTickMark val="none"/>
        <c:minorTickMark val="none"/>
        <c:tickLblPos val="nextTo"/>
        <c:crossAx val="175994752"/>
        <c:crosses val="autoZero"/>
        <c:auto val="1"/>
        <c:lblAlgn val="ctr"/>
        <c:lblOffset val="100"/>
        <c:noMultiLvlLbl val="0"/>
      </c:catAx>
      <c:valAx>
        <c:axId val="175994752"/>
        <c:scaling>
          <c:orientation val="minMax"/>
        </c:scaling>
        <c:delete val="0"/>
        <c:axPos val="l"/>
        <c:majorGridlines/>
        <c:title>
          <c:tx>
            <c:rich>
              <a:bodyPr rot="0" vert="horz"/>
              <a:lstStyle/>
              <a:p>
                <a:pPr>
                  <a:defRPr/>
                </a:pPr>
                <a:r>
                  <a:rPr lang="es-ES"/>
                  <a:t>kvar</a:t>
                </a:r>
              </a:p>
            </c:rich>
          </c:tx>
          <c:layout>
            <c:manualLayout>
              <c:xMode val="edge"/>
              <c:yMode val="edge"/>
              <c:x val="0.05"/>
              <c:y val="6.4399970836978834E-2"/>
            </c:manualLayout>
          </c:layout>
          <c:overlay val="0"/>
        </c:title>
        <c:numFmt formatCode="General" sourceLinked="1"/>
        <c:majorTickMark val="none"/>
        <c:minorTickMark val="none"/>
        <c:tickLblPos val="nextTo"/>
        <c:crossAx val="175993216"/>
        <c:crosses val="autoZero"/>
        <c:crossBetween val="between"/>
      </c:valAx>
    </c:plotArea>
    <c:legend>
      <c:legendPos val="r"/>
      <c:layout>
        <c:manualLayout>
          <c:xMode val="edge"/>
          <c:yMode val="edge"/>
          <c:x val="0.81279046369203922"/>
          <c:y val="0.20982247010790339"/>
          <c:w val="0.17054286964129503"/>
          <c:h val="0.7052391367745698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16</Pages>
  <Words>3907</Words>
  <Characters>21491</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Daniel</cp:lastModifiedBy>
  <cp:revision>48</cp:revision>
  <cp:lastPrinted>2017-03-02T19:45:00Z</cp:lastPrinted>
  <dcterms:created xsi:type="dcterms:W3CDTF">2019-03-16T16:40:00Z</dcterms:created>
  <dcterms:modified xsi:type="dcterms:W3CDTF">2019-05-13T13:51:00Z</dcterms:modified>
</cp:coreProperties>
</file>