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9A2" w:rsidRDefault="006069A2" w:rsidP="00A01B17">
      <w:pPr>
        <w:widowControl w:val="0"/>
        <w:autoSpaceDE w:val="0"/>
        <w:autoSpaceDN w:val="0"/>
        <w:adjustRightInd w:val="0"/>
        <w:spacing w:after="0" w:line="360" w:lineRule="auto"/>
        <w:ind w:right="102"/>
        <w:rPr>
          <w:rFonts w:ascii="Times New Roman" w:hAnsi="Times New Roman"/>
          <w:b/>
          <w:bCs/>
          <w:sz w:val="28"/>
          <w:szCs w:val="28"/>
        </w:rPr>
      </w:pPr>
      <w:r w:rsidRPr="00B92025">
        <w:rPr>
          <w:rFonts w:ascii="Times New Roman" w:hAnsi="Times New Roman"/>
          <w:b/>
          <w:bCs/>
          <w:sz w:val="28"/>
          <w:szCs w:val="28"/>
        </w:rPr>
        <w:t>XI</w:t>
      </w:r>
      <w:r>
        <w:rPr>
          <w:rFonts w:ascii="Times New Roman" w:hAnsi="Times New Roman"/>
          <w:b/>
          <w:bCs/>
          <w:sz w:val="28"/>
          <w:szCs w:val="28"/>
        </w:rPr>
        <w:t>I</w:t>
      </w:r>
      <w:r w:rsidRPr="00B92025">
        <w:rPr>
          <w:rFonts w:ascii="Times New Roman" w:hAnsi="Times New Roman"/>
          <w:b/>
          <w:bCs/>
          <w:sz w:val="28"/>
          <w:szCs w:val="28"/>
        </w:rPr>
        <w:t xml:space="preserve"> CONFERENCIA INTERNACIONAL DE CIENCIAS EMPRESARIALES</w:t>
      </w:r>
      <w:r>
        <w:rPr>
          <w:rFonts w:ascii="Times New Roman" w:hAnsi="Times New Roman"/>
          <w:b/>
          <w:bCs/>
          <w:sz w:val="28"/>
          <w:szCs w:val="28"/>
        </w:rPr>
        <w:t xml:space="preserve"> (CICE)</w:t>
      </w:r>
    </w:p>
    <w:p w:rsidR="006069A2" w:rsidRDefault="006069A2" w:rsidP="00A01B17">
      <w:pPr>
        <w:widowControl w:val="0"/>
        <w:autoSpaceDE w:val="0"/>
        <w:autoSpaceDN w:val="0"/>
        <w:adjustRightInd w:val="0"/>
        <w:spacing w:after="0" w:line="360" w:lineRule="auto"/>
        <w:ind w:left="85" w:right="102" w:hanging="85"/>
        <w:rPr>
          <w:rFonts w:ascii="Times New Roman" w:hAnsi="Times New Roman"/>
          <w:b/>
          <w:bCs/>
          <w:sz w:val="28"/>
          <w:szCs w:val="28"/>
        </w:rPr>
      </w:pPr>
      <w:r w:rsidRPr="00E24FAF">
        <w:rPr>
          <w:rFonts w:ascii="Times New Roman" w:hAnsi="Times New Roman"/>
          <w:b/>
          <w:bCs/>
          <w:sz w:val="28"/>
          <w:szCs w:val="28"/>
        </w:rPr>
        <w:t>VI</w:t>
      </w:r>
      <w:r>
        <w:rPr>
          <w:rFonts w:ascii="Times New Roman" w:hAnsi="Times New Roman"/>
          <w:b/>
          <w:bCs/>
          <w:sz w:val="28"/>
          <w:szCs w:val="28"/>
        </w:rPr>
        <w:t>I</w:t>
      </w:r>
      <w:r w:rsidRPr="00E24FAF">
        <w:rPr>
          <w:rFonts w:ascii="Times New Roman" w:hAnsi="Times New Roman"/>
          <w:b/>
          <w:bCs/>
          <w:sz w:val="28"/>
          <w:szCs w:val="28"/>
        </w:rPr>
        <w:t xml:space="preserve"> SIMPOSIO DE CONTADURÍA, FINANZAS Y AUDITORÍA</w:t>
      </w:r>
    </w:p>
    <w:p w:rsidR="00596416" w:rsidRDefault="00596416" w:rsidP="00A01B17">
      <w:pPr>
        <w:spacing w:after="0"/>
        <w:rPr>
          <w:rFonts w:ascii="Times New Roman" w:hAnsi="Times New Roman" w:cs="Times New Roman"/>
          <w:b/>
          <w:sz w:val="28"/>
          <w:szCs w:val="28"/>
        </w:rPr>
      </w:pPr>
    </w:p>
    <w:p w:rsidR="00637A82" w:rsidRPr="00851F91" w:rsidRDefault="008E7C08" w:rsidP="00B3585C">
      <w:pPr>
        <w:rPr>
          <w:rFonts w:ascii="Times New Roman" w:hAnsi="Times New Roman" w:cs="Times New Roman"/>
          <w:b/>
          <w:sz w:val="28"/>
          <w:szCs w:val="28"/>
          <w:lang w:val="es-CO"/>
        </w:rPr>
      </w:pPr>
      <w:r>
        <w:rPr>
          <w:rFonts w:ascii="Times New Roman" w:hAnsi="Times New Roman" w:cs="Times New Roman"/>
          <w:b/>
          <w:sz w:val="28"/>
          <w:szCs w:val="28"/>
        </w:rPr>
        <w:t>«</w:t>
      </w:r>
      <w:r w:rsidRPr="00B3585C">
        <w:rPr>
          <w:rFonts w:ascii="Times New Roman" w:hAnsi="Times New Roman" w:cs="Times New Roman"/>
          <w:b/>
          <w:sz w:val="28"/>
          <w:szCs w:val="28"/>
          <w:lang w:val="es-CO"/>
        </w:rPr>
        <w:t>Propuesta</w:t>
      </w:r>
      <w:r w:rsidR="0057680B">
        <w:rPr>
          <w:rFonts w:ascii="Times New Roman" w:hAnsi="Times New Roman" w:cs="Times New Roman"/>
          <w:b/>
          <w:sz w:val="28"/>
          <w:szCs w:val="28"/>
          <w:lang w:val="es-CO"/>
        </w:rPr>
        <w:t xml:space="preserve"> de acciones para la planificación financiera a corto plazo en el </w:t>
      </w:r>
      <w:r w:rsidR="00851F91" w:rsidRPr="00851F91">
        <w:rPr>
          <w:rFonts w:ascii="Times New Roman" w:hAnsi="Times New Roman" w:cs="Times New Roman"/>
          <w:b/>
          <w:sz w:val="28"/>
          <w:szCs w:val="28"/>
          <w:lang w:val="es-CO"/>
        </w:rPr>
        <w:t>I</w:t>
      </w:r>
      <w:r w:rsidR="0057680B">
        <w:rPr>
          <w:rFonts w:ascii="Times New Roman" w:hAnsi="Times New Roman" w:cs="Times New Roman"/>
          <w:b/>
          <w:sz w:val="28"/>
          <w:szCs w:val="28"/>
          <w:lang w:val="es-CO"/>
        </w:rPr>
        <w:t xml:space="preserve">berostar </w:t>
      </w:r>
      <w:r w:rsidR="00851F91" w:rsidRPr="00851F91">
        <w:rPr>
          <w:rFonts w:ascii="Times New Roman" w:hAnsi="Times New Roman" w:cs="Times New Roman"/>
          <w:b/>
          <w:sz w:val="28"/>
          <w:szCs w:val="28"/>
          <w:lang w:val="es-CO"/>
        </w:rPr>
        <w:t>G</w:t>
      </w:r>
      <w:r w:rsidR="0057680B">
        <w:rPr>
          <w:rFonts w:ascii="Times New Roman" w:hAnsi="Times New Roman" w:cs="Times New Roman"/>
          <w:b/>
          <w:sz w:val="28"/>
          <w:szCs w:val="28"/>
          <w:lang w:val="es-CO"/>
        </w:rPr>
        <w:t>rand</w:t>
      </w:r>
      <w:r w:rsidR="00851F91" w:rsidRPr="00851F91">
        <w:rPr>
          <w:rFonts w:ascii="Times New Roman" w:hAnsi="Times New Roman" w:cs="Times New Roman"/>
          <w:b/>
          <w:sz w:val="28"/>
          <w:szCs w:val="28"/>
          <w:lang w:val="es-CO"/>
        </w:rPr>
        <w:t xml:space="preserve"> H</w:t>
      </w:r>
      <w:r w:rsidR="0057680B">
        <w:rPr>
          <w:rFonts w:ascii="Times New Roman" w:hAnsi="Times New Roman" w:cs="Times New Roman"/>
          <w:b/>
          <w:sz w:val="28"/>
          <w:szCs w:val="28"/>
          <w:lang w:val="es-CO"/>
        </w:rPr>
        <w:t xml:space="preserve">otel </w:t>
      </w:r>
      <w:r>
        <w:rPr>
          <w:rFonts w:ascii="Times New Roman" w:hAnsi="Times New Roman" w:cs="Times New Roman"/>
          <w:b/>
          <w:sz w:val="28"/>
          <w:szCs w:val="28"/>
          <w:lang w:val="es-CO"/>
        </w:rPr>
        <w:t>Trinidad</w:t>
      </w:r>
      <w:r w:rsidRPr="00851F91">
        <w:rPr>
          <w:rFonts w:ascii="Times New Roman" w:hAnsi="Times New Roman" w:cs="Times New Roman"/>
          <w:b/>
          <w:sz w:val="28"/>
          <w:szCs w:val="28"/>
          <w:lang w:val="es-CO"/>
        </w:rPr>
        <w:t>»</w:t>
      </w:r>
    </w:p>
    <w:p w:rsidR="00970997" w:rsidRPr="00C713BD" w:rsidRDefault="00970997" w:rsidP="00DD2139">
      <w:pPr>
        <w:spacing w:line="360" w:lineRule="auto"/>
        <w:rPr>
          <w:rFonts w:ascii="Times New Roman" w:hAnsi="Times New Roman" w:cs="Times New Roman"/>
          <w:b/>
          <w:i/>
          <w:sz w:val="28"/>
          <w:szCs w:val="28"/>
          <w:lang w:val="en-US"/>
        </w:rPr>
      </w:pPr>
      <w:r w:rsidRPr="00C713BD">
        <w:rPr>
          <w:rFonts w:ascii="Times New Roman" w:hAnsi="Times New Roman" w:cs="Times New Roman"/>
          <w:b/>
          <w:i/>
          <w:sz w:val="28"/>
          <w:szCs w:val="28"/>
          <w:lang w:val="en-US"/>
        </w:rPr>
        <w:t>«</w:t>
      </w:r>
      <w:r w:rsidR="00DD2139" w:rsidRPr="00DD2139">
        <w:rPr>
          <w:rFonts w:ascii="Times New Roman" w:hAnsi="Times New Roman" w:cs="Times New Roman"/>
          <w:b/>
          <w:i/>
          <w:sz w:val="28"/>
          <w:szCs w:val="28"/>
          <w:lang/>
        </w:rPr>
        <w:t>Proposal of actions for short-term financial planning at the Iberostar Grand Hotel Trinidad</w:t>
      </w:r>
      <w:r w:rsidRPr="00C713BD">
        <w:rPr>
          <w:rFonts w:ascii="Times New Roman" w:hAnsi="Times New Roman" w:cs="Times New Roman"/>
          <w:b/>
          <w:i/>
          <w:sz w:val="28"/>
          <w:szCs w:val="28"/>
          <w:lang w:val="en-US"/>
        </w:rPr>
        <w:t>»</w:t>
      </w:r>
    </w:p>
    <w:p w:rsidR="008649FD" w:rsidRPr="00C713BD" w:rsidRDefault="008649FD" w:rsidP="00593F06">
      <w:pPr>
        <w:spacing w:after="0" w:line="360" w:lineRule="auto"/>
        <w:rPr>
          <w:rFonts w:ascii="Times New Roman" w:hAnsi="Times New Roman" w:cs="Times New Roman"/>
          <w:b/>
          <w:i/>
          <w:sz w:val="28"/>
          <w:szCs w:val="28"/>
          <w:lang w:val="en-US"/>
        </w:rPr>
      </w:pPr>
    </w:p>
    <w:p w:rsidR="00B3585C" w:rsidRPr="00B3585C" w:rsidRDefault="00851F91" w:rsidP="00B3585C">
      <w:pPr>
        <w:spacing w:after="0" w:line="360" w:lineRule="auto"/>
        <w:rPr>
          <w:rFonts w:ascii="Times New Roman" w:hAnsi="Times New Roman" w:cs="Times New Roman"/>
          <w:b/>
          <w:sz w:val="24"/>
          <w:szCs w:val="24"/>
          <w:vertAlign w:val="superscript"/>
        </w:rPr>
      </w:pPr>
      <w:r>
        <w:rPr>
          <w:rFonts w:ascii="Times New Roman" w:hAnsi="Times New Roman" w:cs="Times New Roman"/>
          <w:b/>
          <w:sz w:val="24"/>
          <w:szCs w:val="24"/>
        </w:rPr>
        <w:t>Fernando Santander Rodríguez</w:t>
      </w:r>
      <w:r w:rsidR="00704560">
        <w:rPr>
          <w:rStyle w:val="Refdenotaalpie"/>
          <w:rFonts w:ascii="Times New Roman" w:hAnsi="Times New Roman" w:cs="Times New Roman"/>
          <w:b/>
          <w:sz w:val="24"/>
          <w:szCs w:val="24"/>
        </w:rPr>
        <w:footnoteReference w:id="1"/>
      </w:r>
      <w:r w:rsidR="00B3585C" w:rsidRPr="00B3585C">
        <w:rPr>
          <w:rFonts w:ascii="Times New Roman" w:hAnsi="Times New Roman" w:cs="Times New Roman"/>
          <w:b/>
          <w:sz w:val="24"/>
          <w:szCs w:val="24"/>
        </w:rPr>
        <w:t>, Taymi González Morera</w:t>
      </w:r>
      <w:r w:rsidR="00704560">
        <w:rPr>
          <w:rStyle w:val="Refdenotaalpie"/>
          <w:rFonts w:ascii="Times New Roman" w:hAnsi="Times New Roman" w:cs="Times New Roman"/>
          <w:b/>
          <w:sz w:val="24"/>
          <w:szCs w:val="24"/>
        </w:rPr>
        <w:footnoteReference w:id="2"/>
      </w:r>
    </w:p>
    <w:p w:rsidR="00851F91" w:rsidRPr="00FE494C" w:rsidRDefault="008A1C16" w:rsidP="00851F91">
      <w:pPr>
        <w:spacing w:line="360" w:lineRule="auto"/>
        <w:jc w:val="both"/>
        <w:rPr>
          <w:rFonts w:ascii="Times New Roman" w:hAnsi="Times New Roman" w:cs="Times New Roman"/>
          <w:sz w:val="24"/>
          <w:szCs w:val="24"/>
        </w:rPr>
      </w:pPr>
      <w:r w:rsidRPr="00B3585C">
        <w:rPr>
          <w:rFonts w:ascii="Times New Roman" w:hAnsi="Times New Roman" w:cs="Times New Roman"/>
          <w:b/>
          <w:sz w:val="24"/>
          <w:szCs w:val="24"/>
        </w:rPr>
        <w:t>Resumen:</w:t>
      </w:r>
      <w:r w:rsidR="009061A5" w:rsidRPr="00B3585C">
        <w:rPr>
          <w:rFonts w:ascii="Times New Roman" w:hAnsi="Times New Roman" w:cs="Times New Roman"/>
          <w:sz w:val="24"/>
          <w:szCs w:val="24"/>
        </w:rPr>
        <w:t xml:space="preserve"> </w:t>
      </w:r>
      <w:r w:rsidR="00851F91" w:rsidRPr="00FE494C">
        <w:rPr>
          <w:rFonts w:ascii="Times New Roman" w:hAnsi="Times New Roman" w:cs="Times New Roman"/>
          <w:sz w:val="24"/>
          <w:szCs w:val="24"/>
        </w:rPr>
        <w:t xml:space="preserve">Actualmente </w:t>
      </w:r>
      <w:r w:rsidR="00851F91">
        <w:rPr>
          <w:rFonts w:ascii="Times New Roman" w:hAnsi="Times New Roman" w:cs="Times New Roman"/>
          <w:sz w:val="24"/>
          <w:szCs w:val="24"/>
        </w:rPr>
        <w:t xml:space="preserve">el </w:t>
      </w:r>
      <w:r w:rsidR="00851F91" w:rsidRPr="00FE494C">
        <w:rPr>
          <w:rFonts w:ascii="Times New Roman" w:hAnsi="Times New Roman" w:cs="Times New Roman"/>
          <w:sz w:val="24"/>
          <w:szCs w:val="24"/>
        </w:rPr>
        <w:t>país</w:t>
      </w:r>
      <w:r w:rsidR="00851F91">
        <w:rPr>
          <w:rFonts w:ascii="Times New Roman" w:hAnsi="Times New Roman" w:cs="Times New Roman"/>
          <w:sz w:val="24"/>
          <w:szCs w:val="24"/>
        </w:rPr>
        <w:t xml:space="preserve"> </w:t>
      </w:r>
      <w:r w:rsidR="00851F91" w:rsidRPr="00FE494C">
        <w:rPr>
          <w:rFonts w:ascii="Times New Roman" w:hAnsi="Times New Roman" w:cs="Times New Roman"/>
          <w:sz w:val="24"/>
          <w:szCs w:val="24"/>
        </w:rPr>
        <w:t>atraviesa</w:t>
      </w:r>
      <w:r w:rsidR="00851F91">
        <w:rPr>
          <w:rFonts w:ascii="Times New Roman" w:hAnsi="Times New Roman" w:cs="Times New Roman"/>
          <w:sz w:val="24"/>
          <w:szCs w:val="24"/>
        </w:rPr>
        <w:t xml:space="preserve"> </w:t>
      </w:r>
      <w:r w:rsidR="00851F91" w:rsidRPr="00FE494C">
        <w:rPr>
          <w:rFonts w:ascii="Times New Roman" w:hAnsi="Times New Roman" w:cs="Times New Roman"/>
          <w:sz w:val="24"/>
          <w:szCs w:val="24"/>
        </w:rPr>
        <w:t>circunstancias difíciles, por lo que la economía está orientada hacia su total recuperación y para ello es necesaria la elevación de</w:t>
      </w:r>
      <w:r w:rsidR="00851F91">
        <w:rPr>
          <w:rFonts w:ascii="Times New Roman" w:hAnsi="Times New Roman" w:cs="Times New Roman"/>
          <w:sz w:val="24"/>
          <w:szCs w:val="24"/>
        </w:rPr>
        <w:t xml:space="preserve"> </w:t>
      </w:r>
      <w:r w:rsidR="00851F91" w:rsidRPr="00FE494C">
        <w:rPr>
          <w:rFonts w:ascii="Times New Roman" w:hAnsi="Times New Roman" w:cs="Times New Roman"/>
          <w:sz w:val="24"/>
          <w:szCs w:val="24"/>
        </w:rPr>
        <w:t>la eficiencia en la productividad social, el uso más racional de los recursos e ir a la búsqueda de nuevos rubros y desarrollar los ya existentes.</w:t>
      </w:r>
      <w:r w:rsidR="00851F91">
        <w:rPr>
          <w:rFonts w:ascii="Times New Roman" w:hAnsi="Times New Roman" w:cs="Times New Roman"/>
          <w:sz w:val="24"/>
          <w:szCs w:val="24"/>
        </w:rPr>
        <w:t xml:space="preserve"> </w:t>
      </w:r>
      <w:r w:rsidR="00851F91" w:rsidRPr="00FE494C">
        <w:rPr>
          <w:rFonts w:ascii="Times New Roman" w:hAnsi="Times New Roman" w:cs="Times New Roman"/>
          <w:sz w:val="24"/>
          <w:szCs w:val="24"/>
        </w:rPr>
        <w:t xml:space="preserve">Por tal razón, </w:t>
      </w:r>
      <w:r w:rsidR="0057680B">
        <w:rPr>
          <w:rFonts w:ascii="Times New Roman" w:hAnsi="Times New Roman" w:cs="Times New Roman"/>
          <w:sz w:val="24"/>
          <w:szCs w:val="24"/>
        </w:rPr>
        <w:t>la planificación financiera a corto plazo, c</w:t>
      </w:r>
      <w:r w:rsidR="00851F91" w:rsidRPr="00FE494C">
        <w:rPr>
          <w:rFonts w:ascii="Times New Roman" w:hAnsi="Times New Roman" w:cs="Times New Roman"/>
          <w:sz w:val="24"/>
          <w:szCs w:val="24"/>
        </w:rPr>
        <w:t xml:space="preserve">onstituye </w:t>
      </w:r>
      <w:r w:rsidR="0057680B">
        <w:rPr>
          <w:rFonts w:ascii="Times New Roman" w:hAnsi="Times New Roman" w:cs="Times New Roman"/>
          <w:sz w:val="24"/>
          <w:szCs w:val="24"/>
        </w:rPr>
        <w:lastRenderedPageBreak/>
        <w:t>una de las h</w:t>
      </w:r>
      <w:r w:rsidR="00851F91" w:rsidRPr="00FE494C">
        <w:rPr>
          <w:rFonts w:ascii="Times New Roman" w:hAnsi="Times New Roman" w:cs="Times New Roman"/>
          <w:sz w:val="24"/>
          <w:szCs w:val="24"/>
        </w:rPr>
        <w:t>erramienta</w:t>
      </w:r>
      <w:r w:rsidR="0057680B">
        <w:rPr>
          <w:rFonts w:ascii="Times New Roman" w:hAnsi="Times New Roman" w:cs="Times New Roman"/>
          <w:sz w:val="24"/>
          <w:szCs w:val="24"/>
        </w:rPr>
        <w:t>s</w:t>
      </w:r>
      <w:r w:rsidR="00851F91" w:rsidRPr="00FE494C">
        <w:rPr>
          <w:rFonts w:ascii="Times New Roman" w:hAnsi="Times New Roman" w:cs="Times New Roman"/>
          <w:sz w:val="24"/>
          <w:szCs w:val="24"/>
        </w:rPr>
        <w:t xml:space="preserve"> necesaria</w:t>
      </w:r>
      <w:r w:rsidR="0057680B">
        <w:rPr>
          <w:rFonts w:ascii="Times New Roman" w:hAnsi="Times New Roman" w:cs="Times New Roman"/>
          <w:sz w:val="24"/>
          <w:szCs w:val="24"/>
        </w:rPr>
        <w:t>s</w:t>
      </w:r>
      <w:r w:rsidR="00851F91" w:rsidRPr="00FE494C">
        <w:rPr>
          <w:rFonts w:ascii="Times New Roman" w:hAnsi="Times New Roman" w:cs="Times New Roman"/>
          <w:sz w:val="24"/>
          <w:szCs w:val="24"/>
        </w:rPr>
        <w:t xml:space="preserve"> para el correcto funcionamiento de cualquier entidad, dado que posibilita la toma de decisiones más adecuadas con el fin de garantizar el empleo más racional de los recursos materiales, laborales y financieros que poseen</w:t>
      </w:r>
      <w:r w:rsidR="0057680B">
        <w:rPr>
          <w:rFonts w:ascii="Times New Roman" w:hAnsi="Times New Roman" w:cs="Times New Roman"/>
          <w:sz w:val="24"/>
          <w:szCs w:val="24"/>
        </w:rPr>
        <w:t>, a partir del análisis económico-financiero de la entidad</w:t>
      </w:r>
      <w:r w:rsidR="00C447C7">
        <w:rPr>
          <w:rFonts w:ascii="Times New Roman" w:hAnsi="Times New Roman" w:cs="Times New Roman"/>
          <w:sz w:val="24"/>
          <w:szCs w:val="24"/>
        </w:rPr>
        <w:t xml:space="preserve"> (Amat, 1997)</w:t>
      </w:r>
      <w:r w:rsidR="00851F91" w:rsidRPr="00FE494C">
        <w:rPr>
          <w:rFonts w:ascii="Times New Roman" w:hAnsi="Times New Roman" w:cs="Times New Roman"/>
          <w:sz w:val="24"/>
          <w:szCs w:val="24"/>
        </w:rPr>
        <w:t xml:space="preserve">. La necesidad de disponer de una información contable, eficiente y oportuna resulta imprescindible para dirigir económicamente una entidad y con una </w:t>
      </w:r>
      <w:r w:rsidR="00851F91">
        <w:rPr>
          <w:rFonts w:ascii="Times New Roman" w:hAnsi="Times New Roman" w:cs="Times New Roman"/>
          <w:sz w:val="24"/>
          <w:szCs w:val="24"/>
        </w:rPr>
        <w:t>a</w:t>
      </w:r>
      <w:r w:rsidR="00851F91" w:rsidRPr="00FE494C">
        <w:rPr>
          <w:rFonts w:ascii="Times New Roman" w:hAnsi="Times New Roman" w:cs="Times New Roman"/>
          <w:sz w:val="24"/>
          <w:szCs w:val="24"/>
        </w:rPr>
        <w:t xml:space="preserve">dministración </w:t>
      </w:r>
      <w:r w:rsidR="00851F91">
        <w:rPr>
          <w:rFonts w:ascii="Times New Roman" w:hAnsi="Times New Roman" w:cs="Times New Roman"/>
          <w:sz w:val="24"/>
          <w:szCs w:val="24"/>
        </w:rPr>
        <w:t>f</w:t>
      </w:r>
      <w:r w:rsidR="00851F91" w:rsidRPr="00FE494C">
        <w:rPr>
          <w:rFonts w:ascii="Times New Roman" w:hAnsi="Times New Roman" w:cs="Times New Roman"/>
          <w:sz w:val="24"/>
          <w:szCs w:val="24"/>
        </w:rPr>
        <w:t xml:space="preserve">inanciera se interpretan los resultados obtenidos y se proyecta el desempeño futuro de la misma, lo que representa un medio efectivo para la dirección, el control de los recursos y su utilización eficiente, lo que implica que la información a un determinado nivel de dirección sea adecuada a las funciones de </w:t>
      </w:r>
      <w:r w:rsidR="00851F91">
        <w:rPr>
          <w:rFonts w:ascii="Times New Roman" w:hAnsi="Times New Roman" w:cs="Times New Roman"/>
          <w:sz w:val="24"/>
          <w:szCs w:val="24"/>
        </w:rPr>
        <w:t>e</w:t>
      </w:r>
      <w:r w:rsidR="00851F91" w:rsidRPr="00FE494C">
        <w:rPr>
          <w:rFonts w:ascii="Times New Roman" w:hAnsi="Times New Roman" w:cs="Times New Roman"/>
          <w:sz w:val="24"/>
          <w:szCs w:val="24"/>
        </w:rPr>
        <w:t>ste y se reciba con tiempo suficiente para tomar decisiones y controlar sus resultados.</w:t>
      </w:r>
    </w:p>
    <w:p w:rsidR="00704560" w:rsidRPr="00704560" w:rsidRDefault="00851F91" w:rsidP="0057680B">
      <w:pPr>
        <w:autoSpaceDE w:val="0"/>
        <w:autoSpaceDN w:val="0"/>
        <w:adjustRightInd w:val="0"/>
        <w:spacing w:after="0" w:afterAutospacing="0" w:line="360" w:lineRule="auto"/>
        <w:jc w:val="both"/>
        <w:rPr>
          <w:rFonts w:ascii="Times New Roman" w:hAnsi="Times New Roman" w:cs="Times New Roman"/>
          <w:sz w:val="24"/>
          <w:szCs w:val="24"/>
        </w:rPr>
      </w:pPr>
      <w:r>
        <w:rPr>
          <w:rFonts w:ascii="Times New Roman" w:hAnsi="Times New Roman" w:cs="Times New Roman"/>
          <w:sz w:val="24"/>
          <w:szCs w:val="24"/>
        </w:rPr>
        <w:t xml:space="preserve">Es en este entorno donde el presente trabajo enmarca su alcance ya que tiene como objetivo principal </w:t>
      </w:r>
      <w:r w:rsidR="0057680B">
        <w:rPr>
          <w:rFonts w:ascii="Times New Roman" w:hAnsi="Times New Roman" w:cs="Times New Roman"/>
          <w:sz w:val="24"/>
          <w:szCs w:val="24"/>
        </w:rPr>
        <w:t xml:space="preserve">proponer un conjunto de acciones encaminadas a perfeccionar la planificación financiera a corto plazo </w:t>
      </w:r>
      <w:r>
        <w:rPr>
          <w:rFonts w:ascii="Times New Roman" w:hAnsi="Times New Roman" w:cs="Times New Roman"/>
          <w:sz w:val="24"/>
          <w:szCs w:val="24"/>
        </w:rPr>
        <w:t>del Iberostar Grand Hotel Trinidad,</w:t>
      </w:r>
      <w:r w:rsidR="00483339">
        <w:rPr>
          <w:rFonts w:ascii="Times New Roman" w:hAnsi="Times New Roman" w:cs="Times New Roman"/>
          <w:sz w:val="24"/>
          <w:szCs w:val="24"/>
        </w:rPr>
        <w:t xml:space="preserve"> de manera que</w:t>
      </w:r>
      <w:r>
        <w:rPr>
          <w:rFonts w:ascii="Times New Roman" w:hAnsi="Times New Roman" w:cs="Times New Roman"/>
          <w:sz w:val="24"/>
          <w:szCs w:val="24"/>
        </w:rPr>
        <w:t xml:space="preserve"> </w:t>
      </w:r>
      <w:r w:rsidR="00483339">
        <w:rPr>
          <w:rFonts w:ascii="Times New Roman" w:hAnsi="Times New Roman" w:cs="Times New Roman"/>
          <w:sz w:val="24"/>
          <w:szCs w:val="24"/>
        </w:rPr>
        <w:t xml:space="preserve">contribuya a una </w:t>
      </w:r>
      <w:r w:rsidR="00483339" w:rsidRPr="00FE494C">
        <w:rPr>
          <w:rFonts w:ascii="Times New Roman" w:hAnsi="Times New Roman"/>
          <w:szCs w:val="24"/>
        </w:rPr>
        <w:t>eficiente gestión económica financiera</w:t>
      </w:r>
      <w:r w:rsidR="00483339">
        <w:rPr>
          <w:rFonts w:ascii="Times New Roman" w:hAnsi="Times New Roman"/>
          <w:szCs w:val="24"/>
        </w:rPr>
        <w:t xml:space="preserve"> de la entidad. Este hotel </w:t>
      </w:r>
      <w:r w:rsidR="008E7C08">
        <w:rPr>
          <w:rFonts w:ascii="Times New Roman" w:hAnsi="Times New Roman" w:cs="Times New Roman"/>
          <w:sz w:val="24"/>
          <w:szCs w:val="24"/>
        </w:rPr>
        <w:t>pertenece a</w:t>
      </w:r>
      <w:r>
        <w:rPr>
          <w:rFonts w:ascii="Times New Roman" w:hAnsi="Times New Roman" w:cs="Times New Roman"/>
          <w:sz w:val="24"/>
          <w:szCs w:val="24"/>
        </w:rPr>
        <w:t xml:space="preserve"> </w:t>
      </w:r>
      <w:proofErr w:type="spellStart"/>
      <w:r w:rsidRPr="00FE494C">
        <w:rPr>
          <w:rFonts w:ascii="Times New Roman" w:hAnsi="Times New Roman" w:cs="Times New Roman"/>
          <w:sz w:val="24"/>
          <w:szCs w:val="24"/>
        </w:rPr>
        <w:t>Cuba</w:t>
      </w:r>
      <w:r>
        <w:rPr>
          <w:rFonts w:ascii="Times New Roman" w:hAnsi="Times New Roman" w:cs="Times New Roman"/>
          <w:sz w:val="24"/>
          <w:szCs w:val="24"/>
        </w:rPr>
        <w:t>caribe</w:t>
      </w:r>
      <w:proofErr w:type="spellEnd"/>
      <w:r>
        <w:rPr>
          <w:rFonts w:ascii="Times New Roman" w:hAnsi="Times New Roman" w:cs="Times New Roman"/>
          <w:sz w:val="24"/>
          <w:szCs w:val="24"/>
        </w:rPr>
        <w:t xml:space="preserve"> Hoteles SA</w:t>
      </w:r>
      <w:r w:rsidR="00483339">
        <w:rPr>
          <w:rFonts w:ascii="Times New Roman" w:hAnsi="Times New Roman" w:cs="Times New Roman"/>
          <w:sz w:val="24"/>
          <w:szCs w:val="24"/>
        </w:rPr>
        <w:t xml:space="preserve"> y es el </w:t>
      </w:r>
      <w:r w:rsidRPr="0057680B">
        <w:rPr>
          <w:rFonts w:ascii="Times New Roman" w:hAnsi="Times New Roman" w:cs="Times New Roman"/>
          <w:sz w:val="24"/>
          <w:szCs w:val="24"/>
        </w:rPr>
        <w:t xml:space="preserve">único de la Marca Grand </w:t>
      </w:r>
      <w:proofErr w:type="spellStart"/>
      <w:r w:rsidRPr="0057680B">
        <w:rPr>
          <w:rFonts w:ascii="Times New Roman" w:hAnsi="Times New Roman" w:cs="Times New Roman"/>
          <w:sz w:val="24"/>
          <w:szCs w:val="24"/>
        </w:rPr>
        <w:t>Collection</w:t>
      </w:r>
      <w:proofErr w:type="spellEnd"/>
      <w:r w:rsidRPr="0057680B">
        <w:rPr>
          <w:rFonts w:ascii="Times New Roman" w:hAnsi="Times New Roman" w:cs="Times New Roman"/>
          <w:sz w:val="24"/>
          <w:szCs w:val="24"/>
        </w:rPr>
        <w:t xml:space="preserve"> en Cuba</w:t>
      </w:r>
      <w:r w:rsidR="00483339">
        <w:rPr>
          <w:rFonts w:ascii="Times New Roman" w:hAnsi="Times New Roman" w:cs="Times New Roman"/>
          <w:sz w:val="24"/>
          <w:szCs w:val="24"/>
        </w:rPr>
        <w:t>. F</w:t>
      </w:r>
      <w:r w:rsidRPr="0057680B">
        <w:rPr>
          <w:rFonts w:ascii="Times New Roman" w:hAnsi="Times New Roman" w:cs="Times New Roman"/>
          <w:sz w:val="24"/>
          <w:szCs w:val="24"/>
        </w:rPr>
        <w:t xml:space="preserve">orma parte de la Empresa Mixta CUBACARIBE HOTELES SA entre el Grupo Hotelero </w:t>
      </w:r>
      <w:proofErr w:type="spellStart"/>
      <w:r w:rsidRPr="0057680B">
        <w:rPr>
          <w:rFonts w:ascii="Times New Roman" w:hAnsi="Times New Roman" w:cs="Times New Roman"/>
          <w:sz w:val="24"/>
          <w:szCs w:val="24"/>
        </w:rPr>
        <w:t>Cubanacán</w:t>
      </w:r>
      <w:proofErr w:type="spellEnd"/>
      <w:r w:rsidRPr="0057680B">
        <w:rPr>
          <w:rFonts w:ascii="Times New Roman" w:hAnsi="Times New Roman" w:cs="Times New Roman"/>
          <w:sz w:val="24"/>
          <w:szCs w:val="24"/>
        </w:rPr>
        <w:t xml:space="preserve"> del Ministerio del Turismo y la compañía española Iberostar, cuya misión esencial es prestar servicios fundamentalmente al turismo internacional, caracterizándose por estimular un mercado de tránsito, con segmento de individuales y grupos. </w:t>
      </w:r>
      <w:r w:rsidR="00704560" w:rsidRPr="00704560">
        <w:rPr>
          <w:rFonts w:ascii="Times New Roman" w:hAnsi="Times New Roman" w:cs="Times New Roman"/>
          <w:sz w:val="24"/>
          <w:szCs w:val="24"/>
        </w:rPr>
        <w:t>Como resultado de la investigación</w:t>
      </w:r>
      <w:r w:rsidR="0057680B">
        <w:rPr>
          <w:rFonts w:ascii="Times New Roman" w:hAnsi="Times New Roman" w:cs="Times New Roman"/>
          <w:sz w:val="24"/>
          <w:szCs w:val="24"/>
        </w:rPr>
        <w:t xml:space="preserve"> se propone acciones encaminadas a garantizar el crecimiento sostenible de la empresa y el mantenimiento del </w:t>
      </w:r>
      <w:r w:rsidR="0057680B" w:rsidRPr="0057680B">
        <w:rPr>
          <w:rFonts w:ascii="Times New Roman" w:hAnsi="Times New Roman" w:cs="Times New Roman"/>
          <w:sz w:val="24"/>
          <w:szCs w:val="24"/>
        </w:rPr>
        <w:t>equilibrio</w:t>
      </w:r>
      <w:r w:rsidR="0057680B">
        <w:rPr>
          <w:rFonts w:ascii="Times New Roman" w:hAnsi="Times New Roman" w:cs="Times New Roman"/>
          <w:sz w:val="24"/>
          <w:szCs w:val="24"/>
        </w:rPr>
        <w:t xml:space="preserve"> financiero.</w:t>
      </w:r>
      <w:r w:rsidR="00704560" w:rsidRPr="00704560">
        <w:rPr>
          <w:rFonts w:ascii="Times New Roman" w:hAnsi="Times New Roman" w:cs="Times New Roman"/>
          <w:sz w:val="24"/>
          <w:szCs w:val="24"/>
        </w:rPr>
        <w:t xml:space="preserve"> </w:t>
      </w:r>
    </w:p>
    <w:p w:rsidR="00DD2139" w:rsidRPr="00DD2139" w:rsidRDefault="009061A5" w:rsidP="00DD2139">
      <w:pPr>
        <w:spacing w:before="120" w:after="120" w:line="360" w:lineRule="auto"/>
        <w:jc w:val="both"/>
        <w:rPr>
          <w:rFonts w:ascii="Times New Roman" w:hAnsi="Times New Roman" w:cs="Times New Roman"/>
          <w:i/>
          <w:sz w:val="24"/>
          <w:szCs w:val="24"/>
          <w:lang w:val="en-US"/>
        </w:rPr>
      </w:pPr>
      <w:r w:rsidRPr="00C713BD">
        <w:rPr>
          <w:rFonts w:ascii="Times New Roman" w:hAnsi="Times New Roman" w:cs="Times New Roman"/>
          <w:b/>
          <w:i/>
          <w:sz w:val="24"/>
          <w:szCs w:val="24"/>
          <w:lang w:val="en-US"/>
        </w:rPr>
        <w:t>Abstract:</w:t>
      </w:r>
      <w:r w:rsidRPr="00C713BD">
        <w:rPr>
          <w:rFonts w:ascii="Times New Roman" w:hAnsi="Times New Roman" w:cs="Times New Roman"/>
          <w:sz w:val="24"/>
          <w:szCs w:val="24"/>
          <w:lang w:val="en-US"/>
        </w:rPr>
        <w:t xml:space="preserve"> </w:t>
      </w:r>
      <w:r w:rsidR="00DD2139" w:rsidRPr="00DD2139">
        <w:rPr>
          <w:rFonts w:ascii="Times New Roman" w:hAnsi="Times New Roman" w:cs="Times New Roman"/>
          <w:i/>
          <w:sz w:val="24"/>
          <w:szCs w:val="24"/>
          <w:lang w:val="en-US"/>
        </w:rPr>
        <w:t xml:space="preserve">Currently the country is going through difficult circumstances, so the economy is geared towards its total recovery and for this it is necessary to increase efficiency in social productivity, more rational use of resources and go to search for new items and develop those already existing For this reason, short-term financial planning is one of the necessary tools for the proper functioning of any entity, since it makes it possible to make more appropriate </w:t>
      </w:r>
      <w:r w:rsidR="00DD2139" w:rsidRPr="00DD2139">
        <w:rPr>
          <w:rFonts w:ascii="Times New Roman" w:hAnsi="Times New Roman" w:cs="Times New Roman"/>
          <w:i/>
          <w:sz w:val="24"/>
          <w:szCs w:val="24"/>
          <w:lang w:val="en-US"/>
        </w:rPr>
        <w:lastRenderedPageBreak/>
        <w:t xml:space="preserve">decisions in order to guarantee the most rational use of material, labor and social resources. </w:t>
      </w:r>
      <w:proofErr w:type="gramStart"/>
      <w:r w:rsidR="00DD2139" w:rsidRPr="00DD2139">
        <w:rPr>
          <w:rFonts w:ascii="Times New Roman" w:hAnsi="Times New Roman" w:cs="Times New Roman"/>
          <w:i/>
          <w:sz w:val="24"/>
          <w:szCs w:val="24"/>
          <w:lang w:val="en-US"/>
        </w:rPr>
        <w:t>they</w:t>
      </w:r>
      <w:proofErr w:type="gramEnd"/>
      <w:r w:rsidR="00DD2139" w:rsidRPr="00DD2139">
        <w:rPr>
          <w:rFonts w:ascii="Times New Roman" w:hAnsi="Times New Roman" w:cs="Times New Roman"/>
          <w:i/>
          <w:sz w:val="24"/>
          <w:szCs w:val="24"/>
          <w:lang w:val="en-US"/>
        </w:rPr>
        <w:t xml:space="preserve"> have, based on the economic-financial analysis of the entity. The need to have an accounting, efficient and timely information is essential to manage an entity economically and with financial management the results obtained are interpreted and the future performance of the same is projected, which represents an effective means for management, control of resources and their efficient use, which implies that the information at a certain level of management is appropriate to the functions of this and is received with enough time to make decisions and control their results.</w:t>
      </w:r>
    </w:p>
    <w:p w:rsidR="00DD2139" w:rsidRPr="00DD2139" w:rsidRDefault="00DD2139" w:rsidP="00DD2139">
      <w:pPr>
        <w:spacing w:before="120" w:after="120" w:line="360" w:lineRule="auto"/>
        <w:jc w:val="both"/>
        <w:rPr>
          <w:rFonts w:ascii="Times New Roman" w:hAnsi="Times New Roman" w:cs="Times New Roman"/>
          <w:i/>
          <w:sz w:val="24"/>
          <w:szCs w:val="24"/>
          <w:lang w:val="en-US"/>
        </w:rPr>
      </w:pPr>
      <w:r w:rsidRPr="00DD2139">
        <w:rPr>
          <w:rFonts w:ascii="Times New Roman" w:hAnsi="Times New Roman" w:cs="Times New Roman"/>
          <w:i/>
          <w:sz w:val="24"/>
          <w:szCs w:val="24"/>
          <w:lang w:val="en-US"/>
        </w:rPr>
        <w:t xml:space="preserve">It is in this environment where the present work frames its scope since its main objective is to propose a set of actions aimed at improving the short-term financial planning of the Iberostar Grand Hotel Trinidad, in a way that contributes to an efficient economic and financial management of the entity. This hotel belongs to </w:t>
      </w:r>
      <w:proofErr w:type="spellStart"/>
      <w:r w:rsidRPr="00DD2139">
        <w:rPr>
          <w:rFonts w:ascii="Times New Roman" w:hAnsi="Times New Roman" w:cs="Times New Roman"/>
          <w:i/>
          <w:sz w:val="24"/>
          <w:szCs w:val="24"/>
          <w:lang w:val="en-US"/>
        </w:rPr>
        <w:t>Cubacaribe</w:t>
      </w:r>
      <w:proofErr w:type="spellEnd"/>
      <w:r w:rsidRPr="00DD2139">
        <w:rPr>
          <w:rFonts w:ascii="Times New Roman" w:hAnsi="Times New Roman" w:cs="Times New Roman"/>
          <w:i/>
          <w:sz w:val="24"/>
          <w:szCs w:val="24"/>
          <w:lang w:val="en-US"/>
        </w:rPr>
        <w:t xml:space="preserve"> </w:t>
      </w:r>
      <w:proofErr w:type="spellStart"/>
      <w:r w:rsidRPr="00DD2139">
        <w:rPr>
          <w:rFonts w:ascii="Times New Roman" w:hAnsi="Times New Roman" w:cs="Times New Roman"/>
          <w:i/>
          <w:sz w:val="24"/>
          <w:szCs w:val="24"/>
          <w:lang w:val="en-US"/>
        </w:rPr>
        <w:t>Hoteles</w:t>
      </w:r>
      <w:proofErr w:type="spellEnd"/>
      <w:r w:rsidRPr="00DD2139">
        <w:rPr>
          <w:rFonts w:ascii="Times New Roman" w:hAnsi="Times New Roman" w:cs="Times New Roman"/>
          <w:i/>
          <w:sz w:val="24"/>
          <w:szCs w:val="24"/>
          <w:lang w:val="en-US"/>
        </w:rPr>
        <w:t xml:space="preserve"> SA and is the only one of the </w:t>
      </w:r>
      <w:proofErr w:type="spellStart"/>
      <w:r w:rsidRPr="00DD2139">
        <w:rPr>
          <w:rFonts w:ascii="Times New Roman" w:hAnsi="Times New Roman" w:cs="Times New Roman"/>
          <w:i/>
          <w:sz w:val="24"/>
          <w:szCs w:val="24"/>
          <w:lang w:val="en-US"/>
        </w:rPr>
        <w:t>Marca</w:t>
      </w:r>
      <w:proofErr w:type="spellEnd"/>
      <w:r w:rsidRPr="00DD2139">
        <w:rPr>
          <w:rFonts w:ascii="Times New Roman" w:hAnsi="Times New Roman" w:cs="Times New Roman"/>
          <w:i/>
          <w:sz w:val="24"/>
          <w:szCs w:val="24"/>
          <w:lang w:val="en-US"/>
        </w:rPr>
        <w:t xml:space="preserve"> Grand Collection in Cuba. It forms part of the CUBACARIBE HOTELES SA Mixed Company between the </w:t>
      </w:r>
      <w:proofErr w:type="spellStart"/>
      <w:r w:rsidRPr="00DD2139">
        <w:rPr>
          <w:rFonts w:ascii="Times New Roman" w:hAnsi="Times New Roman" w:cs="Times New Roman"/>
          <w:i/>
          <w:sz w:val="24"/>
          <w:szCs w:val="24"/>
          <w:lang w:val="en-US"/>
        </w:rPr>
        <w:t>Cubanacán</w:t>
      </w:r>
      <w:proofErr w:type="spellEnd"/>
      <w:r w:rsidRPr="00DD2139">
        <w:rPr>
          <w:rFonts w:ascii="Times New Roman" w:hAnsi="Times New Roman" w:cs="Times New Roman"/>
          <w:i/>
          <w:sz w:val="24"/>
          <w:szCs w:val="24"/>
          <w:lang w:val="en-US"/>
        </w:rPr>
        <w:t xml:space="preserve"> Hotel Group of the Ministry of Tourism and the Spanish company Iberostar, whose essential mission is to provide services primarily to international tourism, characterized by stimulating a transit market, with segment of individuals and groups. Because of the research, actions are proposed aimed at guaranteeing the sustainable growth of the company and maintaining financial equilibrium.</w:t>
      </w:r>
    </w:p>
    <w:p w:rsidR="009061A5" w:rsidRPr="00782346" w:rsidRDefault="009061A5" w:rsidP="00704560">
      <w:pPr>
        <w:spacing w:line="240" w:lineRule="auto"/>
        <w:jc w:val="both"/>
        <w:rPr>
          <w:rFonts w:ascii="Times New Roman" w:hAnsi="Times New Roman" w:cs="Times New Roman"/>
          <w:i/>
          <w:sz w:val="24"/>
          <w:szCs w:val="24"/>
        </w:rPr>
      </w:pPr>
      <w:r w:rsidRPr="009061A5">
        <w:rPr>
          <w:rFonts w:ascii="Times New Roman" w:hAnsi="Times New Roman" w:cs="Times New Roman"/>
          <w:b/>
          <w:sz w:val="24"/>
          <w:szCs w:val="24"/>
        </w:rPr>
        <w:t xml:space="preserve">Palabras </w:t>
      </w:r>
      <w:r w:rsidRPr="00782346">
        <w:rPr>
          <w:rFonts w:ascii="Times New Roman" w:hAnsi="Times New Roman" w:cs="Times New Roman"/>
          <w:b/>
          <w:i/>
          <w:sz w:val="24"/>
          <w:szCs w:val="24"/>
        </w:rPr>
        <w:t>Clave</w:t>
      </w:r>
      <w:r w:rsidRPr="00782346">
        <w:rPr>
          <w:rFonts w:ascii="Times New Roman" w:hAnsi="Times New Roman" w:cs="Times New Roman"/>
          <w:i/>
          <w:sz w:val="24"/>
          <w:szCs w:val="24"/>
        </w:rPr>
        <w:t>:</w:t>
      </w:r>
      <w:r w:rsidR="008F5A46" w:rsidRPr="00782346">
        <w:rPr>
          <w:rFonts w:ascii="Times New Roman" w:hAnsi="Times New Roman" w:cs="Times New Roman"/>
          <w:i/>
          <w:sz w:val="24"/>
          <w:szCs w:val="24"/>
        </w:rPr>
        <w:t xml:space="preserve"> </w:t>
      </w:r>
      <w:r w:rsidR="008E7C08" w:rsidRPr="00782346">
        <w:rPr>
          <w:rFonts w:ascii="Times New Roman" w:hAnsi="Times New Roman" w:cs="Times New Roman"/>
          <w:i/>
          <w:sz w:val="24"/>
          <w:szCs w:val="24"/>
        </w:rPr>
        <w:t>P</w:t>
      </w:r>
      <w:r w:rsidR="008A21C0" w:rsidRPr="00782346">
        <w:rPr>
          <w:rFonts w:ascii="Times New Roman" w:hAnsi="Times New Roman" w:cs="Times New Roman"/>
          <w:i/>
          <w:sz w:val="24"/>
          <w:szCs w:val="24"/>
        </w:rPr>
        <w:t xml:space="preserve">lanificación financiera, </w:t>
      </w:r>
      <w:r w:rsidR="008E7C08" w:rsidRPr="00782346">
        <w:rPr>
          <w:rFonts w:ascii="Times New Roman" w:hAnsi="Times New Roman" w:cs="Times New Roman"/>
          <w:i/>
          <w:sz w:val="24"/>
          <w:szCs w:val="24"/>
        </w:rPr>
        <w:t>A</w:t>
      </w:r>
      <w:r w:rsidR="008A21C0" w:rsidRPr="00782346">
        <w:rPr>
          <w:rFonts w:ascii="Times New Roman" w:hAnsi="Times New Roman" w:cs="Times New Roman"/>
          <w:i/>
          <w:sz w:val="24"/>
          <w:szCs w:val="24"/>
        </w:rPr>
        <w:t>nálisis económico-financiero.</w:t>
      </w:r>
    </w:p>
    <w:p w:rsidR="00DD2139" w:rsidRPr="00782346" w:rsidRDefault="009061A5" w:rsidP="00DD2139">
      <w:pPr>
        <w:spacing w:before="120" w:after="120" w:line="360" w:lineRule="auto"/>
        <w:jc w:val="both"/>
        <w:rPr>
          <w:rFonts w:ascii="Times New Roman" w:hAnsi="Times New Roman" w:cs="Times New Roman"/>
          <w:sz w:val="24"/>
          <w:szCs w:val="24"/>
          <w:lang w:val="en-US"/>
        </w:rPr>
      </w:pPr>
      <w:r w:rsidRPr="00DD2139">
        <w:rPr>
          <w:rFonts w:ascii="Times New Roman" w:hAnsi="Times New Roman" w:cs="Times New Roman"/>
          <w:b/>
          <w:i/>
          <w:sz w:val="24"/>
          <w:szCs w:val="24"/>
          <w:lang w:val="en-US"/>
        </w:rPr>
        <w:t>Keywords</w:t>
      </w:r>
      <w:r w:rsidRPr="00DD2139">
        <w:rPr>
          <w:rFonts w:ascii="Times New Roman" w:hAnsi="Times New Roman" w:cs="Times New Roman"/>
          <w:i/>
          <w:sz w:val="24"/>
          <w:szCs w:val="24"/>
          <w:lang w:val="en-US"/>
        </w:rPr>
        <w:t>:</w:t>
      </w:r>
      <w:r w:rsidR="00D94B4C" w:rsidRPr="00DD2139">
        <w:rPr>
          <w:rFonts w:ascii="Times New Roman" w:hAnsi="Times New Roman" w:cs="Times New Roman"/>
          <w:i/>
          <w:sz w:val="24"/>
          <w:szCs w:val="24"/>
          <w:lang w:val="en-US"/>
        </w:rPr>
        <w:t xml:space="preserve"> </w:t>
      </w:r>
      <w:r w:rsidR="00DD2139" w:rsidRPr="00DD2139">
        <w:rPr>
          <w:rFonts w:ascii="Times New Roman" w:hAnsi="Times New Roman" w:cs="Times New Roman"/>
          <w:i/>
          <w:sz w:val="24"/>
          <w:szCs w:val="24"/>
          <w:lang w:val="en-US"/>
        </w:rPr>
        <w:t xml:space="preserve">Financial planning, </w:t>
      </w:r>
      <w:r w:rsidR="00DD2139">
        <w:rPr>
          <w:rFonts w:ascii="Times New Roman" w:hAnsi="Times New Roman" w:cs="Times New Roman"/>
          <w:i/>
          <w:sz w:val="24"/>
          <w:szCs w:val="24"/>
          <w:lang w:val="en-US"/>
        </w:rPr>
        <w:t>E</w:t>
      </w:r>
      <w:r w:rsidR="00DD2139" w:rsidRPr="00DD2139">
        <w:rPr>
          <w:rFonts w:ascii="Times New Roman" w:hAnsi="Times New Roman" w:cs="Times New Roman"/>
          <w:i/>
          <w:sz w:val="24"/>
          <w:szCs w:val="24"/>
          <w:lang w:val="en-US"/>
        </w:rPr>
        <w:t>conomic-financial analysis.</w:t>
      </w:r>
    </w:p>
    <w:p w:rsidR="009061A5" w:rsidRPr="00612037" w:rsidRDefault="00BE78C6" w:rsidP="00612037">
      <w:pPr>
        <w:pStyle w:val="Prrafodelista"/>
        <w:numPr>
          <w:ilvl w:val="0"/>
          <w:numId w:val="24"/>
        </w:numPr>
        <w:spacing w:before="120" w:after="120" w:line="360" w:lineRule="auto"/>
        <w:jc w:val="both"/>
        <w:rPr>
          <w:rFonts w:ascii="Times New Roman" w:hAnsi="Times New Roman" w:cs="Times New Roman"/>
          <w:b/>
          <w:sz w:val="24"/>
          <w:szCs w:val="24"/>
        </w:rPr>
      </w:pPr>
      <w:r w:rsidRPr="00612037">
        <w:rPr>
          <w:rFonts w:ascii="Times New Roman" w:hAnsi="Times New Roman" w:cs="Times New Roman"/>
          <w:b/>
          <w:sz w:val="24"/>
          <w:szCs w:val="24"/>
        </w:rPr>
        <w:t>Introducción</w:t>
      </w:r>
      <w:r w:rsidR="00011F04" w:rsidRPr="00612037">
        <w:rPr>
          <w:rFonts w:ascii="Times New Roman" w:hAnsi="Times New Roman" w:cs="Times New Roman"/>
          <w:b/>
          <w:sz w:val="24"/>
          <w:szCs w:val="24"/>
        </w:rPr>
        <w:t xml:space="preserve"> </w:t>
      </w:r>
    </w:p>
    <w:p w:rsidR="008A21C0" w:rsidRDefault="008A21C0" w:rsidP="008A21C0">
      <w:pPr>
        <w:autoSpaceDE w:val="0"/>
        <w:autoSpaceDN w:val="0"/>
        <w:adjustRightInd w:val="0"/>
        <w:spacing w:after="0" w:afterAutospacing="0"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Pr="008A21C0">
        <w:rPr>
          <w:rFonts w:ascii="Times New Roman" w:hAnsi="Times New Roman" w:cs="Times New Roman"/>
          <w:sz w:val="24"/>
          <w:szCs w:val="24"/>
        </w:rPr>
        <w:t xml:space="preserve">planificación financiera </w:t>
      </w:r>
      <w:r>
        <w:rPr>
          <w:rFonts w:ascii="Times New Roman" w:hAnsi="Times New Roman" w:cs="Times New Roman"/>
          <w:sz w:val="24"/>
          <w:szCs w:val="24"/>
        </w:rPr>
        <w:t xml:space="preserve">tiene por objeto la cuantificación en términos monetarios, de los resultados de las acciones marcadas por la </w:t>
      </w:r>
      <w:r w:rsidRPr="008A21C0">
        <w:rPr>
          <w:rFonts w:ascii="Times New Roman" w:hAnsi="Times New Roman" w:cs="Times New Roman"/>
          <w:sz w:val="24"/>
          <w:szCs w:val="24"/>
        </w:rPr>
        <w:t>planificación estratégica</w:t>
      </w:r>
      <w:r>
        <w:rPr>
          <w:rFonts w:ascii="Times New Roman" w:hAnsi="Times New Roman" w:cs="Times New Roman"/>
          <w:sz w:val="24"/>
          <w:szCs w:val="24"/>
        </w:rPr>
        <w:t xml:space="preserve">, identificando en la medida de lo posible los recursos financieros necesarios para conseguir los objetivos fijados en la </w:t>
      </w:r>
      <w:r>
        <w:rPr>
          <w:rFonts w:ascii="Times New Roman" w:hAnsi="Times New Roman" w:cs="Times New Roman"/>
          <w:sz w:val="24"/>
          <w:szCs w:val="24"/>
        </w:rPr>
        <w:lastRenderedPageBreak/>
        <w:t>planificación estratégica (</w:t>
      </w:r>
      <w:r w:rsidR="001D121E">
        <w:rPr>
          <w:rFonts w:ascii="Times New Roman" w:hAnsi="Times New Roman" w:cs="Times New Roman"/>
          <w:sz w:val="24"/>
          <w:szCs w:val="24"/>
        </w:rPr>
        <w:t>Brealey y Myers, 1993)</w:t>
      </w:r>
      <w:r>
        <w:rPr>
          <w:rFonts w:ascii="Times New Roman" w:hAnsi="Times New Roman" w:cs="Times New Roman"/>
          <w:sz w:val="24"/>
          <w:szCs w:val="24"/>
        </w:rPr>
        <w:t xml:space="preserve">. De manera que la planificación financiera </w:t>
      </w:r>
      <w:r w:rsidR="008E7C08">
        <w:rPr>
          <w:rFonts w:ascii="Times New Roman" w:hAnsi="Times New Roman" w:cs="Times New Roman"/>
          <w:sz w:val="24"/>
          <w:szCs w:val="24"/>
        </w:rPr>
        <w:t>específica</w:t>
      </w:r>
      <w:r>
        <w:rPr>
          <w:rFonts w:ascii="Times New Roman" w:hAnsi="Times New Roman" w:cs="Times New Roman"/>
          <w:sz w:val="24"/>
          <w:szCs w:val="24"/>
        </w:rPr>
        <w:t xml:space="preserve"> y cuantifica en términos monetarios el resultado de cada alternativa de decisión hasta seleccionar la mejor disponible (</w:t>
      </w:r>
      <w:proofErr w:type="spellStart"/>
      <w:r w:rsidR="001D121E">
        <w:rPr>
          <w:rFonts w:ascii="Times New Roman" w:hAnsi="Times New Roman" w:cs="Times New Roman"/>
          <w:sz w:val="24"/>
          <w:szCs w:val="24"/>
        </w:rPr>
        <w:t>Chillida</w:t>
      </w:r>
      <w:proofErr w:type="spellEnd"/>
      <w:r w:rsidR="001D121E">
        <w:rPr>
          <w:rFonts w:ascii="Times New Roman" w:hAnsi="Times New Roman" w:cs="Times New Roman"/>
          <w:sz w:val="24"/>
          <w:szCs w:val="24"/>
        </w:rPr>
        <w:t>, 2003</w:t>
      </w:r>
      <w:r>
        <w:rPr>
          <w:rFonts w:ascii="Times New Roman" w:hAnsi="Times New Roman" w:cs="Times New Roman"/>
          <w:sz w:val="24"/>
          <w:szCs w:val="24"/>
        </w:rPr>
        <w:t>).</w:t>
      </w:r>
    </w:p>
    <w:p w:rsidR="008A21C0" w:rsidRDefault="008A21C0" w:rsidP="008A21C0">
      <w:pPr>
        <w:autoSpaceDE w:val="0"/>
        <w:autoSpaceDN w:val="0"/>
        <w:adjustRightInd w:val="0"/>
        <w:spacing w:after="0" w:afterAutospacing="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conseguir los objetivos generales, es necesario establecer </w:t>
      </w:r>
      <w:r w:rsidRPr="008A21C0">
        <w:rPr>
          <w:rFonts w:ascii="Times New Roman" w:hAnsi="Times New Roman" w:cs="Times New Roman"/>
          <w:sz w:val="24"/>
          <w:szCs w:val="24"/>
        </w:rPr>
        <w:t>la política financiera a los distintos plazos -largo, medio y corto plazo</w:t>
      </w:r>
      <w:r>
        <w:rPr>
          <w:rFonts w:ascii="Times New Roman" w:hAnsi="Times New Roman" w:cs="Times New Roman"/>
          <w:sz w:val="24"/>
          <w:szCs w:val="24"/>
        </w:rPr>
        <w:t xml:space="preserve">. A largo plazo es necesario establecer una </w:t>
      </w:r>
      <w:r w:rsidRPr="008A21C0">
        <w:rPr>
          <w:rFonts w:ascii="Times New Roman" w:hAnsi="Times New Roman" w:cs="Times New Roman"/>
          <w:sz w:val="24"/>
          <w:szCs w:val="24"/>
        </w:rPr>
        <w:t xml:space="preserve">estructura de capital </w:t>
      </w:r>
      <w:r>
        <w:rPr>
          <w:rFonts w:ascii="Times New Roman" w:hAnsi="Times New Roman" w:cs="Times New Roman"/>
          <w:sz w:val="24"/>
          <w:szCs w:val="24"/>
        </w:rPr>
        <w:t xml:space="preserve">objetivo. Esto es, la relación entre las distintas </w:t>
      </w:r>
      <w:r w:rsidR="008E7C08">
        <w:rPr>
          <w:rFonts w:ascii="Times New Roman" w:hAnsi="Times New Roman" w:cs="Times New Roman"/>
          <w:sz w:val="24"/>
          <w:szCs w:val="24"/>
        </w:rPr>
        <w:t>fuentes financieras</w:t>
      </w:r>
      <w:r>
        <w:rPr>
          <w:rFonts w:ascii="Times New Roman" w:hAnsi="Times New Roman" w:cs="Times New Roman"/>
          <w:sz w:val="24"/>
          <w:szCs w:val="24"/>
        </w:rPr>
        <w:t xml:space="preserve">, que determina </w:t>
      </w:r>
      <w:r w:rsidR="008E7C08">
        <w:rPr>
          <w:rFonts w:ascii="Times New Roman" w:hAnsi="Times New Roman" w:cs="Times New Roman"/>
          <w:sz w:val="24"/>
          <w:szCs w:val="24"/>
        </w:rPr>
        <w:t>el ratio</w:t>
      </w:r>
      <w:r>
        <w:rPr>
          <w:rFonts w:ascii="Times New Roman" w:hAnsi="Times New Roman" w:cs="Times New Roman"/>
          <w:sz w:val="24"/>
          <w:szCs w:val="24"/>
        </w:rPr>
        <w:t xml:space="preserve"> de endeudamiento de la empresa. Asimismo, hemos de ajustar los plazos de los </w:t>
      </w:r>
      <w:r w:rsidRPr="008A21C0">
        <w:rPr>
          <w:rFonts w:ascii="Times New Roman" w:hAnsi="Times New Roman" w:cs="Times New Roman"/>
          <w:sz w:val="24"/>
          <w:szCs w:val="24"/>
        </w:rPr>
        <w:t xml:space="preserve">capitales permanentes (financiación a largo plazo) </w:t>
      </w:r>
      <w:r>
        <w:rPr>
          <w:rFonts w:ascii="Times New Roman" w:hAnsi="Times New Roman" w:cs="Times New Roman"/>
          <w:sz w:val="24"/>
          <w:szCs w:val="24"/>
        </w:rPr>
        <w:t xml:space="preserve">con los flujos generados por las inversiones. Y finalmente diversificar las </w:t>
      </w:r>
      <w:r w:rsidR="008E7C08">
        <w:rPr>
          <w:rFonts w:ascii="Times New Roman" w:hAnsi="Times New Roman" w:cs="Times New Roman"/>
          <w:sz w:val="24"/>
          <w:szCs w:val="24"/>
        </w:rPr>
        <w:t>fuentes financieras</w:t>
      </w:r>
      <w:r>
        <w:rPr>
          <w:rFonts w:ascii="Times New Roman" w:hAnsi="Times New Roman" w:cs="Times New Roman"/>
          <w:sz w:val="24"/>
          <w:szCs w:val="24"/>
        </w:rPr>
        <w:t>, para gestionar el riesgo financiero.</w:t>
      </w:r>
    </w:p>
    <w:p w:rsidR="008A21C0" w:rsidRPr="008A21C0" w:rsidRDefault="008A21C0" w:rsidP="008A21C0">
      <w:pPr>
        <w:autoSpaceDE w:val="0"/>
        <w:autoSpaceDN w:val="0"/>
        <w:adjustRightInd w:val="0"/>
        <w:spacing w:after="0" w:afterAutospacing="0" w:line="360" w:lineRule="auto"/>
        <w:jc w:val="both"/>
        <w:rPr>
          <w:rFonts w:ascii="Times New Roman" w:hAnsi="Times New Roman" w:cs="Times New Roman"/>
          <w:sz w:val="24"/>
          <w:szCs w:val="24"/>
        </w:rPr>
      </w:pPr>
      <w:r>
        <w:rPr>
          <w:rFonts w:ascii="Times New Roman" w:hAnsi="Times New Roman" w:cs="Times New Roman"/>
          <w:sz w:val="24"/>
          <w:szCs w:val="24"/>
        </w:rPr>
        <w:t>A corto plazo (horizontalidad de este estudio)</w:t>
      </w:r>
      <w:r w:rsidR="00B1366E">
        <w:rPr>
          <w:rFonts w:ascii="Times New Roman" w:hAnsi="Times New Roman" w:cs="Times New Roman"/>
          <w:sz w:val="24"/>
          <w:szCs w:val="24"/>
        </w:rPr>
        <w:t>,</w:t>
      </w:r>
      <w:r>
        <w:rPr>
          <w:rFonts w:ascii="Times New Roman" w:hAnsi="Times New Roman" w:cs="Times New Roman"/>
          <w:sz w:val="24"/>
          <w:szCs w:val="24"/>
        </w:rPr>
        <w:t xml:space="preserve"> es necesario garantizar el crecimiento sostenible de la empresa y el mantenimiento del </w:t>
      </w:r>
      <w:r w:rsidRPr="008A21C0">
        <w:rPr>
          <w:rFonts w:ascii="Times New Roman" w:hAnsi="Times New Roman" w:cs="Times New Roman"/>
          <w:sz w:val="24"/>
          <w:szCs w:val="24"/>
        </w:rPr>
        <w:t>equilibrio financiero</w:t>
      </w:r>
      <w:r w:rsidR="00B1366E">
        <w:rPr>
          <w:rFonts w:ascii="Times New Roman" w:hAnsi="Times New Roman" w:cs="Times New Roman"/>
          <w:sz w:val="24"/>
          <w:szCs w:val="24"/>
        </w:rPr>
        <w:t xml:space="preserve"> (</w:t>
      </w:r>
      <w:r w:rsidR="001D121E">
        <w:rPr>
          <w:rFonts w:ascii="Times New Roman" w:hAnsi="Times New Roman" w:cs="Times New Roman"/>
          <w:sz w:val="24"/>
          <w:szCs w:val="24"/>
        </w:rPr>
        <w:t>Gitman, 2006</w:t>
      </w:r>
      <w:r w:rsidR="00B1366E">
        <w:rPr>
          <w:rFonts w:ascii="Times New Roman" w:hAnsi="Times New Roman" w:cs="Times New Roman"/>
          <w:sz w:val="24"/>
          <w:szCs w:val="24"/>
        </w:rPr>
        <w:t>)</w:t>
      </w:r>
      <w:r>
        <w:rPr>
          <w:rFonts w:ascii="Times New Roman" w:hAnsi="Times New Roman" w:cs="Times New Roman"/>
          <w:sz w:val="24"/>
          <w:szCs w:val="24"/>
        </w:rPr>
        <w:t xml:space="preserve">. </w:t>
      </w:r>
      <w:r w:rsidRPr="008A21C0">
        <w:rPr>
          <w:rFonts w:ascii="Times New Roman" w:hAnsi="Times New Roman" w:cs="Times New Roman"/>
          <w:sz w:val="24"/>
          <w:szCs w:val="24"/>
        </w:rPr>
        <w:t>La estabilidad financiera o equilibrio financiero necesita:</w:t>
      </w:r>
    </w:p>
    <w:p w:rsidR="008A21C0" w:rsidRDefault="008A21C0" w:rsidP="008A21C0">
      <w:pPr>
        <w:autoSpaceDE w:val="0"/>
        <w:autoSpaceDN w:val="0"/>
        <w:adjustRightInd w:val="0"/>
        <w:spacing w:after="0" w:afterAutospacing="0" w:line="360" w:lineRule="auto"/>
        <w:jc w:val="both"/>
        <w:rPr>
          <w:rFonts w:ascii="Times New Roman" w:hAnsi="Times New Roman" w:cs="Times New Roman"/>
          <w:sz w:val="24"/>
          <w:szCs w:val="24"/>
        </w:rPr>
      </w:pPr>
      <w:r>
        <w:rPr>
          <w:rFonts w:ascii="Times New Roman" w:hAnsi="Times New Roman" w:cs="Times New Roman"/>
          <w:sz w:val="24"/>
          <w:szCs w:val="24"/>
        </w:rPr>
        <w:t>1) Que la empresa pueda pagar todas sus deudas corrientes actuales con los ingresos procedentes de los cobros efectuados a sus clientes.</w:t>
      </w:r>
    </w:p>
    <w:p w:rsidR="008A21C0" w:rsidRDefault="008A21C0" w:rsidP="008A21C0">
      <w:pPr>
        <w:autoSpaceDE w:val="0"/>
        <w:autoSpaceDN w:val="0"/>
        <w:adjustRightInd w:val="0"/>
        <w:spacing w:after="0" w:afterAutospacing="0" w:line="360" w:lineRule="auto"/>
        <w:jc w:val="both"/>
        <w:rPr>
          <w:rFonts w:ascii="Times New Roman" w:hAnsi="Times New Roman" w:cs="Times New Roman"/>
          <w:sz w:val="24"/>
          <w:szCs w:val="24"/>
        </w:rPr>
      </w:pPr>
      <w:r>
        <w:rPr>
          <w:rFonts w:ascii="Times New Roman" w:hAnsi="Times New Roman" w:cs="Times New Roman"/>
          <w:sz w:val="24"/>
          <w:szCs w:val="24"/>
        </w:rPr>
        <w:t>2) Que la empresa haga previsiones adecuadas para poder pagar las deudas futuras con los ingresos futuros previstos de sus clientes.</w:t>
      </w:r>
    </w:p>
    <w:p w:rsidR="008A21C0" w:rsidRDefault="008A21C0" w:rsidP="008A21C0">
      <w:pPr>
        <w:autoSpaceDE w:val="0"/>
        <w:autoSpaceDN w:val="0"/>
        <w:adjustRightInd w:val="0"/>
        <w:spacing w:after="0" w:afterAutospacing="0" w:line="360" w:lineRule="auto"/>
        <w:jc w:val="both"/>
        <w:rPr>
          <w:rFonts w:ascii="Times New Roman" w:hAnsi="Times New Roman" w:cs="Times New Roman"/>
          <w:sz w:val="24"/>
          <w:szCs w:val="24"/>
        </w:rPr>
      </w:pPr>
      <w:r>
        <w:rPr>
          <w:rFonts w:ascii="Times New Roman" w:hAnsi="Times New Roman" w:cs="Times New Roman"/>
          <w:sz w:val="24"/>
          <w:szCs w:val="24"/>
        </w:rPr>
        <w:t>3) Que la empresa tenga fondos líquidos disponibles para poder hacer frente al pago de las inversiones previstas en activo fijo.</w:t>
      </w:r>
    </w:p>
    <w:p w:rsidR="008A21C0" w:rsidRDefault="008A21C0" w:rsidP="008A21C0">
      <w:pPr>
        <w:autoSpaceDE w:val="0"/>
        <w:autoSpaceDN w:val="0"/>
        <w:adjustRightInd w:val="0"/>
        <w:spacing w:after="0" w:afterAutospacing="0" w:line="360" w:lineRule="auto"/>
        <w:jc w:val="both"/>
        <w:rPr>
          <w:rFonts w:ascii="Times New Roman" w:hAnsi="Times New Roman" w:cs="Times New Roman"/>
          <w:sz w:val="24"/>
          <w:szCs w:val="24"/>
        </w:rPr>
      </w:pPr>
      <w:r>
        <w:rPr>
          <w:rFonts w:ascii="Times New Roman" w:hAnsi="Times New Roman" w:cs="Times New Roman"/>
          <w:sz w:val="24"/>
          <w:szCs w:val="24"/>
        </w:rPr>
        <w:t>4) Que la empresa tenga fondos excedentes para poder hacer frente a las necesidades imprevistas, o que pueda acceder fácilmente a los fondos necesarios mediante operaciones financieras ya negociadas.</w:t>
      </w:r>
    </w:p>
    <w:p w:rsidR="008A21C0" w:rsidRPr="00483339" w:rsidRDefault="00B1366E" w:rsidP="00483339">
      <w:pPr>
        <w:pStyle w:val="Ttulo2"/>
        <w:spacing w:line="360" w:lineRule="auto"/>
        <w:jc w:val="both"/>
        <w:rPr>
          <w:rFonts w:ascii="Times New Roman" w:eastAsiaTheme="minorHAnsi" w:hAnsi="Times New Roman" w:cstheme="minorBidi"/>
          <w:b w:val="0"/>
          <w:bCs w:val="0"/>
          <w:color w:val="auto"/>
          <w:sz w:val="24"/>
          <w:szCs w:val="24"/>
        </w:rPr>
      </w:pPr>
      <w:r w:rsidRPr="00483339">
        <w:rPr>
          <w:rFonts w:ascii="Times New Roman" w:eastAsiaTheme="minorHAnsi" w:hAnsi="Times New Roman" w:cstheme="minorBidi"/>
          <w:b w:val="0"/>
          <w:bCs w:val="0"/>
          <w:color w:val="auto"/>
          <w:sz w:val="24"/>
          <w:szCs w:val="24"/>
        </w:rPr>
        <w:lastRenderedPageBreak/>
        <w:t xml:space="preserve">En el caso del objeto de estudio práctico de la investigación </w:t>
      </w:r>
      <w:r w:rsidR="00483339">
        <w:rPr>
          <w:rFonts w:ascii="Times New Roman" w:eastAsiaTheme="minorHAnsi" w:hAnsi="Times New Roman" w:cstheme="minorBidi"/>
          <w:b w:val="0"/>
          <w:bCs w:val="0"/>
          <w:color w:val="auto"/>
          <w:sz w:val="24"/>
          <w:szCs w:val="24"/>
        </w:rPr>
        <w:t>l</w:t>
      </w:r>
      <w:r w:rsidR="00483339" w:rsidRPr="00483339">
        <w:rPr>
          <w:rFonts w:ascii="Times New Roman" w:eastAsiaTheme="minorHAnsi" w:hAnsi="Times New Roman" w:cstheme="minorBidi"/>
          <w:b w:val="0"/>
          <w:bCs w:val="0"/>
          <w:color w:val="auto"/>
          <w:sz w:val="24"/>
          <w:szCs w:val="24"/>
        </w:rPr>
        <w:t>a significación teórica del presenta trabajo es que por su importancia es necesario seguir profundizando en el análisis económico financiero y su correcta interpretación</w:t>
      </w:r>
      <w:r w:rsidR="00483339">
        <w:rPr>
          <w:rFonts w:ascii="Times New Roman" w:eastAsiaTheme="minorHAnsi" w:hAnsi="Times New Roman" w:cstheme="minorBidi"/>
          <w:b w:val="0"/>
          <w:bCs w:val="0"/>
          <w:color w:val="auto"/>
          <w:sz w:val="24"/>
          <w:szCs w:val="24"/>
        </w:rPr>
        <w:t xml:space="preserve"> para lograr una planificación financiera más efectiva</w:t>
      </w:r>
      <w:r w:rsidR="00483339" w:rsidRPr="00483339">
        <w:rPr>
          <w:rFonts w:ascii="Times New Roman" w:eastAsiaTheme="minorHAnsi" w:hAnsi="Times New Roman" w:cstheme="minorBidi"/>
          <w:b w:val="0"/>
          <w:bCs w:val="0"/>
          <w:color w:val="auto"/>
          <w:sz w:val="24"/>
          <w:szCs w:val="24"/>
        </w:rPr>
        <w:t>, lo que dará como resultado una mejor y más eficiente gestión económica financiera de la empresa</w:t>
      </w:r>
      <w:r w:rsidR="001D121E">
        <w:rPr>
          <w:rFonts w:ascii="Times New Roman" w:eastAsiaTheme="minorHAnsi" w:hAnsi="Times New Roman" w:cstheme="minorBidi"/>
          <w:b w:val="0"/>
          <w:bCs w:val="0"/>
          <w:color w:val="auto"/>
          <w:sz w:val="24"/>
          <w:szCs w:val="24"/>
        </w:rPr>
        <w:t xml:space="preserve"> (Expósito y </w:t>
      </w:r>
      <w:proofErr w:type="spellStart"/>
      <w:r w:rsidR="001D121E">
        <w:rPr>
          <w:rFonts w:ascii="Times New Roman" w:eastAsiaTheme="minorHAnsi" w:hAnsi="Times New Roman" w:cstheme="minorBidi"/>
          <w:b w:val="0"/>
          <w:bCs w:val="0"/>
          <w:color w:val="auto"/>
          <w:sz w:val="24"/>
          <w:szCs w:val="24"/>
        </w:rPr>
        <w:t>Gonzáles</w:t>
      </w:r>
      <w:proofErr w:type="spellEnd"/>
      <w:r w:rsidR="001D121E">
        <w:rPr>
          <w:rFonts w:ascii="Times New Roman" w:eastAsiaTheme="minorHAnsi" w:hAnsi="Times New Roman" w:cstheme="minorBidi"/>
          <w:b w:val="0"/>
          <w:bCs w:val="0"/>
          <w:color w:val="auto"/>
          <w:sz w:val="24"/>
          <w:szCs w:val="24"/>
        </w:rPr>
        <w:t>, 2018)</w:t>
      </w:r>
      <w:r w:rsidR="00483339" w:rsidRPr="00483339">
        <w:rPr>
          <w:rFonts w:ascii="Times New Roman" w:eastAsiaTheme="minorHAnsi" w:hAnsi="Times New Roman" w:cstheme="minorBidi"/>
          <w:b w:val="0"/>
          <w:bCs w:val="0"/>
          <w:color w:val="auto"/>
          <w:sz w:val="24"/>
          <w:szCs w:val="24"/>
        </w:rPr>
        <w:t>.</w:t>
      </w:r>
      <w:r w:rsidR="00483339">
        <w:rPr>
          <w:rFonts w:ascii="Times New Roman" w:eastAsiaTheme="minorHAnsi" w:hAnsi="Times New Roman" w:cstheme="minorBidi"/>
          <w:b w:val="0"/>
          <w:bCs w:val="0"/>
          <w:color w:val="auto"/>
          <w:sz w:val="24"/>
          <w:szCs w:val="24"/>
        </w:rPr>
        <w:t xml:space="preserve"> </w:t>
      </w:r>
      <w:r w:rsidR="00483339" w:rsidRPr="00483339">
        <w:rPr>
          <w:rFonts w:ascii="Times New Roman" w:eastAsiaTheme="minorHAnsi" w:hAnsi="Times New Roman" w:cstheme="minorBidi"/>
          <w:b w:val="0"/>
          <w:bCs w:val="0"/>
          <w:color w:val="auto"/>
          <w:sz w:val="24"/>
          <w:szCs w:val="24"/>
        </w:rPr>
        <w:t xml:space="preserve">La significación práctica de este trabajo es la aplicación de los instrumentos </w:t>
      </w:r>
      <w:r w:rsidR="00483339">
        <w:rPr>
          <w:rFonts w:ascii="Times New Roman" w:eastAsiaTheme="minorHAnsi" w:hAnsi="Times New Roman" w:cstheme="minorBidi"/>
          <w:b w:val="0"/>
          <w:bCs w:val="0"/>
          <w:color w:val="auto"/>
          <w:sz w:val="24"/>
          <w:szCs w:val="24"/>
        </w:rPr>
        <w:t xml:space="preserve">económico-financieros </w:t>
      </w:r>
      <w:r w:rsidR="00483339" w:rsidRPr="00483339">
        <w:rPr>
          <w:rFonts w:ascii="Times New Roman" w:eastAsiaTheme="minorHAnsi" w:hAnsi="Times New Roman" w:cstheme="minorBidi"/>
          <w:b w:val="0"/>
          <w:bCs w:val="0"/>
          <w:color w:val="auto"/>
          <w:sz w:val="24"/>
          <w:szCs w:val="24"/>
        </w:rPr>
        <w:t xml:space="preserve">para </w:t>
      </w:r>
      <w:r w:rsidR="00483339">
        <w:rPr>
          <w:rFonts w:ascii="Times New Roman" w:eastAsiaTheme="minorHAnsi" w:hAnsi="Times New Roman" w:cstheme="minorBidi"/>
          <w:b w:val="0"/>
          <w:bCs w:val="0"/>
          <w:color w:val="auto"/>
          <w:sz w:val="24"/>
          <w:szCs w:val="24"/>
        </w:rPr>
        <w:t>el diagnostico de la planificación financiera del Iberostar</w:t>
      </w:r>
      <w:r w:rsidRPr="00483339">
        <w:rPr>
          <w:rFonts w:ascii="Times New Roman" w:eastAsiaTheme="minorHAnsi" w:hAnsi="Times New Roman" w:cstheme="minorBidi"/>
          <w:b w:val="0"/>
          <w:bCs w:val="0"/>
          <w:color w:val="auto"/>
          <w:sz w:val="24"/>
          <w:szCs w:val="24"/>
        </w:rPr>
        <w:t xml:space="preserve"> </w:t>
      </w:r>
      <w:r w:rsidR="00483339" w:rsidRPr="00483339">
        <w:rPr>
          <w:rFonts w:ascii="Times New Roman" w:eastAsiaTheme="minorHAnsi" w:hAnsi="Times New Roman" w:cstheme="minorBidi"/>
          <w:b w:val="0"/>
          <w:bCs w:val="0"/>
          <w:color w:val="auto"/>
          <w:sz w:val="24"/>
          <w:szCs w:val="24"/>
        </w:rPr>
        <w:t>Grand Hotel Trinidad</w:t>
      </w:r>
      <w:r w:rsidR="00483339">
        <w:rPr>
          <w:rFonts w:ascii="Times New Roman" w:eastAsiaTheme="minorHAnsi" w:hAnsi="Times New Roman" w:cstheme="minorBidi"/>
          <w:b w:val="0"/>
          <w:bCs w:val="0"/>
          <w:color w:val="auto"/>
          <w:sz w:val="24"/>
          <w:szCs w:val="24"/>
        </w:rPr>
        <w:t>.</w:t>
      </w:r>
    </w:p>
    <w:p w:rsidR="006762AF" w:rsidRPr="00612037" w:rsidRDefault="00BE78C6" w:rsidP="00612037">
      <w:pPr>
        <w:pStyle w:val="Prrafodelista"/>
        <w:numPr>
          <w:ilvl w:val="0"/>
          <w:numId w:val="23"/>
        </w:numPr>
        <w:spacing w:line="360" w:lineRule="auto"/>
        <w:jc w:val="both"/>
        <w:rPr>
          <w:rFonts w:ascii="Times New Roman" w:hAnsi="Times New Roman" w:cs="Times New Roman"/>
          <w:b/>
          <w:sz w:val="24"/>
          <w:szCs w:val="24"/>
        </w:rPr>
      </w:pPr>
      <w:r w:rsidRPr="00612037">
        <w:rPr>
          <w:rFonts w:ascii="Times New Roman" w:hAnsi="Times New Roman" w:cs="Times New Roman"/>
          <w:b/>
          <w:sz w:val="24"/>
          <w:szCs w:val="24"/>
        </w:rPr>
        <w:t>Metodología</w:t>
      </w:r>
    </w:p>
    <w:p w:rsidR="00483339" w:rsidRPr="00413345" w:rsidRDefault="00817FD8" w:rsidP="00413345">
      <w:pPr>
        <w:pStyle w:val="Ttulo2"/>
        <w:spacing w:line="360" w:lineRule="auto"/>
        <w:jc w:val="both"/>
        <w:rPr>
          <w:rFonts w:ascii="Times New Roman" w:eastAsiaTheme="minorHAnsi" w:hAnsi="Times New Roman" w:cstheme="minorBidi"/>
          <w:b w:val="0"/>
          <w:bCs w:val="0"/>
          <w:color w:val="auto"/>
          <w:sz w:val="24"/>
          <w:szCs w:val="24"/>
        </w:rPr>
      </w:pPr>
      <w:r w:rsidRPr="00413345">
        <w:rPr>
          <w:rFonts w:ascii="Times New Roman" w:eastAsiaTheme="minorHAnsi" w:hAnsi="Times New Roman" w:cstheme="minorBidi"/>
          <w:b w:val="0"/>
          <w:bCs w:val="0"/>
          <w:color w:val="auto"/>
          <w:sz w:val="24"/>
          <w:szCs w:val="24"/>
        </w:rPr>
        <w:t>El estudio realizado</w:t>
      </w:r>
      <w:r w:rsidR="001737CC" w:rsidRPr="00413345">
        <w:rPr>
          <w:rFonts w:ascii="Times New Roman" w:eastAsiaTheme="minorHAnsi" w:hAnsi="Times New Roman" w:cstheme="minorBidi"/>
          <w:b w:val="0"/>
          <w:bCs w:val="0"/>
          <w:color w:val="auto"/>
          <w:sz w:val="24"/>
          <w:szCs w:val="24"/>
        </w:rPr>
        <w:t xml:space="preserve"> </w:t>
      </w:r>
      <w:r w:rsidR="002054FA" w:rsidRPr="00413345">
        <w:rPr>
          <w:rFonts w:ascii="Times New Roman" w:eastAsiaTheme="minorHAnsi" w:hAnsi="Times New Roman" w:cstheme="minorBidi"/>
          <w:b w:val="0"/>
          <w:bCs w:val="0"/>
          <w:color w:val="auto"/>
          <w:sz w:val="24"/>
          <w:szCs w:val="24"/>
        </w:rPr>
        <w:t xml:space="preserve">se basó en el diagnóstico </w:t>
      </w:r>
      <w:r w:rsidR="00B1366E" w:rsidRPr="00413345">
        <w:rPr>
          <w:rFonts w:ascii="Times New Roman" w:eastAsiaTheme="minorHAnsi" w:hAnsi="Times New Roman" w:cstheme="minorBidi"/>
          <w:b w:val="0"/>
          <w:bCs w:val="0"/>
          <w:color w:val="auto"/>
          <w:sz w:val="24"/>
          <w:szCs w:val="24"/>
        </w:rPr>
        <w:t xml:space="preserve">de su planificación financiera a corto plazo a partir del análisis económico-financiero. </w:t>
      </w:r>
      <w:r w:rsidR="002054FA" w:rsidRPr="00413345">
        <w:rPr>
          <w:rFonts w:ascii="Times New Roman" w:eastAsiaTheme="minorHAnsi" w:hAnsi="Times New Roman" w:cstheme="minorBidi"/>
          <w:b w:val="0"/>
          <w:bCs w:val="0"/>
          <w:color w:val="auto"/>
          <w:sz w:val="24"/>
          <w:szCs w:val="24"/>
        </w:rPr>
        <w:t xml:space="preserve">Se declaró como </w:t>
      </w:r>
      <w:r w:rsidRPr="00413345">
        <w:rPr>
          <w:rFonts w:ascii="Times New Roman" w:eastAsiaTheme="minorHAnsi" w:hAnsi="Times New Roman" w:cstheme="minorBidi"/>
          <w:b w:val="0"/>
          <w:bCs w:val="0"/>
          <w:color w:val="auto"/>
          <w:sz w:val="24"/>
          <w:szCs w:val="24"/>
        </w:rPr>
        <w:t xml:space="preserve">variable independiente </w:t>
      </w:r>
      <w:r w:rsidR="00483339" w:rsidRPr="00413345">
        <w:rPr>
          <w:rFonts w:ascii="Times New Roman" w:eastAsiaTheme="minorHAnsi" w:hAnsi="Times New Roman" w:cstheme="minorBidi"/>
          <w:b w:val="0"/>
          <w:bCs w:val="0"/>
          <w:color w:val="auto"/>
          <w:sz w:val="24"/>
          <w:szCs w:val="24"/>
        </w:rPr>
        <w:t xml:space="preserve">las herramientas para el diagnóstico de la planificación financiera </w:t>
      </w:r>
      <w:r w:rsidRPr="00413345">
        <w:rPr>
          <w:rFonts w:ascii="Times New Roman" w:eastAsiaTheme="minorHAnsi" w:hAnsi="Times New Roman" w:cstheme="minorBidi"/>
          <w:b w:val="0"/>
          <w:bCs w:val="0"/>
          <w:color w:val="auto"/>
          <w:sz w:val="24"/>
          <w:szCs w:val="24"/>
        </w:rPr>
        <w:t xml:space="preserve">y la dependiente, la </w:t>
      </w:r>
      <w:r w:rsidR="00FF115D" w:rsidRPr="00413345">
        <w:rPr>
          <w:rFonts w:ascii="Times New Roman" w:eastAsiaTheme="minorHAnsi" w:hAnsi="Times New Roman" w:cstheme="minorBidi"/>
          <w:b w:val="0"/>
          <w:bCs w:val="0"/>
          <w:color w:val="auto"/>
          <w:sz w:val="24"/>
          <w:szCs w:val="24"/>
        </w:rPr>
        <w:t>contribución a</w:t>
      </w:r>
      <w:r w:rsidR="002054FA" w:rsidRPr="00413345">
        <w:rPr>
          <w:rFonts w:ascii="Times New Roman" w:eastAsiaTheme="minorHAnsi" w:hAnsi="Times New Roman" w:cstheme="minorBidi"/>
          <w:b w:val="0"/>
          <w:bCs w:val="0"/>
          <w:color w:val="auto"/>
          <w:sz w:val="24"/>
          <w:szCs w:val="24"/>
        </w:rPr>
        <w:t xml:space="preserve"> la </w:t>
      </w:r>
      <w:r w:rsidR="00483339" w:rsidRPr="00413345">
        <w:rPr>
          <w:rFonts w:ascii="Times New Roman" w:eastAsiaTheme="minorHAnsi" w:hAnsi="Times New Roman" w:cstheme="minorBidi"/>
          <w:b w:val="0"/>
          <w:bCs w:val="0"/>
          <w:color w:val="auto"/>
          <w:sz w:val="24"/>
          <w:szCs w:val="24"/>
        </w:rPr>
        <w:t>eficiencia económica financiera del hotel</w:t>
      </w:r>
      <w:r w:rsidR="00FF115D" w:rsidRPr="00413345">
        <w:rPr>
          <w:rFonts w:ascii="Times New Roman" w:eastAsiaTheme="minorHAnsi" w:hAnsi="Times New Roman" w:cstheme="minorBidi"/>
          <w:b w:val="0"/>
          <w:bCs w:val="0"/>
          <w:color w:val="auto"/>
          <w:sz w:val="24"/>
          <w:szCs w:val="24"/>
        </w:rPr>
        <w:t xml:space="preserve">.  Estos </w:t>
      </w:r>
      <w:r w:rsidR="00F135FE" w:rsidRPr="00413345">
        <w:rPr>
          <w:rFonts w:ascii="Times New Roman" w:eastAsiaTheme="minorHAnsi" w:hAnsi="Times New Roman" w:cstheme="minorBidi"/>
          <w:b w:val="0"/>
          <w:bCs w:val="0"/>
          <w:color w:val="auto"/>
          <w:sz w:val="24"/>
          <w:szCs w:val="24"/>
        </w:rPr>
        <w:t>estudios se realizaron desde el enfoque dialéctico materialista mediante la aplicación de técnicas y métodos generales. Del nivel teórico, el histórico-lógico, abstracción-concreción,</w:t>
      </w:r>
      <w:r w:rsidR="004D44DD" w:rsidRPr="00413345">
        <w:rPr>
          <w:rFonts w:ascii="Times New Roman" w:eastAsiaTheme="minorHAnsi" w:hAnsi="Times New Roman" w:cstheme="minorBidi"/>
          <w:b w:val="0"/>
          <w:bCs w:val="0"/>
          <w:color w:val="auto"/>
          <w:sz w:val="24"/>
          <w:szCs w:val="24"/>
        </w:rPr>
        <w:t xml:space="preserve"> </w:t>
      </w:r>
      <w:r w:rsidR="00F135FE" w:rsidRPr="00413345">
        <w:rPr>
          <w:rFonts w:ascii="Times New Roman" w:eastAsiaTheme="minorHAnsi" w:hAnsi="Times New Roman" w:cstheme="minorBidi"/>
          <w:b w:val="0"/>
          <w:bCs w:val="0"/>
          <w:color w:val="auto"/>
          <w:sz w:val="24"/>
          <w:szCs w:val="24"/>
        </w:rPr>
        <w:t>inductivo-deductivo</w:t>
      </w:r>
      <w:r w:rsidR="004D44DD" w:rsidRPr="00413345">
        <w:rPr>
          <w:rFonts w:ascii="Times New Roman" w:eastAsiaTheme="minorHAnsi" w:hAnsi="Times New Roman" w:cstheme="minorBidi"/>
          <w:b w:val="0"/>
          <w:bCs w:val="0"/>
          <w:color w:val="auto"/>
          <w:sz w:val="24"/>
          <w:szCs w:val="24"/>
        </w:rPr>
        <w:t xml:space="preserve"> </w:t>
      </w:r>
      <w:r w:rsidR="00F135FE" w:rsidRPr="00413345">
        <w:rPr>
          <w:rFonts w:ascii="Times New Roman" w:eastAsiaTheme="minorHAnsi" w:hAnsi="Times New Roman" w:cstheme="minorBidi"/>
          <w:b w:val="0"/>
          <w:bCs w:val="0"/>
          <w:color w:val="auto"/>
          <w:sz w:val="24"/>
          <w:szCs w:val="24"/>
        </w:rPr>
        <w:t>y analítico-sintético para el marco teórico referencial, y para identificar las causas del fenómeno</w:t>
      </w:r>
      <w:r w:rsidR="00EA3111" w:rsidRPr="00413345">
        <w:rPr>
          <w:rFonts w:ascii="Times New Roman" w:eastAsiaTheme="minorHAnsi" w:hAnsi="Times New Roman" w:cstheme="minorBidi"/>
          <w:b w:val="0"/>
          <w:bCs w:val="0"/>
          <w:color w:val="auto"/>
          <w:sz w:val="24"/>
          <w:szCs w:val="24"/>
        </w:rPr>
        <w:t>,</w:t>
      </w:r>
      <w:r w:rsidR="00F135FE" w:rsidRPr="00413345">
        <w:rPr>
          <w:rFonts w:ascii="Times New Roman" w:eastAsiaTheme="minorHAnsi" w:hAnsi="Times New Roman" w:cstheme="minorBidi"/>
          <w:b w:val="0"/>
          <w:bCs w:val="0"/>
          <w:color w:val="auto"/>
          <w:sz w:val="24"/>
          <w:szCs w:val="24"/>
        </w:rPr>
        <w:t xml:space="preserve"> los empíricos tales como la </w:t>
      </w:r>
      <w:r w:rsidR="00483339" w:rsidRPr="00413345">
        <w:rPr>
          <w:rFonts w:ascii="Times New Roman" w:eastAsiaTheme="minorHAnsi" w:hAnsi="Times New Roman" w:cstheme="minorBidi"/>
          <w:b w:val="0"/>
          <w:bCs w:val="0"/>
          <w:color w:val="auto"/>
          <w:sz w:val="24"/>
          <w:szCs w:val="24"/>
        </w:rPr>
        <w:t>r</w:t>
      </w:r>
      <w:r w:rsidR="00F135FE" w:rsidRPr="00413345">
        <w:rPr>
          <w:rFonts w:ascii="Times New Roman" w:eastAsiaTheme="minorHAnsi" w:hAnsi="Times New Roman" w:cstheme="minorBidi"/>
          <w:b w:val="0"/>
          <w:bCs w:val="0"/>
          <w:color w:val="auto"/>
          <w:sz w:val="24"/>
          <w:szCs w:val="24"/>
        </w:rPr>
        <w:t>evisión documental</w:t>
      </w:r>
      <w:r w:rsidR="00805819" w:rsidRPr="00413345">
        <w:rPr>
          <w:rFonts w:ascii="Times New Roman" w:eastAsiaTheme="minorHAnsi" w:hAnsi="Times New Roman" w:cstheme="minorBidi"/>
          <w:b w:val="0"/>
          <w:bCs w:val="0"/>
          <w:color w:val="auto"/>
          <w:sz w:val="24"/>
          <w:szCs w:val="24"/>
        </w:rPr>
        <w:t xml:space="preserve"> </w:t>
      </w:r>
      <w:r w:rsidR="000261FF" w:rsidRPr="00413345">
        <w:rPr>
          <w:rFonts w:ascii="Times New Roman" w:eastAsiaTheme="minorHAnsi" w:hAnsi="Times New Roman" w:cstheme="minorBidi"/>
          <w:b w:val="0"/>
          <w:bCs w:val="0"/>
          <w:color w:val="auto"/>
          <w:sz w:val="24"/>
          <w:szCs w:val="24"/>
        </w:rPr>
        <w:t xml:space="preserve">del </w:t>
      </w:r>
      <w:r w:rsidR="00483339" w:rsidRPr="00413345">
        <w:rPr>
          <w:rFonts w:ascii="Times New Roman" w:eastAsiaTheme="minorHAnsi" w:hAnsi="Times New Roman" w:cstheme="minorBidi"/>
          <w:b w:val="0"/>
          <w:bCs w:val="0"/>
          <w:color w:val="auto"/>
          <w:sz w:val="24"/>
          <w:szCs w:val="24"/>
        </w:rPr>
        <w:t xml:space="preserve">hotel </w:t>
      </w:r>
      <w:r w:rsidR="000261FF" w:rsidRPr="00413345">
        <w:rPr>
          <w:rFonts w:ascii="Times New Roman" w:eastAsiaTheme="minorHAnsi" w:hAnsi="Times New Roman" w:cstheme="minorBidi"/>
          <w:b w:val="0"/>
          <w:bCs w:val="0"/>
          <w:color w:val="auto"/>
          <w:sz w:val="24"/>
          <w:szCs w:val="24"/>
        </w:rPr>
        <w:t xml:space="preserve">utilizado como objeto de estudio práctico.  </w:t>
      </w:r>
      <w:r w:rsidR="00483339" w:rsidRPr="00413345">
        <w:rPr>
          <w:rFonts w:ascii="Times New Roman" w:eastAsiaTheme="minorHAnsi" w:hAnsi="Times New Roman" w:cstheme="minorBidi"/>
          <w:b w:val="0"/>
          <w:bCs w:val="0"/>
          <w:color w:val="auto"/>
          <w:sz w:val="24"/>
          <w:szCs w:val="24"/>
        </w:rPr>
        <w:t>Para el desarrollo de esta investigación se han tomado como base los datos reales que ofrecen los libros, registros y estados financieros de la entidad al cierre de marzo 2019.</w:t>
      </w:r>
    </w:p>
    <w:p w:rsidR="00075DC2" w:rsidRPr="00075DC2" w:rsidRDefault="00BE78C6" w:rsidP="00413345">
      <w:pPr>
        <w:pStyle w:val="Default"/>
        <w:numPr>
          <w:ilvl w:val="0"/>
          <w:numId w:val="23"/>
        </w:numPr>
        <w:spacing w:line="360" w:lineRule="auto"/>
        <w:jc w:val="both"/>
        <w:rPr>
          <w:rFonts w:ascii="Times New Roman" w:hAnsi="Times New Roman" w:cstheme="minorBidi"/>
          <w:b/>
          <w:color w:val="auto"/>
        </w:rPr>
      </w:pPr>
      <w:r w:rsidRPr="00075DC2">
        <w:rPr>
          <w:rFonts w:ascii="Times New Roman" w:hAnsi="Times New Roman" w:cs="Times New Roman"/>
          <w:b/>
        </w:rPr>
        <w:t>Resultados y discusión</w:t>
      </w:r>
    </w:p>
    <w:p w:rsidR="00075DC2" w:rsidRDefault="00413345" w:rsidP="00075DC2">
      <w:pPr>
        <w:pStyle w:val="Default"/>
        <w:spacing w:line="360" w:lineRule="auto"/>
        <w:jc w:val="both"/>
        <w:rPr>
          <w:rFonts w:ascii="Times New Roman" w:hAnsi="Times New Roman" w:cstheme="minorBidi"/>
          <w:color w:val="auto"/>
        </w:rPr>
      </w:pPr>
      <w:r w:rsidRPr="00075DC2">
        <w:rPr>
          <w:rFonts w:ascii="Times New Roman" w:hAnsi="Times New Roman" w:cstheme="minorBidi"/>
          <w:color w:val="auto"/>
        </w:rPr>
        <w:t>P</w:t>
      </w:r>
      <w:r w:rsidR="009A6A1F" w:rsidRPr="00075DC2">
        <w:rPr>
          <w:rFonts w:ascii="Times New Roman" w:hAnsi="Times New Roman" w:cstheme="minorBidi"/>
          <w:color w:val="auto"/>
        </w:rPr>
        <w:t>ara diagnosticar la planificación financiera del Iberostar se presenta un análisis del resultado del comportamiento de sus principales indicadores económicos al cierre del primer trimestre del año, todo lo cual justifica el uso de los recursos financieros utilizados en el periodo, ver figura 1.</w:t>
      </w:r>
    </w:p>
    <w:p w:rsidR="00782346" w:rsidRDefault="00782346" w:rsidP="00075DC2">
      <w:pPr>
        <w:pStyle w:val="Default"/>
        <w:spacing w:line="360" w:lineRule="auto"/>
        <w:jc w:val="both"/>
        <w:rPr>
          <w:rFonts w:ascii="Times New Roman" w:hAnsi="Times New Roman" w:cstheme="minorBidi"/>
          <w:color w:val="auto"/>
        </w:rPr>
      </w:pPr>
    </w:p>
    <w:p w:rsidR="00782346" w:rsidRDefault="00782346" w:rsidP="00782346">
      <w:pPr>
        <w:pStyle w:val="Default"/>
        <w:spacing w:afterAutospacing="0" w:line="360" w:lineRule="auto"/>
        <w:rPr>
          <w:rFonts w:ascii="Times New Roman" w:hAnsi="Times New Roman" w:cstheme="minorBidi"/>
          <w:color w:val="auto"/>
        </w:rPr>
      </w:pPr>
    </w:p>
    <w:p w:rsidR="009A6A1F" w:rsidRDefault="00782346" w:rsidP="00075DC2">
      <w:pPr>
        <w:pStyle w:val="Default"/>
        <w:spacing w:line="360" w:lineRule="auto"/>
        <w:jc w:val="both"/>
        <w:rPr>
          <w:rFonts w:ascii="Times New Roman" w:hAnsi="Times New Roman" w:cstheme="minorBidi"/>
          <w:color w:val="auto"/>
        </w:rPr>
      </w:pPr>
      <w:r>
        <w:rPr>
          <w:rFonts w:ascii="Times New Roman" w:hAnsi="Times New Roman" w:cstheme="minorBidi"/>
          <w:color w:val="auto"/>
        </w:rPr>
        <w:t>C</w:t>
      </w:r>
      <w:r w:rsidR="009A6A1F" w:rsidRPr="00075DC2">
        <w:rPr>
          <w:rFonts w:ascii="Times New Roman" w:hAnsi="Times New Roman" w:cstheme="minorBidi"/>
          <w:color w:val="auto"/>
        </w:rPr>
        <w:t>omo puede observarse no se logran alcanzar los ingresos previstos en divisa por 6,5 MCUC, toda vez que muestran un 99,44 % de cumplimiento, aunque se incrementan los ingresos en divisa con relación al año anterior en 104,8 MCUC, por lo que crecen en un 10%. En cuanto a los costos y gastos no existe una sobre ejecución de lo planificado en costos y gastos por valor de 71,9 MCUC, mostrando un significativo comportamiento por debajo del nivel de actividad de un 90,59 %. El índice planificado para el cierre del primer trimestre del año fue 0,66 centavos y so obtiene 0,60. Sin embargo,</w:t>
      </w:r>
      <w:r w:rsidR="00075DC2">
        <w:rPr>
          <w:rFonts w:ascii="Times New Roman" w:hAnsi="Times New Roman" w:cstheme="minorBidi"/>
          <w:color w:val="auto"/>
        </w:rPr>
        <w:t xml:space="preserve"> </w:t>
      </w:r>
      <w:r w:rsidR="009A6A1F" w:rsidRPr="00075DC2">
        <w:rPr>
          <w:rFonts w:ascii="Times New Roman" w:hAnsi="Times New Roman" w:cstheme="minorBidi"/>
          <w:color w:val="auto"/>
        </w:rPr>
        <w:t>se incrementan los costos y gastos con relación al año anterior,</w:t>
      </w:r>
      <w:r w:rsidR="00075DC2">
        <w:rPr>
          <w:rFonts w:ascii="Times New Roman" w:hAnsi="Times New Roman" w:cstheme="minorBidi"/>
          <w:color w:val="auto"/>
        </w:rPr>
        <w:t xml:space="preserve"> </w:t>
      </w:r>
      <w:r w:rsidR="009A6A1F" w:rsidRPr="00075DC2">
        <w:rPr>
          <w:rFonts w:ascii="Times New Roman" w:hAnsi="Times New Roman" w:cstheme="minorBidi"/>
          <w:color w:val="auto"/>
        </w:rPr>
        <w:t xml:space="preserve">debido al comportamiento favorable de los ingresos en 22,4.   </w:t>
      </w:r>
    </w:p>
    <w:p w:rsidR="00B06601" w:rsidRPr="00B06601" w:rsidRDefault="009A6A1F" w:rsidP="00B06601">
      <w:pPr>
        <w:pStyle w:val="Sinespaciado"/>
        <w:spacing w:line="360" w:lineRule="auto"/>
        <w:jc w:val="both"/>
        <w:rPr>
          <w:rFonts w:ascii="Times New Roman" w:hAnsi="Times New Roman"/>
          <w:sz w:val="24"/>
          <w:szCs w:val="24"/>
        </w:rPr>
      </w:pPr>
      <w:r w:rsidRPr="00B06601">
        <w:rPr>
          <w:rFonts w:ascii="Times New Roman" w:hAnsi="Times New Roman"/>
          <w:sz w:val="24"/>
          <w:szCs w:val="24"/>
        </w:rPr>
        <w:t>Se cumple con la utilidad planificada para el cierre de marzo-2019 por 65,4 MCUC, se había previsto obtener un rendimiento de las utilidades en divisa de 386,8 MCUC y se registraron utilidades por valor de 452,2.</w:t>
      </w:r>
      <w:r w:rsidR="00413345" w:rsidRPr="00B06601">
        <w:rPr>
          <w:rFonts w:ascii="Times New Roman" w:hAnsi="Times New Roman"/>
          <w:sz w:val="24"/>
          <w:szCs w:val="24"/>
        </w:rPr>
        <w:t xml:space="preserve"> De esta forma se crece con relación </w:t>
      </w:r>
      <w:r w:rsidR="00B06601" w:rsidRPr="00B06601">
        <w:rPr>
          <w:rFonts w:ascii="Times New Roman" w:hAnsi="Times New Roman"/>
          <w:sz w:val="24"/>
          <w:szCs w:val="24"/>
        </w:rPr>
        <w:t>a la</w:t>
      </w:r>
      <w:r w:rsidR="00413345" w:rsidRPr="00B06601">
        <w:rPr>
          <w:rFonts w:ascii="Times New Roman" w:hAnsi="Times New Roman"/>
          <w:sz w:val="24"/>
          <w:szCs w:val="24"/>
        </w:rPr>
        <w:t xml:space="preserve"> utilidad ejecutada en el año anterior en 82,4 MCUC. Se incrementa en un 22,27%.</w:t>
      </w:r>
      <w:r w:rsidR="00B06601" w:rsidRPr="00B06601">
        <w:rPr>
          <w:rFonts w:ascii="Times New Roman" w:hAnsi="Times New Roman"/>
          <w:b/>
          <w:bCs/>
          <w:sz w:val="24"/>
          <w:szCs w:val="24"/>
        </w:rPr>
        <w:t xml:space="preserve"> </w:t>
      </w:r>
      <w:r w:rsidR="00B06601" w:rsidRPr="00B06601">
        <w:rPr>
          <w:rFonts w:ascii="Times New Roman" w:hAnsi="Times New Roman"/>
          <w:sz w:val="24"/>
          <w:szCs w:val="24"/>
        </w:rPr>
        <w:t xml:space="preserve">Esta situación provocó un mejoramiento en el índice de eficiencia planificado en 0,06 centavos y en el índice de eficiencia con relación al año anterior en 0,04 centavos. Sin embargo, decrecen los turistas días totales con relación al plan en 614 y crecen los turistas días totales con relación al año anterior en 635. Se incrementa el ingreso medio total planificado en 18,10 y se deteriora el ingreso medio total con relación al año anterior en 4,16. </w:t>
      </w:r>
    </w:p>
    <w:p w:rsidR="00B06601" w:rsidRDefault="00B06601" w:rsidP="00B06601">
      <w:pPr>
        <w:pStyle w:val="Sinespaciado"/>
        <w:spacing w:line="360" w:lineRule="auto"/>
        <w:jc w:val="both"/>
        <w:rPr>
          <w:rFonts w:ascii="Times New Roman" w:hAnsi="Times New Roman"/>
          <w:sz w:val="24"/>
          <w:szCs w:val="24"/>
        </w:rPr>
      </w:pPr>
      <w:r>
        <w:rPr>
          <w:rFonts w:ascii="Times New Roman" w:hAnsi="Times New Roman"/>
          <w:sz w:val="24"/>
          <w:szCs w:val="24"/>
        </w:rPr>
        <w:t xml:space="preserve"> </w:t>
      </w:r>
      <w:r w:rsidR="009A6A1F" w:rsidRPr="00B06601">
        <w:rPr>
          <w:rFonts w:ascii="Times New Roman" w:hAnsi="Times New Roman"/>
          <w:sz w:val="24"/>
          <w:szCs w:val="24"/>
        </w:rPr>
        <w:t xml:space="preserve">         </w:t>
      </w:r>
    </w:p>
    <w:p w:rsidR="009A6A1F" w:rsidRPr="00B06601" w:rsidRDefault="009A6A1F" w:rsidP="00B06601">
      <w:pPr>
        <w:pStyle w:val="Sinespaciado"/>
        <w:spacing w:line="360" w:lineRule="auto"/>
        <w:jc w:val="both"/>
        <w:rPr>
          <w:rFonts w:ascii="Times New Roman" w:hAnsi="Times New Roman"/>
          <w:sz w:val="24"/>
          <w:szCs w:val="24"/>
        </w:rPr>
      </w:pPr>
      <w:r w:rsidRPr="00B06601">
        <w:rPr>
          <w:rFonts w:ascii="Times New Roman" w:hAnsi="Times New Roman"/>
          <w:sz w:val="24"/>
          <w:szCs w:val="24"/>
        </w:rPr>
        <w:t xml:space="preserve">                                                  </w:t>
      </w:r>
    </w:p>
    <w:p w:rsidR="000D4451" w:rsidRDefault="00612037" w:rsidP="00782346">
      <w:pPr>
        <w:spacing w:after="0" w:afterAutospacing="0" w:line="240" w:lineRule="auto"/>
        <w:jc w:val="both"/>
        <w:rPr>
          <w:rFonts w:ascii="Times New Roman" w:hAnsi="Times New Roman" w:cs="Times New Roman"/>
        </w:rPr>
      </w:pPr>
      <w:r>
        <w:rPr>
          <w:rFonts w:ascii="Times New Roman" w:hAnsi="Times New Roman" w:cs="Times New Roman"/>
          <w:noProof/>
          <w:lang w:eastAsia="es-ES"/>
        </w:rPr>
        <w:lastRenderedPageBreak/>
        <w:drawing>
          <wp:inline distT="0" distB="0" distL="0" distR="0">
            <wp:extent cx="5324475" cy="5153025"/>
            <wp:effectExtent l="19050" t="0" r="952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324475" cy="5153025"/>
                    </a:xfrm>
                    <a:prstGeom prst="rect">
                      <a:avLst/>
                    </a:prstGeom>
                    <a:noFill/>
                    <a:ln w="9525">
                      <a:noFill/>
                      <a:miter lim="800000"/>
                      <a:headEnd/>
                      <a:tailEnd/>
                    </a:ln>
                  </pic:spPr>
                </pic:pic>
              </a:graphicData>
            </a:graphic>
          </wp:inline>
        </w:drawing>
      </w:r>
    </w:p>
    <w:p w:rsidR="000D4451" w:rsidRPr="00413345" w:rsidRDefault="00413345" w:rsidP="00782346">
      <w:pPr>
        <w:spacing w:after="0" w:afterAutospacing="0" w:line="240" w:lineRule="auto"/>
        <w:ind w:left="113" w:right="850"/>
        <w:jc w:val="both"/>
        <w:rPr>
          <w:rFonts w:ascii="Times New Roman" w:hAnsi="Times New Roman" w:cs="Times New Roman"/>
          <w:b/>
        </w:rPr>
      </w:pPr>
      <w:r w:rsidRPr="00782346">
        <w:rPr>
          <w:rFonts w:ascii="Times New Roman" w:hAnsi="Times New Roman" w:cs="Times New Roman"/>
        </w:rPr>
        <w:t>Figura 1. Resumen de los principales indicadores económicos del Iberostar al cierre de marzo/2019. Fuente: elaboración del autor</w:t>
      </w:r>
      <w:r w:rsidRPr="00413345">
        <w:rPr>
          <w:rFonts w:ascii="Times New Roman" w:hAnsi="Times New Roman" w:cs="Times New Roman"/>
          <w:b/>
        </w:rPr>
        <w:t>.</w:t>
      </w:r>
    </w:p>
    <w:p w:rsidR="00557A7B" w:rsidRDefault="00413345" w:rsidP="00075DC2">
      <w:pPr>
        <w:pStyle w:val="Ttulo2"/>
        <w:spacing w:line="360" w:lineRule="auto"/>
        <w:jc w:val="both"/>
        <w:rPr>
          <w:rFonts w:ascii="Times New Roman" w:eastAsiaTheme="minorHAnsi" w:hAnsi="Times New Roman" w:cstheme="minorBidi"/>
          <w:b w:val="0"/>
          <w:bCs w:val="0"/>
          <w:color w:val="auto"/>
          <w:sz w:val="24"/>
          <w:szCs w:val="24"/>
        </w:rPr>
      </w:pPr>
      <w:r w:rsidRPr="00075DC2">
        <w:rPr>
          <w:rFonts w:ascii="Times New Roman" w:eastAsiaTheme="minorHAnsi" w:hAnsi="Times New Roman" w:cstheme="minorBidi"/>
          <w:b w:val="0"/>
          <w:bCs w:val="0"/>
          <w:color w:val="auto"/>
          <w:sz w:val="24"/>
          <w:szCs w:val="24"/>
        </w:rPr>
        <w:lastRenderedPageBreak/>
        <w:t xml:space="preserve">Por otra parte, mejora el ingreso medio turístico planificado en 19,90 y </w:t>
      </w:r>
      <w:r w:rsidR="00026FB3">
        <w:rPr>
          <w:rFonts w:ascii="Times New Roman" w:eastAsiaTheme="minorHAnsi" w:hAnsi="Times New Roman" w:cstheme="minorBidi"/>
          <w:b w:val="0"/>
          <w:bCs w:val="0"/>
          <w:color w:val="auto"/>
          <w:sz w:val="24"/>
          <w:szCs w:val="24"/>
        </w:rPr>
        <w:t>s</w:t>
      </w:r>
      <w:r w:rsidRPr="00075DC2">
        <w:rPr>
          <w:rFonts w:ascii="Times New Roman" w:eastAsiaTheme="minorHAnsi" w:hAnsi="Times New Roman" w:cstheme="minorBidi"/>
          <w:b w:val="0"/>
          <w:bCs w:val="0"/>
          <w:color w:val="auto"/>
          <w:sz w:val="24"/>
          <w:szCs w:val="24"/>
        </w:rPr>
        <w:t xml:space="preserve">e deteriora el ingreso medio turístico con relación al año anterior en 3,99. </w:t>
      </w:r>
      <w:r w:rsidR="00075DC2" w:rsidRPr="00075DC2">
        <w:rPr>
          <w:rFonts w:ascii="Times New Roman" w:eastAsiaTheme="minorHAnsi" w:hAnsi="Times New Roman" w:cstheme="minorBidi"/>
          <w:b w:val="0"/>
          <w:bCs w:val="0"/>
          <w:color w:val="auto"/>
          <w:sz w:val="24"/>
          <w:szCs w:val="24"/>
        </w:rPr>
        <w:t>Se mejora el ingreso medio paquete planificado en 28,33 y se reduce el ingreso medio paquete con relación al año anterior, debido a descuentos y ofertas con mejores precios a TTOO en 9,13. Se incrementan los costos más gastos por turistas días totales planificados en 0,29</w:t>
      </w:r>
      <w:r w:rsidR="00075DC2">
        <w:rPr>
          <w:rFonts w:ascii="Times New Roman" w:eastAsiaTheme="minorHAnsi" w:hAnsi="Times New Roman" w:cstheme="minorBidi"/>
          <w:b w:val="0"/>
          <w:bCs w:val="0"/>
          <w:color w:val="auto"/>
          <w:sz w:val="24"/>
          <w:szCs w:val="24"/>
        </w:rPr>
        <w:t xml:space="preserve"> y </w:t>
      </w:r>
      <w:r w:rsidR="00075DC2" w:rsidRPr="00075DC2">
        <w:rPr>
          <w:rFonts w:ascii="Times New Roman" w:eastAsiaTheme="minorHAnsi" w:hAnsi="Times New Roman" w:cstheme="minorBidi"/>
          <w:b w:val="0"/>
          <w:bCs w:val="0"/>
          <w:color w:val="auto"/>
          <w:sz w:val="24"/>
          <w:szCs w:val="24"/>
        </w:rPr>
        <w:t>se reducen los costos más gastos por turistas días totales con relación al año anterior, debido al arribo de 635 clientes más que al</w:t>
      </w:r>
      <w:r w:rsidR="00075DC2">
        <w:rPr>
          <w:rFonts w:ascii="Times New Roman" w:eastAsiaTheme="minorHAnsi" w:hAnsi="Times New Roman" w:cstheme="minorBidi"/>
          <w:b w:val="0"/>
          <w:bCs w:val="0"/>
          <w:color w:val="auto"/>
          <w:sz w:val="24"/>
          <w:szCs w:val="24"/>
        </w:rPr>
        <w:t xml:space="preserve"> </w:t>
      </w:r>
      <w:r w:rsidR="00075DC2" w:rsidRPr="00075DC2">
        <w:rPr>
          <w:rFonts w:ascii="Times New Roman" w:eastAsiaTheme="minorHAnsi" w:hAnsi="Times New Roman" w:cstheme="minorBidi"/>
          <w:b w:val="0"/>
          <w:bCs w:val="0"/>
          <w:color w:val="auto"/>
          <w:sz w:val="24"/>
          <w:szCs w:val="24"/>
        </w:rPr>
        <w:t>cierre de marzo del 2018 y una mejor gestión de los costos y gastos en 10,51.</w:t>
      </w:r>
    </w:p>
    <w:p w:rsidR="00BF2FF2" w:rsidRPr="00BF2FF2" w:rsidRDefault="00BF2FF2" w:rsidP="00BF2FF2">
      <w:pPr>
        <w:pStyle w:val="Ttulo2"/>
        <w:spacing w:line="360" w:lineRule="auto"/>
        <w:jc w:val="both"/>
        <w:rPr>
          <w:rFonts w:ascii="Times New Roman" w:eastAsiaTheme="minorHAnsi" w:hAnsi="Times New Roman" w:cstheme="minorBidi"/>
          <w:b w:val="0"/>
          <w:bCs w:val="0"/>
          <w:color w:val="auto"/>
          <w:sz w:val="24"/>
          <w:szCs w:val="24"/>
        </w:rPr>
      </w:pPr>
      <w:r w:rsidRPr="00BF2FF2">
        <w:rPr>
          <w:rFonts w:ascii="Times New Roman" w:eastAsiaTheme="minorHAnsi" w:hAnsi="Times New Roman" w:cstheme="minorBidi"/>
          <w:b w:val="0"/>
          <w:bCs w:val="0"/>
          <w:color w:val="auto"/>
          <w:sz w:val="24"/>
          <w:szCs w:val="24"/>
        </w:rPr>
        <w:t xml:space="preserve">Para analizar la situación financiera relativa al equilibrio financiero se dispone de los datos contables, ver tabla 1. </w:t>
      </w:r>
    </w:p>
    <w:tbl>
      <w:tblPr>
        <w:tblStyle w:val="Sombreadoclaro"/>
        <w:tblW w:w="0" w:type="auto"/>
        <w:jc w:val="center"/>
        <w:tblLook w:val="04A0"/>
      </w:tblPr>
      <w:tblGrid>
        <w:gridCol w:w="2881"/>
        <w:gridCol w:w="2881"/>
        <w:gridCol w:w="2882"/>
      </w:tblGrid>
      <w:tr w:rsidR="00137E10" w:rsidTr="005F535C">
        <w:trPr>
          <w:cnfStyle w:val="100000000000"/>
          <w:jc w:val="center"/>
        </w:trPr>
        <w:tc>
          <w:tcPr>
            <w:cnfStyle w:val="001000000000"/>
            <w:tcW w:w="2881" w:type="dxa"/>
          </w:tcPr>
          <w:p w:rsidR="00137E10" w:rsidRPr="00137E10" w:rsidRDefault="00137E10" w:rsidP="00BF2FF2">
            <w:pPr>
              <w:pStyle w:val="Ttulo2"/>
              <w:outlineLvl w:val="1"/>
              <w:rPr>
                <w:rFonts w:ascii="Times New Roman" w:eastAsiaTheme="minorHAnsi" w:hAnsi="Times New Roman" w:cstheme="minorBidi"/>
                <w:color w:val="auto"/>
                <w:sz w:val="24"/>
                <w:szCs w:val="24"/>
              </w:rPr>
            </w:pPr>
            <w:r>
              <w:rPr>
                <w:rFonts w:ascii="Times New Roman" w:eastAsiaTheme="minorHAnsi" w:hAnsi="Times New Roman" w:cstheme="minorBidi"/>
                <w:color w:val="auto"/>
                <w:sz w:val="24"/>
                <w:szCs w:val="24"/>
              </w:rPr>
              <w:t xml:space="preserve">Partida </w:t>
            </w:r>
          </w:p>
        </w:tc>
        <w:tc>
          <w:tcPr>
            <w:tcW w:w="2881" w:type="dxa"/>
          </w:tcPr>
          <w:p w:rsidR="00137E10" w:rsidRPr="00137E10" w:rsidRDefault="00137E10" w:rsidP="00BF2FF2">
            <w:pPr>
              <w:pStyle w:val="Ttulo2"/>
              <w:outlineLvl w:val="1"/>
              <w:cnfStyle w:val="100000000000"/>
              <w:rPr>
                <w:rFonts w:ascii="Times New Roman" w:eastAsiaTheme="minorHAnsi" w:hAnsi="Times New Roman" w:cstheme="minorBidi"/>
                <w:color w:val="auto"/>
                <w:sz w:val="24"/>
                <w:szCs w:val="24"/>
              </w:rPr>
            </w:pPr>
            <w:r>
              <w:rPr>
                <w:rFonts w:ascii="Times New Roman" w:eastAsiaTheme="minorHAnsi" w:hAnsi="Times New Roman" w:cstheme="minorBidi"/>
                <w:color w:val="auto"/>
                <w:sz w:val="24"/>
                <w:szCs w:val="24"/>
              </w:rPr>
              <w:t xml:space="preserve">Detalles </w:t>
            </w:r>
          </w:p>
        </w:tc>
        <w:tc>
          <w:tcPr>
            <w:tcW w:w="2882" w:type="dxa"/>
          </w:tcPr>
          <w:p w:rsidR="00137E10" w:rsidRPr="00137E10" w:rsidRDefault="00137E10" w:rsidP="00BF2FF2">
            <w:pPr>
              <w:pStyle w:val="Ttulo2"/>
              <w:outlineLvl w:val="1"/>
              <w:cnfStyle w:val="100000000000"/>
              <w:rPr>
                <w:rFonts w:ascii="Times New Roman" w:eastAsiaTheme="minorHAnsi" w:hAnsi="Times New Roman" w:cstheme="minorBidi"/>
                <w:color w:val="auto"/>
                <w:sz w:val="24"/>
                <w:szCs w:val="24"/>
              </w:rPr>
            </w:pPr>
            <w:r w:rsidRPr="00137E10">
              <w:rPr>
                <w:rFonts w:ascii="Times New Roman" w:eastAsiaTheme="minorHAnsi" w:hAnsi="Times New Roman" w:cstheme="minorBidi"/>
                <w:color w:val="auto"/>
                <w:sz w:val="24"/>
                <w:szCs w:val="24"/>
              </w:rPr>
              <w:t>Saldo acumulado</w:t>
            </w:r>
          </w:p>
        </w:tc>
      </w:tr>
      <w:tr w:rsidR="00137E10" w:rsidTr="005F535C">
        <w:trPr>
          <w:cnfStyle w:val="000000100000"/>
          <w:jc w:val="center"/>
        </w:trPr>
        <w:tc>
          <w:tcPr>
            <w:cnfStyle w:val="001000000000"/>
            <w:tcW w:w="2881" w:type="dxa"/>
          </w:tcPr>
          <w:p w:rsidR="00137E10" w:rsidRPr="00137E10" w:rsidRDefault="00137E10" w:rsidP="00BF2FF2">
            <w:pPr>
              <w:pStyle w:val="Ttulo2"/>
              <w:jc w:val="both"/>
              <w:outlineLvl w:val="1"/>
              <w:rPr>
                <w:rFonts w:ascii="Times New Roman" w:eastAsiaTheme="minorHAnsi" w:hAnsi="Times New Roman" w:cstheme="minorBidi"/>
                <w:color w:val="auto"/>
                <w:sz w:val="24"/>
                <w:szCs w:val="24"/>
              </w:rPr>
            </w:pPr>
            <w:r w:rsidRPr="00137E10">
              <w:rPr>
                <w:rFonts w:ascii="Times New Roman" w:eastAsiaTheme="minorHAnsi" w:hAnsi="Times New Roman" w:cstheme="minorBidi"/>
                <w:color w:val="auto"/>
                <w:sz w:val="24"/>
                <w:szCs w:val="24"/>
              </w:rPr>
              <w:t>ACTIVOS</w:t>
            </w:r>
          </w:p>
        </w:tc>
        <w:tc>
          <w:tcPr>
            <w:tcW w:w="2881" w:type="dxa"/>
          </w:tcPr>
          <w:p w:rsidR="00137E10" w:rsidRDefault="00137E10" w:rsidP="00BF2FF2">
            <w:pPr>
              <w:pStyle w:val="Ttulo2"/>
              <w:jc w:val="both"/>
              <w:outlineLvl w:val="1"/>
              <w:cnfStyle w:val="000000100000"/>
              <w:rPr>
                <w:rFonts w:ascii="Times New Roman" w:eastAsiaTheme="minorHAnsi" w:hAnsi="Times New Roman" w:cstheme="minorBidi"/>
                <w:b w:val="0"/>
                <w:bCs w:val="0"/>
                <w:color w:val="auto"/>
                <w:sz w:val="24"/>
                <w:szCs w:val="24"/>
              </w:rPr>
            </w:pPr>
            <w:r>
              <w:rPr>
                <w:rFonts w:ascii="Times New Roman" w:eastAsiaTheme="minorHAnsi" w:hAnsi="Times New Roman" w:cstheme="minorBidi"/>
                <w:b w:val="0"/>
                <w:bCs w:val="0"/>
                <w:color w:val="auto"/>
                <w:sz w:val="24"/>
                <w:szCs w:val="24"/>
              </w:rPr>
              <w:t>Activo circulante</w:t>
            </w:r>
          </w:p>
        </w:tc>
        <w:tc>
          <w:tcPr>
            <w:tcW w:w="2882" w:type="dxa"/>
          </w:tcPr>
          <w:p w:rsidR="00137E10" w:rsidRPr="00137E10" w:rsidRDefault="00137E10" w:rsidP="00BF2FF2">
            <w:pPr>
              <w:pStyle w:val="Ttulo2"/>
              <w:outlineLvl w:val="1"/>
              <w:cnfStyle w:val="000000100000"/>
              <w:rPr>
                <w:rFonts w:ascii="Times New Roman" w:eastAsiaTheme="minorHAnsi" w:hAnsi="Times New Roman" w:cstheme="minorBidi"/>
                <w:b w:val="0"/>
                <w:bCs w:val="0"/>
                <w:color w:val="auto"/>
                <w:sz w:val="24"/>
                <w:szCs w:val="24"/>
              </w:rPr>
            </w:pPr>
            <w:r w:rsidRPr="00137E10">
              <w:rPr>
                <w:rFonts w:ascii="Courier" w:hAnsi="Courier" w:cs="Courier"/>
                <w:color w:val="auto"/>
                <w:sz w:val="20"/>
                <w:szCs w:val="20"/>
              </w:rPr>
              <w:t>1966406.6780</w:t>
            </w:r>
          </w:p>
        </w:tc>
      </w:tr>
      <w:tr w:rsidR="00137E10" w:rsidTr="005F535C">
        <w:trPr>
          <w:jc w:val="center"/>
        </w:trPr>
        <w:tc>
          <w:tcPr>
            <w:cnfStyle w:val="001000000000"/>
            <w:tcW w:w="2881" w:type="dxa"/>
          </w:tcPr>
          <w:p w:rsidR="00137E10" w:rsidRDefault="00137E10" w:rsidP="00BF2FF2">
            <w:pPr>
              <w:pStyle w:val="Ttulo2"/>
              <w:jc w:val="both"/>
              <w:outlineLvl w:val="1"/>
              <w:rPr>
                <w:rFonts w:ascii="Times New Roman" w:eastAsiaTheme="minorHAnsi" w:hAnsi="Times New Roman" w:cstheme="minorBidi"/>
                <w:color w:val="auto"/>
                <w:sz w:val="24"/>
                <w:szCs w:val="24"/>
              </w:rPr>
            </w:pPr>
          </w:p>
        </w:tc>
        <w:tc>
          <w:tcPr>
            <w:tcW w:w="2881" w:type="dxa"/>
          </w:tcPr>
          <w:p w:rsidR="00137E10" w:rsidRDefault="00137E10" w:rsidP="00BF2FF2">
            <w:pPr>
              <w:pStyle w:val="Ttulo2"/>
              <w:jc w:val="both"/>
              <w:outlineLvl w:val="1"/>
              <w:cnfStyle w:val="000000000000"/>
              <w:rPr>
                <w:rFonts w:ascii="Times New Roman" w:eastAsiaTheme="minorHAnsi" w:hAnsi="Times New Roman" w:cstheme="minorBidi"/>
                <w:b w:val="0"/>
                <w:bCs w:val="0"/>
                <w:color w:val="auto"/>
                <w:sz w:val="24"/>
                <w:szCs w:val="24"/>
              </w:rPr>
            </w:pPr>
            <w:r>
              <w:rPr>
                <w:rFonts w:ascii="Times New Roman" w:eastAsiaTheme="minorHAnsi" w:hAnsi="Times New Roman" w:cstheme="minorBidi"/>
                <w:b w:val="0"/>
                <w:bCs w:val="0"/>
                <w:color w:val="auto"/>
                <w:sz w:val="24"/>
                <w:szCs w:val="24"/>
              </w:rPr>
              <w:t>Activos fijos</w:t>
            </w:r>
          </w:p>
        </w:tc>
        <w:tc>
          <w:tcPr>
            <w:tcW w:w="2882" w:type="dxa"/>
          </w:tcPr>
          <w:p w:rsidR="00137E10" w:rsidRPr="00137E10" w:rsidRDefault="00137E10" w:rsidP="00BF2FF2">
            <w:pPr>
              <w:pStyle w:val="Ttulo2"/>
              <w:outlineLvl w:val="1"/>
              <w:cnfStyle w:val="000000000000"/>
              <w:rPr>
                <w:rFonts w:ascii="Times New Roman" w:eastAsiaTheme="minorHAnsi" w:hAnsi="Times New Roman" w:cstheme="minorBidi"/>
                <w:b w:val="0"/>
                <w:bCs w:val="0"/>
                <w:color w:val="auto"/>
                <w:sz w:val="24"/>
                <w:szCs w:val="24"/>
              </w:rPr>
            </w:pPr>
            <w:r w:rsidRPr="00137E10">
              <w:rPr>
                <w:rFonts w:ascii="Courier" w:hAnsi="Courier" w:cs="Courier"/>
                <w:color w:val="auto"/>
                <w:sz w:val="20"/>
                <w:szCs w:val="20"/>
              </w:rPr>
              <w:t>6526087.0900</w:t>
            </w:r>
          </w:p>
        </w:tc>
      </w:tr>
      <w:tr w:rsidR="00137E10" w:rsidTr="005F535C">
        <w:trPr>
          <w:cnfStyle w:val="000000100000"/>
          <w:jc w:val="center"/>
        </w:trPr>
        <w:tc>
          <w:tcPr>
            <w:cnfStyle w:val="001000000000"/>
            <w:tcW w:w="2881" w:type="dxa"/>
          </w:tcPr>
          <w:p w:rsidR="00137E10" w:rsidRDefault="00137E10" w:rsidP="00BF2FF2">
            <w:pPr>
              <w:pStyle w:val="Ttulo2"/>
              <w:jc w:val="both"/>
              <w:outlineLvl w:val="1"/>
              <w:rPr>
                <w:rFonts w:ascii="Times New Roman" w:eastAsiaTheme="minorHAnsi" w:hAnsi="Times New Roman" w:cstheme="minorBidi"/>
                <w:color w:val="auto"/>
                <w:sz w:val="24"/>
                <w:szCs w:val="24"/>
              </w:rPr>
            </w:pPr>
          </w:p>
        </w:tc>
        <w:tc>
          <w:tcPr>
            <w:tcW w:w="2881" w:type="dxa"/>
          </w:tcPr>
          <w:p w:rsidR="00137E10" w:rsidRDefault="00137E10" w:rsidP="00BF2FF2">
            <w:pPr>
              <w:pStyle w:val="Ttulo2"/>
              <w:jc w:val="both"/>
              <w:outlineLvl w:val="1"/>
              <w:cnfStyle w:val="000000100000"/>
              <w:rPr>
                <w:rFonts w:ascii="Times New Roman" w:eastAsiaTheme="minorHAnsi" w:hAnsi="Times New Roman" w:cstheme="minorBidi"/>
                <w:b w:val="0"/>
                <w:bCs w:val="0"/>
                <w:color w:val="auto"/>
                <w:sz w:val="24"/>
                <w:szCs w:val="24"/>
              </w:rPr>
            </w:pPr>
            <w:r>
              <w:rPr>
                <w:rFonts w:ascii="Times New Roman" w:eastAsiaTheme="minorHAnsi" w:hAnsi="Times New Roman" w:cstheme="minorBidi"/>
                <w:b w:val="0"/>
                <w:bCs w:val="0"/>
                <w:color w:val="auto"/>
                <w:sz w:val="24"/>
                <w:szCs w:val="24"/>
              </w:rPr>
              <w:t>Activos diferidos</w:t>
            </w:r>
          </w:p>
        </w:tc>
        <w:tc>
          <w:tcPr>
            <w:tcW w:w="2882" w:type="dxa"/>
          </w:tcPr>
          <w:p w:rsidR="00137E10" w:rsidRPr="00137E10" w:rsidRDefault="00137E10" w:rsidP="00BF2FF2">
            <w:pPr>
              <w:pStyle w:val="Ttulo2"/>
              <w:outlineLvl w:val="1"/>
              <w:cnfStyle w:val="000000100000"/>
              <w:rPr>
                <w:rFonts w:ascii="Times New Roman" w:eastAsiaTheme="minorHAnsi" w:hAnsi="Times New Roman" w:cstheme="minorBidi"/>
                <w:b w:val="0"/>
                <w:bCs w:val="0"/>
                <w:color w:val="auto"/>
                <w:sz w:val="24"/>
                <w:szCs w:val="24"/>
              </w:rPr>
            </w:pPr>
            <w:r w:rsidRPr="00137E10">
              <w:rPr>
                <w:rFonts w:ascii="Courier" w:hAnsi="Courier" w:cs="Courier"/>
                <w:color w:val="auto"/>
                <w:sz w:val="20"/>
                <w:szCs w:val="20"/>
              </w:rPr>
              <w:t>41921.4600</w:t>
            </w:r>
          </w:p>
        </w:tc>
      </w:tr>
      <w:tr w:rsidR="00137E10" w:rsidTr="005F535C">
        <w:trPr>
          <w:jc w:val="center"/>
        </w:trPr>
        <w:tc>
          <w:tcPr>
            <w:cnfStyle w:val="001000000000"/>
            <w:tcW w:w="2881" w:type="dxa"/>
          </w:tcPr>
          <w:p w:rsidR="00137E10" w:rsidRDefault="00137E10" w:rsidP="00BF2FF2">
            <w:pPr>
              <w:pStyle w:val="Ttulo2"/>
              <w:jc w:val="both"/>
              <w:outlineLvl w:val="1"/>
              <w:rPr>
                <w:rFonts w:ascii="Times New Roman" w:eastAsiaTheme="minorHAnsi" w:hAnsi="Times New Roman" w:cstheme="minorBidi"/>
                <w:color w:val="auto"/>
                <w:sz w:val="24"/>
                <w:szCs w:val="24"/>
              </w:rPr>
            </w:pPr>
          </w:p>
        </w:tc>
        <w:tc>
          <w:tcPr>
            <w:tcW w:w="2881" w:type="dxa"/>
          </w:tcPr>
          <w:p w:rsidR="00137E10" w:rsidRDefault="00137E10" w:rsidP="00BF2FF2">
            <w:pPr>
              <w:pStyle w:val="Ttulo2"/>
              <w:jc w:val="both"/>
              <w:outlineLvl w:val="1"/>
              <w:cnfStyle w:val="000000000000"/>
              <w:rPr>
                <w:rFonts w:ascii="Times New Roman" w:eastAsiaTheme="minorHAnsi" w:hAnsi="Times New Roman" w:cstheme="minorBidi"/>
                <w:b w:val="0"/>
                <w:bCs w:val="0"/>
                <w:color w:val="auto"/>
                <w:sz w:val="24"/>
                <w:szCs w:val="24"/>
              </w:rPr>
            </w:pPr>
            <w:r>
              <w:rPr>
                <w:rFonts w:ascii="Times New Roman" w:eastAsiaTheme="minorHAnsi" w:hAnsi="Times New Roman" w:cstheme="minorBidi"/>
                <w:b w:val="0"/>
                <w:bCs w:val="0"/>
                <w:color w:val="auto"/>
                <w:sz w:val="24"/>
                <w:szCs w:val="24"/>
              </w:rPr>
              <w:t xml:space="preserve">Otros activos </w:t>
            </w:r>
          </w:p>
        </w:tc>
        <w:tc>
          <w:tcPr>
            <w:tcW w:w="2882" w:type="dxa"/>
          </w:tcPr>
          <w:p w:rsidR="00137E10" w:rsidRPr="00137E10" w:rsidRDefault="00137E10" w:rsidP="00BF2FF2">
            <w:pPr>
              <w:pStyle w:val="Ttulo2"/>
              <w:outlineLvl w:val="1"/>
              <w:cnfStyle w:val="000000000000"/>
              <w:rPr>
                <w:rFonts w:ascii="Times New Roman" w:eastAsiaTheme="minorHAnsi" w:hAnsi="Times New Roman" w:cstheme="minorBidi"/>
                <w:b w:val="0"/>
                <w:bCs w:val="0"/>
                <w:color w:val="auto"/>
                <w:sz w:val="24"/>
                <w:szCs w:val="24"/>
              </w:rPr>
            </w:pPr>
            <w:r w:rsidRPr="00137E10">
              <w:rPr>
                <w:rFonts w:ascii="Courier" w:hAnsi="Courier" w:cs="Courier"/>
                <w:color w:val="auto"/>
                <w:sz w:val="20"/>
                <w:szCs w:val="20"/>
              </w:rPr>
              <w:t>7983.9035</w:t>
            </w:r>
          </w:p>
        </w:tc>
      </w:tr>
      <w:tr w:rsidR="00137E10" w:rsidTr="005F535C">
        <w:trPr>
          <w:cnfStyle w:val="000000100000"/>
          <w:jc w:val="center"/>
        </w:trPr>
        <w:tc>
          <w:tcPr>
            <w:cnfStyle w:val="001000000000"/>
            <w:tcW w:w="2881" w:type="dxa"/>
          </w:tcPr>
          <w:p w:rsidR="00137E10" w:rsidRPr="00137E10" w:rsidRDefault="00137E10" w:rsidP="00BF2FF2">
            <w:pPr>
              <w:pStyle w:val="Ttulo2"/>
              <w:jc w:val="both"/>
              <w:outlineLvl w:val="1"/>
              <w:rPr>
                <w:rFonts w:ascii="Times New Roman" w:eastAsiaTheme="minorHAnsi" w:hAnsi="Times New Roman" w:cstheme="minorBidi"/>
                <w:color w:val="auto"/>
                <w:sz w:val="24"/>
                <w:szCs w:val="24"/>
              </w:rPr>
            </w:pPr>
            <w:r>
              <w:rPr>
                <w:rFonts w:ascii="Times New Roman" w:eastAsiaTheme="minorHAnsi" w:hAnsi="Times New Roman" w:cstheme="minorBidi"/>
                <w:color w:val="auto"/>
                <w:sz w:val="24"/>
                <w:szCs w:val="24"/>
              </w:rPr>
              <w:t>PASIVOS</w:t>
            </w:r>
          </w:p>
        </w:tc>
        <w:tc>
          <w:tcPr>
            <w:tcW w:w="2881" w:type="dxa"/>
          </w:tcPr>
          <w:p w:rsidR="00137E10" w:rsidRPr="00137E10" w:rsidRDefault="00137E10" w:rsidP="00BF2FF2">
            <w:pPr>
              <w:pStyle w:val="Ttulo2"/>
              <w:jc w:val="both"/>
              <w:outlineLvl w:val="1"/>
              <w:cnfStyle w:val="000000100000"/>
              <w:rPr>
                <w:rFonts w:ascii="Times New Roman" w:eastAsiaTheme="minorHAnsi" w:hAnsi="Times New Roman" w:cstheme="minorBidi"/>
                <w:bCs w:val="0"/>
                <w:color w:val="auto"/>
                <w:sz w:val="24"/>
                <w:szCs w:val="24"/>
              </w:rPr>
            </w:pPr>
            <w:r w:rsidRPr="00137E10">
              <w:rPr>
                <w:rFonts w:ascii="Times New Roman" w:eastAsiaTheme="minorHAnsi" w:hAnsi="Times New Roman" w:cstheme="minorBidi"/>
                <w:bCs w:val="0"/>
                <w:color w:val="auto"/>
                <w:sz w:val="24"/>
                <w:szCs w:val="24"/>
              </w:rPr>
              <w:t xml:space="preserve">Total Activos </w:t>
            </w:r>
          </w:p>
        </w:tc>
        <w:tc>
          <w:tcPr>
            <w:tcW w:w="2882" w:type="dxa"/>
          </w:tcPr>
          <w:p w:rsidR="00137E10" w:rsidRPr="00137E10" w:rsidRDefault="00137E10" w:rsidP="00BF2FF2">
            <w:pPr>
              <w:pStyle w:val="Ttulo2"/>
              <w:outlineLvl w:val="1"/>
              <w:cnfStyle w:val="000000100000"/>
              <w:rPr>
                <w:rFonts w:ascii="Times New Roman" w:eastAsiaTheme="minorHAnsi" w:hAnsi="Times New Roman" w:cstheme="minorBidi"/>
                <w:bCs w:val="0"/>
                <w:color w:val="auto"/>
                <w:sz w:val="24"/>
                <w:szCs w:val="24"/>
              </w:rPr>
            </w:pPr>
            <w:r w:rsidRPr="00137E10">
              <w:rPr>
                <w:rFonts w:ascii="Courier" w:hAnsi="Courier" w:cs="Courier"/>
                <w:bCs w:val="0"/>
                <w:color w:val="auto"/>
                <w:sz w:val="20"/>
                <w:szCs w:val="20"/>
              </w:rPr>
              <w:t>8542399.1315</w:t>
            </w:r>
          </w:p>
        </w:tc>
      </w:tr>
      <w:tr w:rsidR="00137E10" w:rsidTr="005F535C">
        <w:trPr>
          <w:jc w:val="center"/>
        </w:trPr>
        <w:tc>
          <w:tcPr>
            <w:cnfStyle w:val="001000000000"/>
            <w:tcW w:w="2881" w:type="dxa"/>
          </w:tcPr>
          <w:p w:rsidR="00137E10" w:rsidRDefault="00137E10" w:rsidP="00BF2FF2">
            <w:pPr>
              <w:pStyle w:val="Ttulo2"/>
              <w:jc w:val="both"/>
              <w:outlineLvl w:val="1"/>
              <w:rPr>
                <w:rFonts w:ascii="Times New Roman" w:eastAsiaTheme="minorHAnsi" w:hAnsi="Times New Roman" w:cstheme="minorBidi"/>
                <w:color w:val="auto"/>
                <w:sz w:val="24"/>
                <w:szCs w:val="24"/>
              </w:rPr>
            </w:pPr>
          </w:p>
        </w:tc>
        <w:tc>
          <w:tcPr>
            <w:tcW w:w="2881" w:type="dxa"/>
          </w:tcPr>
          <w:p w:rsidR="00137E10" w:rsidRDefault="00137E10" w:rsidP="00BF2FF2">
            <w:pPr>
              <w:pStyle w:val="Ttulo2"/>
              <w:jc w:val="both"/>
              <w:outlineLvl w:val="1"/>
              <w:cnfStyle w:val="000000000000"/>
              <w:rPr>
                <w:rFonts w:ascii="Times New Roman" w:eastAsiaTheme="minorHAnsi" w:hAnsi="Times New Roman" w:cstheme="minorBidi"/>
                <w:b w:val="0"/>
                <w:bCs w:val="0"/>
                <w:color w:val="auto"/>
                <w:sz w:val="24"/>
                <w:szCs w:val="24"/>
              </w:rPr>
            </w:pPr>
            <w:r>
              <w:rPr>
                <w:rFonts w:ascii="Times New Roman" w:eastAsiaTheme="minorHAnsi" w:hAnsi="Times New Roman" w:cstheme="minorBidi"/>
                <w:b w:val="0"/>
                <w:bCs w:val="0"/>
                <w:color w:val="auto"/>
                <w:sz w:val="24"/>
                <w:szCs w:val="24"/>
              </w:rPr>
              <w:t xml:space="preserve">Pasivo circulante </w:t>
            </w:r>
          </w:p>
        </w:tc>
        <w:tc>
          <w:tcPr>
            <w:tcW w:w="2882" w:type="dxa"/>
          </w:tcPr>
          <w:p w:rsidR="00137E10" w:rsidRPr="00137E10" w:rsidRDefault="00137E10" w:rsidP="00BF2FF2">
            <w:pPr>
              <w:pStyle w:val="Ttulo2"/>
              <w:outlineLvl w:val="1"/>
              <w:cnfStyle w:val="000000000000"/>
              <w:rPr>
                <w:rFonts w:ascii="Courier" w:hAnsi="Courier" w:cs="Courier"/>
                <w:bCs w:val="0"/>
                <w:color w:val="auto"/>
                <w:sz w:val="20"/>
                <w:szCs w:val="20"/>
              </w:rPr>
            </w:pPr>
            <w:r w:rsidRPr="00137E10">
              <w:rPr>
                <w:rFonts w:ascii="Courier" w:hAnsi="Courier" w:cs="Courier"/>
                <w:color w:val="auto"/>
                <w:sz w:val="20"/>
                <w:szCs w:val="20"/>
              </w:rPr>
              <w:t>370893.0262</w:t>
            </w:r>
          </w:p>
        </w:tc>
      </w:tr>
      <w:tr w:rsidR="00137E10" w:rsidTr="005F535C">
        <w:trPr>
          <w:cnfStyle w:val="000000100000"/>
          <w:jc w:val="center"/>
        </w:trPr>
        <w:tc>
          <w:tcPr>
            <w:cnfStyle w:val="001000000000"/>
            <w:tcW w:w="2881" w:type="dxa"/>
          </w:tcPr>
          <w:p w:rsidR="00137E10" w:rsidRDefault="00137E10" w:rsidP="00BF2FF2">
            <w:pPr>
              <w:pStyle w:val="Ttulo2"/>
              <w:jc w:val="both"/>
              <w:outlineLvl w:val="1"/>
              <w:rPr>
                <w:rFonts w:ascii="Times New Roman" w:eastAsiaTheme="minorHAnsi" w:hAnsi="Times New Roman" w:cstheme="minorBidi"/>
                <w:color w:val="auto"/>
                <w:sz w:val="24"/>
                <w:szCs w:val="24"/>
              </w:rPr>
            </w:pPr>
          </w:p>
        </w:tc>
        <w:tc>
          <w:tcPr>
            <w:tcW w:w="2881" w:type="dxa"/>
          </w:tcPr>
          <w:p w:rsidR="00137E10" w:rsidRDefault="00137E10" w:rsidP="00BF2FF2">
            <w:pPr>
              <w:pStyle w:val="Ttulo2"/>
              <w:jc w:val="both"/>
              <w:outlineLvl w:val="1"/>
              <w:cnfStyle w:val="000000100000"/>
              <w:rPr>
                <w:rFonts w:ascii="Times New Roman" w:eastAsiaTheme="minorHAnsi" w:hAnsi="Times New Roman" w:cstheme="minorBidi"/>
                <w:b w:val="0"/>
                <w:bCs w:val="0"/>
                <w:color w:val="auto"/>
                <w:sz w:val="24"/>
                <w:szCs w:val="24"/>
              </w:rPr>
            </w:pPr>
            <w:r>
              <w:rPr>
                <w:rFonts w:ascii="Times New Roman" w:eastAsiaTheme="minorHAnsi" w:hAnsi="Times New Roman" w:cstheme="minorBidi"/>
                <w:b w:val="0"/>
                <w:bCs w:val="0"/>
                <w:color w:val="auto"/>
                <w:sz w:val="24"/>
                <w:szCs w:val="24"/>
              </w:rPr>
              <w:t xml:space="preserve">Otros pasivos </w:t>
            </w:r>
          </w:p>
        </w:tc>
        <w:tc>
          <w:tcPr>
            <w:tcW w:w="2882" w:type="dxa"/>
          </w:tcPr>
          <w:p w:rsidR="00137E10" w:rsidRPr="00137E10" w:rsidRDefault="00137E10" w:rsidP="00BF2FF2">
            <w:pPr>
              <w:pStyle w:val="Ttulo2"/>
              <w:outlineLvl w:val="1"/>
              <w:cnfStyle w:val="000000100000"/>
              <w:rPr>
                <w:rFonts w:ascii="Courier" w:hAnsi="Courier" w:cs="Courier"/>
                <w:color w:val="auto"/>
                <w:sz w:val="20"/>
                <w:szCs w:val="20"/>
              </w:rPr>
            </w:pPr>
            <w:r w:rsidRPr="00137E10">
              <w:rPr>
                <w:rFonts w:ascii="Courier" w:hAnsi="Courier" w:cs="Courier"/>
                <w:color w:val="auto"/>
                <w:sz w:val="20"/>
                <w:szCs w:val="20"/>
              </w:rPr>
              <w:t>82777.8676</w:t>
            </w:r>
          </w:p>
        </w:tc>
      </w:tr>
      <w:tr w:rsidR="00137E10" w:rsidTr="005F535C">
        <w:trPr>
          <w:jc w:val="center"/>
        </w:trPr>
        <w:tc>
          <w:tcPr>
            <w:cnfStyle w:val="001000000000"/>
            <w:tcW w:w="2881" w:type="dxa"/>
          </w:tcPr>
          <w:p w:rsidR="00137E10" w:rsidRDefault="00137E10" w:rsidP="00BF2FF2">
            <w:pPr>
              <w:pStyle w:val="Ttulo2"/>
              <w:jc w:val="both"/>
              <w:outlineLvl w:val="1"/>
              <w:rPr>
                <w:rFonts w:ascii="Times New Roman" w:eastAsiaTheme="minorHAnsi" w:hAnsi="Times New Roman" w:cstheme="minorBidi"/>
                <w:color w:val="auto"/>
                <w:sz w:val="24"/>
                <w:szCs w:val="24"/>
              </w:rPr>
            </w:pPr>
          </w:p>
        </w:tc>
        <w:tc>
          <w:tcPr>
            <w:tcW w:w="2881" w:type="dxa"/>
          </w:tcPr>
          <w:p w:rsidR="00137E10" w:rsidRPr="00137E10" w:rsidRDefault="00137E10" w:rsidP="00BF2FF2">
            <w:pPr>
              <w:pStyle w:val="Ttulo2"/>
              <w:jc w:val="both"/>
              <w:outlineLvl w:val="1"/>
              <w:cnfStyle w:val="000000000000"/>
              <w:rPr>
                <w:rFonts w:ascii="Times New Roman" w:eastAsiaTheme="minorHAnsi" w:hAnsi="Times New Roman" w:cstheme="minorBidi"/>
                <w:bCs w:val="0"/>
                <w:color w:val="auto"/>
                <w:sz w:val="24"/>
                <w:szCs w:val="24"/>
              </w:rPr>
            </w:pPr>
            <w:r w:rsidRPr="00137E10">
              <w:rPr>
                <w:rFonts w:ascii="Times New Roman" w:eastAsiaTheme="minorHAnsi" w:hAnsi="Times New Roman" w:cstheme="minorBidi"/>
                <w:bCs w:val="0"/>
                <w:color w:val="auto"/>
                <w:sz w:val="24"/>
                <w:szCs w:val="24"/>
              </w:rPr>
              <w:t xml:space="preserve">Total pasivos </w:t>
            </w:r>
          </w:p>
        </w:tc>
        <w:tc>
          <w:tcPr>
            <w:tcW w:w="2882" w:type="dxa"/>
          </w:tcPr>
          <w:p w:rsidR="00137E10" w:rsidRPr="00137E10" w:rsidRDefault="00137E10" w:rsidP="00BF2FF2">
            <w:pPr>
              <w:pStyle w:val="Ttulo2"/>
              <w:outlineLvl w:val="1"/>
              <w:cnfStyle w:val="000000000000"/>
              <w:rPr>
                <w:rFonts w:ascii="Courier" w:hAnsi="Courier" w:cs="Courier"/>
                <w:color w:val="auto"/>
                <w:sz w:val="20"/>
                <w:szCs w:val="20"/>
              </w:rPr>
            </w:pPr>
            <w:r w:rsidRPr="00137E10">
              <w:rPr>
                <w:rFonts w:ascii="Courier" w:hAnsi="Courier" w:cs="Courier"/>
                <w:bCs w:val="0"/>
                <w:color w:val="auto"/>
                <w:sz w:val="20"/>
                <w:szCs w:val="20"/>
              </w:rPr>
              <w:t>453670.8938</w:t>
            </w:r>
          </w:p>
        </w:tc>
      </w:tr>
      <w:tr w:rsidR="00137E10" w:rsidTr="005F535C">
        <w:trPr>
          <w:cnfStyle w:val="000000100000"/>
          <w:jc w:val="center"/>
        </w:trPr>
        <w:tc>
          <w:tcPr>
            <w:cnfStyle w:val="001000000000"/>
            <w:tcW w:w="2881" w:type="dxa"/>
          </w:tcPr>
          <w:p w:rsidR="00137E10" w:rsidRDefault="00137E10" w:rsidP="00BF2FF2">
            <w:pPr>
              <w:pStyle w:val="Ttulo2"/>
              <w:jc w:val="both"/>
              <w:outlineLvl w:val="1"/>
              <w:rPr>
                <w:rFonts w:ascii="Times New Roman" w:eastAsiaTheme="minorHAnsi" w:hAnsi="Times New Roman" w:cstheme="minorBidi"/>
                <w:color w:val="auto"/>
                <w:sz w:val="24"/>
                <w:szCs w:val="24"/>
              </w:rPr>
            </w:pPr>
            <w:r>
              <w:rPr>
                <w:rFonts w:ascii="Times New Roman" w:eastAsiaTheme="minorHAnsi" w:hAnsi="Times New Roman" w:cstheme="minorBidi"/>
                <w:color w:val="auto"/>
                <w:sz w:val="24"/>
                <w:szCs w:val="24"/>
              </w:rPr>
              <w:t xml:space="preserve">CAPITAL </w:t>
            </w:r>
          </w:p>
        </w:tc>
        <w:tc>
          <w:tcPr>
            <w:tcW w:w="2881" w:type="dxa"/>
          </w:tcPr>
          <w:p w:rsidR="00137E10" w:rsidRPr="00137E10" w:rsidRDefault="00137E10" w:rsidP="00BF2FF2">
            <w:pPr>
              <w:pStyle w:val="Ttulo2"/>
              <w:jc w:val="both"/>
              <w:outlineLvl w:val="1"/>
              <w:cnfStyle w:val="000000100000"/>
              <w:rPr>
                <w:rFonts w:ascii="Times New Roman" w:eastAsiaTheme="minorHAnsi" w:hAnsi="Times New Roman" w:cstheme="minorBidi"/>
                <w:bCs w:val="0"/>
                <w:color w:val="auto"/>
                <w:sz w:val="24"/>
                <w:szCs w:val="24"/>
              </w:rPr>
            </w:pPr>
            <w:r w:rsidRPr="00137E10">
              <w:rPr>
                <w:rFonts w:ascii="Times New Roman" w:eastAsiaTheme="minorHAnsi" w:hAnsi="Times New Roman" w:cstheme="minorBidi"/>
                <w:bCs w:val="0"/>
                <w:color w:val="auto"/>
                <w:sz w:val="24"/>
                <w:szCs w:val="24"/>
              </w:rPr>
              <w:t>Patrimonio</w:t>
            </w:r>
          </w:p>
        </w:tc>
        <w:tc>
          <w:tcPr>
            <w:tcW w:w="2882" w:type="dxa"/>
          </w:tcPr>
          <w:p w:rsidR="00137E10" w:rsidRPr="00137E10" w:rsidRDefault="00137E10" w:rsidP="00BF2FF2">
            <w:pPr>
              <w:pStyle w:val="Ttulo2"/>
              <w:outlineLvl w:val="1"/>
              <w:cnfStyle w:val="000000100000"/>
              <w:rPr>
                <w:rFonts w:ascii="Courier" w:hAnsi="Courier" w:cs="Courier"/>
                <w:bCs w:val="0"/>
                <w:color w:val="auto"/>
                <w:sz w:val="20"/>
                <w:szCs w:val="20"/>
              </w:rPr>
            </w:pPr>
            <w:r w:rsidRPr="00137E10">
              <w:rPr>
                <w:rFonts w:ascii="Courier" w:hAnsi="Courier" w:cs="Courier"/>
                <w:color w:val="auto"/>
                <w:sz w:val="20"/>
                <w:szCs w:val="20"/>
              </w:rPr>
              <w:t>7636567.9352</w:t>
            </w:r>
          </w:p>
        </w:tc>
      </w:tr>
      <w:tr w:rsidR="00137E10" w:rsidTr="005F535C">
        <w:trPr>
          <w:jc w:val="center"/>
        </w:trPr>
        <w:tc>
          <w:tcPr>
            <w:cnfStyle w:val="001000000000"/>
            <w:tcW w:w="2881" w:type="dxa"/>
          </w:tcPr>
          <w:p w:rsidR="00137E10" w:rsidRDefault="00137E10" w:rsidP="00BF2FF2">
            <w:pPr>
              <w:pStyle w:val="Ttulo2"/>
              <w:jc w:val="both"/>
              <w:outlineLvl w:val="1"/>
              <w:rPr>
                <w:rFonts w:ascii="Times New Roman" w:eastAsiaTheme="minorHAnsi" w:hAnsi="Times New Roman" w:cstheme="minorBidi"/>
                <w:color w:val="auto"/>
                <w:sz w:val="24"/>
                <w:szCs w:val="24"/>
              </w:rPr>
            </w:pPr>
          </w:p>
        </w:tc>
        <w:tc>
          <w:tcPr>
            <w:tcW w:w="2881" w:type="dxa"/>
          </w:tcPr>
          <w:p w:rsidR="00137E10" w:rsidRPr="00137E10" w:rsidRDefault="00BF2FF2" w:rsidP="00BF2FF2">
            <w:pPr>
              <w:pStyle w:val="Ttulo2"/>
              <w:jc w:val="both"/>
              <w:outlineLvl w:val="1"/>
              <w:cnfStyle w:val="000000000000"/>
              <w:rPr>
                <w:rFonts w:ascii="Times New Roman" w:eastAsiaTheme="minorHAnsi" w:hAnsi="Times New Roman" w:cstheme="minorBidi"/>
                <w:bCs w:val="0"/>
                <w:color w:val="auto"/>
                <w:sz w:val="24"/>
                <w:szCs w:val="24"/>
              </w:rPr>
            </w:pPr>
            <w:r>
              <w:rPr>
                <w:rFonts w:ascii="Times New Roman" w:eastAsiaTheme="minorHAnsi" w:hAnsi="Times New Roman" w:cstheme="minorBidi"/>
                <w:bCs w:val="0"/>
                <w:color w:val="auto"/>
                <w:sz w:val="24"/>
                <w:szCs w:val="24"/>
              </w:rPr>
              <w:t>Beneficio neto</w:t>
            </w:r>
          </w:p>
        </w:tc>
        <w:tc>
          <w:tcPr>
            <w:tcW w:w="2882" w:type="dxa"/>
          </w:tcPr>
          <w:p w:rsidR="00137E10" w:rsidRPr="00137E10" w:rsidRDefault="00BF2FF2" w:rsidP="00BF2FF2">
            <w:pPr>
              <w:pStyle w:val="Ttulo2"/>
              <w:outlineLvl w:val="1"/>
              <w:cnfStyle w:val="000000000000"/>
              <w:rPr>
                <w:rFonts w:ascii="Courier" w:hAnsi="Courier" w:cs="Courier"/>
                <w:color w:val="auto"/>
                <w:sz w:val="20"/>
                <w:szCs w:val="20"/>
              </w:rPr>
            </w:pPr>
            <w:r w:rsidRPr="00BF2FF2">
              <w:rPr>
                <w:rFonts w:ascii="Courier" w:hAnsi="Courier" w:cs="Courier"/>
                <w:color w:val="auto"/>
                <w:sz w:val="20"/>
                <w:szCs w:val="20"/>
              </w:rPr>
              <w:t>452160.3026</w:t>
            </w:r>
          </w:p>
        </w:tc>
      </w:tr>
      <w:tr w:rsidR="00137E10" w:rsidTr="005F535C">
        <w:trPr>
          <w:cnfStyle w:val="000000100000"/>
          <w:jc w:val="center"/>
        </w:trPr>
        <w:tc>
          <w:tcPr>
            <w:cnfStyle w:val="001000000000"/>
            <w:tcW w:w="2881" w:type="dxa"/>
          </w:tcPr>
          <w:p w:rsidR="00137E10" w:rsidRDefault="00137E10" w:rsidP="00BF2FF2">
            <w:pPr>
              <w:pStyle w:val="Ttulo2"/>
              <w:jc w:val="both"/>
              <w:outlineLvl w:val="1"/>
              <w:rPr>
                <w:rFonts w:ascii="Times New Roman" w:eastAsiaTheme="minorHAnsi" w:hAnsi="Times New Roman" w:cstheme="minorBidi"/>
                <w:color w:val="auto"/>
                <w:sz w:val="24"/>
                <w:szCs w:val="24"/>
              </w:rPr>
            </w:pPr>
          </w:p>
        </w:tc>
        <w:tc>
          <w:tcPr>
            <w:tcW w:w="2881" w:type="dxa"/>
          </w:tcPr>
          <w:p w:rsidR="00137E10" w:rsidRPr="00137E10" w:rsidRDefault="00BF2FF2" w:rsidP="00BF2FF2">
            <w:pPr>
              <w:pStyle w:val="Ttulo2"/>
              <w:jc w:val="both"/>
              <w:outlineLvl w:val="1"/>
              <w:cnfStyle w:val="000000100000"/>
              <w:rPr>
                <w:rFonts w:ascii="Times New Roman" w:eastAsiaTheme="minorHAnsi" w:hAnsi="Times New Roman" w:cstheme="minorBidi"/>
                <w:bCs w:val="0"/>
                <w:color w:val="auto"/>
                <w:sz w:val="24"/>
                <w:szCs w:val="24"/>
              </w:rPr>
            </w:pPr>
            <w:r>
              <w:rPr>
                <w:rFonts w:ascii="Times New Roman" w:eastAsiaTheme="minorHAnsi" w:hAnsi="Times New Roman" w:cstheme="minorBidi"/>
                <w:bCs w:val="0"/>
                <w:color w:val="auto"/>
                <w:sz w:val="24"/>
                <w:szCs w:val="24"/>
              </w:rPr>
              <w:t>Pasivo +Capital</w:t>
            </w:r>
          </w:p>
        </w:tc>
        <w:tc>
          <w:tcPr>
            <w:tcW w:w="2882" w:type="dxa"/>
          </w:tcPr>
          <w:p w:rsidR="00137E10" w:rsidRPr="00BF2FF2" w:rsidRDefault="00BF2FF2" w:rsidP="00BF2FF2">
            <w:pPr>
              <w:pStyle w:val="Ttulo2"/>
              <w:outlineLvl w:val="1"/>
              <w:cnfStyle w:val="000000100000"/>
              <w:rPr>
                <w:rFonts w:ascii="Courier" w:hAnsi="Courier" w:cs="Courier"/>
                <w:bCs w:val="0"/>
                <w:color w:val="auto"/>
                <w:sz w:val="20"/>
                <w:szCs w:val="20"/>
              </w:rPr>
            </w:pPr>
            <w:r w:rsidRPr="00BF2FF2">
              <w:rPr>
                <w:rFonts w:ascii="Courier" w:hAnsi="Courier" w:cs="Courier"/>
                <w:bCs w:val="0"/>
                <w:color w:val="auto"/>
                <w:sz w:val="20"/>
                <w:szCs w:val="20"/>
              </w:rPr>
              <w:t>8542399.132</w:t>
            </w:r>
          </w:p>
        </w:tc>
      </w:tr>
    </w:tbl>
    <w:p w:rsidR="00413345" w:rsidRPr="00782346" w:rsidRDefault="00BF2FF2" w:rsidP="00BF2FF2">
      <w:pPr>
        <w:pStyle w:val="Ttulo2"/>
        <w:spacing w:line="240" w:lineRule="auto"/>
        <w:jc w:val="both"/>
        <w:rPr>
          <w:rFonts w:ascii="Times New Roman" w:eastAsiaTheme="minorHAnsi" w:hAnsi="Times New Roman" w:cstheme="minorBidi"/>
          <w:b w:val="0"/>
          <w:bCs w:val="0"/>
          <w:color w:val="auto"/>
          <w:sz w:val="24"/>
          <w:szCs w:val="24"/>
        </w:rPr>
      </w:pPr>
      <w:r w:rsidRPr="00782346">
        <w:rPr>
          <w:rFonts w:ascii="Times New Roman" w:eastAsiaTheme="minorHAnsi" w:hAnsi="Times New Roman" w:cstheme="minorBidi"/>
          <w:b w:val="0"/>
          <w:bCs w:val="0"/>
          <w:color w:val="auto"/>
          <w:sz w:val="24"/>
          <w:szCs w:val="24"/>
        </w:rPr>
        <w:t>Tabla 1. Balance general resumido al cierre de marzo 2019. Adaptado de</w:t>
      </w:r>
      <w:r w:rsidR="00413345" w:rsidRPr="00782346">
        <w:rPr>
          <w:rFonts w:ascii="Times New Roman" w:eastAsiaTheme="minorHAnsi" w:hAnsi="Times New Roman" w:cstheme="minorBidi"/>
          <w:b w:val="0"/>
          <w:bCs w:val="0"/>
          <w:color w:val="auto"/>
          <w:sz w:val="24"/>
          <w:szCs w:val="24"/>
        </w:rPr>
        <w:t xml:space="preserve"> </w:t>
      </w:r>
      <w:r w:rsidRPr="00782346">
        <w:rPr>
          <w:rFonts w:ascii="Times New Roman" w:eastAsiaTheme="minorHAnsi" w:hAnsi="Times New Roman" w:cstheme="minorBidi"/>
          <w:b w:val="0"/>
          <w:bCs w:val="0"/>
          <w:color w:val="auto"/>
          <w:sz w:val="24"/>
          <w:szCs w:val="24"/>
        </w:rPr>
        <w:t xml:space="preserve">Balance General formato </w:t>
      </w:r>
      <w:proofErr w:type="spellStart"/>
      <w:r w:rsidRPr="00782346">
        <w:rPr>
          <w:rFonts w:ascii="Times New Roman" w:eastAsiaTheme="minorHAnsi" w:hAnsi="Times New Roman" w:cstheme="minorBidi"/>
          <w:b w:val="0"/>
          <w:bCs w:val="0"/>
          <w:color w:val="auto"/>
          <w:sz w:val="24"/>
          <w:szCs w:val="24"/>
        </w:rPr>
        <w:t>pdf</w:t>
      </w:r>
      <w:proofErr w:type="spellEnd"/>
      <w:r w:rsidRPr="00782346">
        <w:rPr>
          <w:rFonts w:ascii="Times New Roman" w:eastAsiaTheme="minorHAnsi" w:hAnsi="Times New Roman" w:cstheme="minorBidi"/>
          <w:b w:val="0"/>
          <w:bCs w:val="0"/>
          <w:color w:val="auto"/>
          <w:sz w:val="24"/>
          <w:szCs w:val="24"/>
        </w:rPr>
        <w:t>-Iberostar.</w:t>
      </w:r>
      <w:r w:rsidR="00413345" w:rsidRPr="00782346">
        <w:rPr>
          <w:rFonts w:ascii="Times New Roman" w:eastAsiaTheme="minorHAnsi" w:hAnsi="Times New Roman" w:cstheme="minorBidi"/>
          <w:b w:val="0"/>
          <w:bCs w:val="0"/>
          <w:color w:val="auto"/>
          <w:sz w:val="24"/>
          <w:szCs w:val="24"/>
        </w:rPr>
        <w:t xml:space="preserve">                                                                        </w:t>
      </w:r>
    </w:p>
    <w:p w:rsidR="00A359B5" w:rsidRDefault="00BF2FF2" w:rsidP="00075DC2">
      <w:pPr>
        <w:pStyle w:val="Ttulo2"/>
        <w:spacing w:line="360" w:lineRule="auto"/>
        <w:jc w:val="both"/>
        <w:rPr>
          <w:rFonts w:ascii="Times New Roman" w:eastAsiaTheme="minorHAnsi" w:hAnsi="Times New Roman" w:cstheme="minorBidi"/>
          <w:b w:val="0"/>
          <w:bCs w:val="0"/>
          <w:color w:val="auto"/>
          <w:sz w:val="24"/>
          <w:szCs w:val="24"/>
        </w:rPr>
      </w:pPr>
      <w:r>
        <w:rPr>
          <w:rFonts w:ascii="Times New Roman" w:eastAsiaTheme="minorHAnsi" w:hAnsi="Times New Roman" w:cstheme="minorBidi"/>
          <w:b w:val="0"/>
          <w:bCs w:val="0"/>
          <w:color w:val="auto"/>
          <w:sz w:val="24"/>
          <w:szCs w:val="24"/>
        </w:rPr>
        <w:lastRenderedPageBreak/>
        <w:t xml:space="preserve">La entidad al cierre del primer trimestre del año dispone de $ </w:t>
      </w:r>
      <w:r w:rsidRPr="00BF2FF2">
        <w:rPr>
          <w:rFonts w:ascii="Times New Roman" w:eastAsiaTheme="minorHAnsi" w:hAnsi="Times New Roman" w:cstheme="minorBidi"/>
          <w:b w:val="0"/>
          <w:bCs w:val="0"/>
          <w:color w:val="auto"/>
          <w:sz w:val="24"/>
          <w:szCs w:val="24"/>
        </w:rPr>
        <w:t>1595513,6518</w:t>
      </w:r>
      <w:r>
        <w:rPr>
          <w:rFonts w:ascii="Times New Roman" w:eastAsiaTheme="minorHAnsi" w:hAnsi="Times New Roman" w:cstheme="minorBidi"/>
          <w:b w:val="0"/>
          <w:bCs w:val="0"/>
          <w:color w:val="auto"/>
          <w:sz w:val="24"/>
          <w:szCs w:val="24"/>
        </w:rPr>
        <w:t xml:space="preserve"> de capital de trabajo, por lo que posee capacidad de pago</w:t>
      </w:r>
      <w:r w:rsidR="005F535C">
        <w:rPr>
          <w:rFonts w:ascii="Times New Roman" w:eastAsiaTheme="minorHAnsi" w:hAnsi="Times New Roman" w:cstheme="minorBidi"/>
          <w:b w:val="0"/>
          <w:bCs w:val="0"/>
          <w:color w:val="auto"/>
          <w:sz w:val="24"/>
          <w:szCs w:val="24"/>
        </w:rPr>
        <w:t xml:space="preserve">. Su liquidez </w:t>
      </w:r>
      <w:r>
        <w:rPr>
          <w:rFonts w:ascii="Times New Roman" w:eastAsiaTheme="minorHAnsi" w:hAnsi="Times New Roman" w:cstheme="minorBidi"/>
          <w:b w:val="0"/>
          <w:bCs w:val="0"/>
          <w:color w:val="auto"/>
          <w:sz w:val="24"/>
          <w:szCs w:val="24"/>
        </w:rPr>
        <w:t>general</w:t>
      </w:r>
      <w:r w:rsidR="005F535C">
        <w:rPr>
          <w:rFonts w:ascii="Times New Roman" w:eastAsiaTheme="minorHAnsi" w:hAnsi="Times New Roman" w:cstheme="minorBidi"/>
          <w:b w:val="0"/>
          <w:bCs w:val="0"/>
          <w:color w:val="auto"/>
          <w:sz w:val="24"/>
          <w:szCs w:val="24"/>
        </w:rPr>
        <w:t xml:space="preserve"> es de </w:t>
      </w:r>
      <w:r w:rsidR="005F535C" w:rsidRPr="005F535C">
        <w:rPr>
          <w:rFonts w:ascii="Times New Roman" w:eastAsiaTheme="minorHAnsi" w:hAnsi="Times New Roman" w:cstheme="minorBidi"/>
          <w:b w:val="0"/>
          <w:bCs w:val="0"/>
          <w:color w:val="auto"/>
          <w:sz w:val="24"/>
          <w:szCs w:val="24"/>
        </w:rPr>
        <w:t>5,3018</w:t>
      </w:r>
      <w:r w:rsidR="005F535C">
        <w:rPr>
          <w:rFonts w:ascii="Times New Roman" w:eastAsiaTheme="minorHAnsi" w:hAnsi="Times New Roman" w:cstheme="minorBidi"/>
          <w:b w:val="0"/>
          <w:bCs w:val="0"/>
          <w:color w:val="auto"/>
          <w:sz w:val="24"/>
          <w:szCs w:val="24"/>
        </w:rPr>
        <w:t xml:space="preserve">, mientras que su liquidez inmediata es de </w:t>
      </w:r>
      <w:r w:rsidR="005F535C" w:rsidRPr="005F535C">
        <w:rPr>
          <w:rFonts w:ascii="Times New Roman" w:eastAsiaTheme="minorHAnsi" w:hAnsi="Times New Roman" w:cstheme="minorBidi"/>
          <w:b w:val="0"/>
          <w:bCs w:val="0"/>
          <w:color w:val="auto"/>
          <w:sz w:val="24"/>
          <w:szCs w:val="24"/>
        </w:rPr>
        <w:t>2,7719</w:t>
      </w:r>
      <w:r w:rsidR="005F535C">
        <w:rPr>
          <w:rFonts w:ascii="Times New Roman" w:eastAsiaTheme="minorHAnsi" w:hAnsi="Times New Roman" w:cstheme="minorBidi"/>
          <w:b w:val="0"/>
          <w:bCs w:val="0"/>
          <w:color w:val="auto"/>
          <w:sz w:val="24"/>
          <w:szCs w:val="24"/>
        </w:rPr>
        <w:t xml:space="preserve"> y la disponibilidad de solo </w:t>
      </w:r>
      <w:r w:rsidR="005F535C" w:rsidRPr="005F535C">
        <w:rPr>
          <w:rFonts w:ascii="Times New Roman" w:eastAsiaTheme="minorHAnsi" w:hAnsi="Times New Roman" w:cstheme="minorBidi"/>
          <w:b w:val="0"/>
          <w:bCs w:val="0"/>
          <w:color w:val="auto"/>
          <w:sz w:val="24"/>
          <w:szCs w:val="24"/>
        </w:rPr>
        <w:t>1,8584</w:t>
      </w:r>
      <w:r w:rsidR="005F535C">
        <w:rPr>
          <w:rFonts w:ascii="Times New Roman" w:eastAsiaTheme="minorHAnsi" w:hAnsi="Times New Roman" w:cstheme="minorBidi"/>
          <w:b w:val="0"/>
          <w:bCs w:val="0"/>
          <w:color w:val="auto"/>
          <w:sz w:val="24"/>
          <w:szCs w:val="24"/>
        </w:rPr>
        <w:t>.</w:t>
      </w:r>
      <w:r w:rsidR="00A359B5">
        <w:rPr>
          <w:rFonts w:ascii="Times New Roman" w:eastAsiaTheme="minorHAnsi" w:hAnsi="Times New Roman" w:cstheme="minorBidi"/>
          <w:b w:val="0"/>
          <w:bCs w:val="0"/>
          <w:color w:val="auto"/>
          <w:sz w:val="24"/>
          <w:szCs w:val="24"/>
        </w:rPr>
        <w:t xml:space="preserve"> L</w:t>
      </w:r>
      <w:r w:rsidR="005F535C">
        <w:rPr>
          <w:rFonts w:ascii="Times New Roman" w:eastAsiaTheme="minorHAnsi" w:hAnsi="Times New Roman" w:cstheme="minorBidi"/>
          <w:b w:val="0"/>
          <w:bCs w:val="0"/>
          <w:color w:val="auto"/>
          <w:sz w:val="24"/>
          <w:szCs w:val="24"/>
        </w:rPr>
        <w:t>os datos necesarios que fueron extraídos para este análisis detallado del activo circulante se muestran en la figura 2.</w:t>
      </w:r>
    </w:p>
    <w:p w:rsidR="005F535C" w:rsidRDefault="00A359B5" w:rsidP="00075DC2">
      <w:pPr>
        <w:pStyle w:val="Ttulo2"/>
        <w:spacing w:line="360" w:lineRule="auto"/>
        <w:jc w:val="both"/>
        <w:rPr>
          <w:rFonts w:ascii="Times New Roman" w:eastAsiaTheme="minorHAnsi" w:hAnsi="Times New Roman" w:cstheme="minorBidi"/>
          <w:b w:val="0"/>
          <w:bCs w:val="0"/>
          <w:color w:val="auto"/>
          <w:sz w:val="24"/>
          <w:szCs w:val="24"/>
        </w:rPr>
      </w:pPr>
      <w:r w:rsidRPr="00A359B5">
        <w:rPr>
          <w:noProof/>
          <w:lang w:eastAsia="es-ES"/>
        </w:rPr>
        <w:t xml:space="preserve"> </w:t>
      </w:r>
      <w:r>
        <w:rPr>
          <w:noProof/>
          <w:lang w:eastAsia="es-ES"/>
        </w:rPr>
        <w:drawing>
          <wp:inline distT="0" distB="0" distL="0" distR="0">
            <wp:extent cx="5399416" cy="2895600"/>
            <wp:effectExtent l="19050" t="0" r="0" b="0"/>
            <wp:docPr id="5" name="Imagen 1" descr="C:\Users\Taymi\AppData\Local\Microsoft\Windows\Temporary Internet Files\Content.Word\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ymi\AppData\Local\Microsoft\Windows\Temporary Internet Files\Content.Word\Sin título.jpg"/>
                    <pic:cNvPicPr>
                      <a:picLocks noChangeAspect="1" noChangeArrowheads="1"/>
                    </pic:cNvPicPr>
                  </pic:nvPicPr>
                  <pic:blipFill>
                    <a:blip r:embed="rId9" cstate="print"/>
                    <a:srcRect/>
                    <a:stretch>
                      <a:fillRect/>
                    </a:stretch>
                  </pic:blipFill>
                  <pic:spPr bwMode="auto">
                    <a:xfrm>
                      <a:off x="0" y="0"/>
                      <a:ext cx="5400040" cy="2895935"/>
                    </a:xfrm>
                    <a:prstGeom prst="rect">
                      <a:avLst/>
                    </a:prstGeom>
                    <a:noFill/>
                    <a:ln w="9525">
                      <a:noFill/>
                      <a:miter lim="800000"/>
                      <a:headEnd/>
                      <a:tailEnd/>
                    </a:ln>
                  </pic:spPr>
                </pic:pic>
              </a:graphicData>
            </a:graphic>
          </wp:inline>
        </w:drawing>
      </w:r>
    </w:p>
    <w:p w:rsidR="005F535C" w:rsidRPr="00782346" w:rsidRDefault="005F535C" w:rsidP="00782346">
      <w:pPr>
        <w:spacing w:line="240" w:lineRule="auto"/>
        <w:ind w:right="454"/>
        <w:jc w:val="both"/>
        <w:rPr>
          <w:rFonts w:ascii="Times New Roman" w:hAnsi="Times New Roman"/>
          <w:sz w:val="24"/>
          <w:szCs w:val="24"/>
        </w:rPr>
      </w:pPr>
      <w:r w:rsidRPr="00782346">
        <w:rPr>
          <w:rFonts w:ascii="Times New Roman" w:hAnsi="Times New Roman"/>
          <w:sz w:val="24"/>
          <w:szCs w:val="24"/>
        </w:rPr>
        <w:t xml:space="preserve">Figura 2. </w:t>
      </w:r>
      <w:r w:rsidR="00A359B5" w:rsidRPr="00782346">
        <w:rPr>
          <w:rFonts w:ascii="Times New Roman" w:hAnsi="Times New Roman"/>
          <w:sz w:val="24"/>
          <w:szCs w:val="24"/>
        </w:rPr>
        <w:t xml:space="preserve">Estructura del activo circulante del Iberostar. Fuente: extraído del Balance General, cierre marzo/2019.  </w:t>
      </w:r>
    </w:p>
    <w:p w:rsidR="007D52E8" w:rsidRPr="007D52E8" w:rsidRDefault="007D52E8" w:rsidP="007D52E8">
      <w:pPr>
        <w:spacing w:before="100" w:afterAutospacing="0" w:line="360" w:lineRule="auto"/>
        <w:ind w:left="360"/>
        <w:jc w:val="both"/>
        <w:rPr>
          <w:rFonts w:ascii="Times New Roman" w:hAnsi="Times New Roman"/>
          <w:sz w:val="24"/>
          <w:szCs w:val="24"/>
        </w:rPr>
      </w:pPr>
      <w:r w:rsidRPr="007D52E8">
        <w:rPr>
          <w:rFonts w:ascii="Times New Roman" w:hAnsi="Times New Roman"/>
          <w:sz w:val="24"/>
          <w:szCs w:val="24"/>
        </w:rPr>
        <w:t>A partir del cálculo del comportamiento de las principales razones financieras en el periodo analizado, ver tabla 2, se establecen causas y efectos económico-financieros de la actual planificación financiera, las que deben ser atendidas y corregidas en un plan de acciones para el sistemático trabajo de la entidad en los tres trimestres restantes del año</w:t>
      </w:r>
      <w:r w:rsidR="001D121E">
        <w:rPr>
          <w:rFonts w:ascii="Times New Roman" w:hAnsi="Times New Roman"/>
          <w:sz w:val="24"/>
          <w:szCs w:val="24"/>
        </w:rPr>
        <w:t xml:space="preserve"> (Cabrera, 2010)</w:t>
      </w:r>
      <w:r w:rsidRPr="007D52E8">
        <w:rPr>
          <w:rFonts w:ascii="Times New Roman" w:hAnsi="Times New Roman"/>
          <w:sz w:val="24"/>
          <w:szCs w:val="24"/>
        </w:rPr>
        <w:t>.  La técnica de los ratios financieros resulta de gran utilidad para establecer una planeación financiera más objetiva ya que es una herramienta muy útil proporciona índices de las operaciones de la empresa, constituyen el primer paso o punto de partida para el análisis financiero y muestra las relaciones existentes entre las cuentas de los estados financieros</w:t>
      </w:r>
      <w:r w:rsidR="001D121E">
        <w:rPr>
          <w:rFonts w:ascii="Times New Roman" w:hAnsi="Times New Roman"/>
          <w:sz w:val="24"/>
          <w:szCs w:val="24"/>
        </w:rPr>
        <w:t xml:space="preserve"> (González y Ojeda, 2013)</w:t>
      </w:r>
      <w:r w:rsidRPr="007D52E8">
        <w:rPr>
          <w:rFonts w:ascii="Times New Roman" w:hAnsi="Times New Roman"/>
          <w:sz w:val="24"/>
          <w:szCs w:val="24"/>
        </w:rPr>
        <w:t>.</w:t>
      </w:r>
    </w:p>
    <w:tbl>
      <w:tblPr>
        <w:tblStyle w:val="Tablaconcuadrcula"/>
        <w:tblW w:w="0" w:type="auto"/>
        <w:jc w:val="center"/>
        <w:tblLook w:val="04A0"/>
      </w:tblPr>
      <w:tblGrid>
        <w:gridCol w:w="4111"/>
        <w:gridCol w:w="2478"/>
      </w:tblGrid>
      <w:tr w:rsidR="00460722" w:rsidTr="008E7C08">
        <w:trPr>
          <w:jc w:val="center"/>
        </w:trPr>
        <w:tc>
          <w:tcPr>
            <w:tcW w:w="4111" w:type="dxa"/>
          </w:tcPr>
          <w:p w:rsidR="00460722" w:rsidRDefault="007D52E8" w:rsidP="002B1A52">
            <w:pPr>
              <w:rPr>
                <w:rFonts w:ascii="Times New Roman" w:hAnsi="Times New Roman"/>
                <w:b/>
                <w:sz w:val="24"/>
                <w:szCs w:val="24"/>
              </w:rPr>
            </w:pPr>
            <w:r>
              <w:rPr>
                <w:rFonts w:ascii="Times New Roman" w:hAnsi="Times New Roman"/>
                <w:sz w:val="24"/>
                <w:szCs w:val="24"/>
              </w:rPr>
              <w:lastRenderedPageBreak/>
              <w:t xml:space="preserve"> </w:t>
            </w:r>
            <w:r w:rsidR="00460722">
              <w:rPr>
                <w:rFonts w:ascii="Times New Roman" w:hAnsi="Times New Roman"/>
                <w:b/>
                <w:sz w:val="24"/>
                <w:szCs w:val="24"/>
              </w:rPr>
              <w:t>Ratio financiero</w:t>
            </w:r>
          </w:p>
        </w:tc>
        <w:tc>
          <w:tcPr>
            <w:tcW w:w="2478" w:type="dxa"/>
          </w:tcPr>
          <w:p w:rsidR="00460722" w:rsidRDefault="00460722" w:rsidP="002B1A52">
            <w:pPr>
              <w:rPr>
                <w:rFonts w:ascii="Times New Roman" w:hAnsi="Times New Roman"/>
                <w:b/>
                <w:sz w:val="24"/>
                <w:szCs w:val="24"/>
              </w:rPr>
            </w:pPr>
            <w:r>
              <w:rPr>
                <w:rFonts w:ascii="Times New Roman" w:hAnsi="Times New Roman"/>
                <w:b/>
                <w:sz w:val="24"/>
                <w:szCs w:val="24"/>
              </w:rPr>
              <w:t>Primer trimestre 2019</w:t>
            </w:r>
          </w:p>
        </w:tc>
      </w:tr>
      <w:tr w:rsidR="00460722" w:rsidTr="008E7C08">
        <w:trPr>
          <w:jc w:val="center"/>
        </w:trPr>
        <w:tc>
          <w:tcPr>
            <w:tcW w:w="4111" w:type="dxa"/>
          </w:tcPr>
          <w:p w:rsidR="00460722" w:rsidRPr="002B1A52" w:rsidRDefault="00460722" w:rsidP="00A359B5">
            <w:pPr>
              <w:jc w:val="both"/>
              <w:rPr>
                <w:rFonts w:ascii="Times New Roman" w:hAnsi="Times New Roman"/>
                <w:sz w:val="24"/>
                <w:szCs w:val="24"/>
              </w:rPr>
            </w:pPr>
            <w:r w:rsidRPr="002B1A52">
              <w:rPr>
                <w:rFonts w:ascii="Times New Roman" w:hAnsi="Times New Roman"/>
                <w:sz w:val="24"/>
                <w:szCs w:val="24"/>
              </w:rPr>
              <w:t>Razón circulante</w:t>
            </w:r>
          </w:p>
        </w:tc>
        <w:tc>
          <w:tcPr>
            <w:tcW w:w="2478" w:type="dxa"/>
          </w:tcPr>
          <w:p w:rsidR="00460722" w:rsidRPr="00460722" w:rsidRDefault="00460722" w:rsidP="00460722">
            <w:pPr>
              <w:rPr>
                <w:rFonts w:ascii="Times New Roman" w:hAnsi="Times New Roman"/>
                <w:sz w:val="24"/>
                <w:szCs w:val="24"/>
              </w:rPr>
            </w:pPr>
            <w:r w:rsidRPr="00460722">
              <w:rPr>
                <w:rFonts w:ascii="Times New Roman" w:hAnsi="Times New Roman"/>
                <w:sz w:val="24"/>
                <w:szCs w:val="24"/>
              </w:rPr>
              <w:t>5,3018</w:t>
            </w:r>
          </w:p>
        </w:tc>
      </w:tr>
      <w:tr w:rsidR="00460722" w:rsidTr="008E7C08">
        <w:trPr>
          <w:jc w:val="center"/>
        </w:trPr>
        <w:tc>
          <w:tcPr>
            <w:tcW w:w="4111" w:type="dxa"/>
          </w:tcPr>
          <w:p w:rsidR="00460722" w:rsidRPr="00460722" w:rsidRDefault="00460722" w:rsidP="00460722">
            <w:pPr>
              <w:jc w:val="both"/>
              <w:rPr>
                <w:rFonts w:ascii="Times New Roman" w:hAnsi="Times New Roman"/>
                <w:sz w:val="24"/>
                <w:szCs w:val="24"/>
              </w:rPr>
            </w:pPr>
            <w:r w:rsidRPr="00460722">
              <w:rPr>
                <w:rFonts w:ascii="Times New Roman" w:hAnsi="Times New Roman"/>
                <w:sz w:val="24"/>
                <w:szCs w:val="24"/>
              </w:rPr>
              <w:t>Liquidez inmediata</w:t>
            </w:r>
          </w:p>
        </w:tc>
        <w:tc>
          <w:tcPr>
            <w:tcW w:w="2478" w:type="dxa"/>
          </w:tcPr>
          <w:p w:rsidR="00460722" w:rsidRPr="00460722" w:rsidRDefault="00460722" w:rsidP="00460722">
            <w:pPr>
              <w:rPr>
                <w:rFonts w:ascii="Times New Roman" w:hAnsi="Times New Roman"/>
                <w:sz w:val="24"/>
                <w:szCs w:val="24"/>
              </w:rPr>
            </w:pPr>
            <w:r w:rsidRPr="00460722">
              <w:rPr>
                <w:rFonts w:ascii="Times New Roman" w:hAnsi="Times New Roman"/>
                <w:sz w:val="24"/>
                <w:szCs w:val="24"/>
              </w:rPr>
              <w:t>2,7719</w:t>
            </w:r>
          </w:p>
        </w:tc>
      </w:tr>
      <w:tr w:rsidR="00460722" w:rsidTr="008E7C08">
        <w:trPr>
          <w:jc w:val="center"/>
        </w:trPr>
        <w:tc>
          <w:tcPr>
            <w:tcW w:w="4111" w:type="dxa"/>
          </w:tcPr>
          <w:p w:rsidR="00460722" w:rsidRPr="00460722" w:rsidRDefault="00460722" w:rsidP="00A359B5">
            <w:pPr>
              <w:jc w:val="both"/>
              <w:rPr>
                <w:rFonts w:ascii="Times New Roman" w:hAnsi="Times New Roman"/>
                <w:sz w:val="24"/>
                <w:szCs w:val="24"/>
              </w:rPr>
            </w:pPr>
            <w:r w:rsidRPr="00460722">
              <w:rPr>
                <w:rFonts w:ascii="Times New Roman" w:hAnsi="Times New Roman"/>
                <w:sz w:val="24"/>
                <w:szCs w:val="24"/>
              </w:rPr>
              <w:t xml:space="preserve">Disponibilidad </w:t>
            </w:r>
          </w:p>
        </w:tc>
        <w:tc>
          <w:tcPr>
            <w:tcW w:w="2478" w:type="dxa"/>
          </w:tcPr>
          <w:p w:rsidR="00460722" w:rsidRPr="00460722" w:rsidRDefault="00460722" w:rsidP="00460722">
            <w:pPr>
              <w:rPr>
                <w:rFonts w:ascii="Times New Roman" w:hAnsi="Times New Roman"/>
                <w:sz w:val="24"/>
                <w:szCs w:val="24"/>
              </w:rPr>
            </w:pPr>
            <w:r w:rsidRPr="00460722">
              <w:rPr>
                <w:rFonts w:ascii="Times New Roman" w:hAnsi="Times New Roman"/>
                <w:sz w:val="24"/>
                <w:szCs w:val="24"/>
              </w:rPr>
              <w:t>1,8584</w:t>
            </w:r>
          </w:p>
        </w:tc>
      </w:tr>
      <w:tr w:rsidR="00460722" w:rsidTr="008E7C08">
        <w:trPr>
          <w:jc w:val="center"/>
        </w:trPr>
        <w:tc>
          <w:tcPr>
            <w:tcW w:w="4111" w:type="dxa"/>
          </w:tcPr>
          <w:p w:rsidR="00460722" w:rsidRDefault="00460722" w:rsidP="00A359B5">
            <w:pPr>
              <w:jc w:val="both"/>
              <w:rPr>
                <w:rFonts w:ascii="Times New Roman" w:hAnsi="Times New Roman"/>
                <w:b/>
                <w:sz w:val="24"/>
                <w:szCs w:val="24"/>
              </w:rPr>
            </w:pPr>
            <w:r w:rsidRPr="00460722">
              <w:rPr>
                <w:rFonts w:ascii="Times New Roman" w:hAnsi="Times New Roman"/>
                <w:sz w:val="24"/>
                <w:szCs w:val="24"/>
              </w:rPr>
              <w:t xml:space="preserve">Endeudamiento </w:t>
            </w:r>
          </w:p>
        </w:tc>
        <w:tc>
          <w:tcPr>
            <w:tcW w:w="2478" w:type="dxa"/>
          </w:tcPr>
          <w:p w:rsidR="00460722" w:rsidRPr="00460722" w:rsidRDefault="00460722" w:rsidP="00460722">
            <w:pPr>
              <w:rPr>
                <w:rFonts w:ascii="Times New Roman" w:hAnsi="Times New Roman"/>
                <w:sz w:val="24"/>
                <w:szCs w:val="24"/>
              </w:rPr>
            </w:pPr>
            <w:r w:rsidRPr="00460722">
              <w:rPr>
                <w:rFonts w:ascii="Times New Roman" w:hAnsi="Times New Roman"/>
                <w:sz w:val="24"/>
                <w:szCs w:val="24"/>
              </w:rPr>
              <w:t xml:space="preserve">5.3% </w:t>
            </w:r>
          </w:p>
        </w:tc>
      </w:tr>
      <w:tr w:rsidR="00460722" w:rsidTr="008E7C08">
        <w:trPr>
          <w:jc w:val="center"/>
        </w:trPr>
        <w:tc>
          <w:tcPr>
            <w:tcW w:w="4111" w:type="dxa"/>
          </w:tcPr>
          <w:p w:rsidR="00460722" w:rsidRPr="00460722" w:rsidRDefault="00460722" w:rsidP="00A359B5">
            <w:pPr>
              <w:jc w:val="both"/>
              <w:rPr>
                <w:rFonts w:ascii="Times New Roman" w:hAnsi="Times New Roman"/>
                <w:sz w:val="24"/>
                <w:szCs w:val="24"/>
              </w:rPr>
            </w:pPr>
            <w:r w:rsidRPr="00460722">
              <w:rPr>
                <w:rFonts w:ascii="Times New Roman" w:hAnsi="Times New Roman"/>
                <w:sz w:val="24"/>
                <w:szCs w:val="24"/>
              </w:rPr>
              <w:t>Autonomía o Patrimonio</w:t>
            </w:r>
          </w:p>
        </w:tc>
        <w:tc>
          <w:tcPr>
            <w:tcW w:w="2478" w:type="dxa"/>
          </w:tcPr>
          <w:p w:rsidR="00460722" w:rsidRDefault="00460722" w:rsidP="00460722">
            <w:pPr>
              <w:rPr>
                <w:rFonts w:ascii="Times New Roman" w:hAnsi="Times New Roman"/>
                <w:b/>
                <w:sz w:val="24"/>
                <w:szCs w:val="24"/>
              </w:rPr>
            </w:pPr>
            <w:r w:rsidRPr="00460722">
              <w:rPr>
                <w:rFonts w:ascii="Times New Roman" w:hAnsi="Times New Roman"/>
                <w:sz w:val="24"/>
                <w:szCs w:val="24"/>
              </w:rPr>
              <w:t>89.39%</w:t>
            </w:r>
          </w:p>
        </w:tc>
      </w:tr>
      <w:tr w:rsidR="008E7C08" w:rsidTr="008E7C08">
        <w:trPr>
          <w:jc w:val="center"/>
        </w:trPr>
        <w:tc>
          <w:tcPr>
            <w:tcW w:w="4111" w:type="dxa"/>
          </w:tcPr>
          <w:p w:rsidR="008E7C08" w:rsidRPr="00460722" w:rsidRDefault="008E7C08" w:rsidP="00A359B5">
            <w:pPr>
              <w:jc w:val="both"/>
              <w:rPr>
                <w:rFonts w:ascii="Times New Roman" w:hAnsi="Times New Roman"/>
                <w:sz w:val="24"/>
                <w:szCs w:val="24"/>
              </w:rPr>
            </w:pPr>
            <w:r>
              <w:rPr>
                <w:rFonts w:ascii="Times New Roman" w:hAnsi="Times New Roman"/>
                <w:sz w:val="24"/>
                <w:szCs w:val="24"/>
              </w:rPr>
              <w:t>Plazo promedio de cuentas por cobrar</w:t>
            </w:r>
          </w:p>
        </w:tc>
        <w:tc>
          <w:tcPr>
            <w:tcW w:w="2478" w:type="dxa"/>
          </w:tcPr>
          <w:p w:rsidR="008E7C08" w:rsidRPr="00460722" w:rsidRDefault="008E7C08" w:rsidP="00460722">
            <w:pPr>
              <w:rPr>
                <w:rFonts w:ascii="Times New Roman" w:hAnsi="Times New Roman"/>
                <w:sz w:val="24"/>
                <w:szCs w:val="24"/>
              </w:rPr>
            </w:pPr>
            <w:r>
              <w:rPr>
                <w:rFonts w:ascii="Times New Roman" w:hAnsi="Times New Roman"/>
                <w:sz w:val="24"/>
                <w:szCs w:val="24"/>
              </w:rPr>
              <w:t>38 días</w:t>
            </w:r>
          </w:p>
        </w:tc>
      </w:tr>
      <w:tr w:rsidR="008E7C08" w:rsidTr="008E7C08">
        <w:trPr>
          <w:jc w:val="center"/>
        </w:trPr>
        <w:tc>
          <w:tcPr>
            <w:tcW w:w="4111" w:type="dxa"/>
          </w:tcPr>
          <w:p w:rsidR="008E7C08" w:rsidRDefault="008E7C08" w:rsidP="00A359B5">
            <w:pPr>
              <w:jc w:val="both"/>
              <w:rPr>
                <w:rFonts w:ascii="Times New Roman" w:hAnsi="Times New Roman"/>
                <w:sz w:val="24"/>
                <w:szCs w:val="24"/>
              </w:rPr>
            </w:pPr>
            <w:r>
              <w:rPr>
                <w:rFonts w:ascii="Times New Roman" w:hAnsi="Times New Roman"/>
                <w:sz w:val="24"/>
                <w:szCs w:val="24"/>
              </w:rPr>
              <w:t>Plazo promedio de cuentas por pagar</w:t>
            </w:r>
            <w:bookmarkStart w:id="0" w:name="_GoBack"/>
            <w:bookmarkEnd w:id="0"/>
          </w:p>
        </w:tc>
        <w:tc>
          <w:tcPr>
            <w:tcW w:w="2478" w:type="dxa"/>
          </w:tcPr>
          <w:p w:rsidR="008E7C08" w:rsidRDefault="00177FFB" w:rsidP="00460722">
            <w:pPr>
              <w:rPr>
                <w:rFonts w:ascii="Times New Roman" w:hAnsi="Times New Roman"/>
                <w:sz w:val="24"/>
                <w:szCs w:val="24"/>
              </w:rPr>
            </w:pPr>
            <w:r>
              <w:rPr>
                <w:rFonts w:ascii="Times New Roman" w:hAnsi="Times New Roman"/>
                <w:sz w:val="24"/>
                <w:szCs w:val="24"/>
              </w:rPr>
              <w:t>30 días</w:t>
            </w:r>
          </w:p>
        </w:tc>
      </w:tr>
      <w:tr w:rsidR="00D76D8C" w:rsidTr="008E7C08">
        <w:trPr>
          <w:jc w:val="center"/>
        </w:trPr>
        <w:tc>
          <w:tcPr>
            <w:tcW w:w="4111" w:type="dxa"/>
          </w:tcPr>
          <w:p w:rsidR="00D76D8C" w:rsidRDefault="00D76D8C" w:rsidP="00A359B5">
            <w:pPr>
              <w:jc w:val="both"/>
              <w:rPr>
                <w:rFonts w:ascii="Times New Roman" w:hAnsi="Times New Roman"/>
                <w:sz w:val="24"/>
                <w:szCs w:val="24"/>
              </w:rPr>
            </w:pPr>
            <w:r>
              <w:rPr>
                <w:rFonts w:ascii="Times New Roman" w:hAnsi="Times New Roman"/>
                <w:sz w:val="24"/>
                <w:szCs w:val="24"/>
              </w:rPr>
              <w:t>Plazo promedio del inventario</w:t>
            </w:r>
          </w:p>
        </w:tc>
        <w:tc>
          <w:tcPr>
            <w:tcW w:w="2478" w:type="dxa"/>
          </w:tcPr>
          <w:p w:rsidR="00D76D8C" w:rsidRDefault="00D76D8C" w:rsidP="00460722">
            <w:pPr>
              <w:rPr>
                <w:rFonts w:ascii="Times New Roman" w:hAnsi="Times New Roman"/>
                <w:sz w:val="24"/>
                <w:szCs w:val="24"/>
              </w:rPr>
            </w:pPr>
            <w:r>
              <w:rPr>
                <w:rFonts w:ascii="Times New Roman" w:hAnsi="Times New Roman"/>
                <w:sz w:val="24"/>
                <w:szCs w:val="24"/>
              </w:rPr>
              <w:t>48 días</w:t>
            </w:r>
          </w:p>
        </w:tc>
      </w:tr>
    </w:tbl>
    <w:p w:rsidR="002B1A52" w:rsidRPr="00A359B5" w:rsidRDefault="002B1A52" w:rsidP="00A359B5">
      <w:pPr>
        <w:jc w:val="both"/>
        <w:rPr>
          <w:rFonts w:ascii="Times New Roman" w:hAnsi="Times New Roman"/>
          <w:b/>
          <w:sz w:val="24"/>
          <w:szCs w:val="24"/>
        </w:rPr>
      </w:pPr>
    </w:p>
    <w:p w:rsidR="00413345" w:rsidRDefault="00481F5B" w:rsidP="00075DC2">
      <w:pPr>
        <w:pStyle w:val="Ttulo2"/>
        <w:spacing w:line="360" w:lineRule="auto"/>
        <w:jc w:val="both"/>
        <w:rPr>
          <w:rFonts w:ascii="Times New Roman" w:eastAsiaTheme="minorHAnsi" w:hAnsi="Times New Roman" w:cstheme="minorBidi"/>
          <w:b w:val="0"/>
          <w:bCs w:val="0"/>
          <w:color w:val="auto"/>
          <w:sz w:val="24"/>
          <w:szCs w:val="24"/>
        </w:rPr>
      </w:pPr>
      <w:r>
        <w:rPr>
          <w:rFonts w:ascii="Times New Roman" w:eastAsiaTheme="minorHAnsi" w:hAnsi="Times New Roman" w:cstheme="minorBidi"/>
          <w:b w:val="0"/>
          <w:bCs w:val="0"/>
          <w:color w:val="auto"/>
          <w:sz w:val="24"/>
          <w:szCs w:val="24"/>
        </w:rPr>
        <w:t>E</w:t>
      </w:r>
      <w:r w:rsidR="005F535C">
        <w:rPr>
          <w:rFonts w:ascii="Times New Roman" w:eastAsiaTheme="minorHAnsi" w:hAnsi="Times New Roman" w:cstheme="minorBidi"/>
          <w:b w:val="0"/>
          <w:bCs w:val="0"/>
          <w:color w:val="auto"/>
          <w:sz w:val="24"/>
          <w:szCs w:val="24"/>
        </w:rPr>
        <w:t>l análisis de estos ratios</w:t>
      </w:r>
      <w:r>
        <w:rPr>
          <w:rFonts w:ascii="Times New Roman" w:eastAsiaTheme="minorHAnsi" w:hAnsi="Times New Roman" w:cstheme="minorBidi"/>
          <w:b w:val="0"/>
          <w:bCs w:val="0"/>
          <w:color w:val="auto"/>
          <w:sz w:val="24"/>
          <w:szCs w:val="24"/>
        </w:rPr>
        <w:t xml:space="preserve"> conducen a indagar en la </w:t>
      </w:r>
      <w:r w:rsidR="00BF2FF2">
        <w:rPr>
          <w:rFonts w:ascii="Times New Roman" w:eastAsiaTheme="minorHAnsi" w:hAnsi="Times New Roman" w:cstheme="minorBidi"/>
          <w:b w:val="0"/>
          <w:bCs w:val="0"/>
          <w:color w:val="auto"/>
          <w:sz w:val="24"/>
          <w:szCs w:val="24"/>
        </w:rPr>
        <w:t xml:space="preserve">estructura financiera </w:t>
      </w:r>
      <w:r>
        <w:rPr>
          <w:rFonts w:ascii="Times New Roman" w:eastAsiaTheme="minorHAnsi" w:hAnsi="Times New Roman" w:cstheme="minorBidi"/>
          <w:b w:val="0"/>
          <w:bCs w:val="0"/>
          <w:color w:val="auto"/>
          <w:sz w:val="24"/>
          <w:szCs w:val="24"/>
        </w:rPr>
        <w:t>de la empresa, por lo que se establece</w:t>
      </w:r>
      <w:r w:rsidR="007E2AD7">
        <w:rPr>
          <w:rFonts w:ascii="Times New Roman" w:eastAsiaTheme="minorHAnsi" w:hAnsi="Times New Roman" w:cstheme="minorBidi"/>
          <w:b w:val="0"/>
          <w:bCs w:val="0"/>
          <w:color w:val="auto"/>
          <w:sz w:val="24"/>
          <w:szCs w:val="24"/>
        </w:rPr>
        <w:t xml:space="preserve"> en la figura 2 un estudio del activo circulante y pasivo circulante en valores relativos.  </w:t>
      </w:r>
      <w:r w:rsidR="00075DC2">
        <w:rPr>
          <w:rFonts w:ascii="Times New Roman" w:eastAsiaTheme="minorHAnsi" w:hAnsi="Times New Roman" w:cstheme="minorBidi"/>
          <w:b w:val="0"/>
          <w:bCs w:val="0"/>
          <w:color w:val="auto"/>
          <w:sz w:val="24"/>
          <w:szCs w:val="24"/>
        </w:rPr>
        <w:t xml:space="preserve"> </w:t>
      </w:r>
    </w:p>
    <w:p w:rsidR="00481F5B" w:rsidRDefault="00481F5B" w:rsidP="007E2AD7">
      <w:r w:rsidRPr="00481F5B">
        <w:rPr>
          <w:noProof/>
          <w:lang w:eastAsia="es-ES"/>
        </w:rPr>
        <w:drawing>
          <wp:inline distT="0" distB="0" distL="0" distR="0">
            <wp:extent cx="2428875" cy="3524250"/>
            <wp:effectExtent l="19050" t="0" r="9525" b="0"/>
            <wp:docPr id="6"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7E2AD7" w:rsidRPr="007E2AD7">
        <w:rPr>
          <w:noProof/>
          <w:lang w:eastAsia="es-ES"/>
        </w:rPr>
        <w:drawing>
          <wp:inline distT="0" distB="0" distL="0" distR="0">
            <wp:extent cx="3076575" cy="3524250"/>
            <wp:effectExtent l="19050" t="0" r="9525" b="0"/>
            <wp:docPr id="8"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E2AD7" w:rsidRPr="00782346" w:rsidRDefault="007E2AD7" w:rsidP="00782346">
      <w:pPr>
        <w:spacing w:line="240" w:lineRule="auto"/>
        <w:ind w:left="227" w:right="170"/>
        <w:jc w:val="both"/>
        <w:rPr>
          <w:rFonts w:ascii="Times New Roman" w:hAnsi="Times New Roman"/>
          <w:sz w:val="24"/>
          <w:szCs w:val="24"/>
        </w:rPr>
      </w:pPr>
      <w:r w:rsidRPr="00782346">
        <w:rPr>
          <w:rFonts w:ascii="Times New Roman" w:hAnsi="Times New Roman"/>
          <w:sz w:val="24"/>
          <w:szCs w:val="24"/>
        </w:rPr>
        <w:t xml:space="preserve">Figura 2. Estructura financiera del activo y pasivo circulante del Iberostar, cierre marzo 2019. Fuente: elaboración del autor.  </w:t>
      </w:r>
    </w:p>
    <w:p w:rsidR="0076657D" w:rsidRPr="0076657D" w:rsidRDefault="0076657D" w:rsidP="0076657D">
      <w:pPr>
        <w:pStyle w:val="Ttulo2"/>
        <w:spacing w:line="360" w:lineRule="auto"/>
        <w:jc w:val="both"/>
        <w:rPr>
          <w:rFonts w:ascii="Times New Roman" w:eastAsiaTheme="minorHAnsi" w:hAnsi="Times New Roman" w:cstheme="minorBidi"/>
          <w:b w:val="0"/>
          <w:bCs w:val="0"/>
          <w:color w:val="auto"/>
          <w:sz w:val="24"/>
          <w:szCs w:val="24"/>
        </w:rPr>
      </w:pPr>
      <w:r w:rsidRPr="0076657D">
        <w:rPr>
          <w:rFonts w:ascii="Times New Roman" w:eastAsiaTheme="minorHAnsi" w:hAnsi="Times New Roman" w:cstheme="minorBidi"/>
          <w:b w:val="0"/>
          <w:bCs w:val="0"/>
          <w:color w:val="auto"/>
          <w:sz w:val="24"/>
          <w:szCs w:val="24"/>
        </w:rPr>
        <w:lastRenderedPageBreak/>
        <w:t xml:space="preserve">El </w:t>
      </w:r>
      <w:r>
        <w:rPr>
          <w:rFonts w:ascii="Times New Roman" w:eastAsiaTheme="minorHAnsi" w:hAnsi="Times New Roman" w:cstheme="minorBidi"/>
          <w:b w:val="0"/>
          <w:bCs w:val="0"/>
          <w:color w:val="auto"/>
          <w:sz w:val="24"/>
          <w:szCs w:val="24"/>
        </w:rPr>
        <w:t xml:space="preserve">análisis del </w:t>
      </w:r>
      <w:r w:rsidRPr="0076657D">
        <w:rPr>
          <w:rFonts w:ascii="Times New Roman" w:eastAsiaTheme="minorHAnsi" w:hAnsi="Times New Roman" w:cstheme="minorBidi"/>
          <w:b w:val="0"/>
          <w:bCs w:val="0"/>
          <w:color w:val="auto"/>
          <w:sz w:val="24"/>
          <w:szCs w:val="24"/>
        </w:rPr>
        <w:t xml:space="preserve">periodo analizado </w:t>
      </w:r>
      <w:r>
        <w:rPr>
          <w:rFonts w:ascii="Times New Roman" w:eastAsiaTheme="minorHAnsi" w:hAnsi="Times New Roman" w:cstheme="minorBidi"/>
          <w:b w:val="0"/>
          <w:bCs w:val="0"/>
          <w:color w:val="auto"/>
          <w:sz w:val="24"/>
          <w:szCs w:val="24"/>
        </w:rPr>
        <w:t>arroja l</w:t>
      </w:r>
      <w:r w:rsidRPr="0076657D">
        <w:rPr>
          <w:rFonts w:ascii="Times New Roman" w:eastAsiaTheme="minorHAnsi" w:hAnsi="Times New Roman" w:cstheme="minorBidi"/>
          <w:b w:val="0"/>
          <w:bCs w:val="0"/>
          <w:color w:val="auto"/>
          <w:sz w:val="24"/>
          <w:szCs w:val="24"/>
        </w:rPr>
        <w:t xml:space="preserve">os principales </w:t>
      </w:r>
      <w:hyperlink r:id="rId12" w:anchor="PLANT" w:history="1">
        <w:r w:rsidRPr="0076657D">
          <w:rPr>
            <w:rFonts w:eastAsiaTheme="minorHAnsi" w:cstheme="minorBidi"/>
            <w:b w:val="0"/>
            <w:bCs w:val="0"/>
            <w:color w:val="auto"/>
          </w:rPr>
          <w:t>problemas</w:t>
        </w:r>
      </w:hyperlink>
      <w:r w:rsidRPr="0076657D">
        <w:rPr>
          <w:rFonts w:ascii="Times New Roman" w:eastAsiaTheme="minorHAnsi" w:hAnsi="Times New Roman" w:cstheme="minorBidi"/>
          <w:b w:val="0"/>
          <w:bCs w:val="0"/>
          <w:color w:val="auto"/>
          <w:sz w:val="24"/>
          <w:szCs w:val="24"/>
        </w:rPr>
        <w:t>:</w:t>
      </w:r>
    </w:p>
    <w:p w:rsidR="0076657D" w:rsidRPr="0076657D" w:rsidRDefault="0076657D" w:rsidP="0076657D">
      <w:pPr>
        <w:pStyle w:val="Ttulo2"/>
        <w:spacing w:line="360" w:lineRule="auto"/>
        <w:jc w:val="both"/>
        <w:rPr>
          <w:rFonts w:ascii="Times New Roman" w:eastAsiaTheme="minorHAnsi" w:hAnsi="Times New Roman" w:cstheme="minorBidi"/>
          <w:b w:val="0"/>
          <w:bCs w:val="0"/>
          <w:color w:val="auto"/>
          <w:sz w:val="24"/>
          <w:szCs w:val="24"/>
        </w:rPr>
      </w:pPr>
      <w:r w:rsidRPr="0076657D">
        <w:rPr>
          <w:rFonts w:ascii="Times New Roman" w:eastAsiaTheme="minorHAnsi" w:hAnsi="Times New Roman" w:cstheme="minorBidi"/>
          <w:b w:val="0"/>
          <w:bCs w:val="0"/>
          <w:color w:val="auto"/>
          <w:sz w:val="24"/>
          <w:szCs w:val="24"/>
        </w:rPr>
        <w:t xml:space="preserve">1- La composición de la fuente de financiamiento la clasifica como una empresa que opera con un elevado </w:t>
      </w:r>
      <w:r w:rsidR="002B1A52">
        <w:rPr>
          <w:rFonts w:ascii="Times New Roman" w:eastAsiaTheme="minorHAnsi" w:hAnsi="Times New Roman" w:cstheme="minorBidi"/>
          <w:b w:val="0"/>
          <w:bCs w:val="0"/>
          <w:color w:val="auto"/>
          <w:sz w:val="24"/>
          <w:szCs w:val="24"/>
        </w:rPr>
        <w:t>nivel de autonomía</w:t>
      </w:r>
      <w:r w:rsidR="008E7C08">
        <w:rPr>
          <w:rFonts w:ascii="Times New Roman" w:eastAsiaTheme="minorHAnsi" w:hAnsi="Times New Roman" w:cstheme="minorBidi"/>
          <w:b w:val="0"/>
          <w:bCs w:val="0"/>
          <w:color w:val="auto"/>
          <w:sz w:val="24"/>
          <w:szCs w:val="24"/>
        </w:rPr>
        <w:t xml:space="preserve"> que se aproxima al 90%</w:t>
      </w:r>
      <w:r w:rsidR="002B1A52">
        <w:rPr>
          <w:rFonts w:ascii="Times New Roman" w:eastAsiaTheme="minorHAnsi" w:hAnsi="Times New Roman" w:cstheme="minorBidi"/>
          <w:b w:val="0"/>
          <w:bCs w:val="0"/>
          <w:color w:val="auto"/>
          <w:sz w:val="24"/>
          <w:szCs w:val="24"/>
        </w:rPr>
        <w:t xml:space="preserve">, </w:t>
      </w:r>
      <w:r w:rsidR="008E7C08">
        <w:rPr>
          <w:rFonts w:ascii="Times New Roman" w:eastAsiaTheme="minorHAnsi" w:hAnsi="Times New Roman" w:cstheme="minorBidi"/>
          <w:b w:val="0"/>
          <w:bCs w:val="0"/>
          <w:color w:val="auto"/>
          <w:sz w:val="24"/>
          <w:szCs w:val="24"/>
        </w:rPr>
        <w:t xml:space="preserve">lo cual provoca que no se aprovecha la capacidad para el apalancamiento financiero, a partir del uso </w:t>
      </w:r>
      <w:r w:rsidRPr="0076657D">
        <w:rPr>
          <w:rFonts w:ascii="Times New Roman" w:eastAsiaTheme="minorHAnsi" w:hAnsi="Times New Roman" w:cstheme="minorBidi"/>
          <w:b w:val="0"/>
          <w:bCs w:val="0"/>
          <w:color w:val="auto"/>
          <w:sz w:val="24"/>
          <w:szCs w:val="24"/>
        </w:rPr>
        <w:t>de financiamiento ajeno</w:t>
      </w:r>
      <w:r w:rsidR="008E7C08">
        <w:rPr>
          <w:rFonts w:ascii="Times New Roman" w:eastAsiaTheme="minorHAnsi" w:hAnsi="Times New Roman" w:cstheme="minorBidi"/>
          <w:b w:val="0"/>
          <w:bCs w:val="0"/>
          <w:color w:val="auto"/>
          <w:sz w:val="24"/>
          <w:szCs w:val="24"/>
        </w:rPr>
        <w:t>.</w:t>
      </w:r>
    </w:p>
    <w:p w:rsidR="0076657D" w:rsidRPr="0076657D" w:rsidRDefault="0076657D" w:rsidP="0076657D">
      <w:pPr>
        <w:pStyle w:val="Ttulo2"/>
        <w:spacing w:line="360" w:lineRule="auto"/>
        <w:jc w:val="both"/>
        <w:rPr>
          <w:rFonts w:ascii="Times New Roman" w:eastAsiaTheme="minorHAnsi" w:hAnsi="Times New Roman" w:cstheme="minorBidi"/>
          <w:b w:val="0"/>
          <w:bCs w:val="0"/>
          <w:color w:val="auto"/>
          <w:sz w:val="24"/>
          <w:szCs w:val="24"/>
        </w:rPr>
      </w:pPr>
      <w:r w:rsidRPr="0076657D">
        <w:rPr>
          <w:rFonts w:ascii="Times New Roman" w:eastAsiaTheme="minorHAnsi" w:hAnsi="Times New Roman" w:cstheme="minorBidi"/>
          <w:b w:val="0"/>
          <w:bCs w:val="0"/>
          <w:color w:val="auto"/>
          <w:sz w:val="24"/>
          <w:szCs w:val="24"/>
        </w:rPr>
        <w:t>2- El ciclo de inventarios, aunque decrece de un año a otro en 2 días aún se encuentra en 48 días, muy por encima de lo necesario para mantener una rotación estable.</w:t>
      </w:r>
    </w:p>
    <w:p w:rsidR="0076657D" w:rsidRPr="0076657D" w:rsidRDefault="0076657D" w:rsidP="0076657D">
      <w:pPr>
        <w:pStyle w:val="Ttulo2"/>
        <w:spacing w:line="360" w:lineRule="auto"/>
        <w:jc w:val="both"/>
        <w:rPr>
          <w:rFonts w:ascii="Times New Roman" w:eastAsiaTheme="minorHAnsi" w:hAnsi="Times New Roman" w:cstheme="minorBidi"/>
          <w:b w:val="0"/>
          <w:bCs w:val="0"/>
          <w:color w:val="auto"/>
          <w:sz w:val="24"/>
          <w:szCs w:val="24"/>
        </w:rPr>
      </w:pPr>
      <w:r w:rsidRPr="0076657D">
        <w:rPr>
          <w:rFonts w:ascii="Times New Roman" w:eastAsiaTheme="minorHAnsi" w:hAnsi="Times New Roman" w:cstheme="minorBidi"/>
          <w:b w:val="0"/>
          <w:bCs w:val="0"/>
          <w:color w:val="auto"/>
          <w:sz w:val="24"/>
          <w:szCs w:val="24"/>
        </w:rPr>
        <w:t>3- El ciclo de pagos, disminuyó en 23, 4 días de un período a otro el actual es de 11,6 días muy por debajo a lo pactado con los proveedores.</w:t>
      </w:r>
    </w:p>
    <w:p w:rsidR="0076657D" w:rsidRPr="0076657D" w:rsidRDefault="0076657D" w:rsidP="0076657D">
      <w:pPr>
        <w:pStyle w:val="Ttulo2"/>
        <w:spacing w:line="360" w:lineRule="auto"/>
        <w:jc w:val="both"/>
        <w:rPr>
          <w:rFonts w:ascii="Times New Roman" w:eastAsiaTheme="minorHAnsi" w:hAnsi="Times New Roman" w:cstheme="minorBidi"/>
          <w:b w:val="0"/>
          <w:bCs w:val="0"/>
          <w:color w:val="auto"/>
          <w:sz w:val="24"/>
          <w:szCs w:val="24"/>
        </w:rPr>
      </w:pPr>
      <w:r w:rsidRPr="0076657D">
        <w:rPr>
          <w:rFonts w:ascii="Times New Roman" w:eastAsiaTheme="minorHAnsi" w:hAnsi="Times New Roman" w:cstheme="minorBidi"/>
          <w:b w:val="0"/>
          <w:bCs w:val="0"/>
          <w:color w:val="auto"/>
          <w:sz w:val="24"/>
          <w:szCs w:val="24"/>
        </w:rPr>
        <w:t>4- El endeudamiento que presenta la entidad se presenta como una de las principales problemáticas, aunque disminuyó 14 centavos de un año a otro, aún cuenta con 55 centavos de pasivo por cada activo.</w:t>
      </w:r>
    </w:p>
    <w:p w:rsidR="0076657D" w:rsidRPr="0076657D" w:rsidRDefault="0076657D" w:rsidP="0076657D">
      <w:pPr>
        <w:pStyle w:val="Ttulo2"/>
        <w:spacing w:line="360" w:lineRule="auto"/>
        <w:jc w:val="both"/>
        <w:rPr>
          <w:rFonts w:ascii="Times New Roman" w:eastAsiaTheme="minorHAnsi" w:hAnsi="Times New Roman" w:cstheme="minorBidi"/>
          <w:b w:val="0"/>
          <w:bCs w:val="0"/>
          <w:color w:val="auto"/>
          <w:sz w:val="24"/>
          <w:szCs w:val="24"/>
        </w:rPr>
      </w:pPr>
      <w:r w:rsidRPr="0076657D">
        <w:rPr>
          <w:rFonts w:ascii="Times New Roman" w:eastAsiaTheme="minorHAnsi" w:hAnsi="Times New Roman" w:cstheme="minorBidi"/>
          <w:b w:val="0"/>
          <w:bCs w:val="0"/>
          <w:color w:val="auto"/>
          <w:sz w:val="24"/>
          <w:szCs w:val="24"/>
        </w:rPr>
        <w:t>5- Mala calidad de la deuda, en estos momentos existen 99 centavos por cada peso de las deudas contraídas que deben saldarse en el corto plazo, situación que manifestó un incremento de un año a otro.</w:t>
      </w:r>
    </w:p>
    <w:p w:rsidR="0076657D" w:rsidRPr="0076657D" w:rsidRDefault="0076657D" w:rsidP="0076657D">
      <w:pPr>
        <w:pStyle w:val="Ttulo2"/>
        <w:spacing w:line="360" w:lineRule="auto"/>
        <w:jc w:val="both"/>
        <w:rPr>
          <w:rFonts w:ascii="Times New Roman" w:eastAsiaTheme="minorHAnsi" w:hAnsi="Times New Roman" w:cstheme="minorBidi"/>
          <w:b w:val="0"/>
          <w:bCs w:val="0"/>
          <w:color w:val="auto"/>
          <w:sz w:val="24"/>
          <w:szCs w:val="24"/>
        </w:rPr>
      </w:pPr>
      <w:r w:rsidRPr="0076657D">
        <w:rPr>
          <w:rFonts w:ascii="Times New Roman" w:eastAsiaTheme="minorHAnsi" w:hAnsi="Times New Roman" w:cstheme="minorBidi"/>
          <w:b w:val="0"/>
          <w:bCs w:val="0"/>
          <w:color w:val="auto"/>
          <w:sz w:val="24"/>
          <w:szCs w:val="24"/>
        </w:rPr>
        <w:t>6- La solvencia a corto plazo, independientemente de haber crecido en 0.09 pesos, continúa siendo insuficiente para las características de la entidad, el valor actual es de 1.38 pesos.</w:t>
      </w:r>
    </w:p>
    <w:p w:rsidR="0076657D" w:rsidRPr="0076657D" w:rsidRDefault="0076657D" w:rsidP="0076657D">
      <w:pPr>
        <w:pStyle w:val="Ttulo2"/>
        <w:spacing w:line="360" w:lineRule="auto"/>
        <w:jc w:val="both"/>
        <w:rPr>
          <w:rFonts w:ascii="Times New Roman" w:eastAsiaTheme="minorHAnsi" w:hAnsi="Times New Roman" w:cstheme="minorBidi"/>
          <w:b w:val="0"/>
          <w:bCs w:val="0"/>
          <w:color w:val="auto"/>
          <w:sz w:val="24"/>
          <w:szCs w:val="24"/>
        </w:rPr>
      </w:pPr>
      <w:r w:rsidRPr="0076657D">
        <w:rPr>
          <w:rFonts w:ascii="Times New Roman" w:eastAsiaTheme="minorHAnsi" w:hAnsi="Times New Roman" w:cstheme="minorBidi"/>
          <w:b w:val="0"/>
          <w:bCs w:val="0"/>
          <w:color w:val="auto"/>
          <w:sz w:val="24"/>
          <w:szCs w:val="24"/>
        </w:rPr>
        <w:t>7- La calidad de la solvencia a corto plazo es mala, al deducir los inventarios ociosos y de lento movimiento del activo circulante, este valor solo alcanza 1.18 pesos.</w:t>
      </w:r>
    </w:p>
    <w:p w:rsidR="0076657D" w:rsidRPr="0076657D" w:rsidRDefault="0076657D" w:rsidP="0076657D">
      <w:pPr>
        <w:pStyle w:val="Ttulo2"/>
        <w:spacing w:line="360" w:lineRule="auto"/>
        <w:jc w:val="both"/>
        <w:rPr>
          <w:rFonts w:ascii="Times New Roman" w:eastAsiaTheme="minorHAnsi" w:hAnsi="Times New Roman" w:cstheme="minorBidi"/>
          <w:b w:val="0"/>
          <w:bCs w:val="0"/>
          <w:color w:val="auto"/>
          <w:sz w:val="24"/>
          <w:szCs w:val="24"/>
        </w:rPr>
      </w:pPr>
      <w:r w:rsidRPr="0076657D">
        <w:rPr>
          <w:rFonts w:ascii="Times New Roman" w:eastAsiaTheme="minorHAnsi" w:hAnsi="Times New Roman" w:cstheme="minorBidi"/>
          <w:b w:val="0"/>
          <w:bCs w:val="0"/>
          <w:color w:val="auto"/>
          <w:sz w:val="24"/>
          <w:szCs w:val="24"/>
        </w:rPr>
        <w:t>8- El margen neto de la entidad solo logra alcanzar los seis centavos por cada peso de venta.</w:t>
      </w:r>
    </w:p>
    <w:p w:rsidR="0076657D" w:rsidRPr="0076657D" w:rsidRDefault="0076657D" w:rsidP="0076657D">
      <w:pPr>
        <w:pStyle w:val="Ttulo2"/>
        <w:spacing w:line="360" w:lineRule="auto"/>
        <w:jc w:val="both"/>
        <w:rPr>
          <w:rFonts w:ascii="Times New Roman" w:eastAsiaTheme="minorHAnsi" w:hAnsi="Times New Roman" w:cstheme="minorBidi"/>
          <w:b w:val="0"/>
          <w:bCs w:val="0"/>
          <w:color w:val="auto"/>
          <w:sz w:val="24"/>
          <w:szCs w:val="24"/>
        </w:rPr>
      </w:pPr>
      <w:r w:rsidRPr="0076657D">
        <w:rPr>
          <w:rFonts w:ascii="Times New Roman" w:eastAsiaTheme="minorHAnsi" w:hAnsi="Times New Roman" w:cstheme="minorBidi"/>
          <w:b w:val="0"/>
          <w:bCs w:val="0"/>
          <w:color w:val="auto"/>
          <w:sz w:val="24"/>
          <w:szCs w:val="24"/>
        </w:rPr>
        <w:t xml:space="preserve">9- Los </w:t>
      </w:r>
      <w:hyperlink r:id="rId13" w:anchor="ga" w:history="1">
        <w:r w:rsidRPr="0076657D">
          <w:rPr>
            <w:rFonts w:eastAsiaTheme="minorHAnsi" w:cstheme="minorBidi"/>
            <w:b w:val="0"/>
            <w:bCs w:val="0"/>
            <w:color w:val="auto"/>
          </w:rPr>
          <w:t>gastos</w:t>
        </w:r>
      </w:hyperlink>
      <w:r w:rsidRPr="0076657D">
        <w:rPr>
          <w:rFonts w:ascii="Times New Roman" w:eastAsiaTheme="minorHAnsi" w:hAnsi="Times New Roman" w:cstheme="minorBidi"/>
          <w:b w:val="0"/>
          <w:bCs w:val="0"/>
          <w:color w:val="auto"/>
          <w:sz w:val="24"/>
          <w:szCs w:val="24"/>
        </w:rPr>
        <w:t xml:space="preserve"> financieros aumentaron de un año a otro en un 22.7 % lo que presenta en valores un monto ascendente a 13 920 pesos.</w:t>
      </w:r>
    </w:p>
    <w:p w:rsidR="00226D26" w:rsidRPr="00226D26" w:rsidRDefault="00226D26" w:rsidP="00226D26">
      <w:pPr>
        <w:jc w:val="both"/>
        <w:rPr>
          <w:rFonts w:ascii="Times New Roman" w:hAnsi="Times New Roman"/>
          <w:sz w:val="24"/>
          <w:szCs w:val="24"/>
        </w:rPr>
      </w:pPr>
      <w:r w:rsidRPr="00226D26">
        <w:rPr>
          <w:rFonts w:ascii="Times New Roman" w:hAnsi="Times New Roman"/>
          <w:sz w:val="24"/>
          <w:szCs w:val="24"/>
        </w:rPr>
        <w:lastRenderedPageBreak/>
        <w:t>Se identificaron como puntos fuertes:</w:t>
      </w:r>
    </w:p>
    <w:p w:rsidR="00226D26" w:rsidRPr="00226D26" w:rsidRDefault="00226D26" w:rsidP="00782346">
      <w:pPr>
        <w:ind w:left="360"/>
        <w:jc w:val="both"/>
        <w:rPr>
          <w:rFonts w:ascii="Times New Roman" w:hAnsi="Times New Roman"/>
          <w:sz w:val="24"/>
          <w:szCs w:val="24"/>
        </w:rPr>
      </w:pPr>
      <w:r w:rsidRPr="00226D26">
        <w:rPr>
          <w:rFonts w:ascii="Times New Roman" w:hAnsi="Times New Roman"/>
          <w:sz w:val="24"/>
          <w:szCs w:val="24"/>
        </w:rPr>
        <w:t xml:space="preserve">1. El análisis de la </w:t>
      </w:r>
      <w:hyperlink r:id="rId14" w:anchor="INTRO" w:history="1">
        <w:r w:rsidRPr="00226D26">
          <w:rPr>
            <w:rFonts w:ascii="Times New Roman" w:hAnsi="Times New Roman"/>
            <w:sz w:val="24"/>
            <w:szCs w:val="24"/>
          </w:rPr>
          <w:t>estructura</w:t>
        </w:r>
      </w:hyperlink>
      <w:r w:rsidRPr="00226D26">
        <w:rPr>
          <w:rFonts w:ascii="Times New Roman" w:hAnsi="Times New Roman"/>
          <w:sz w:val="24"/>
          <w:szCs w:val="24"/>
        </w:rPr>
        <w:t xml:space="preserve"> de balance, en cuanto a la distribución de los activos, con el 76.3% de estos en sus partidas más liquidas, la caracteriza como una empresa comercializadora, aspecto en la que coincide plenamente con su objeto social.</w:t>
      </w:r>
    </w:p>
    <w:p w:rsidR="00226D26" w:rsidRPr="00226D26" w:rsidRDefault="00226D26" w:rsidP="00782346">
      <w:pPr>
        <w:ind w:left="360"/>
        <w:jc w:val="both"/>
        <w:rPr>
          <w:rFonts w:ascii="Times New Roman" w:hAnsi="Times New Roman"/>
          <w:sz w:val="24"/>
          <w:szCs w:val="24"/>
        </w:rPr>
      </w:pPr>
      <w:r w:rsidRPr="00226D26">
        <w:rPr>
          <w:rFonts w:ascii="Times New Roman" w:hAnsi="Times New Roman"/>
          <w:sz w:val="24"/>
          <w:szCs w:val="24"/>
        </w:rPr>
        <w:t xml:space="preserve">2. La entidad se encuentra ubicada en el cuadrante de navegación de empresa consolidada o en </w:t>
      </w:r>
      <w:hyperlink r:id="rId15" w:history="1">
        <w:r w:rsidRPr="00226D26">
          <w:rPr>
            <w:rFonts w:ascii="Times New Roman" w:hAnsi="Times New Roman"/>
            <w:sz w:val="24"/>
            <w:szCs w:val="24"/>
          </w:rPr>
          <w:t>desarrollo</w:t>
        </w:r>
      </w:hyperlink>
      <w:r w:rsidRPr="00226D26">
        <w:rPr>
          <w:rFonts w:ascii="Times New Roman" w:hAnsi="Times New Roman"/>
          <w:sz w:val="24"/>
          <w:szCs w:val="24"/>
        </w:rPr>
        <w:t>, además de mejorar su posición con respecto al año anterior en la solvencia a corto plazo (de $ 1.29 a $ 1.39) mientras mantiene la rentabilidad financiera en $ 0.20</w:t>
      </w:r>
    </w:p>
    <w:p w:rsidR="00226D26" w:rsidRPr="00226D26" w:rsidRDefault="00226D26" w:rsidP="00782346">
      <w:pPr>
        <w:ind w:left="360"/>
        <w:jc w:val="both"/>
        <w:rPr>
          <w:rFonts w:ascii="Times New Roman" w:hAnsi="Times New Roman"/>
          <w:sz w:val="24"/>
          <w:szCs w:val="24"/>
        </w:rPr>
      </w:pPr>
      <w:r w:rsidRPr="00226D26">
        <w:rPr>
          <w:rFonts w:ascii="Times New Roman" w:hAnsi="Times New Roman"/>
          <w:sz w:val="24"/>
          <w:szCs w:val="24"/>
        </w:rPr>
        <w:t>3. Crecen las ventas totales en 6.8 %</w:t>
      </w:r>
      <w:r w:rsidR="00026FB3">
        <w:rPr>
          <w:rFonts w:ascii="Times New Roman" w:hAnsi="Times New Roman"/>
          <w:sz w:val="24"/>
          <w:szCs w:val="24"/>
        </w:rPr>
        <w:t xml:space="preserve">, pero a su vez, </w:t>
      </w:r>
      <w:r w:rsidRPr="00226D26">
        <w:rPr>
          <w:rFonts w:ascii="Times New Roman" w:hAnsi="Times New Roman"/>
          <w:sz w:val="24"/>
          <w:szCs w:val="24"/>
        </w:rPr>
        <w:t>los costos totales solo aumentan en un 19.0%.</w:t>
      </w:r>
    </w:p>
    <w:p w:rsidR="00226D26" w:rsidRPr="00226D26" w:rsidRDefault="00226D26" w:rsidP="00782346">
      <w:pPr>
        <w:ind w:left="360"/>
        <w:jc w:val="both"/>
        <w:rPr>
          <w:rFonts w:ascii="Times New Roman" w:hAnsi="Times New Roman"/>
          <w:sz w:val="24"/>
          <w:szCs w:val="24"/>
        </w:rPr>
      </w:pPr>
      <w:r w:rsidRPr="00226D26">
        <w:rPr>
          <w:rFonts w:ascii="Times New Roman" w:hAnsi="Times New Roman"/>
          <w:sz w:val="24"/>
          <w:szCs w:val="24"/>
        </w:rPr>
        <w:t>4. Incrementa el capital de trabajo en 778264 pesos en el periodo evaluado, el cual representa el 48% de su patrimonio</w:t>
      </w:r>
      <w:r w:rsidR="00026FB3">
        <w:rPr>
          <w:rFonts w:ascii="Times New Roman" w:hAnsi="Times New Roman"/>
          <w:sz w:val="24"/>
          <w:szCs w:val="24"/>
        </w:rPr>
        <w:t xml:space="preserve">. </w:t>
      </w:r>
    </w:p>
    <w:p w:rsidR="00226D26" w:rsidRPr="00226D26" w:rsidRDefault="00226D26" w:rsidP="00782346">
      <w:pPr>
        <w:ind w:left="360"/>
        <w:jc w:val="both"/>
        <w:rPr>
          <w:rFonts w:ascii="Times New Roman" w:hAnsi="Times New Roman"/>
          <w:sz w:val="24"/>
          <w:szCs w:val="24"/>
        </w:rPr>
      </w:pPr>
      <w:r w:rsidRPr="00226D26">
        <w:rPr>
          <w:rFonts w:ascii="Times New Roman" w:hAnsi="Times New Roman"/>
          <w:sz w:val="24"/>
          <w:szCs w:val="24"/>
        </w:rPr>
        <w:t>5. Aumenta la rentabilidad económica en 0.20 pesos de un año a otro y dicho valor alcanza los 0.38 pesos, cifra que se puede considerar como aceptable para la entidad en cuestión.</w:t>
      </w:r>
    </w:p>
    <w:p w:rsidR="00226D26" w:rsidRPr="00226D26" w:rsidRDefault="00226D26" w:rsidP="00226D26">
      <w:pPr>
        <w:jc w:val="both"/>
        <w:rPr>
          <w:rFonts w:ascii="Times New Roman" w:hAnsi="Times New Roman"/>
          <w:sz w:val="24"/>
          <w:szCs w:val="24"/>
        </w:rPr>
      </w:pPr>
      <w:r w:rsidRPr="00226D26">
        <w:rPr>
          <w:rFonts w:ascii="Times New Roman" w:hAnsi="Times New Roman"/>
          <w:sz w:val="24"/>
          <w:szCs w:val="24"/>
        </w:rPr>
        <w:t xml:space="preserve">Por ser la debilidad 6, relacionada con la lenta rotación de inventarios, la de mayor significación para la entidad y la de mejores probabilidades de solución en estos momentos por parte de la entidad se le profundizó el análisis mediante el </w:t>
      </w:r>
      <w:hyperlink r:id="rId16" w:history="1">
        <w:r w:rsidRPr="00226D26">
          <w:rPr>
            <w:rFonts w:ascii="Times New Roman" w:hAnsi="Times New Roman"/>
            <w:sz w:val="24"/>
            <w:szCs w:val="24"/>
          </w:rPr>
          <w:t>diagrama</w:t>
        </w:r>
      </w:hyperlink>
      <w:r w:rsidRPr="00226D26">
        <w:rPr>
          <w:rFonts w:ascii="Times New Roman" w:hAnsi="Times New Roman"/>
          <w:sz w:val="24"/>
          <w:szCs w:val="24"/>
        </w:rPr>
        <w:t xml:space="preserve"> causa/efecto. </w:t>
      </w:r>
    </w:p>
    <w:p w:rsidR="00226D26" w:rsidRPr="00226D26" w:rsidRDefault="00226D26" w:rsidP="00226D26">
      <w:pPr>
        <w:jc w:val="both"/>
        <w:rPr>
          <w:rFonts w:ascii="Times New Roman" w:hAnsi="Times New Roman"/>
          <w:sz w:val="24"/>
          <w:szCs w:val="24"/>
        </w:rPr>
      </w:pPr>
      <w:bookmarkStart w:id="1" w:name="plandeacca"/>
      <w:r w:rsidRPr="00226D26">
        <w:rPr>
          <w:rFonts w:ascii="Times New Roman" w:hAnsi="Times New Roman"/>
          <w:sz w:val="24"/>
          <w:szCs w:val="24"/>
        </w:rPr>
        <w:t>Plan de acciones propuesto</w:t>
      </w:r>
      <w:r w:rsidR="00782346">
        <w:rPr>
          <w:rFonts w:ascii="Times New Roman" w:hAnsi="Times New Roman"/>
          <w:sz w:val="24"/>
          <w:szCs w:val="24"/>
        </w:rPr>
        <w:t xml:space="preserve">: </w:t>
      </w:r>
    </w:p>
    <w:bookmarkEnd w:id="1"/>
    <w:p w:rsidR="00226D26" w:rsidRPr="00226D26" w:rsidRDefault="00226D26" w:rsidP="00226D26">
      <w:pPr>
        <w:jc w:val="both"/>
        <w:rPr>
          <w:rFonts w:ascii="Times New Roman" w:hAnsi="Times New Roman"/>
          <w:sz w:val="24"/>
          <w:szCs w:val="24"/>
        </w:rPr>
      </w:pPr>
      <w:r w:rsidRPr="00226D26">
        <w:rPr>
          <w:rFonts w:ascii="Times New Roman" w:hAnsi="Times New Roman"/>
          <w:sz w:val="24"/>
          <w:szCs w:val="24"/>
        </w:rPr>
        <w:t>Teniendo en cuenta los resultados del diagnóstico realizado se propone un plan de perfeccionamiento con el objetivo de minimizar el efecto de las principales debilidades diagnosticadas y con énfasis en la debilidad fundamental.</w:t>
      </w:r>
    </w:p>
    <w:p w:rsidR="00226D26" w:rsidRPr="00226D26" w:rsidRDefault="00226D26" w:rsidP="007D52E8">
      <w:pPr>
        <w:spacing w:line="360" w:lineRule="auto"/>
        <w:jc w:val="both"/>
        <w:rPr>
          <w:rFonts w:ascii="Times New Roman" w:hAnsi="Times New Roman"/>
          <w:sz w:val="24"/>
          <w:szCs w:val="24"/>
        </w:rPr>
      </w:pPr>
      <w:r w:rsidRPr="00226D26">
        <w:rPr>
          <w:rFonts w:ascii="Times New Roman" w:hAnsi="Times New Roman"/>
          <w:sz w:val="24"/>
          <w:szCs w:val="24"/>
        </w:rPr>
        <w:t xml:space="preserve">Para llevar a cabo este plan de acciones deben tenerse en cuenta algunos requisitos y supuestos de partida: </w:t>
      </w:r>
    </w:p>
    <w:p w:rsidR="00226D26" w:rsidRPr="00226D26" w:rsidRDefault="00226D26" w:rsidP="007D52E8">
      <w:pPr>
        <w:numPr>
          <w:ilvl w:val="0"/>
          <w:numId w:val="28"/>
        </w:numPr>
        <w:spacing w:line="360" w:lineRule="auto"/>
        <w:jc w:val="both"/>
        <w:rPr>
          <w:rFonts w:ascii="Times New Roman" w:hAnsi="Times New Roman"/>
          <w:sz w:val="24"/>
          <w:szCs w:val="24"/>
        </w:rPr>
      </w:pPr>
      <w:r w:rsidRPr="00226D26">
        <w:rPr>
          <w:rFonts w:ascii="Times New Roman" w:hAnsi="Times New Roman"/>
          <w:sz w:val="24"/>
          <w:szCs w:val="24"/>
        </w:rPr>
        <w:t>Implicación de toda la alta dirección de la empresa.</w:t>
      </w:r>
    </w:p>
    <w:p w:rsidR="00226D26" w:rsidRPr="00226D26" w:rsidRDefault="00226D26" w:rsidP="007D52E8">
      <w:pPr>
        <w:numPr>
          <w:ilvl w:val="0"/>
          <w:numId w:val="28"/>
        </w:numPr>
        <w:spacing w:line="360" w:lineRule="auto"/>
        <w:jc w:val="both"/>
        <w:rPr>
          <w:rFonts w:ascii="Times New Roman" w:hAnsi="Times New Roman"/>
          <w:sz w:val="24"/>
          <w:szCs w:val="24"/>
        </w:rPr>
      </w:pPr>
      <w:r w:rsidRPr="00226D26">
        <w:rPr>
          <w:rFonts w:ascii="Times New Roman" w:hAnsi="Times New Roman"/>
          <w:sz w:val="24"/>
          <w:szCs w:val="24"/>
        </w:rPr>
        <w:t xml:space="preserve">Negociación y aceptación del plan por todos los involucrados en su cumplimiento. </w:t>
      </w:r>
    </w:p>
    <w:p w:rsidR="00026FB3" w:rsidRDefault="00026FB3" w:rsidP="00033667">
      <w:pPr>
        <w:jc w:val="left"/>
        <w:rPr>
          <w:rFonts w:ascii="Times New Roman" w:hAnsi="Times New Roman"/>
          <w:b/>
          <w:sz w:val="24"/>
          <w:szCs w:val="24"/>
        </w:rPr>
      </w:pPr>
    </w:p>
    <w:p w:rsidR="00033667" w:rsidRDefault="00033667" w:rsidP="00033667">
      <w:pPr>
        <w:jc w:val="left"/>
      </w:pPr>
      <w:r w:rsidRPr="00033667">
        <w:rPr>
          <w:rFonts w:ascii="Times New Roman" w:hAnsi="Times New Roman"/>
          <w:b/>
          <w:sz w:val="24"/>
          <w:szCs w:val="24"/>
        </w:rPr>
        <w:lastRenderedPageBreak/>
        <w:t>Propuesta de acciones</w:t>
      </w:r>
    </w:p>
    <w:p w:rsidR="00033667" w:rsidRDefault="00033667" w:rsidP="00033667">
      <w:pPr>
        <w:pStyle w:val="Prrafodelista"/>
        <w:numPr>
          <w:ilvl w:val="0"/>
          <w:numId w:val="25"/>
        </w:numPr>
        <w:spacing w:line="360" w:lineRule="auto"/>
        <w:jc w:val="both"/>
        <w:rPr>
          <w:rFonts w:ascii="Times New Roman" w:hAnsi="Times New Roman"/>
          <w:sz w:val="24"/>
          <w:szCs w:val="24"/>
        </w:rPr>
      </w:pPr>
      <w:r w:rsidRPr="00033667">
        <w:rPr>
          <w:rFonts w:ascii="Times New Roman" w:hAnsi="Times New Roman"/>
          <w:sz w:val="24"/>
          <w:szCs w:val="24"/>
        </w:rPr>
        <w:t>Realizar un detallado análisis de antigüedad de saldos de las cuentas por cobrar delimitando los montos correspondientes</w:t>
      </w:r>
      <w:r>
        <w:rPr>
          <w:rFonts w:ascii="Times New Roman" w:hAnsi="Times New Roman"/>
          <w:sz w:val="24"/>
          <w:szCs w:val="24"/>
        </w:rPr>
        <w:t xml:space="preserve"> según los acápites </w:t>
      </w:r>
      <w:r>
        <w:rPr>
          <w:rFonts w:ascii="Times New Roman" w:hAnsi="Times New Roman" w:cs="Times New Roman"/>
          <w:sz w:val="24"/>
          <w:szCs w:val="24"/>
        </w:rPr>
        <w:t>"</w:t>
      </w:r>
      <w:r>
        <w:rPr>
          <w:rFonts w:ascii="Times New Roman" w:hAnsi="Times New Roman"/>
          <w:sz w:val="24"/>
          <w:szCs w:val="24"/>
        </w:rPr>
        <w:t>En término</w:t>
      </w:r>
      <w:r>
        <w:rPr>
          <w:rFonts w:ascii="Times New Roman" w:hAnsi="Times New Roman" w:cs="Times New Roman"/>
          <w:sz w:val="24"/>
          <w:szCs w:val="24"/>
        </w:rPr>
        <w:t>"</w:t>
      </w:r>
      <w:r>
        <w:rPr>
          <w:rFonts w:ascii="Times New Roman" w:hAnsi="Times New Roman"/>
          <w:sz w:val="24"/>
          <w:szCs w:val="24"/>
        </w:rPr>
        <w:t xml:space="preserve">, </w:t>
      </w:r>
      <w:r>
        <w:rPr>
          <w:rFonts w:ascii="Times New Roman" w:hAnsi="Times New Roman" w:cs="Times New Roman"/>
          <w:sz w:val="24"/>
          <w:szCs w:val="24"/>
        </w:rPr>
        <w:t>"</w:t>
      </w:r>
      <w:r>
        <w:rPr>
          <w:rFonts w:ascii="Times New Roman" w:hAnsi="Times New Roman"/>
          <w:sz w:val="24"/>
          <w:szCs w:val="24"/>
        </w:rPr>
        <w:t>Total vencidas</w:t>
      </w:r>
      <w:r>
        <w:rPr>
          <w:rFonts w:ascii="Times New Roman" w:hAnsi="Times New Roman" w:cs="Times New Roman"/>
          <w:sz w:val="24"/>
          <w:szCs w:val="24"/>
        </w:rPr>
        <w:t>"</w:t>
      </w:r>
      <w:r>
        <w:rPr>
          <w:rFonts w:ascii="Times New Roman" w:hAnsi="Times New Roman"/>
          <w:sz w:val="24"/>
          <w:szCs w:val="24"/>
        </w:rPr>
        <w:t xml:space="preserve">,  </w:t>
      </w:r>
      <w:r>
        <w:rPr>
          <w:rFonts w:ascii="Times New Roman" w:hAnsi="Times New Roman" w:cs="Times New Roman"/>
          <w:sz w:val="24"/>
          <w:szCs w:val="24"/>
        </w:rPr>
        <w:t>"</w:t>
      </w:r>
      <w:r>
        <w:rPr>
          <w:rFonts w:ascii="Times New Roman" w:hAnsi="Times New Roman"/>
          <w:sz w:val="24"/>
          <w:szCs w:val="24"/>
        </w:rPr>
        <w:t>En litigio</w:t>
      </w:r>
      <w:r>
        <w:rPr>
          <w:rFonts w:ascii="Times New Roman" w:hAnsi="Times New Roman" w:cs="Times New Roman"/>
          <w:sz w:val="24"/>
          <w:szCs w:val="24"/>
        </w:rPr>
        <w:t>"</w:t>
      </w:r>
      <w:r>
        <w:rPr>
          <w:rFonts w:ascii="Times New Roman" w:hAnsi="Times New Roman"/>
          <w:sz w:val="24"/>
          <w:szCs w:val="24"/>
        </w:rPr>
        <w:t xml:space="preserve">, </w:t>
      </w:r>
      <w:r>
        <w:rPr>
          <w:rFonts w:ascii="Times New Roman" w:hAnsi="Times New Roman" w:cs="Times New Roman"/>
          <w:sz w:val="24"/>
          <w:szCs w:val="24"/>
        </w:rPr>
        <w:t>"</w:t>
      </w:r>
      <w:r>
        <w:rPr>
          <w:rFonts w:ascii="Times New Roman" w:hAnsi="Times New Roman"/>
          <w:sz w:val="24"/>
          <w:szCs w:val="24"/>
        </w:rPr>
        <w:t>En proceso judicial</w:t>
      </w:r>
      <w:r>
        <w:rPr>
          <w:rFonts w:ascii="Times New Roman" w:hAnsi="Times New Roman" w:cs="Times New Roman"/>
          <w:sz w:val="24"/>
          <w:szCs w:val="24"/>
        </w:rPr>
        <w:t>"</w:t>
      </w:r>
      <w:r>
        <w:rPr>
          <w:rFonts w:ascii="Times New Roman" w:hAnsi="Times New Roman"/>
          <w:sz w:val="24"/>
          <w:szCs w:val="24"/>
        </w:rPr>
        <w:t xml:space="preserve">, </w:t>
      </w:r>
      <w:r>
        <w:rPr>
          <w:rFonts w:ascii="Times New Roman" w:hAnsi="Times New Roman" w:cs="Times New Roman"/>
          <w:sz w:val="24"/>
          <w:szCs w:val="24"/>
        </w:rPr>
        <w:t>"</w:t>
      </w:r>
      <w:r>
        <w:rPr>
          <w:rFonts w:ascii="Times New Roman" w:hAnsi="Times New Roman"/>
          <w:sz w:val="24"/>
          <w:szCs w:val="24"/>
        </w:rPr>
        <w:t>Efectos por cobrar</w:t>
      </w:r>
      <w:r>
        <w:rPr>
          <w:rFonts w:ascii="Times New Roman" w:hAnsi="Times New Roman" w:cs="Times New Roman"/>
          <w:sz w:val="24"/>
          <w:szCs w:val="24"/>
        </w:rPr>
        <w:t>"</w:t>
      </w:r>
      <w:r>
        <w:rPr>
          <w:rFonts w:ascii="Times New Roman" w:hAnsi="Times New Roman"/>
          <w:sz w:val="24"/>
          <w:szCs w:val="24"/>
        </w:rPr>
        <w:t xml:space="preserve">. </w:t>
      </w:r>
      <w:r w:rsidRPr="00033667">
        <w:rPr>
          <w:rFonts w:ascii="Times New Roman" w:hAnsi="Times New Roman"/>
          <w:sz w:val="24"/>
          <w:szCs w:val="24"/>
        </w:rPr>
        <w:t xml:space="preserve"> </w:t>
      </w:r>
    </w:p>
    <w:p w:rsidR="00033667" w:rsidRDefault="00033667" w:rsidP="00033667">
      <w:pPr>
        <w:pStyle w:val="Prrafodelista"/>
        <w:numPr>
          <w:ilvl w:val="0"/>
          <w:numId w:val="25"/>
        </w:numPr>
        <w:spacing w:line="360" w:lineRule="auto"/>
        <w:jc w:val="left"/>
        <w:rPr>
          <w:rFonts w:ascii="Times New Roman" w:hAnsi="Times New Roman"/>
          <w:sz w:val="24"/>
          <w:szCs w:val="24"/>
        </w:rPr>
      </w:pPr>
      <w:r>
        <w:rPr>
          <w:rFonts w:ascii="Times New Roman" w:hAnsi="Times New Roman"/>
          <w:sz w:val="24"/>
          <w:szCs w:val="24"/>
        </w:rPr>
        <w:t xml:space="preserve">Discriminar los clientes- </w:t>
      </w:r>
      <w:r w:rsidRPr="00033667">
        <w:rPr>
          <w:rFonts w:ascii="Times New Roman" w:hAnsi="Times New Roman"/>
          <w:sz w:val="24"/>
          <w:szCs w:val="24"/>
        </w:rPr>
        <w:t>agencias que presentan saldos extemporáneos</w:t>
      </w:r>
      <w:r>
        <w:rPr>
          <w:rFonts w:ascii="Times New Roman" w:hAnsi="Times New Roman"/>
          <w:sz w:val="24"/>
          <w:szCs w:val="24"/>
        </w:rPr>
        <w:t xml:space="preserve"> y comprobar los saldos según facturas.</w:t>
      </w:r>
    </w:p>
    <w:p w:rsidR="0023445B" w:rsidRDefault="007D52E8" w:rsidP="0023445B">
      <w:pPr>
        <w:pStyle w:val="Prrafodelista"/>
        <w:numPr>
          <w:ilvl w:val="0"/>
          <w:numId w:val="25"/>
        </w:numPr>
        <w:spacing w:line="360" w:lineRule="auto"/>
        <w:jc w:val="both"/>
        <w:rPr>
          <w:rFonts w:ascii="Times New Roman" w:hAnsi="Times New Roman"/>
          <w:sz w:val="24"/>
          <w:szCs w:val="24"/>
        </w:rPr>
      </w:pPr>
      <w:r>
        <w:rPr>
          <w:rFonts w:ascii="Times New Roman" w:hAnsi="Times New Roman"/>
          <w:sz w:val="24"/>
          <w:szCs w:val="24"/>
        </w:rPr>
        <w:t>Establecer una nueva dinámica contractual a partir de</w:t>
      </w:r>
      <w:r w:rsidR="0023445B">
        <w:rPr>
          <w:rFonts w:ascii="Times New Roman" w:hAnsi="Times New Roman"/>
          <w:sz w:val="24"/>
          <w:szCs w:val="24"/>
        </w:rPr>
        <w:t xml:space="preserve"> la posibilidad del cubrir los pagos con el CL. Se deberá analizar que el pago por este concepto conlleva </w:t>
      </w:r>
      <w:r w:rsidR="0023445B" w:rsidRPr="0023445B">
        <w:rPr>
          <w:rFonts w:ascii="Times New Roman" w:hAnsi="Times New Roman"/>
          <w:sz w:val="24"/>
          <w:szCs w:val="24"/>
        </w:rPr>
        <w:t xml:space="preserve">cuyas transferencias de pagos a suministradores extranjeros, las que se tramitan con cargos de hasta un 10 % de comisión, representando </w:t>
      </w:r>
      <w:r w:rsidR="0023445B">
        <w:rPr>
          <w:rFonts w:ascii="Times New Roman" w:hAnsi="Times New Roman"/>
          <w:sz w:val="24"/>
          <w:szCs w:val="24"/>
        </w:rPr>
        <w:t xml:space="preserve">gastos financieros por concepto de comisiones bancarias. </w:t>
      </w:r>
    </w:p>
    <w:p w:rsidR="0023445B" w:rsidRPr="0023445B" w:rsidRDefault="0023445B" w:rsidP="0023445B">
      <w:pPr>
        <w:pStyle w:val="Prrafodelista"/>
        <w:numPr>
          <w:ilvl w:val="0"/>
          <w:numId w:val="25"/>
        </w:numPr>
        <w:spacing w:line="360" w:lineRule="auto"/>
        <w:jc w:val="both"/>
        <w:rPr>
          <w:rFonts w:ascii="Times New Roman" w:hAnsi="Times New Roman"/>
          <w:sz w:val="24"/>
          <w:szCs w:val="24"/>
        </w:rPr>
      </w:pPr>
      <w:r w:rsidRPr="0023445B">
        <w:rPr>
          <w:rFonts w:ascii="Times New Roman" w:hAnsi="Times New Roman"/>
          <w:sz w:val="24"/>
          <w:szCs w:val="24"/>
        </w:rPr>
        <w:t>Depurar los montos de los inventarios con el objetivo de evitar el estancamiento por la acumulación de inventarios ociosos y de lento movimiento, incidiendo de manera proactiva desde el comité de compras e identificando aquellas mercancías y renglones que se puedan comercializar con oportunidad y prontitud.</w:t>
      </w:r>
    </w:p>
    <w:p w:rsidR="00481F5B" w:rsidRPr="00033667" w:rsidRDefault="0023445B" w:rsidP="0023445B">
      <w:pPr>
        <w:pStyle w:val="Prrafodelista"/>
        <w:numPr>
          <w:ilvl w:val="0"/>
          <w:numId w:val="25"/>
        </w:numPr>
        <w:spacing w:line="360" w:lineRule="auto"/>
        <w:jc w:val="both"/>
        <w:rPr>
          <w:rFonts w:ascii="Times New Roman" w:hAnsi="Times New Roman"/>
          <w:sz w:val="24"/>
          <w:szCs w:val="24"/>
        </w:rPr>
      </w:pPr>
      <w:r>
        <w:rPr>
          <w:rFonts w:ascii="Times New Roman" w:hAnsi="Times New Roman"/>
          <w:sz w:val="24"/>
          <w:szCs w:val="24"/>
        </w:rPr>
        <w:t xml:space="preserve">Analizar con mayor objetividad los ingresos planificados ya que se observa, sobre todo en los conceptos de </w:t>
      </w:r>
      <w:r w:rsidRPr="0023445B">
        <w:rPr>
          <w:rFonts w:ascii="Times New Roman" w:hAnsi="Times New Roman"/>
          <w:sz w:val="24"/>
          <w:szCs w:val="24"/>
        </w:rPr>
        <w:t xml:space="preserve">"Ingresos por Arrendamiento de Espacios o Alquiler de Locales" y Otros Ingresos, que existen reservas y desbalances, lo cual atenta en el cumplimiento de lo previsto. </w:t>
      </w:r>
      <w:r>
        <w:rPr>
          <w:rFonts w:ascii="Times New Roman" w:hAnsi="Times New Roman"/>
          <w:sz w:val="24"/>
          <w:szCs w:val="24"/>
        </w:rPr>
        <w:t xml:space="preserve"> </w:t>
      </w:r>
      <w:r w:rsidR="007D52E8">
        <w:rPr>
          <w:rFonts w:ascii="Times New Roman" w:hAnsi="Times New Roman"/>
          <w:sz w:val="24"/>
          <w:szCs w:val="24"/>
        </w:rPr>
        <w:t xml:space="preserve">  </w:t>
      </w:r>
      <w:r w:rsidR="00033667">
        <w:rPr>
          <w:rFonts w:ascii="Times New Roman" w:hAnsi="Times New Roman"/>
          <w:sz w:val="24"/>
          <w:szCs w:val="24"/>
        </w:rPr>
        <w:t xml:space="preserve"> </w:t>
      </w:r>
      <w:r w:rsidR="00033667" w:rsidRPr="00033667">
        <w:rPr>
          <w:rFonts w:ascii="Times New Roman" w:hAnsi="Times New Roman"/>
          <w:sz w:val="24"/>
          <w:szCs w:val="24"/>
        </w:rPr>
        <w:t xml:space="preserve"> </w:t>
      </w:r>
    </w:p>
    <w:p w:rsidR="00C25BDD" w:rsidRDefault="00C25BDD" w:rsidP="0023445B">
      <w:pPr>
        <w:pStyle w:val="Default"/>
        <w:numPr>
          <w:ilvl w:val="0"/>
          <w:numId w:val="23"/>
        </w:numPr>
        <w:spacing w:line="360" w:lineRule="auto"/>
        <w:jc w:val="both"/>
        <w:rPr>
          <w:rFonts w:ascii="Times New Roman" w:hAnsi="Times New Roman" w:cs="Times New Roman"/>
          <w:b/>
          <w:color w:val="auto"/>
        </w:rPr>
      </w:pPr>
      <w:r w:rsidRPr="0062120B">
        <w:rPr>
          <w:rFonts w:ascii="Times New Roman" w:hAnsi="Times New Roman" w:cs="Times New Roman"/>
          <w:b/>
          <w:color w:val="auto"/>
        </w:rPr>
        <w:t>Conclusiones</w:t>
      </w:r>
    </w:p>
    <w:p w:rsidR="00026FB3" w:rsidRPr="00026FB3" w:rsidRDefault="00026FB3" w:rsidP="00026FB3">
      <w:pPr>
        <w:pStyle w:val="Default"/>
        <w:numPr>
          <w:ilvl w:val="0"/>
          <w:numId w:val="30"/>
        </w:numPr>
        <w:spacing w:line="360" w:lineRule="auto"/>
        <w:ind w:left="709"/>
        <w:jc w:val="both"/>
        <w:rPr>
          <w:rFonts w:ascii="Times New Roman" w:hAnsi="Times New Roman" w:cstheme="minorBidi"/>
          <w:color w:val="auto"/>
        </w:rPr>
      </w:pPr>
      <w:r w:rsidRPr="00026FB3">
        <w:rPr>
          <w:rFonts w:ascii="Times New Roman" w:hAnsi="Times New Roman" w:cs="Times New Roman"/>
          <w:color w:val="auto"/>
        </w:rPr>
        <w:t>El análisis de la estructura financiera así como los resultados de los principales indicadores del hotel Iberostar en el primer trimestre del año 2019 advierten la necesidad de establecer nuevas directrices en la planificación financiera de la empresa, dado que el</w:t>
      </w:r>
      <w:r w:rsidRPr="00026FB3">
        <w:rPr>
          <w:rFonts w:ascii="Times New Roman" w:hAnsi="Times New Roman" w:cstheme="minorBidi"/>
          <w:color w:val="auto"/>
        </w:rPr>
        <w:t xml:space="preserve"> hotel no aprovecha la capacidad para el apalancamiento financiero, a partir del uso de financiamiento ajeno, </w:t>
      </w:r>
      <w:r>
        <w:rPr>
          <w:rFonts w:ascii="Times New Roman" w:hAnsi="Times New Roman" w:cstheme="minorBidi"/>
          <w:color w:val="auto"/>
        </w:rPr>
        <w:t>se deteriora la</w:t>
      </w:r>
      <w:r w:rsidRPr="00026FB3">
        <w:rPr>
          <w:rFonts w:ascii="Times New Roman" w:hAnsi="Times New Roman" w:cstheme="minorBidi"/>
          <w:color w:val="auto"/>
        </w:rPr>
        <w:t xml:space="preserve"> calidad de la solvencia a corto plazo </w:t>
      </w:r>
      <w:r>
        <w:rPr>
          <w:rFonts w:ascii="Times New Roman" w:hAnsi="Times New Roman" w:cstheme="minorBidi"/>
          <w:color w:val="auto"/>
        </w:rPr>
        <w:t xml:space="preserve">por el alto monto de </w:t>
      </w:r>
      <w:r w:rsidRPr="00026FB3">
        <w:rPr>
          <w:rFonts w:ascii="Times New Roman" w:hAnsi="Times New Roman" w:cstheme="minorBidi"/>
          <w:color w:val="auto"/>
        </w:rPr>
        <w:t>los inventarios ociosos y de lento movimiento del activo circulante</w:t>
      </w:r>
      <w:r w:rsidR="004D5CC2">
        <w:rPr>
          <w:rFonts w:ascii="Times New Roman" w:hAnsi="Times New Roman" w:cstheme="minorBidi"/>
          <w:color w:val="auto"/>
        </w:rPr>
        <w:t xml:space="preserve">, las </w:t>
      </w:r>
      <w:r w:rsidR="004D5CC2">
        <w:rPr>
          <w:rFonts w:ascii="Times New Roman" w:hAnsi="Times New Roman" w:cstheme="minorBidi"/>
          <w:color w:val="auto"/>
        </w:rPr>
        <w:lastRenderedPageBreak/>
        <w:t>cuentas por cobrar se encuentran fuera de término</w:t>
      </w:r>
      <w:r>
        <w:rPr>
          <w:rFonts w:ascii="Times New Roman" w:hAnsi="Times New Roman" w:cstheme="minorBidi"/>
          <w:color w:val="auto"/>
        </w:rPr>
        <w:t xml:space="preserve"> y la insuficiente planificación objetiva de los ingresos con mayor énfasis en determinados conceptos.  </w:t>
      </w:r>
    </w:p>
    <w:p w:rsidR="00026FB3" w:rsidRPr="00026FB3" w:rsidRDefault="00026FB3" w:rsidP="00026FB3">
      <w:pPr>
        <w:pStyle w:val="Default"/>
        <w:numPr>
          <w:ilvl w:val="0"/>
          <w:numId w:val="30"/>
        </w:numPr>
        <w:spacing w:line="360" w:lineRule="auto"/>
        <w:ind w:left="709" w:hanging="425"/>
        <w:jc w:val="both"/>
        <w:rPr>
          <w:rFonts w:ascii="Times New Roman" w:hAnsi="Times New Roman" w:cs="Times New Roman"/>
          <w:color w:val="auto"/>
        </w:rPr>
      </w:pPr>
      <w:r>
        <w:rPr>
          <w:rFonts w:ascii="Times New Roman" w:hAnsi="Times New Roman" w:cs="Times New Roman"/>
          <w:color w:val="auto"/>
        </w:rPr>
        <w:t>Se establecen un conjunto de medidas para atender las problemáticas detectadas</w:t>
      </w:r>
      <w:r w:rsidR="004D5CC2">
        <w:rPr>
          <w:rFonts w:ascii="Times New Roman" w:hAnsi="Times New Roman" w:cs="Times New Roman"/>
          <w:color w:val="auto"/>
        </w:rPr>
        <w:t xml:space="preserve">, las cuales deberán constituir un sistema de trabajo y de gestión por parte de los implicados, todo lo cual contribuirá de forma eficiente a una mejor planificación financiera y resultados generales de la entidad. </w:t>
      </w:r>
      <w:r>
        <w:rPr>
          <w:rFonts w:ascii="Times New Roman" w:hAnsi="Times New Roman" w:cs="Times New Roman"/>
          <w:color w:val="auto"/>
        </w:rPr>
        <w:t xml:space="preserve">  </w:t>
      </w:r>
    </w:p>
    <w:p w:rsidR="005A628D" w:rsidRPr="00C447C7" w:rsidRDefault="00C25BDD" w:rsidP="00C447C7">
      <w:pPr>
        <w:pStyle w:val="Prrafodelista"/>
        <w:numPr>
          <w:ilvl w:val="0"/>
          <w:numId w:val="23"/>
        </w:numPr>
        <w:tabs>
          <w:tab w:val="left" w:pos="426"/>
        </w:tabs>
        <w:spacing w:before="120" w:after="120" w:line="360" w:lineRule="auto"/>
        <w:jc w:val="both"/>
        <w:rPr>
          <w:rFonts w:ascii="Times New Roman" w:hAnsi="Times New Roman" w:cs="Times New Roman"/>
          <w:b/>
          <w:sz w:val="24"/>
          <w:szCs w:val="24"/>
        </w:rPr>
      </w:pPr>
      <w:r w:rsidRPr="00C447C7">
        <w:rPr>
          <w:rFonts w:ascii="Times New Roman" w:hAnsi="Times New Roman" w:cs="Times New Roman"/>
          <w:b/>
          <w:sz w:val="24"/>
          <w:szCs w:val="24"/>
        </w:rPr>
        <w:t>Referencias bibliográficas</w:t>
      </w:r>
    </w:p>
    <w:p w:rsidR="00C447C7" w:rsidRPr="00C447C7" w:rsidRDefault="00C447C7" w:rsidP="00C447C7">
      <w:pPr>
        <w:pStyle w:val="Prrafodelista"/>
        <w:numPr>
          <w:ilvl w:val="1"/>
          <w:numId w:val="28"/>
        </w:numPr>
        <w:tabs>
          <w:tab w:val="left" w:pos="426"/>
        </w:tabs>
        <w:spacing w:before="120" w:after="120" w:line="360" w:lineRule="auto"/>
        <w:jc w:val="both"/>
        <w:rPr>
          <w:rFonts w:ascii="Times New Roman" w:hAnsi="Times New Roman" w:cs="Times New Roman"/>
          <w:sz w:val="24"/>
          <w:szCs w:val="24"/>
        </w:rPr>
      </w:pPr>
      <w:r w:rsidRPr="00C447C7">
        <w:rPr>
          <w:rFonts w:ascii="Times New Roman" w:hAnsi="Times New Roman" w:cs="Times New Roman"/>
          <w:sz w:val="24"/>
          <w:szCs w:val="24"/>
        </w:rPr>
        <w:t>Amat. O. Análisis de los Estados Financieros. Fundamentos y aplicaciones. Segunda Edición: Ediciones Gestión 2000. Barcelona. España. 1997.</w:t>
      </w:r>
    </w:p>
    <w:p w:rsidR="001D121E" w:rsidRPr="001D121E" w:rsidRDefault="001D121E" w:rsidP="001D121E">
      <w:pPr>
        <w:pStyle w:val="Prrafodelista"/>
        <w:numPr>
          <w:ilvl w:val="1"/>
          <w:numId w:val="28"/>
        </w:numPr>
        <w:tabs>
          <w:tab w:val="left" w:pos="426"/>
        </w:tabs>
        <w:spacing w:before="120" w:after="120" w:line="360" w:lineRule="auto"/>
        <w:jc w:val="both"/>
        <w:rPr>
          <w:rFonts w:ascii="Times New Roman" w:hAnsi="Times New Roman" w:cs="Times New Roman"/>
          <w:sz w:val="24"/>
          <w:szCs w:val="24"/>
        </w:rPr>
      </w:pPr>
      <w:r w:rsidRPr="001D121E">
        <w:rPr>
          <w:rFonts w:ascii="Times New Roman" w:hAnsi="Times New Roman" w:cs="Times New Roman"/>
          <w:sz w:val="24"/>
          <w:szCs w:val="24"/>
        </w:rPr>
        <w:t>Brealey. Ry Myers. S. Fundamentos de financiación empresarial, 4ta. edición, Editorial McGraw Hill. 1993.</w:t>
      </w:r>
    </w:p>
    <w:p w:rsidR="001D121E" w:rsidRPr="001D121E" w:rsidRDefault="001D121E" w:rsidP="001D121E">
      <w:pPr>
        <w:pStyle w:val="Prrafodelista"/>
        <w:numPr>
          <w:ilvl w:val="1"/>
          <w:numId w:val="28"/>
        </w:numPr>
        <w:tabs>
          <w:tab w:val="left" w:pos="426"/>
        </w:tabs>
        <w:spacing w:before="120" w:after="120" w:line="360" w:lineRule="auto"/>
        <w:jc w:val="both"/>
        <w:rPr>
          <w:rFonts w:ascii="Times New Roman" w:hAnsi="Times New Roman" w:cs="Times New Roman"/>
          <w:sz w:val="24"/>
          <w:szCs w:val="24"/>
        </w:rPr>
      </w:pPr>
      <w:r w:rsidRPr="001D121E">
        <w:rPr>
          <w:rFonts w:ascii="Times New Roman" w:hAnsi="Times New Roman" w:cs="Times New Roman"/>
          <w:sz w:val="24"/>
          <w:szCs w:val="24"/>
        </w:rPr>
        <w:t>Cabrera.L. Trabajo De Diploma. “Procedimientos contables financieros para los subsistemas de efectivo en caja, banco, cobros y pagos en la Cooperativa de Créditos y Servicios Elpidio Sosa González”. Las Tunas. 2010.</w:t>
      </w:r>
    </w:p>
    <w:p w:rsidR="001D121E" w:rsidRPr="001D121E" w:rsidRDefault="001D121E" w:rsidP="001D121E">
      <w:pPr>
        <w:pStyle w:val="Prrafodelista"/>
        <w:numPr>
          <w:ilvl w:val="1"/>
          <w:numId w:val="28"/>
        </w:numPr>
        <w:tabs>
          <w:tab w:val="left" w:pos="426"/>
        </w:tabs>
        <w:spacing w:before="120" w:after="120" w:line="360" w:lineRule="auto"/>
        <w:jc w:val="both"/>
        <w:rPr>
          <w:rFonts w:ascii="Times New Roman" w:hAnsi="Times New Roman" w:cs="Times New Roman"/>
          <w:sz w:val="24"/>
          <w:szCs w:val="24"/>
        </w:rPr>
      </w:pPr>
      <w:proofErr w:type="spellStart"/>
      <w:r w:rsidRPr="001D121E">
        <w:rPr>
          <w:rFonts w:ascii="Times New Roman" w:hAnsi="Times New Roman" w:cs="Times New Roman"/>
          <w:sz w:val="24"/>
          <w:szCs w:val="24"/>
        </w:rPr>
        <w:t>Chillida</w:t>
      </w:r>
      <w:proofErr w:type="spellEnd"/>
      <w:r w:rsidRPr="001D121E">
        <w:rPr>
          <w:rFonts w:ascii="Times New Roman" w:hAnsi="Times New Roman" w:cs="Times New Roman"/>
          <w:sz w:val="24"/>
          <w:szCs w:val="24"/>
        </w:rPr>
        <w:t>. C. Análisis e interpretación de balances. Tomo I. Ediciones de la biblioteca. Universidad Central de Venezuela. Venezuela. 2003.</w:t>
      </w:r>
    </w:p>
    <w:p w:rsidR="00C447C7" w:rsidRDefault="00C447C7" w:rsidP="00C447C7">
      <w:pPr>
        <w:pStyle w:val="Prrafodelista"/>
        <w:numPr>
          <w:ilvl w:val="1"/>
          <w:numId w:val="28"/>
        </w:numPr>
        <w:tabs>
          <w:tab w:val="left" w:pos="426"/>
        </w:tabs>
        <w:spacing w:before="120" w:after="120" w:line="360" w:lineRule="auto"/>
        <w:jc w:val="both"/>
        <w:rPr>
          <w:rFonts w:ascii="Times New Roman" w:hAnsi="Times New Roman" w:cs="Times New Roman"/>
          <w:sz w:val="24"/>
          <w:szCs w:val="24"/>
        </w:rPr>
      </w:pPr>
      <w:r w:rsidRPr="00C447C7">
        <w:rPr>
          <w:rFonts w:ascii="Times New Roman" w:hAnsi="Times New Roman" w:cs="Times New Roman"/>
          <w:sz w:val="24"/>
          <w:szCs w:val="24"/>
        </w:rPr>
        <w:t xml:space="preserve">Departamento Económico. Informe de los resultados generales del Iberostar Grand Hotel al cierre del primer trimestre del año 2019. Trinidad, Cuba. 2019. </w:t>
      </w:r>
    </w:p>
    <w:p w:rsidR="001D121E" w:rsidRPr="001D121E" w:rsidRDefault="001D121E" w:rsidP="001D121E">
      <w:pPr>
        <w:pStyle w:val="Prrafodelista"/>
        <w:numPr>
          <w:ilvl w:val="1"/>
          <w:numId w:val="28"/>
        </w:numPr>
        <w:tabs>
          <w:tab w:val="left" w:pos="426"/>
        </w:tabs>
        <w:spacing w:before="120" w:after="120" w:line="360" w:lineRule="auto"/>
        <w:jc w:val="both"/>
        <w:rPr>
          <w:rFonts w:ascii="Times New Roman" w:hAnsi="Times New Roman" w:cs="Times New Roman"/>
          <w:sz w:val="24"/>
          <w:szCs w:val="24"/>
        </w:rPr>
      </w:pPr>
      <w:r w:rsidRPr="001D121E">
        <w:rPr>
          <w:rFonts w:ascii="Times New Roman" w:hAnsi="Times New Roman" w:cs="Times New Roman"/>
          <w:sz w:val="24"/>
          <w:szCs w:val="24"/>
        </w:rPr>
        <w:t>Expósito, AM y Gonzáles, O. Procedimiento para el registro, control y análisis de los subsistemas de caja y banco, inventario y cobros y pagos en las Unidades Básicas de producción. La Habana. Cuba. 2014.</w:t>
      </w:r>
    </w:p>
    <w:p w:rsidR="001D121E" w:rsidRPr="001D121E" w:rsidRDefault="001D121E" w:rsidP="001D121E">
      <w:pPr>
        <w:pStyle w:val="Prrafodelista"/>
        <w:numPr>
          <w:ilvl w:val="1"/>
          <w:numId w:val="28"/>
        </w:numPr>
        <w:tabs>
          <w:tab w:val="left" w:pos="426"/>
        </w:tabs>
        <w:spacing w:before="120" w:after="120" w:line="360" w:lineRule="auto"/>
        <w:jc w:val="both"/>
        <w:rPr>
          <w:rFonts w:ascii="Times New Roman" w:hAnsi="Times New Roman" w:cs="Times New Roman"/>
          <w:sz w:val="24"/>
          <w:szCs w:val="24"/>
        </w:rPr>
      </w:pPr>
      <w:r w:rsidRPr="001D121E">
        <w:rPr>
          <w:rFonts w:ascii="Times New Roman" w:hAnsi="Times New Roman" w:cs="Times New Roman"/>
          <w:sz w:val="24"/>
          <w:szCs w:val="24"/>
        </w:rPr>
        <w:t>Gitman. L. Fundamentos de administración financiera. Editorial Félix Varela, La Habana, Cuba. 2006.</w:t>
      </w:r>
    </w:p>
    <w:p w:rsidR="00C447C7" w:rsidRDefault="001D121E" w:rsidP="00C447C7">
      <w:pPr>
        <w:pStyle w:val="Prrafodelista"/>
        <w:numPr>
          <w:ilvl w:val="1"/>
          <w:numId w:val="28"/>
        </w:numPr>
        <w:tabs>
          <w:tab w:val="left" w:pos="426"/>
        </w:tabs>
        <w:spacing w:before="120" w:after="120" w:line="360" w:lineRule="auto"/>
        <w:jc w:val="both"/>
        <w:rPr>
          <w:rFonts w:ascii="Times New Roman" w:hAnsi="Times New Roman" w:cs="Times New Roman"/>
          <w:sz w:val="24"/>
          <w:szCs w:val="24"/>
        </w:rPr>
      </w:pPr>
      <w:r w:rsidRPr="001D121E">
        <w:rPr>
          <w:rFonts w:ascii="Times New Roman" w:hAnsi="Times New Roman" w:cs="Times New Roman"/>
          <w:sz w:val="24"/>
          <w:szCs w:val="24"/>
        </w:rPr>
        <w:t xml:space="preserve">González. T. y Ojeda. A. Procedimiento de cuentas por cobrar para la empresa </w:t>
      </w:r>
      <w:proofErr w:type="spellStart"/>
      <w:r w:rsidRPr="001D121E">
        <w:rPr>
          <w:rFonts w:ascii="Times New Roman" w:hAnsi="Times New Roman" w:cs="Times New Roman"/>
          <w:sz w:val="24"/>
          <w:szCs w:val="24"/>
        </w:rPr>
        <w:t>Geominera</w:t>
      </w:r>
      <w:proofErr w:type="spellEnd"/>
      <w:r w:rsidRPr="001D121E">
        <w:rPr>
          <w:rFonts w:ascii="Times New Roman" w:hAnsi="Times New Roman" w:cs="Times New Roman"/>
          <w:sz w:val="24"/>
          <w:szCs w:val="24"/>
        </w:rPr>
        <w:t xml:space="preserve"> del Centro. Tesis en opción a la Licenciatura en Contabilidad y Finanzas. Universidad Central "Marta Abreu de Las Villas". Villa Clara. Cuba. 2013. </w:t>
      </w:r>
    </w:p>
    <w:sectPr w:rsidR="00C447C7" w:rsidSect="007E2AD7">
      <w:headerReference w:type="even" r:id="rId17"/>
      <w:headerReference w:type="default" r:id="rId18"/>
      <w:footerReference w:type="even" r:id="rId19"/>
      <w:footerReference w:type="default" r:id="rId20"/>
      <w:headerReference w:type="first" r:id="rId21"/>
      <w:footerReference w:type="first" r:id="rId22"/>
      <w:pgSz w:w="11906" w:h="16838"/>
      <w:pgMar w:top="1417" w:right="1701" w:bottom="1417" w:left="993"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45B" w:rsidRDefault="0023445B" w:rsidP="00C8585B">
      <w:pPr>
        <w:spacing w:after="0" w:line="240" w:lineRule="auto"/>
      </w:pPr>
      <w:r>
        <w:separator/>
      </w:r>
    </w:p>
  </w:endnote>
  <w:endnote w:type="continuationSeparator" w:id="0">
    <w:p w:rsidR="0023445B" w:rsidRDefault="0023445B"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Liberation Sans">
    <w:altName w:val="Arial"/>
    <w:charset w:val="01"/>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45B" w:rsidRDefault="0023445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70190"/>
      <w:docPartObj>
        <w:docPartGallery w:val="Page Numbers (Bottom of Page)"/>
        <w:docPartUnique/>
      </w:docPartObj>
    </w:sdtPr>
    <w:sdtEndPr>
      <w:rPr>
        <w:rFonts w:ascii="Times New Roman" w:hAnsi="Times New Roman" w:cs="Times New Roman"/>
        <w:sz w:val="24"/>
        <w:szCs w:val="24"/>
      </w:rPr>
    </w:sdtEndPr>
    <w:sdtContent>
      <w:p w:rsidR="0023445B" w:rsidRPr="005B17F7" w:rsidRDefault="0023445B">
        <w:pPr>
          <w:pStyle w:val="Piedepgina"/>
          <w:jc w:val="right"/>
          <w:rPr>
            <w:rFonts w:ascii="Times New Roman" w:hAnsi="Times New Roman" w:cs="Times New Roman"/>
            <w:sz w:val="24"/>
            <w:szCs w:val="24"/>
          </w:rPr>
        </w:pPr>
        <w:r w:rsidRPr="005B17F7">
          <w:rPr>
            <w:rFonts w:ascii="Times New Roman" w:hAnsi="Times New Roman" w:cs="Times New Roman"/>
            <w:sz w:val="24"/>
            <w:szCs w:val="24"/>
          </w:rPr>
          <w:fldChar w:fldCharType="begin"/>
        </w:r>
        <w:r w:rsidRPr="005B17F7">
          <w:rPr>
            <w:rFonts w:ascii="Times New Roman" w:hAnsi="Times New Roman" w:cs="Times New Roman"/>
            <w:sz w:val="24"/>
            <w:szCs w:val="24"/>
          </w:rPr>
          <w:instrText xml:space="preserve"> PAGE   \* MERGEFORMAT </w:instrText>
        </w:r>
        <w:r w:rsidRPr="005B17F7">
          <w:rPr>
            <w:rFonts w:ascii="Times New Roman" w:hAnsi="Times New Roman" w:cs="Times New Roman"/>
            <w:sz w:val="24"/>
            <w:szCs w:val="24"/>
          </w:rPr>
          <w:fldChar w:fldCharType="separate"/>
        </w:r>
        <w:r w:rsidR="001D121E">
          <w:rPr>
            <w:rFonts w:ascii="Times New Roman" w:hAnsi="Times New Roman" w:cs="Times New Roman"/>
            <w:noProof/>
            <w:sz w:val="24"/>
            <w:szCs w:val="24"/>
          </w:rPr>
          <w:t>1</w:t>
        </w:r>
        <w:r w:rsidRPr="005B17F7">
          <w:rPr>
            <w:rFonts w:ascii="Times New Roman" w:hAnsi="Times New Roman" w:cs="Times New Roman"/>
            <w:noProof/>
            <w:sz w:val="24"/>
            <w:szCs w:val="24"/>
          </w:rPr>
          <w:fldChar w:fldCharType="end"/>
        </w:r>
      </w:p>
    </w:sdtContent>
  </w:sdt>
  <w:p w:rsidR="0023445B" w:rsidRPr="00C8585B" w:rsidRDefault="0023445B" w:rsidP="00A73C37">
    <w:pPr>
      <w:pStyle w:val="Encabezado"/>
      <w:rPr>
        <w:rFonts w:ascii="Verdana" w:hAnsi="Verdana"/>
        <w:b/>
        <w:sz w:val="16"/>
        <w:szCs w:val="16"/>
        <w:lang w:val="es-ES_tradnl"/>
      </w:rPr>
    </w:pPr>
    <w:r>
      <w:rPr>
        <w:rFonts w:ascii="Verdana" w:hAnsi="Verdana"/>
        <w:b/>
        <w:sz w:val="16"/>
        <w:szCs w:val="16"/>
        <w:lang w:val="es-ES_tradnl"/>
      </w:rPr>
      <w:t>II Convención Científica Internacional 2019</w:t>
    </w:r>
  </w:p>
  <w:p w:rsidR="0023445B" w:rsidRPr="00C8585B" w:rsidRDefault="0023445B" w:rsidP="00A73C37">
    <w:pPr>
      <w:pStyle w:val="Encabezado"/>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23445B" w:rsidRDefault="0023445B" w:rsidP="00A73C37">
    <w:pPr>
      <w:pStyle w:val="Encabezado"/>
    </w:pPr>
    <w:r w:rsidRPr="00C8585B">
      <w:rPr>
        <w:rFonts w:ascii="Verdana" w:hAnsi="Verdana"/>
        <w:b/>
        <w:sz w:val="16"/>
        <w:szCs w:val="16"/>
        <w:lang w:val="es-ES_tradnl"/>
      </w:rPr>
      <w:t>CIENCIA, TECNOLOGÍA Y SOCIEDAD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45B" w:rsidRDefault="0023445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45B" w:rsidRDefault="0023445B" w:rsidP="00C8585B">
      <w:pPr>
        <w:spacing w:after="0" w:line="240" w:lineRule="auto"/>
      </w:pPr>
      <w:r>
        <w:separator/>
      </w:r>
    </w:p>
  </w:footnote>
  <w:footnote w:type="continuationSeparator" w:id="0">
    <w:p w:rsidR="0023445B" w:rsidRDefault="0023445B" w:rsidP="00C8585B">
      <w:pPr>
        <w:spacing w:after="0" w:line="240" w:lineRule="auto"/>
      </w:pPr>
      <w:r>
        <w:continuationSeparator/>
      </w:r>
    </w:p>
  </w:footnote>
  <w:footnote w:id="1">
    <w:p w:rsidR="0023445B" w:rsidRPr="00704560" w:rsidRDefault="0023445B" w:rsidP="00704560">
      <w:pPr>
        <w:tabs>
          <w:tab w:val="left" w:pos="284"/>
        </w:tabs>
        <w:spacing w:after="0" w:line="480" w:lineRule="auto"/>
        <w:ind w:left="360"/>
        <w:jc w:val="both"/>
        <w:rPr>
          <w:rFonts w:ascii="Times New Roman" w:hAnsi="Times New Roman" w:cs="Times New Roman"/>
          <w:sz w:val="24"/>
          <w:szCs w:val="24"/>
        </w:rPr>
      </w:pPr>
      <w:r>
        <w:rPr>
          <w:rStyle w:val="Refdenotaalpie"/>
        </w:rPr>
        <w:footnoteRef/>
      </w:r>
      <w:r>
        <w:t xml:space="preserve"> </w:t>
      </w:r>
      <w:r w:rsidRPr="00851F91">
        <w:rPr>
          <w:rFonts w:ascii="Times New Roman" w:hAnsi="Times New Roman" w:cs="Times New Roman"/>
          <w:sz w:val="24"/>
          <w:szCs w:val="24"/>
        </w:rPr>
        <w:t xml:space="preserve">IBEROSTAR GRAND HOTEL TRINIDAD, </w:t>
      </w:r>
      <w:r w:rsidRPr="00704560">
        <w:rPr>
          <w:rFonts w:ascii="Times New Roman" w:hAnsi="Times New Roman" w:cs="Times New Roman"/>
          <w:sz w:val="24"/>
          <w:szCs w:val="24"/>
        </w:rPr>
        <w:t xml:space="preserve">Trinidad, Cuba. </w:t>
      </w:r>
      <w:r w:rsidRPr="00851F91">
        <w:rPr>
          <w:rFonts w:ascii="Times New Roman" w:hAnsi="Times New Roman" w:cs="Times New Roman"/>
          <w:sz w:val="24"/>
          <w:szCs w:val="24"/>
          <w:highlight w:val="yellow"/>
        </w:rPr>
        <w:t>fernando@aldaba.cu</w:t>
      </w:r>
    </w:p>
    <w:p w:rsidR="0023445B" w:rsidRDefault="0023445B">
      <w:pPr>
        <w:pStyle w:val="Textonotapie"/>
      </w:pPr>
    </w:p>
  </w:footnote>
  <w:footnote w:id="2">
    <w:p w:rsidR="0023445B" w:rsidRPr="00851F91" w:rsidRDefault="0023445B" w:rsidP="00851F91">
      <w:pPr>
        <w:tabs>
          <w:tab w:val="left" w:pos="284"/>
        </w:tabs>
        <w:spacing w:after="0" w:line="360" w:lineRule="auto"/>
        <w:ind w:left="360"/>
        <w:jc w:val="both"/>
        <w:rPr>
          <w:rFonts w:ascii="Times New Roman" w:hAnsi="Times New Roman" w:cs="Times New Roman"/>
          <w:sz w:val="24"/>
          <w:szCs w:val="24"/>
        </w:rPr>
      </w:pPr>
      <w:r>
        <w:rPr>
          <w:rStyle w:val="Refdenotaalpie"/>
        </w:rPr>
        <w:footnoteRef/>
      </w:r>
      <w:r>
        <w:t xml:space="preserve"> </w:t>
      </w:r>
      <w:r w:rsidRPr="00851F91">
        <w:rPr>
          <w:rFonts w:ascii="Times New Roman" w:hAnsi="Times New Roman" w:cs="Times New Roman"/>
          <w:sz w:val="24"/>
          <w:szCs w:val="24"/>
        </w:rPr>
        <w:t xml:space="preserve">Universidad Central «Marta Abreu» de Las Villas, Cuba. </w:t>
      </w:r>
      <w:hyperlink r:id="rId1" w:history="1">
        <w:r w:rsidRPr="00851F91">
          <w:rPr>
            <w:rStyle w:val="Hipervnculo"/>
            <w:rFonts w:ascii="Times New Roman" w:hAnsi="Times New Roman" w:cs="Times New Roman"/>
            <w:sz w:val="24"/>
            <w:szCs w:val="24"/>
          </w:rPr>
          <w:t>taymigm@uclv.edu.cu</w:t>
        </w:r>
      </w:hyperlink>
    </w:p>
    <w:p w:rsidR="0023445B" w:rsidRDefault="0023445B">
      <w:pPr>
        <w:pStyle w:val="Textonotapi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45B" w:rsidRDefault="0023445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64" w:type="dxa"/>
      <w:tblLayout w:type="fixed"/>
      <w:tblLook w:val="04A0"/>
    </w:tblPr>
    <w:tblGrid>
      <w:gridCol w:w="1242"/>
      <w:gridCol w:w="5890"/>
      <w:gridCol w:w="1632"/>
    </w:tblGrid>
    <w:tr w:rsidR="0023445B" w:rsidRPr="004D77C8" w:rsidTr="005754D8">
      <w:trPr>
        <w:trHeight w:val="991"/>
      </w:trPr>
      <w:tc>
        <w:tcPr>
          <w:tcW w:w="1242" w:type="dxa"/>
        </w:tcPr>
        <w:p w:rsidR="0023445B" w:rsidRPr="004D77C8" w:rsidRDefault="0023445B"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2336"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5890" w:type="dxa"/>
        </w:tcPr>
        <w:p w:rsidR="0023445B" w:rsidRDefault="0023445B" w:rsidP="00C8585B">
          <w:pPr>
            <w:pStyle w:val="Encabezado"/>
            <w:rPr>
              <w:rFonts w:ascii="Verdana" w:hAnsi="Verdana"/>
              <w:b/>
              <w:sz w:val="16"/>
              <w:szCs w:val="16"/>
              <w:lang w:val="es-ES_tradnl"/>
            </w:rPr>
          </w:pPr>
        </w:p>
        <w:p w:rsidR="0023445B" w:rsidRPr="00C8585B" w:rsidRDefault="0023445B" w:rsidP="005754D8">
          <w:pPr>
            <w:pStyle w:val="Encabezado"/>
            <w:rPr>
              <w:rFonts w:ascii="Verdana" w:hAnsi="Verdana"/>
              <w:b/>
              <w:sz w:val="16"/>
              <w:szCs w:val="16"/>
              <w:lang w:val="es-ES_tradnl"/>
            </w:rPr>
          </w:pPr>
          <w:r>
            <w:rPr>
              <w:rFonts w:ascii="Verdana" w:hAnsi="Verdana"/>
              <w:b/>
              <w:sz w:val="16"/>
              <w:szCs w:val="16"/>
              <w:lang w:val="es-ES_tradnl"/>
            </w:rPr>
            <w:t>II Convención Científica Internacional 2019</w:t>
          </w:r>
        </w:p>
        <w:p w:rsidR="0023445B" w:rsidRPr="00C8585B" w:rsidRDefault="0023445B" w:rsidP="005754D8">
          <w:pPr>
            <w:pStyle w:val="Encabezado"/>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23445B" w:rsidRPr="00125F56" w:rsidRDefault="0023445B" w:rsidP="00A73C37">
          <w:pPr>
            <w:pStyle w:val="Encabezado"/>
            <w:rPr>
              <w:rFonts w:ascii="Verdana" w:hAnsi="Verdana"/>
              <w:b/>
              <w:sz w:val="16"/>
              <w:szCs w:val="16"/>
              <w:lang w:val="es-ES_tradnl"/>
            </w:rPr>
          </w:pPr>
          <w:r w:rsidRPr="00C8585B">
            <w:rPr>
              <w:rFonts w:ascii="Verdana" w:hAnsi="Verdana"/>
              <w:b/>
              <w:sz w:val="16"/>
              <w:szCs w:val="16"/>
              <w:lang w:val="es-ES_tradnl"/>
            </w:rPr>
            <w:t>CIENCIA, TECNOLOGÍA Y SOCIEDAD</w:t>
          </w:r>
        </w:p>
      </w:tc>
      <w:tc>
        <w:tcPr>
          <w:tcW w:w="1632" w:type="dxa"/>
        </w:tcPr>
        <w:p w:rsidR="0023445B" w:rsidRPr="004D77C8" w:rsidRDefault="0023445B" w:rsidP="009061A5">
          <w:pPr>
            <w:pStyle w:val="Encabezado"/>
            <w:jc w:val="right"/>
            <w:rPr>
              <w:rFonts w:ascii="Verdana" w:hAnsi="Verdana"/>
              <w:b/>
              <w:sz w:val="18"/>
              <w:szCs w:val="18"/>
              <w:lang w:val="es-ES_tradnl"/>
            </w:rPr>
          </w:pPr>
          <w:r w:rsidRPr="000E72AD">
            <w:rPr>
              <w:rFonts w:ascii="Verdana" w:hAnsi="Verdana"/>
              <w:b/>
              <w:noProof/>
              <w:sz w:val="18"/>
              <w:szCs w:val="18"/>
              <w:lang w:eastAsia="es-ES"/>
            </w:rPr>
            <w:drawing>
              <wp:inline distT="0" distB="0" distL="0" distR="0">
                <wp:extent cx="329184" cy="700405"/>
                <wp:effectExtent l="0" t="0" r="0" b="0"/>
                <wp:docPr id="1" name="Imagen 1" descr="C:\Users\IRIAN\Downloads\logo-convencionuniversidadsantacl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IAN\Downloads\logo-convencionuniversidadsantaclara.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7880" cy="782738"/>
                        </a:xfrm>
                        <a:prstGeom prst="rect">
                          <a:avLst/>
                        </a:prstGeom>
                        <a:noFill/>
                        <a:ln>
                          <a:noFill/>
                        </a:ln>
                      </pic:spPr>
                    </pic:pic>
                  </a:graphicData>
                </a:graphic>
              </wp:inline>
            </w:drawing>
          </w:r>
        </w:p>
      </w:tc>
    </w:tr>
  </w:tbl>
  <w:p w:rsidR="0023445B" w:rsidRDefault="0023445B">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45B" w:rsidRDefault="0023445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2A58"/>
    <w:multiLevelType w:val="hybridMultilevel"/>
    <w:tmpl w:val="93361D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903BB9"/>
    <w:multiLevelType w:val="hybridMultilevel"/>
    <w:tmpl w:val="2F68F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C413E8"/>
    <w:multiLevelType w:val="hybridMultilevel"/>
    <w:tmpl w:val="B78605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ED7482B"/>
    <w:multiLevelType w:val="singleLevel"/>
    <w:tmpl w:val="AB86E65E"/>
    <w:lvl w:ilvl="0">
      <w:start w:val="1"/>
      <w:numFmt w:val="decimal"/>
      <w:lvlText w:val="1.%1 "/>
      <w:legacy w:legacy="1" w:legacySpace="0" w:legacyIndent="283"/>
      <w:lvlJc w:val="left"/>
      <w:pPr>
        <w:ind w:left="283" w:hanging="283"/>
      </w:pPr>
      <w:rPr>
        <w:rFonts w:ascii="Times New Roman" w:hAnsi="Times New Roman" w:hint="default"/>
        <w:b w:val="0"/>
        <w:i w:val="0"/>
        <w:sz w:val="24"/>
        <w:u w:val="none"/>
      </w:rPr>
    </w:lvl>
  </w:abstractNum>
  <w:abstractNum w:abstractNumId="4">
    <w:nsid w:val="21A315A7"/>
    <w:multiLevelType w:val="hybridMultilevel"/>
    <w:tmpl w:val="5CAE0D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53E68C0"/>
    <w:multiLevelType w:val="multilevel"/>
    <w:tmpl w:val="AFBE90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ED21E1"/>
    <w:multiLevelType w:val="hybridMultilevel"/>
    <w:tmpl w:val="5F52355C"/>
    <w:lvl w:ilvl="0" w:tplc="5DE6C512">
      <w:start w:val="1"/>
      <w:numFmt w:val="decimal"/>
      <w:lvlText w:val="%1."/>
      <w:lvlJc w:val="left"/>
      <w:pPr>
        <w:ind w:left="2040" w:hanging="360"/>
      </w:pPr>
      <w:rPr>
        <w:rFonts w:ascii="Times New Roman" w:eastAsiaTheme="minorHAnsi" w:hAnsi="Times New Roman" w:cs="Times New Roman"/>
      </w:rPr>
    </w:lvl>
    <w:lvl w:ilvl="1" w:tplc="0C0A0003" w:tentative="1">
      <w:start w:val="1"/>
      <w:numFmt w:val="bullet"/>
      <w:lvlText w:val="o"/>
      <w:lvlJc w:val="left"/>
      <w:pPr>
        <w:ind w:left="2760" w:hanging="360"/>
      </w:pPr>
      <w:rPr>
        <w:rFonts w:ascii="Courier New" w:hAnsi="Courier New" w:cs="Courier New" w:hint="default"/>
      </w:rPr>
    </w:lvl>
    <w:lvl w:ilvl="2" w:tplc="0C0A0005" w:tentative="1">
      <w:start w:val="1"/>
      <w:numFmt w:val="bullet"/>
      <w:lvlText w:val=""/>
      <w:lvlJc w:val="left"/>
      <w:pPr>
        <w:ind w:left="3480" w:hanging="360"/>
      </w:pPr>
      <w:rPr>
        <w:rFonts w:ascii="Wingdings" w:hAnsi="Wingdings" w:hint="default"/>
      </w:rPr>
    </w:lvl>
    <w:lvl w:ilvl="3" w:tplc="0C0A0001" w:tentative="1">
      <w:start w:val="1"/>
      <w:numFmt w:val="bullet"/>
      <w:lvlText w:val=""/>
      <w:lvlJc w:val="left"/>
      <w:pPr>
        <w:ind w:left="4200" w:hanging="360"/>
      </w:pPr>
      <w:rPr>
        <w:rFonts w:ascii="Symbol" w:hAnsi="Symbol" w:hint="default"/>
      </w:rPr>
    </w:lvl>
    <w:lvl w:ilvl="4" w:tplc="0C0A0003" w:tentative="1">
      <w:start w:val="1"/>
      <w:numFmt w:val="bullet"/>
      <w:lvlText w:val="o"/>
      <w:lvlJc w:val="left"/>
      <w:pPr>
        <w:ind w:left="4920" w:hanging="360"/>
      </w:pPr>
      <w:rPr>
        <w:rFonts w:ascii="Courier New" w:hAnsi="Courier New" w:cs="Courier New" w:hint="default"/>
      </w:rPr>
    </w:lvl>
    <w:lvl w:ilvl="5" w:tplc="0C0A0005" w:tentative="1">
      <w:start w:val="1"/>
      <w:numFmt w:val="bullet"/>
      <w:lvlText w:val=""/>
      <w:lvlJc w:val="left"/>
      <w:pPr>
        <w:ind w:left="5640" w:hanging="360"/>
      </w:pPr>
      <w:rPr>
        <w:rFonts w:ascii="Wingdings" w:hAnsi="Wingdings" w:hint="default"/>
      </w:rPr>
    </w:lvl>
    <w:lvl w:ilvl="6" w:tplc="0C0A0001" w:tentative="1">
      <w:start w:val="1"/>
      <w:numFmt w:val="bullet"/>
      <w:lvlText w:val=""/>
      <w:lvlJc w:val="left"/>
      <w:pPr>
        <w:ind w:left="6360" w:hanging="360"/>
      </w:pPr>
      <w:rPr>
        <w:rFonts w:ascii="Symbol" w:hAnsi="Symbol" w:hint="default"/>
      </w:rPr>
    </w:lvl>
    <w:lvl w:ilvl="7" w:tplc="0C0A0003" w:tentative="1">
      <w:start w:val="1"/>
      <w:numFmt w:val="bullet"/>
      <w:lvlText w:val="o"/>
      <w:lvlJc w:val="left"/>
      <w:pPr>
        <w:ind w:left="7080" w:hanging="360"/>
      </w:pPr>
      <w:rPr>
        <w:rFonts w:ascii="Courier New" w:hAnsi="Courier New" w:cs="Courier New" w:hint="default"/>
      </w:rPr>
    </w:lvl>
    <w:lvl w:ilvl="8" w:tplc="0C0A0005" w:tentative="1">
      <w:start w:val="1"/>
      <w:numFmt w:val="bullet"/>
      <w:lvlText w:val=""/>
      <w:lvlJc w:val="left"/>
      <w:pPr>
        <w:ind w:left="7800" w:hanging="360"/>
      </w:pPr>
      <w:rPr>
        <w:rFonts w:ascii="Wingdings" w:hAnsi="Wingdings" w:hint="default"/>
      </w:rPr>
    </w:lvl>
  </w:abstractNum>
  <w:abstractNum w:abstractNumId="7">
    <w:nsid w:val="2D7A6170"/>
    <w:multiLevelType w:val="hybridMultilevel"/>
    <w:tmpl w:val="92C2CA9E"/>
    <w:lvl w:ilvl="0" w:tplc="0C0A0001">
      <w:start w:val="1"/>
      <w:numFmt w:val="bullet"/>
      <w:lvlText w:val=""/>
      <w:lvlJc w:val="left"/>
      <w:pPr>
        <w:ind w:left="533" w:hanging="360"/>
      </w:pPr>
      <w:rPr>
        <w:rFonts w:ascii="Symbol" w:hAnsi="Symbol" w:hint="default"/>
      </w:rPr>
    </w:lvl>
    <w:lvl w:ilvl="1" w:tplc="0C0A0003" w:tentative="1">
      <w:start w:val="1"/>
      <w:numFmt w:val="bullet"/>
      <w:lvlText w:val="o"/>
      <w:lvlJc w:val="left"/>
      <w:pPr>
        <w:ind w:left="1253" w:hanging="360"/>
      </w:pPr>
      <w:rPr>
        <w:rFonts w:ascii="Courier New" w:hAnsi="Courier New" w:cs="Courier New" w:hint="default"/>
      </w:rPr>
    </w:lvl>
    <w:lvl w:ilvl="2" w:tplc="0C0A0005" w:tentative="1">
      <w:start w:val="1"/>
      <w:numFmt w:val="bullet"/>
      <w:lvlText w:val=""/>
      <w:lvlJc w:val="left"/>
      <w:pPr>
        <w:ind w:left="1973" w:hanging="360"/>
      </w:pPr>
      <w:rPr>
        <w:rFonts w:ascii="Wingdings" w:hAnsi="Wingdings" w:hint="default"/>
      </w:rPr>
    </w:lvl>
    <w:lvl w:ilvl="3" w:tplc="0C0A0001" w:tentative="1">
      <w:start w:val="1"/>
      <w:numFmt w:val="bullet"/>
      <w:lvlText w:val=""/>
      <w:lvlJc w:val="left"/>
      <w:pPr>
        <w:ind w:left="2693" w:hanging="360"/>
      </w:pPr>
      <w:rPr>
        <w:rFonts w:ascii="Symbol" w:hAnsi="Symbol" w:hint="default"/>
      </w:rPr>
    </w:lvl>
    <w:lvl w:ilvl="4" w:tplc="0C0A0003" w:tentative="1">
      <w:start w:val="1"/>
      <w:numFmt w:val="bullet"/>
      <w:lvlText w:val="o"/>
      <w:lvlJc w:val="left"/>
      <w:pPr>
        <w:ind w:left="3413" w:hanging="360"/>
      </w:pPr>
      <w:rPr>
        <w:rFonts w:ascii="Courier New" w:hAnsi="Courier New" w:cs="Courier New" w:hint="default"/>
      </w:rPr>
    </w:lvl>
    <w:lvl w:ilvl="5" w:tplc="0C0A0005" w:tentative="1">
      <w:start w:val="1"/>
      <w:numFmt w:val="bullet"/>
      <w:lvlText w:val=""/>
      <w:lvlJc w:val="left"/>
      <w:pPr>
        <w:ind w:left="4133" w:hanging="360"/>
      </w:pPr>
      <w:rPr>
        <w:rFonts w:ascii="Wingdings" w:hAnsi="Wingdings" w:hint="default"/>
      </w:rPr>
    </w:lvl>
    <w:lvl w:ilvl="6" w:tplc="0C0A0001" w:tentative="1">
      <w:start w:val="1"/>
      <w:numFmt w:val="bullet"/>
      <w:lvlText w:val=""/>
      <w:lvlJc w:val="left"/>
      <w:pPr>
        <w:ind w:left="4853" w:hanging="360"/>
      </w:pPr>
      <w:rPr>
        <w:rFonts w:ascii="Symbol" w:hAnsi="Symbol" w:hint="default"/>
      </w:rPr>
    </w:lvl>
    <w:lvl w:ilvl="7" w:tplc="0C0A0003" w:tentative="1">
      <w:start w:val="1"/>
      <w:numFmt w:val="bullet"/>
      <w:lvlText w:val="o"/>
      <w:lvlJc w:val="left"/>
      <w:pPr>
        <w:ind w:left="5573" w:hanging="360"/>
      </w:pPr>
      <w:rPr>
        <w:rFonts w:ascii="Courier New" w:hAnsi="Courier New" w:cs="Courier New" w:hint="default"/>
      </w:rPr>
    </w:lvl>
    <w:lvl w:ilvl="8" w:tplc="0C0A0005" w:tentative="1">
      <w:start w:val="1"/>
      <w:numFmt w:val="bullet"/>
      <w:lvlText w:val=""/>
      <w:lvlJc w:val="left"/>
      <w:pPr>
        <w:ind w:left="6293" w:hanging="360"/>
      </w:pPr>
      <w:rPr>
        <w:rFonts w:ascii="Wingdings" w:hAnsi="Wingdings" w:hint="default"/>
      </w:rPr>
    </w:lvl>
  </w:abstractNum>
  <w:abstractNum w:abstractNumId="8">
    <w:nsid w:val="2F807F59"/>
    <w:multiLevelType w:val="hybridMultilevel"/>
    <w:tmpl w:val="6B32EF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F836EB5"/>
    <w:multiLevelType w:val="hybridMultilevel"/>
    <w:tmpl w:val="564C17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4AD0708"/>
    <w:multiLevelType w:val="hybridMultilevel"/>
    <w:tmpl w:val="E06E59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5A11A7E"/>
    <w:multiLevelType w:val="hybridMultilevel"/>
    <w:tmpl w:val="21C28A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7377E51"/>
    <w:multiLevelType w:val="hybridMultilevel"/>
    <w:tmpl w:val="723E48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D99635C"/>
    <w:multiLevelType w:val="multilevel"/>
    <w:tmpl w:val="11C4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FB064F"/>
    <w:multiLevelType w:val="hybridMultilevel"/>
    <w:tmpl w:val="CD6885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4081D5C"/>
    <w:multiLevelType w:val="singleLevel"/>
    <w:tmpl w:val="0D34F38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nsid w:val="49520022"/>
    <w:multiLevelType w:val="hybridMultilevel"/>
    <w:tmpl w:val="78C6C3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AE60EFC"/>
    <w:multiLevelType w:val="hybridMultilevel"/>
    <w:tmpl w:val="2EEA3386"/>
    <w:lvl w:ilvl="0" w:tplc="5784FDC6">
      <w:start w:val="3"/>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B182349"/>
    <w:multiLevelType w:val="hybridMultilevel"/>
    <w:tmpl w:val="D2F0C6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C7851D6"/>
    <w:multiLevelType w:val="hybridMultilevel"/>
    <w:tmpl w:val="2684EF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151642C"/>
    <w:multiLevelType w:val="hybridMultilevel"/>
    <w:tmpl w:val="6722FD9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90F6772"/>
    <w:multiLevelType w:val="hybridMultilevel"/>
    <w:tmpl w:val="2ED4F122"/>
    <w:lvl w:ilvl="0" w:tplc="C1F2EB1A">
      <w:start w:val="1"/>
      <w:numFmt w:val="decimal"/>
      <w:lvlText w:val="%1."/>
      <w:lvlJc w:val="left"/>
      <w:pPr>
        <w:ind w:left="720" w:hanging="436"/>
      </w:pPr>
      <w:rPr>
        <w:rFonts w:hint="default"/>
        <w:i w:val="0"/>
        <w:color w:val="auto"/>
        <w:lang w:val="en-U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174640F"/>
    <w:multiLevelType w:val="hybridMultilevel"/>
    <w:tmpl w:val="5030B0C0"/>
    <w:lvl w:ilvl="0" w:tplc="6932FB5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0D6070"/>
    <w:multiLevelType w:val="hybridMultilevel"/>
    <w:tmpl w:val="3B6850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45E7D92"/>
    <w:multiLevelType w:val="hybridMultilevel"/>
    <w:tmpl w:val="A06A6B2C"/>
    <w:lvl w:ilvl="0" w:tplc="3A2ADEE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D2D7BD9"/>
    <w:multiLevelType w:val="multilevel"/>
    <w:tmpl w:val="0F6C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777A6A"/>
    <w:multiLevelType w:val="hybridMultilevel"/>
    <w:tmpl w:val="3C8C4390"/>
    <w:lvl w:ilvl="0" w:tplc="555C1070">
      <w:start w:val="1"/>
      <w:numFmt w:val="decimal"/>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F943037"/>
    <w:multiLevelType w:val="hybridMultilevel"/>
    <w:tmpl w:val="994EC242"/>
    <w:lvl w:ilvl="0" w:tplc="FFEA7362">
      <w:start w:val="1"/>
      <w:numFmt w:val="decimal"/>
      <w:lvlText w:val="%1-"/>
      <w:lvlJc w:val="left"/>
      <w:pPr>
        <w:ind w:left="720" w:hanging="360"/>
      </w:pPr>
      <w:rPr>
        <w:rFonts w:hint="default"/>
        <w:vertAlign w:val="superscrip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22"/>
  </w:num>
  <w:num w:numId="3">
    <w:abstractNumId w:val="28"/>
  </w:num>
  <w:num w:numId="4">
    <w:abstractNumId w:val="1"/>
  </w:num>
  <w:num w:numId="5">
    <w:abstractNumId w:val="0"/>
  </w:num>
  <w:num w:numId="6">
    <w:abstractNumId w:val="10"/>
  </w:num>
  <w:num w:numId="7">
    <w:abstractNumId w:val="2"/>
  </w:num>
  <w:num w:numId="8">
    <w:abstractNumId w:val="12"/>
  </w:num>
  <w:num w:numId="9">
    <w:abstractNumId w:val="27"/>
  </w:num>
  <w:num w:numId="10">
    <w:abstractNumId w:val="16"/>
  </w:num>
  <w:num w:numId="11">
    <w:abstractNumId w:val="23"/>
  </w:num>
  <w:num w:numId="12">
    <w:abstractNumId w:val="11"/>
  </w:num>
  <w:num w:numId="13">
    <w:abstractNumId w:val="9"/>
  </w:num>
  <w:num w:numId="14">
    <w:abstractNumId w:val="14"/>
  </w:num>
  <w:num w:numId="15">
    <w:abstractNumId w:val="4"/>
  </w:num>
  <w:num w:numId="16">
    <w:abstractNumId w:val="20"/>
  </w:num>
  <w:num w:numId="17">
    <w:abstractNumId w:val="7"/>
  </w:num>
  <w:num w:numId="18">
    <w:abstractNumId w:val="17"/>
  </w:num>
  <w:num w:numId="19">
    <w:abstractNumId w:val="15"/>
  </w:num>
  <w:num w:numId="20">
    <w:abstractNumId w:val="3"/>
  </w:num>
  <w:num w:numId="21">
    <w:abstractNumId w:val="3"/>
    <w:lvlOverride w:ilvl="0">
      <w:lvl w:ilvl="0">
        <w:start w:val="4"/>
        <w:numFmt w:val="decimal"/>
        <w:lvlText w:val="1.%1 "/>
        <w:legacy w:legacy="1" w:legacySpace="0" w:legacyIndent="283"/>
        <w:lvlJc w:val="left"/>
        <w:pPr>
          <w:ind w:left="283" w:hanging="283"/>
        </w:pPr>
        <w:rPr>
          <w:rFonts w:ascii="Times New Roman" w:hAnsi="Times New Roman" w:hint="default"/>
          <w:b w:val="0"/>
          <w:i w:val="0"/>
          <w:sz w:val="24"/>
          <w:u w:val="none"/>
        </w:rPr>
      </w:lvl>
    </w:lvlOverride>
  </w:num>
  <w:num w:numId="22">
    <w:abstractNumId w:val="3"/>
    <w:lvlOverride w:ilvl="0">
      <w:lvl w:ilvl="0">
        <w:start w:val="5"/>
        <w:numFmt w:val="decimal"/>
        <w:lvlText w:val="1.%1 "/>
        <w:legacy w:legacy="1" w:legacySpace="0" w:legacyIndent="283"/>
        <w:lvlJc w:val="left"/>
        <w:pPr>
          <w:ind w:left="283" w:hanging="283"/>
        </w:pPr>
        <w:rPr>
          <w:rFonts w:ascii="Times New Roman" w:hAnsi="Times New Roman" w:hint="default"/>
          <w:b w:val="0"/>
          <w:i w:val="0"/>
          <w:sz w:val="24"/>
          <w:u w:val="none"/>
        </w:rPr>
      </w:lvl>
    </w:lvlOverride>
  </w:num>
  <w:num w:numId="23">
    <w:abstractNumId w:val="8"/>
  </w:num>
  <w:num w:numId="24">
    <w:abstractNumId w:val="19"/>
  </w:num>
  <w:num w:numId="25">
    <w:abstractNumId w:val="18"/>
  </w:num>
  <w:num w:numId="26">
    <w:abstractNumId w:val="26"/>
  </w:num>
  <w:num w:numId="27">
    <w:abstractNumId w:val="13"/>
  </w:num>
  <w:num w:numId="28">
    <w:abstractNumId w:val="5"/>
  </w:num>
  <w:num w:numId="29">
    <w:abstractNumId w:val="25"/>
  </w:num>
  <w:num w:numId="30">
    <w:abstractNumId w:val="6"/>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Estilo Harvard Evelio&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Layout&gt;"/>
    <w:docVar w:name="EN.Libraries" w:val="&lt;Libraries&gt;&lt;item db-id=&quot;5x2rzfvvuw9228e2t9m5tsv7ptsvza9dsv2d&quot;&gt;Dulce 2018&lt;record-ids&gt;&lt;item&gt;1&lt;/item&gt;&lt;item&gt;66&lt;/item&gt;&lt;item&gt;203&lt;/item&gt;&lt;item&gt;466&lt;/item&gt;&lt;item&gt;579&lt;/item&gt;&lt;item&gt;625&lt;/item&gt;&lt;item&gt;630&lt;/item&gt;&lt;item&gt;637&lt;/item&gt;&lt;item&gt;662&lt;/item&gt;&lt;item&gt;703&lt;/item&gt;&lt;item&gt;776&lt;/item&gt;&lt;item&gt;875&lt;/item&gt;&lt;item&gt;877&lt;/item&gt;&lt;item&gt;878&lt;/item&gt;&lt;item&gt;879&lt;/item&gt;&lt;item&gt;884&lt;/item&gt;&lt;item&gt;912&lt;/item&gt;&lt;item&gt;919&lt;/item&gt;&lt;item&gt;937&lt;/item&gt;&lt;item&gt;944&lt;/item&gt;&lt;item&gt;946&lt;/item&gt;&lt;item&gt;980&lt;/item&gt;&lt;item&gt;995&lt;/item&gt;&lt;/record-ids&gt;&lt;/item&gt;&lt;/Libraries&gt;"/>
  </w:docVars>
  <w:rsids>
    <w:rsidRoot w:val="00C8585B"/>
    <w:rsid w:val="00001176"/>
    <w:rsid w:val="00011F04"/>
    <w:rsid w:val="000125FE"/>
    <w:rsid w:val="00014027"/>
    <w:rsid w:val="000220F2"/>
    <w:rsid w:val="000261FF"/>
    <w:rsid w:val="00026FB3"/>
    <w:rsid w:val="00033667"/>
    <w:rsid w:val="00033710"/>
    <w:rsid w:val="00041250"/>
    <w:rsid w:val="00052D9A"/>
    <w:rsid w:val="000539BD"/>
    <w:rsid w:val="000578FB"/>
    <w:rsid w:val="00063AE6"/>
    <w:rsid w:val="000652FF"/>
    <w:rsid w:val="00075DC2"/>
    <w:rsid w:val="00096701"/>
    <w:rsid w:val="000A77CE"/>
    <w:rsid w:val="000B025C"/>
    <w:rsid w:val="000B0F78"/>
    <w:rsid w:val="000B17BB"/>
    <w:rsid w:val="000B6BF0"/>
    <w:rsid w:val="000C14DC"/>
    <w:rsid w:val="000C4B51"/>
    <w:rsid w:val="000C5837"/>
    <w:rsid w:val="000D188D"/>
    <w:rsid w:val="000D41C0"/>
    <w:rsid w:val="000D4451"/>
    <w:rsid w:val="000E55F1"/>
    <w:rsid w:val="000E72AD"/>
    <w:rsid w:val="0010104B"/>
    <w:rsid w:val="0010353D"/>
    <w:rsid w:val="00105F3D"/>
    <w:rsid w:val="0011048A"/>
    <w:rsid w:val="00110FF3"/>
    <w:rsid w:val="00117F96"/>
    <w:rsid w:val="00123D50"/>
    <w:rsid w:val="0012684D"/>
    <w:rsid w:val="001270C2"/>
    <w:rsid w:val="001316AE"/>
    <w:rsid w:val="00135617"/>
    <w:rsid w:val="00137E10"/>
    <w:rsid w:val="0014224D"/>
    <w:rsid w:val="00165D6C"/>
    <w:rsid w:val="00171AEF"/>
    <w:rsid w:val="001737CC"/>
    <w:rsid w:val="00176422"/>
    <w:rsid w:val="00176497"/>
    <w:rsid w:val="00177FFB"/>
    <w:rsid w:val="001848A3"/>
    <w:rsid w:val="00192F96"/>
    <w:rsid w:val="00193448"/>
    <w:rsid w:val="00194BCC"/>
    <w:rsid w:val="001974C2"/>
    <w:rsid w:val="001A311D"/>
    <w:rsid w:val="001C061C"/>
    <w:rsid w:val="001C1E81"/>
    <w:rsid w:val="001C57B4"/>
    <w:rsid w:val="001C61C9"/>
    <w:rsid w:val="001D01BE"/>
    <w:rsid w:val="001D121E"/>
    <w:rsid w:val="001D422B"/>
    <w:rsid w:val="001E034C"/>
    <w:rsid w:val="001F1450"/>
    <w:rsid w:val="001F29FB"/>
    <w:rsid w:val="001F6B54"/>
    <w:rsid w:val="00203D75"/>
    <w:rsid w:val="002054FA"/>
    <w:rsid w:val="0021356C"/>
    <w:rsid w:val="002200DB"/>
    <w:rsid w:val="00224227"/>
    <w:rsid w:val="00225595"/>
    <w:rsid w:val="00226D26"/>
    <w:rsid w:val="0023445B"/>
    <w:rsid w:val="002355FB"/>
    <w:rsid w:val="00237DED"/>
    <w:rsid w:val="002475E0"/>
    <w:rsid w:val="00250F1D"/>
    <w:rsid w:val="002750B9"/>
    <w:rsid w:val="002A2957"/>
    <w:rsid w:val="002B0C19"/>
    <w:rsid w:val="002B1A52"/>
    <w:rsid w:val="002C4E3F"/>
    <w:rsid w:val="002E0345"/>
    <w:rsid w:val="002E0882"/>
    <w:rsid w:val="002E2590"/>
    <w:rsid w:val="002E272A"/>
    <w:rsid w:val="00306C2D"/>
    <w:rsid w:val="00310239"/>
    <w:rsid w:val="0031059B"/>
    <w:rsid w:val="00321C6D"/>
    <w:rsid w:val="0033307C"/>
    <w:rsid w:val="003500C2"/>
    <w:rsid w:val="00350B7C"/>
    <w:rsid w:val="00353D57"/>
    <w:rsid w:val="003655FA"/>
    <w:rsid w:val="00365FB5"/>
    <w:rsid w:val="00366069"/>
    <w:rsid w:val="00393E3B"/>
    <w:rsid w:val="003A7E42"/>
    <w:rsid w:val="003D732F"/>
    <w:rsid w:val="003E00A4"/>
    <w:rsid w:val="003E3D08"/>
    <w:rsid w:val="003E561B"/>
    <w:rsid w:val="003E737B"/>
    <w:rsid w:val="00400628"/>
    <w:rsid w:val="00403285"/>
    <w:rsid w:val="00413345"/>
    <w:rsid w:val="00443284"/>
    <w:rsid w:val="00451A71"/>
    <w:rsid w:val="00455396"/>
    <w:rsid w:val="00457239"/>
    <w:rsid w:val="00460722"/>
    <w:rsid w:val="00462011"/>
    <w:rsid w:val="00481F5B"/>
    <w:rsid w:val="00483339"/>
    <w:rsid w:val="00490B07"/>
    <w:rsid w:val="00496D84"/>
    <w:rsid w:val="004C0556"/>
    <w:rsid w:val="004C43D7"/>
    <w:rsid w:val="004C5541"/>
    <w:rsid w:val="004C7ADC"/>
    <w:rsid w:val="004C7DB9"/>
    <w:rsid w:val="004D0AD0"/>
    <w:rsid w:val="004D1A84"/>
    <w:rsid w:val="004D37F4"/>
    <w:rsid w:val="004D44DD"/>
    <w:rsid w:val="004D5CC2"/>
    <w:rsid w:val="004E6C27"/>
    <w:rsid w:val="004F748C"/>
    <w:rsid w:val="00524A96"/>
    <w:rsid w:val="0052577E"/>
    <w:rsid w:val="00527F37"/>
    <w:rsid w:val="00533221"/>
    <w:rsid w:val="00535EB2"/>
    <w:rsid w:val="0054227B"/>
    <w:rsid w:val="00543948"/>
    <w:rsid w:val="00554820"/>
    <w:rsid w:val="00557A7B"/>
    <w:rsid w:val="00567A2F"/>
    <w:rsid w:val="005754D8"/>
    <w:rsid w:val="0057680B"/>
    <w:rsid w:val="00580DC8"/>
    <w:rsid w:val="00583745"/>
    <w:rsid w:val="00590565"/>
    <w:rsid w:val="00593F06"/>
    <w:rsid w:val="00594656"/>
    <w:rsid w:val="00596416"/>
    <w:rsid w:val="005A2730"/>
    <w:rsid w:val="005A628D"/>
    <w:rsid w:val="005B17F7"/>
    <w:rsid w:val="005B6CDA"/>
    <w:rsid w:val="005C4D25"/>
    <w:rsid w:val="005D67A4"/>
    <w:rsid w:val="005F3BD8"/>
    <w:rsid w:val="005F4A13"/>
    <w:rsid w:val="005F535C"/>
    <w:rsid w:val="005F72CE"/>
    <w:rsid w:val="00603355"/>
    <w:rsid w:val="006069A2"/>
    <w:rsid w:val="0060754B"/>
    <w:rsid w:val="00612037"/>
    <w:rsid w:val="00613459"/>
    <w:rsid w:val="00614669"/>
    <w:rsid w:val="00617690"/>
    <w:rsid w:val="0062120B"/>
    <w:rsid w:val="006217AB"/>
    <w:rsid w:val="006271E4"/>
    <w:rsid w:val="00627320"/>
    <w:rsid w:val="00637A82"/>
    <w:rsid w:val="0064055F"/>
    <w:rsid w:val="006637ED"/>
    <w:rsid w:val="00667F10"/>
    <w:rsid w:val="00670CDB"/>
    <w:rsid w:val="006726AF"/>
    <w:rsid w:val="006742DC"/>
    <w:rsid w:val="006762AF"/>
    <w:rsid w:val="006771BD"/>
    <w:rsid w:val="006826A8"/>
    <w:rsid w:val="006A21D2"/>
    <w:rsid w:val="006B3216"/>
    <w:rsid w:val="006B6118"/>
    <w:rsid w:val="006E7B77"/>
    <w:rsid w:val="006F19C7"/>
    <w:rsid w:val="006F2E89"/>
    <w:rsid w:val="006F63B9"/>
    <w:rsid w:val="0070088E"/>
    <w:rsid w:val="00704560"/>
    <w:rsid w:val="007126CE"/>
    <w:rsid w:val="00715006"/>
    <w:rsid w:val="0072505D"/>
    <w:rsid w:val="00734FF2"/>
    <w:rsid w:val="00744213"/>
    <w:rsid w:val="007657A5"/>
    <w:rsid w:val="0076657D"/>
    <w:rsid w:val="007672FF"/>
    <w:rsid w:val="00776FE9"/>
    <w:rsid w:val="00782346"/>
    <w:rsid w:val="00790FE3"/>
    <w:rsid w:val="00792BE4"/>
    <w:rsid w:val="007A185C"/>
    <w:rsid w:val="007C436B"/>
    <w:rsid w:val="007C48C7"/>
    <w:rsid w:val="007D3CBD"/>
    <w:rsid w:val="007D52E8"/>
    <w:rsid w:val="007E0C46"/>
    <w:rsid w:val="007E2AD7"/>
    <w:rsid w:val="007E2FF8"/>
    <w:rsid w:val="007E7B61"/>
    <w:rsid w:val="00805819"/>
    <w:rsid w:val="00817FD8"/>
    <w:rsid w:val="00822402"/>
    <w:rsid w:val="00826164"/>
    <w:rsid w:val="00834E77"/>
    <w:rsid w:val="0083572E"/>
    <w:rsid w:val="008368D7"/>
    <w:rsid w:val="008462E5"/>
    <w:rsid w:val="00850D3C"/>
    <w:rsid w:val="00851F91"/>
    <w:rsid w:val="0085219B"/>
    <w:rsid w:val="008649FD"/>
    <w:rsid w:val="0088159E"/>
    <w:rsid w:val="00882C84"/>
    <w:rsid w:val="00891DCC"/>
    <w:rsid w:val="00892051"/>
    <w:rsid w:val="00895474"/>
    <w:rsid w:val="008A1C16"/>
    <w:rsid w:val="008A21C0"/>
    <w:rsid w:val="008A3535"/>
    <w:rsid w:val="008A5A95"/>
    <w:rsid w:val="008C326C"/>
    <w:rsid w:val="008D018B"/>
    <w:rsid w:val="008D16C9"/>
    <w:rsid w:val="008E7C08"/>
    <w:rsid w:val="008F5A46"/>
    <w:rsid w:val="00904747"/>
    <w:rsid w:val="009061A5"/>
    <w:rsid w:val="00907EC0"/>
    <w:rsid w:val="0092511A"/>
    <w:rsid w:val="009254DB"/>
    <w:rsid w:val="00936B5F"/>
    <w:rsid w:val="00953E66"/>
    <w:rsid w:val="00955541"/>
    <w:rsid w:val="00955B07"/>
    <w:rsid w:val="00970997"/>
    <w:rsid w:val="009815DA"/>
    <w:rsid w:val="009820DE"/>
    <w:rsid w:val="00995651"/>
    <w:rsid w:val="009A3CC0"/>
    <w:rsid w:val="009A6A1F"/>
    <w:rsid w:val="009B1EF2"/>
    <w:rsid w:val="009B4C52"/>
    <w:rsid w:val="009C5F74"/>
    <w:rsid w:val="009C7B12"/>
    <w:rsid w:val="009D0CD7"/>
    <w:rsid w:val="009D5E02"/>
    <w:rsid w:val="009D67CD"/>
    <w:rsid w:val="009F230D"/>
    <w:rsid w:val="00A005CC"/>
    <w:rsid w:val="00A01B17"/>
    <w:rsid w:val="00A1076B"/>
    <w:rsid w:val="00A10FD9"/>
    <w:rsid w:val="00A13ECA"/>
    <w:rsid w:val="00A21A1F"/>
    <w:rsid w:val="00A2360D"/>
    <w:rsid w:val="00A26E4C"/>
    <w:rsid w:val="00A359B5"/>
    <w:rsid w:val="00A369B6"/>
    <w:rsid w:val="00A43427"/>
    <w:rsid w:val="00A45BC3"/>
    <w:rsid w:val="00A4742E"/>
    <w:rsid w:val="00A53F48"/>
    <w:rsid w:val="00A543D1"/>
    <w:rsid w:val="00A62A14"/>
    <w:rsid w:val="00A73C37"/>
    <w:rsid w:val="00A81410"/>
    <w:rsid w:val="00A81854"/>
    <w:rsid w:val="00A822EF"/>
    <w:rsid w:val="00A92B70"/>
    <w:rsid w:val="00A92E36"/>
    <w:rsid w:val="00AA3525"/>
    <w:rsid w:val="00AA54B3"/>
    <w:rsid w:val="00AB7A7F"/>
    <w:rsid w:val="00AC0B84"/>
    <w:rsid w:val="00AC7ACD"/>
    <w:rsid w:val="00AD11D0"/>
    <w:rsid w:val="00AD2F10"/>
    <w:rsid w:val="00AE490F"/>
    <w:rsid w:val="00AE70F8"/>
    <w:rsid w:val="00AF1DC1"/>
    <w:rsid w:val="00AF72E7"/>
    <w:rsid w:val="00B04641"/>
    <w:rsid w:val="00B06601"/>
    <w:rsid w:val="00B1366E"/>
    <w:rsid w:val="00B1510B"/>
    <w:rsid w:val="00B2024E"/>
    <w:rsid w:val="00B21795"/>
    <w:rsid w:val="00B3585C"/>
    <w:rsid w:val="00B36240"/>
    <w:rsid w:val="00B40380"/>
    <w:rsid w:val="00B40E34"/>
    <w:rsid w:val="00B41D3F"/>
    <w:rsid w:val="00B56F5D"/>
    <w:rsid w:val="00B641E4"/>
    <w:rsid w:val="00B6677A"/>
    <w:rsid w:val="00B80E97"/>
    <w:rsid w:val="00B836BA"/>
    <w:rsid w:val="00B8582D"/>
    <w:rsid w:val="00BA2B34"/>
    <w:rsid w:val="00BC5E12"/>
    <w:rsid w:val="00BD55EB"/>
    <w:rsid w:val="00BE0304"/>
    <w:rsid w:val="00BE6D97"/>
    <w:rsid w:val="00BE754D"/>
    <w:rsid w:val="00BE78C6"/>
    <w:rsid w:val="00BF2404"/>
    <w:rsid w:val="00BF2FF2"/>
    <w:rsid w:val="00C13A85"/>
    <w:rsid w:val="00C17EE2"/>
    <w:rsid w:val="00C25BDD"/>
    <w:rsid w:val="00C30B74"/>
    <w:rsid w:val="00C40B39"/>
    <w:rsid w:val="00C4422C"/>
    <w:rsid w:val="00C447C7"/>
    <w:rsid w:val="00C451C1"/>
    <w:rsid w:val="00C5785D"/>
    <w:rsid w:val="00C63F3E"/>
    <w:rsid w:val="00C6777F"/>
    <w:rsid w:val="00C713BD"/>
    <w:rsid w:val="00C73C45"/>
    <w:rsid w:val="00C73C9C"/>
    <w:rsid w:val="00C8585B"/>
    <w:rsid w:val="00C85B07"/>
    <w:rsid w:val="00CA41ED"/>
    <w:rsid w:val="00CD2BC3"/>
    <w:rsid w:val="00CD2E4B"/>
    <w:rsid w:val="00CD427A"/>
    <w:rsid w:val="00CE503B"/>
    <w:rsid w:val="00D0073F"/>
    <w:rsid w:val="00D03F3B"/>
    <w:rsid w:val="00D124E1"/>
    <w:rsid w:val="00D12868"/>
    <w:rsid w:val="00D2051F"/>
    <w:rsid w:val="00D23076"/>
    <w:rsid w:val="00D25235"/>
    <w:rsid w:val="00D36C38"/>
    <w:rsid w:val="00D36D1C"/>
    <w:rsid w:val="00D409ED"/>
    <w:rsid w:val="00D50CF8"/>
    <w:rsid w:val="00D52130"/>
    <w:rsid w:val="00D73DE9"/>
    <w:rsid w:val="00D76D8C"/>
    <w:rsid w:val="00D80070"/>
    <w:rsid w:val="00D822FF"/>
    <w:rsid w:val="00D937B3"/>
    <w:rsid w:val="00D94B4C"/>
    <w:rsid w:val="00D9537E"/>
    <w:rsid w:val="00DA109C"/>
    <w:rsid w:val="00DA1BF1"/>
    <w:rsid w:val="00DA3FCE"/>
    <w:rsid w:val="00DA4948"/>
    <w:rsid w:val="00DB51D6"/>
    <w:rsid w:val="00DD02AB"/>
    <w:rsid w:val="00DD2139"/>
    <w:rsid w:val="00DE4490"/>
    <w:rsid w:val="00DE6965"/>
    <w:rsid w:val="00DF2C74"/>
    <w:rsid w:val="00E0111A"/>
    <w:rsid w:val="00E01C4F"/>
    <w:rsid w:val="00E07EB4"/>
    <w:rsid w:val="00E121A6"/>
    <w:rsid w:val="00E15952"/>
    <w:rsid w:val="00E1702A"/>
    <w:rsid w:val="00E1795C"/>
    <w:rsid w:val="00E238D3"/>
    <w:rsid w:val="00E33659"/>
    <w:rsid w:val="00E34B58"/>
    <w:rsid w:val="00E40384"/>
    <w:rsid w:val="00E51192"/>
    <w:rsid w:val="00E51D6E"/>
    <w:rsid w:val="00E53589"/>
    <w:rsid w:val="00E57A09"/>
    <w:rsid w:val="00E67A37"/>
    <w:rsid w:val="00E72C2E"/>
    <w:rsid w:val="00E74274"/>
    <w:rsid w:val="00E74A1B"/>
    <w:rsid w:val="00E752F2"/>
    <w:rsid w:val="00E7549C"/>
    <w:rsid w:val="00E76FF4"/>
    <w:rsid w:val="00E912D0"/>
    <w:rsid w:val="00E91E07"/>
    <w:rsid w:val="00E92B11"/>
    <w:rsid w:val="00E9487C"/>
    <w:rsid w:val="00EA3111"/>
    <w:rsid w:val="00EA7C5E"/>
    <w:rsid w:val="00EB39C2"/>
    <w:rsid w:val="00EB39F0"/>
    <w:rsid w:val="00EB66AA"/>
    <w:rsid w:val="00EC39CB"/>
    <w:rsid w:val="00EC5337"/>
    <w:rsid w:val="00EE0AC6"/>
    <w:rsid w:val="00EE4080"/>
    <w:rsid w:val="00EF360C"/>
    <w:rsid w:val="00EF7205"/>
    <w:rsid w:val="00EF7D6F"/>
    <w:rsid w:val="00F02B52"/>
    <w:rsid w:val="00F06656"/>
    <w:rsid w:val="00F069F2"/>
    <w:rsid w:val="00F11353"/>
    <w:rsid w:val="00F135FE"/>
    <w:rsid w:val="00F161F2"/>
    <w:rsid w:val="00F2421F"/>
    <w:rsid w:val="00F31ADB"/>
    <w:rsid w:val="00F34DDA"/>
    <w:rsid w:val="00F44170"/>
    <w:rsid w:val="00F612B1"/>
    <w:rsid w:val="00F616CC"/>
    <w:rsid w:val="00F746B8"/>
    <w:rsid w:val="00F8174E"/>
    <w:rsid w:val="00F93BE8"/>
    <w:rsid w:val="00FB621F"/>
    <w:rsid w:val="00FB6DF5"/>
    <w:rsid w:val="00FC06CF"/>
    <w:rsid w:val="00FC3A51"/>
    <w:rsid w:val="00FC5A69"/>
    <w:rsid w:val="00FD3128"/>
    <w:rsid w:val="00FD31E5"/>
    <w:rsid w:val="00FD514C"/>
    <w:rsid w:val="00FD7480"/>
    <w:rsid w:val="00FF115D"/>
    <w:rsid w:val="00FF3346"/>
    <w:rsid w:val="00FF733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00" w:afterAutospacing="1"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
    <w:qFormat/>
    <w:rsid w:val="00851F91"/>
    <w:pPr>
      <w:keepNext/>
      <w:spacing w:before="240" w:after="60" w:afterAutospacing="0" w:line="240" w:lineRule="auto"/>
      <w:jc w:val="left"/>
      <w:outlineLvl w:val="0"/>
    </w:pPr>
    <w:rPr>
      <w:rFonts w:ascii="Cambria" w:eastAsia="Times New Roman" w:hAnsi="Cambria" w:cs="Times New Roman"/>
      <w:b/>
      <w:bCs/>
      <w:kern w:val="32"/>
      <w:sz w:val="32"/>
      <w:szCs w:val="32"/>
    </w:rPr>
  </w:style>
  <w:style w:type="paragraph" w:styleId="Ttulo2">
    <w:name w:val="heading 2"/>
    <w:basedOn w:val="Normal"/>
    <w:next w:val="Normal"/>
    <w:link w:val="Ttulo2Car"/>
    <w:uiPriority w:val="9"/>
    <w:unhideWhenUsed/>
    <w:qFormat/>
    <w:rsid w:val="004833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Mapadeldocumento">
    <w:name w:val="Document Map"/>
    <w:basedOn w:val="Normal"/>
    <w:link w:val="MapadeldocumentoCar"/>
    <w:uiPriority w:val="99"/>
    <w:semiHidden/>
    <w:unhideWhenUsed/>
    <w:rsid w:val="00DE696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DE6965"/>
    <w:rPr>
      <w:rFonts w:ascii="Tahoma" w:hAnsi="Tahoma" w:cs="Tahoma"/>
      <w:sz w:val="16"/>
      <w:szCs w:val="16"/>
    </w:rPr>
  </w:style>
  <w:style w:type="character" w:customStyle="1" w:styleId="tlid-translation">
    <w:name w:val="tlid-translation"/>
    <w:basedOn w:val="Fuentedeprrafopredeter"/>
    <w:rsid w:val="00D124E1"/>
  </w:style>
  <w:style w:type="paragraph" w:styleId="Textoindependiente3">
    <w:name w:val="Body Text 3"/>
    <w:basedOn w:val="Normal"/>
    <w:link w:val="Textoindependiente3Car"/>
    <w:rsid w:val="004C7DB9"/>
    <w:pPr>
      <w:autoSpaceDE w:val="0"/>
      <w:autoSpaceDN w:val="0"/>
      <w:spacing w:after="0" w:line="240" w:lineRule="auto"/>
      <w:jc w:val="both"/>
    </w:pPr>
    <w:rPr>
      <w:rFonts w:ascii="Times New Roman" w:eastAsia="Times New Roman" w:hAnsi="Times New Roman" w:cs="Times New Roman"/>
      <w:sz w:val="24"/>
      <w:szCs w:val="24"/>
      <w:lang w:val="es-ES_tradnl" w:eastAsia="es-ES" w:bidi="he-IL"/>
    </w:rPr>
  </w:style>
  <w:style w:type="character" w:customStyle="1" w:styleId="Textoindependiente3Car">
    <w:name w:val="Texto independiente 3 Car"/>
    <w:basedOn w:val="Fuentedeprrafopredeter"/>
    <w:link w:val="Textoindependiente3"/>
    <w:rsid w:val="004C7DB9"/>
    <w:rPr>
      <w:rFonts w:ascii="Times New Roman" w:eastAsia="Times New Roman" w:hAnsi="Times New Roman" w:cs="Times New Roman"/>
      <w:sz w:val="24"/>
      <w:szCs w:val="24"/>
      <w:lang w:val="es-ES_tradnl" w:eastAsia="es-ES" w:bidi="he-IL"/>
    </w:rPr>
  </w:style>
  <w:style w:type="paragraph" w:styleId="Textonotapie">
    <w:name w:val="footnote text"/>
    <w:basedOn w:val="Normal"/>
    <w:link w:val="TextonotapieCar"/>
    <w:autoRedefine/>
    <w:uiPriority w:val="99"/>
    <w:semiHidden/>
    <w:rsid w:val="00D822FF"/>
    <w:pPr>
      <w:tabs>
        <w:tab w:val="left" w:pos="0"/>
      </w:tabs>
      <w:spacing w:after="0" w:line="240" w:lineRule="auto"/>
      <w:jc w:val="both"/>
    </w:pPr>
    <w:rPr>
      <w:rFonts w:ascii="Arial" w:eastAsia="Times New Roman" w:hAnsi="Arial" w:cs="Arial"/>
      <w:sz w:val="20"/>
      <w:szCs w:val="20"/>
    </w:rPr>
  </w:style>
  <w:style w:type="character" w:customStyle="1" w:styleId="TextonotapieCar">
    <w:name w:val="Texto nota pie Car"/>
    <w:basedOn w:val="Fuentedeprrafopredeter"/>
    <w:link w:val="Textonotapie"/>
    <w:uiPriority w:val="99"/>
    <w:semiHidden/>
    <w:rsid w:val="00D822FF"/>
    <w:rPr>
      <w:rFonts w:ascii="Arial" w:eastAsia="Times New Roman" w:hAnsi="Arial" w:cs="Arial"/>
      <w:sz w:val="20"/>
      <w:szCs w:val="20"/>
    </w:rPr>
  </w:style>
  <w:style w:type="character" w:styleId="Refdenotaalpie">
    <w:name w:val="footnote reference"/>
    <w:basedOn w:val="Fuentedeprrafopredeter"/>
    <w:uiPriority w:val="99"/>
    <w:rsid w:val="00D822FF"/>
    <w:rPr>
      <w:vertAlign w:val="superscript"/>
    </w:rPr>
  </w:style>
  <w:style w:type="paragraph" w:styleId="NormalWeb">
    <w:name w:val="Normal (Web)"/>
    <w:basedOn w:val="Normal"/>
    <w:uiPriority w:val="99"/>
    <w:semiHidden/>
    <w:unhideWhenUsed/>
    <w:rsid w:val="00D25235"/>
    <w:pPr>
      <w:spacing w:before="100" w:beforeAutospacing="1" w:line="240" w:lineRule="auto"/>
    </w:pPr>
    <w:rPr>
      <w:rFonts w:ascii="Times New Roman" w:eastAsiaTheme="minorEastAsia" w:hAnsi="Times New Roman" w:cs="Times New Roman"/>
      <w:sz w:val="24"/>
      <w:szCs w:val="24"/>
      <w:lang w:eastAsia="es-ES"/>
    </w:rPr>
  </w:style>
  <w:style w:type="paragraph" w:styleId="Lista">
    <w:name w:val="List"/>
    <w:basedOn w:val="Normal"/>
    <w:rsid w:val="00AB7A7F"/>
    <w:pPr>
      <w:spacing w:after="0" w:line="240" w:lineRule="auto"/>
      <w:ind w:left="283" w:hanging="283"/>
      <w:contextualSpacing/>
    </w:pPr>
    <w:rPr>
      <w:rFonts w:ascii="Times New Roman" w:eastAsia="Times New Roman" w:hAnsi="Times New Roman" w:cs="Times New Roman"/>
      <w:sz w:val="24"/>
      <w:szCs w:val="24"/>
      <w:lang w:eastAsia="es-ES"/>
    </w:rPr>
  </w:style>
  <w:style w:type="paragraph" w:customStyle="1" w:styleId="Default">
    <w:name w:val="Default"/>
    <w:rsid w:val="00891DCC"/>
    <w:pPr>
      <w:autoSpaceDE w:val="0"/>
      <w:autoSpaceDN w:val="0"/>
      <w:adjustRightInd w:val="0"/>
      <w:spacing w:after="0"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semiHidden/>
    <w:unhideWhenUsed/>
    <w:rsid w:val="001270C2"/>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1270C2"/>
    <w:rPr>
      <w:rFonts w:ascii="Consolas" w:hAnsi="Consolas"/>
      <w:sz w:val="20"/>
      <w:szCs w:val="20"/>
    </w:rPr>
  </w:style>
  <w:style w:type="paragraph" w:styleId="Textoindependiente">
    <w:name w:val="Body Text"/>
    <w:basedOn w:val="Normal"/>
    <w:link w:val="TextoindependienteCar"/>
    <w:uiPriority w:val="99"/>
    <w:semiHidden/>
    <w:unhideWhenUsed/>
    <w:rsid w:val="00851F91"/>
    <w:pPr>
      <w:spacing w:after="120"/>
    </w:pPr>
  </w:style>
  <w:style w:type="character" w:customStyle="1" w:styleId="TextoindependienteCar">
    <w:name w:val="Texto independiente Car"/>
    <w:basedOn w:val="Fuentedeprrafopredeter"/>
    <w:link w:val="Textoindependiente"/>
    <w:uiPriority w:val="99"/>
    <w:semiHidden/>
    <w:rsid w:val="00851F91"/>
  </w:style>
  <w:style w:type="character" w:customStyle="1" w:styleId="Ttulo1Car">
    <w:name w:val="Título 1 Car"/>
    <w:basedOn w:val="Fuentedeprrafopredeter"/>
    <w:link w:val="Ttulo1"/>
    <w:uiPriority w:val="9"/>
    <w:rsid w:val="00851F91"/>
    <w:rPr>
      <w:rFonts w:ascii="Cambria" w:eastAsia="Times New Roman" w:hAnsi="Cambria" w:cs="Times New Roman"/>
      <w:b/>
      <w:bCs/>
      <w:kern w:val="32"/>
      <w:sz w:val="32"/>
      <w:szCs w:val="32"/>
    </w:rPr>
  </w:style>
  <w:style w:type="character" w:customStyle="1" w:styleId="Ttulo2Car">
    <w:name w:val="Título 2 Car"/>
    <w:basedOn w:val="Fuentedeprrafopredeter"/>
    <w:link w:val="Ttulo2"/>
    <w:uiPriority w:val="9"/>
    <w:rsid w:val="00483339"/>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413345"/>
    <w:pPr>
      <w:spacing w:after="0" w:line="240" w:lineRule="auto"/>
    </w:pPr>
  </w:style>
  <w:style w:type="table" w:styleId="Tablaconcuadrcula">
    <w:name w:val="Table Grid"/>
    <w:basedOn w:val="Tablanormal"/>
    <w:uiPriority w:val="59"/>
    <w:rsid w:val="00137E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doclaro">
    <w:name w:val="Light Shading"/>
    <w:basedOn w:val="Tablanormal"/>
    <w:uiPriority w:val="60"/>
    <w:rsid w:val="00137E1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PrrafodelistaCar">
    <w:name w:val="Párrafo de lista Car"/>
    <w:link w:val="Prrafodelista"/>
    <w:uiPriority w:val="34"/>
    <w:rsid w:val="001D121E"/>
  </w:style>
</w:styles>
</file>

<file path=word/webSettings.xml><?xml version="1.0" encoding="utf-8"?>
<w:webSettings xmlns:r="http://schemas.openxmlformats.org/officeDocument/2006/relationships" xmlns:w="http://schemas.openxmlformats.org/wordprocessingml/2006/main">
  <w:divs>
    <w:div w:id="150214524">
      <w:bodyDiv w:val="1"/>
      <w:marLeft w:val="0"/>
      <w:marRight w:val="0"/>
      <w:marTop w:val="0"/>
      <w:marBottom w:val="0"/>
      <w:divBdr>
        <w:top w:val="none" w:sz="0" w:space="0" w:color="auto"/>
        <w:left w:val="none" w:sz="0" w:space="0" w:color="auto"/>
        <w:bottom w:val="none" w:sz="0" w:space="0" w:color="auto"/>
        <w:right w:val="none" w:sz="0" w:space="0" w:color="auto"/>
      </w:divBdr>
    </w:div>
    <w:div w:id="749501456">
      <w:bodyDiv w:val="1"/>
      <w:marLeft w:val="0"/>
      <w:marRight w:val="0"/>
      <w:marTop w:val="0"/>
      <w:marBottom w:val="0"/>
      <w:divBdr>
        <w:top w:val="none" w:sz="0" w:space="0" w:color="auto"/>
        <w:left w:val="none" w:sz="0" w:space="0" w:color="auto"/>
        <w:bottom w:val="none" w:sz="0" w:space="0" w:color="auto"/>
        <w:right w:val="none" w:sz="0" w:space="0" w:color="auto"/>
      </w:divBdr>
    </w:div>
    <w:div w:id="897937192">
      <w:bodyDiv w:val="1"/>
      <w:marLeft w:val="0"/>
      <w:marRight w:val="0"/>
      <w:marTop w:val="0"/>
      <w:marBottom w:val="0"/>
      <w:divBdr>
        <w:top w:val="none" w:sz="0" w:space="0" w:color="auto"/>
        <w:left w:val="none" w:sz="0" w:space="0" w:color="auto"/>
        <w:bottom w:val="none" w:sz="0" w:space="0" w:color="auto"/>
        <w:right w:val="none" w:sz="0" w:space="0" w:color="auto"/>
      </w:divBdr>
    </w:div>
    <w:div w:id="978458545">
      <w:bodyDiv w:val="1"/>
      <w:marLeft w:val="0"/>
      <w:marRight w:val="0"/>
      <w:marTop w:val="0"/>
      <w:marBottom w:val="0"/>
      <w:divBdr>
        <w:top w:val="none" w:sz="0" w:space="0" w:color="auto"/>
        <w:left w:val="none" w:sz="0" w:space="0" w:color="auto"/>
        <w:bottom w:val="none" w:sz="0" w:space="0" w:color="auto"/>
        <w:right w:val="none" w:sz="0" w:space="0" w:color="auto"/>
      </w:divBdr>
    </w:div>
    <w:div w:id="1067729482">
      <w:bodyDiv w:val="1"/>
      <w:marLeft w:val="0"/>
      <w:marRight w:val="0"/>
      <w:marTop w:val="0"/>
      <w:marBottom w:val="0"/>
      <w:divBdr>
        <w:top w:val="none" w:sz="0" w:space="0" w:color="auto"/>
        <w:left w:val="none" w:sz="0" w:space="0" w:color="auto"/>
        <w:bottom w:val="none" w:sz="0" w:space="0" w:color="auto"/>
        <w:right w:val="none" w:sz="0" w:space="0" w:color="auto"/>
      </w:divBdr>
    </w:div>
    <w:div w:id="1241208092">
      <w:bodyDiv w:val="1"/>
      <w:marLeft w:val="0"/>
      <w:marRight w:val="0"/>
      <w:marTop w:val="0"/>
      <w:marBottom w:val="0"/>
      <w:divBdr>
        <w:top w:val="none" w:sz="0" w:space="0" w:color="auto"/>
        <w:left w:val="none" w:sz="0" w:space="0" w:color="auto"/>
        <w:bottom w:val="none" w:sz="0" w:space="0" w:color="auto"/>
        <w:right w:val="none" w:sz="0" w:space="0" w:color="auto"/>
      </w:divBdr>
    </w:div>
    <w:div w:id="1933465672">
      <w:bodyDiv w:val="1"/>
      <w:marLeft w:val="0"/>
      <w:marRight w:val="0"/>
      <w:marTop w:val="0"/>
      <w:marBottom w:val="0"/>
      <w:divBdr>
        <w:top w:val="none" w:sz="0" w:space="0" w:color="auto"/>
        <w:left w:val="none" w:sz="0" w:space="0" w:color="auto"/>
        <w:bottom w:val="none" w:sz="0" w:space="0" w:color="auto"/>
        <w:right w:val="none" w:sz="0" w:space="0" w:color="auto"/>
      </w:divBdr>
      <w:divsChild>
        <w:div w:id="752051403">
          <w:marLeft w:val="0"/>
          <w:marRight w:val="0"/>
          <w:marTop w:val="0"/>
          <w:marBottom w:val="0"/>
          <w:divBdr>
            <w:top w:val="none" w:sz="0" w:space="0" w:color="auto"/>
            <w:left w:val="none" w:sz="0" w:space="0" w:color="auto"/>
            <w:bottom w:val="none" w:sz="0" w:space="0" w:color="auto"/>
            <w:right w:val="none" w:sz="0" w:space="0" w:color="auto"/>
          </w:divBdr>
          <w:divsChild>
            <w:div w:id="421801037">
              <w:marLeft w:val="0"/>
              <w:marRight w:val="0"/>
              <w:marTop w:val="0"/>
              <w:marBottom w:val="0"/>
              <w:divBdr>
                <w:top w:val="none" w:sz="0" w:space="0" w:color="auto"/>
                <w:left w:val="none" w:sz="0" w:space="0" w:color="auto"/>
                <w:bottom w:val="none" w:sz="0" w:space="0" w:color="auto"/>
                <w:right w:val="none" w:sz="0" w:space="0" w:color="auto"/>
              </w:divBdr>
              <w:divsChild>
                <w:div w:id="16942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360271">
      <w:bodyDiv w:val="1"/>
      <w:marLeft w:val="0"/>
      <w:marRight w:val="0"/>
      <w:marTop w:val="0"/>
      <w:marBottom w:val="0"/>
      <w:divBdr>
        <w:top w:val="none" w:sz="0" w:space="0" w:color="auto"/>
        <w:left w:val="none" w:sz="0" w:space="0" w:color="auto"/>
        <w:bottom w:val="none" w:sz="0" w:space="0" w:color="auto"/>
        <w:right w:val="none" w:sz="0" w:space="0" w:color="auto"/>
      </w:divBdr>
      <w:divsChild>
        <w:div w:id="1548762946">
          <w:marLeft w:val="0"/>
          <w:marRight w:val="0"/>
          <w:marTop w:val="0"/>
          <w:marBottom w:val="0"/>
          <w:divBdr>
            <w:top w:val="none" w:sz="0" w:space="0" w:color="auto"/>
            <w:left w:val="none" w:sz="0" w:space="0" w:color="auto"/>
            <w:bottom w:val="none" w:sz="0" w:space="0" w:color="auto"/>
            <w:right w:val="none" w:sz="0" w:space="0" w:color="auto"/>
          </w:divBdr>
          <w:divsChild>
            <w:div w:id="62678686">
              <w:marLeft w:val="0"/>
              <w:marRight w:val="0"/>
              <w:marTop w:val="0"/>
              <w:marBottom w:val="0"/>
              <w:divBdr>
                <w:top w:val="none" w:sz="0" w:space="0" w:color="auto"/>
                <w:left w:val="none" w:sz="0" w:space="0" w:color="auto"/>
                <w:bottom w:val="none" w:sz="0" w:space="0" w:color="auto"/>
                <w:right w:val="none" w:sz="0" w:space="0" w:color="auto"/>
              </w:divBdr>
              <w:divsChild>
                <w:div w:id="14532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onografias.com/trabajos10/rega/rega.s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monografias.com/trabajos15/calidad-serv/calidad-serv.s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onografias.com/trabajos14/flujograma/flujograma.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onografias.com/trabajos12/desorgan/desorgan.shtml"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onografias.com/trabajos15/todorov/todorov.shtml"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taymigm@uclv.edu.c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a:pPr>
            <a:r>
              <a:rPr lang="es-ES"/>
              <a:t>Estructura del activo circulante</a:t>
            </a:r>
          </a:p>
        </c:rich>
      </c:tx>
      <c:layout/>
    </c:title>
    <c:plotArea>
      <c:layout/>
      <c:pieChart>
        <c:varyColors val="1"/>
        <c:ser>
          <c:idx val="0"/>
          <c:order val="0"/>
          <c:dLbls>
            <c:spPr>
              <a:noFill/>
              <a:ln>
                <a:noFill/>
              </a:ln>
              <a:effectLst/>
            </c:spPr>
            <c:showPercent val="1"/>
            <c:showLeaderLines val="1"/>
            <c:extLst xmlns:c16r2="http://schemas.microsoft.com/office/drawing/2015/06/chart">
              <c:ext xmlns:c15="http://schemas.microsoft.com/office/drawing/2012/chart" uri="{CE6537A1-D6FC-4f65-9D91-7224C49458BB}">
                <c15:layout/>
              </c:ext>
            </c:extLst>
          </c:dLbls>
          <c:cat>
            <c:strRef>
              <c:f>Hoja1!$B$2:$B$4</c:f>
              <c:strCache>
                <c:ptCount val="3"/>
                <c:pt idx="0">
                  <c:v>Efectivo</c:v>
                </c:pt>
                <c:pt idx="1">
                  <c:v>Cuentas por cobrar</c:v>
                </c:pt>
                <c:pt idx="2">
                  <c:v>Inventarios</c:v>
                </c:pt>
              </c:strCache>
            </c:strRef>
          </c:cat>
          <c:val>
            <c:numRef>
              <c:f>Hoja1!$C$2:$C$4</c:f>
              <c:numCache>
                <c:formatCode>#,##0</c:formatCode>
                <c:ptCount val="3"/>
                <c:pt idx="0">
                  <c:v>6893019000</c:v>
                </c:pt>
                <c:pt idx="1">
                  <c:v>3387732200</c:v>
                </c:pt>
                <c:pt idx="2">
                  <c:v>9383315600</c:v>
                </c:pt>
              </c:numCache>
            </c:numRef>
          </c:val>
          <c:extLst xmlns:c16r2="http://schemas.microsoft.com/office/drawing/2015/06/chart">
            <c:ext xmlns:c16="http://schemas.microsoft.com/office/drawing/2014/chart" uri="{C3380CC4-5D6E-409C-BE32-E72D297353CC}">
              <c16:uniqueId val="{00000000-DA26-41E4-B6B8-28F6D003CE25}"/>
            </c:ext>
          </c:extLst>
        </c:ser>
        <c:dLbls>
          <c:showPercent val="1"/>
        </c:dLbls>
        <c:firstSliceAng val="0"/>
      </c:pieChart>
    </c:plotArea>
    <c:legend>
      <c:legendPos val="t"/>
      <c:layou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a:pPr>
            <a:r>
              <a:rPr lang="es-ES"/>
              <a:t>Estructura del pasivo circulante</a:t>
            </a:r>
          </a:p>
        </c:rich>
      </c:tx>
      <c:layout/>
    </c:title>
    <c:plotArea>
      <c:layout/>
      <c:pieChart>
        <c:varyColors val="1"/>
        <c:ser>
          <c:idx val="0"/>
          <c:order val="0"/>
          <c:dLbls>
            <c:spPr>
              <a:noFill/>
              <a:ln>
                <a:noFill/>
              </a:ln>
              <a:effectLst/>
            </c:spPr>
            <c:showCatName val="1"/>
            <c:showPercent val="1"/>
            <c:showLeaderLines val="1"/>
            <c:extLst xmlns:c16r2="http://schemas.microsoft.com/office/drawing/2015/06/chart">
              <c:ext xmlns:c15="http://schemas.microsoft.com/office/drawing/2012/chart" uri="{CE6537A1-D6FC-4f65-9D91-7224C49458BB}">
                <c15:layout/>
              </c:ext>
            </c:extLst>
          </c:dLbls>
          <c:cat>
            <c:strRef>
              <c:f>Hoja1!$C$25:$C$28</c:f>
              <c:strCache>
                <c:ptCount val="4"/>
                <c:pt idx="0">
                  <c:v>Cuentas por pagar</c:v>
                </c:pt>
                <c:pt idx="1">
                  <c:v>Cobros anticipados</c:v>
                </c:pt>
                <c:pt idx="2">
                  <c:v>Nóminas por pagar</c:v>
                </c:pt>
                <c:pt idx="3">
                  <c:v>Gastos acumulados por pagar</c:v>
                </c:pt>
              </c:strCache>
            </c:strRef>
          </c:cat>
          <c:val>
            <c:numRef>
              <c:f>Hoja1!$D$25:$D$28</c:f>
              <c:numCache>
                <c:formatCode>#,##0</c:formatCode>
                <c:ptCount val="4"/>
                <c:pt idx="0">
                  <c:v>1832906100</c:v>
                </c:pt>
                <c:pt idx="1">
                  <c:v>295285600</c:v>
                </c:pt>
                <c:pt idx="2">
                  <c:v>9600000</c:v>
                </c:pt>
                <c:pt idx="3">
                  <c:v>1571138500</c:v>
                </c:pt>
              </c:numCache>
            </c:numRef>
          </c:val>
          <c:extLst xmlns:c16r2="http://schemas.microsoft.com/office/drawing/2015/06/chart">
            <c:ext xmlns:c16="http://schemas.microsoft.com/office/drawing/2014/chart" uri="{C3380CC4-5D6E-409C-BE32-E72D297353CC}">
              <c16:uniqueId val="{00000000-DC03-43F8-9EC0-4BDA7E322B6F}"/>
            </c:ext>
          </c:extLst>
        </c:ser>
        <c:dLbls>
          <c:showCatName val="1"/>
          <c:showPercent val="1"/>
        </c:dLbls>
        <c:firstSliceAng val="0"/>
      </c:pieChart>
    </c:plotArea>
    <c:plotVisOnly val="1"/>
    <c:dispBlanksAs val="zero"/>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C0168-B2E2-4AEE-BCF0-250F1532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3200</Words>
  <Characters>17605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20764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Evelio Suárez Gutiérrez</dc:creator>
  <cp:lastModifiedBy>Taymi</cp:lastModifiedBy>
  <cp:revision>2</cp:revision>
  <dcterms:created xsi:type="dcterms:W3CDTF">2019-05-19T13:17:00Z</dcterms:created>
  <dcterms:modified xsi:type="dcterms:W3CDTF">2019-05-19T13:17:00Z</dcterms:modified>
</cp:coreProperties>
</file>