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A2" w:rsidRDefault="006069A2" w:rsidP="00A01B17">
      <w:pPr>
        <w:widowControl w:val="0"/>
        <w:autoSpaceDE w:val="0"/>
        <w:autoSpaceDN w:val="0"/>
        <w:adjustRightInd w:val="0"/>
        <w:spacing w:after="0" w:line="360" w:lineRule="auto"/>
        <w:ind w:right="102"/>
        <w:rPr>
          <w:rFonts w:ascii="Times New Roman" w:hAnsi="Times New Roman"/>
          <w:b/>
          <w:bCs/>
          <w:sz w:val="28"/>
          <w:szCs w:val="28"/>
        </w:rPr>
      </w:pPr>
      <w:r w:rsidRPr="00B92025">
        <w:rPr>
          <w:rFonts w:ascii="Times New Roman" w:hAnsi="Times New Roman"/>
          <w:b/>
          <w:bCs/>
          <w:sz w:val="28"/>
          <w:szCs w:val="28"/>
        </w:rPr>
        <w:t>XI</w:t>
      </w:r>
      <w:r>
        <w:rPr>
          <w:rFonts w:ascii="Times New Roman" w:hAnsi="Times New Roman"/>
          <w:b/>
          <w:bCs/>
          <w:sz w:val="28"/>
          <w:szCs w:val="28"/>
        </w:rPr>
        <w:t>I</w:t>
      </w:r>
      <w:r w:rsidRPr="00B92025">
        <w:rPr>
          <w:rFonts w:ascii="Times New Roman" w:hAnsi="Times New Roman"/>
          <w:b/>
          <w:bCs/>
          <w:sz w:val="28"/>
          <w:szCs w:val="28"/>
        </w:rPr>
        <w:t xml:space="preserve"> CONFERENCIA INTERNACIONAL DE CIENCIAS EMPRESARIALES</w:t>
      </w:r>
      <w:r>
        <w:rPr>
          <w:rFonts w:ascii="Times New Roman" w:hAnsi="Times New Roman"/>
          <w:b/>
          <w:bCs/>
          <w:sz w:val="28"/>
          <w:szCs w:val="28"/>
        </w:rPr>
        <w:t xml:space="preserve"> (CICE)</w:t>
      </w:r>
    </w:p>
    <w:p w:rsidR="006069A2" w:rsidRDefault="006069A2" w:rsidP="00A01B17">
      <w:pPr>
        <w:widowControl w:val="0"/>
        <w:autoSpaceDE w:val="0"/>
        <w:autoSpaceDN w:val="0"/>
        <w:adjustRightInd w:val="0"/>
        <w:spacing w:after="0" w:line="360" w:lineRule="auto"/>
        <w:ind w:left="85" w:right="102" w:hanging="85"/>
        <w:rPr>
          <w:rFonts w:ascii="Times New Roman" w:hAnsi="Times New Roman"/>
          <w:b/>
          <w:bCs/>
          <w:sz w:val="28"/>
          <w:szCs w:val="28"/>
        </w:rPr>
      </w:pPr>
      <w:r w:rsidRPr="00E24FAF">
        <w:rPr>
          <w:rFonts w:ascii="Times New Roman" w:hAnsi="Times New Roman"/>
          <w:b/>
          <w:bCs/>
          <w:sz w:val="28"/>
          <w:szCs w:val="28"/>
        </w:rPr>
        <w:t>VI</w:t>
      </w:r>
      <w:r>
        <w:rPr>
          <w:rFonts w:ascii="Times New Roman" w:hAnsi="Times New Roman"/>
          <w:b/>
          <w:bCs/>
          <w:sz w:val="28"/>
          <w:szCs w:val="28"/>
        </w:rPr>
        <w:t>I</w:t>
      </w:r>
      <w:r w:rsidRPr="00E24FAF">
        <w:rPr>
          <w:rFonts w:ascii="Times New Roman" w:hAnsi="Times New Roman"/>
          <w:b/>
          <w:bCs/>
          <w:sz w:val="28"/>
          <w:szCs w:val="28"/>
        </w:rPr>
        <w:t xml:space="preserve"> SIMPOSIO DE CONTADURÍA, FINANZAS Y AUDITORÍA</w:t>
      </w:r>
    </w:p>
    <w:p w:rsidR="00596416" w:rsidRDefault="00596416" w:rsidP="00A01B17">
      <w:pPr>
        <w:spacing w:after="0"/>
        <w:rPr>
          <w:rFonts w:ascii="Times New Roman" w:hAnsi="Times New Roman" w:cs="Times New Roman"/>
          <w:b/>
          <w:sz w:val="28"/>
          <w:szCs w:val="28"/>
        </w:rPr>
      </w:pPr>
    </w:p>
    <w:p w:rsidR="00637A82" w:rsidRPr="00851F91" w:rsidRDefault="009448EC" w:rsidP="00B3585C">
      <w:pPr>
        <w:rPr>
          <w:rFonts w:ascii="Times New Roman" w:hAnsi="Times New Roman" w:cs="Times New Roman"/>
          <w:b/>
          <w:sz w:val="28"/>
          <w:szCs w:val="28"/>
          <w:lang w:val="es-CO"/>
        </w:rPr>
      </w:pPr>
      <w:r w:rsidRPr="00B40F75">
        <w:rPr>
          <w:rFonts w:ascii="Times New Roman" w:hAnsi="Times New Roman" w:cs="Times New Roman"/>
          <w:b/>
          <w:sz w:val="28"/>
          <w:szCs w:val="28"/>
          <w:lang w:val="es-CO"/>
        </w:rPr>
        <w:t>«Análisis</w:t>
      </w:r>
      <w:r w:rsidR="00B40F75" w:rsidRPr="00B40F75">
        <w:rPr>
          <w:rFonts w:ascii="Times New Roman" w:hAnsi="Times New Roman" w:cs="Times New Roman"/>
          <w:b/>
          <w:sz w:val="28"/>
          <w:szCs w:val="28"/>
          <w:lang w:val="es-CO"/>
        </w:rPr>
        <w:t xml:space="preserve"> de factibilidad económica-financiera y social de la inversión </w:t>
      </w:r>
      <w:r w:rsidR="00B40F75">
        <w:rPr>
          <w:rFonts w:ascii="Times New Roman" w:hAnsi="Times New Roman" w:cs="Times New Roman"/>
          <w:b/>
          <w:sz w:val="28"/>
          <w:szCs w:val="28"/>
          <w:lang w:val="es-CO"/>
        </w:rPr>
        <w:t>P</w:t>
      </w:r>
      <w:r w:rsidR="00B40F75" w:rsidRPr="00B40F75">
        <w:rPr>
          <w:rFonts w:ascii="Times New Roman" w:hAnsi="Times New Roman" w:cs="Times New Roman"/>
          <w:b/>
          <w:sz w:val="28"/>
          <w:szCs w:val="28"/>
          <w:lang w:val="es-CO"/>
        </w:rPr>
        <w:t xml:space="preserve">arque </w:t>
      </w:r>
      <w:r w:rsidR="00B40F75">
        <w:rPr>
          <w:rFonts w:ascii="Times New Roman" w:hAnsi="Times New Roman" w:cs="Times New Roman"/>
          <w:b/>
          <w:sz w:val="28"/>
          <w:szCs w:val="28"/>
          <w:lang w:val="es-CO"/>
        </w:rPr>
        <w:t>F</w:t>
      </w:r>
      <w:r w:rsidR="00B40F75" w:rsidRPr="00B40F75">
        <w:rPr>
          <w:rFonts w:ascii="Times New Roman" w:hAnsi="Times New Roman" w:cs="Times New Roman"/>
          <w:b/>
          <w:sz w:val="28"/>
          <w:szCs w:val="28"/>
          <w:lang w:val="es-CO"/>
        </w:rPr>
        <w:t xml:space="preserve">otovoltaico </w:t>
      </w:r>
      <w:r w:rsidR="00B40F75">
        <w:rPr>
          <w:rFonts w:ascii="Times New Roman" w:hAnsi="Times New Roman" w:cs="Times New Roman"/>
          <w:b/>
          <w:sz w:val="28"/>
          <w:szCs w:val="28"/>
          <w:lang w:val="es-CO"/>
        </w:rPr>
        <w:t>M</w:t>
      </w:r>
      <w:r w:rsidR="00B40F75" w:rsidRPr="00B40F75">
        <w:rPr>
          <w:rFonts w:ascii="Times New Roman" w:hAnsi="Times New Roman" w:cs="Times New Roman"/>
          <w:b/>
          <w:sz w:val="28"/>
          <w:szCs w:val="28"/>
          <w:lang w:val="es-CO"/>
        </w:rPr>
        <w:t xml:space="preserve">arrero en </w:t>
      </w:r>
      <w:r w:rsidR="00B40F75">
        <w:rPr>
          <w:rFonts w:ascii="Times New Roman" w:hAnsi="Times New Roman" w:cs="Times New Roman"/>
          <w:b/>
          <w:sz w:val="28"/>
          <w:szCs w:val="28"/>
          <w:lang w:val="es-CO"/>
        </w:rPr>
        <w:t>V</w:t>
      </w:r>
      <w:r w:rsidR="00B40F75" w:rsidRPr="00B40F75">
        <w:rPr>
          <w:rFonts w:ascii="Times New Roman" w:hAnsi="Times New Roman" w:cs="Times New Roman"/>
          <w:b/>
          <w:sz w:val="28"/>
          <w:szCs w:val="28"/>
          <w:lang w:val="es-CO"/>
        </w:rPr>
        <w:t xml:space="preserve">illa </w:t>
      </w:r>
      <w:r w:rsidR="00B40F75">
        <w:rPr>
          <w:rFonts w:ascii="Times New Roman" w:hAnsi="Times New Roman" w:cs="Times New Roman"/>
          <w:b/>
          <w:sz w:val="28"/>
          <w:szCs w:val="28"/>
          <w:lang w:val="es-CO"/>
        </w:rPr>
        <w:t>C</w:t>
      </w:r>
      <w:r w:rsidR="00B40F75" w:rsidRPr="00B40F75">
        <w:rPr>
          <w:rFonts w:ascii="Times New Roman" w:hAnsi="Times New Roman" w:cs="Times New Roman"/>
          <w:b/>
          <w:sz w:val="28"/>
          <w:szCs w:val="28"/>
          <w:lang w:val="es-CO"/>
        </w:rPr>
        <w:t>lara</w:t>
      </w:r>
      <w:r w:rsidR="008E7C08" w:rsidRPr="00851F91">
        <w:rPr>
          <w:rFonts w:ascii="Times New Roman" w:hAnsi="Times New Roman" w:cs="Times New Roman"/>
          <w:b/>
          <w:sz w:val="28"/>
          <w:szCs w:val="28"/>
          <w:lang w:val="es-CO"/>
        </w:rPr>
        <w:t>»</w:t>
      </w:r>
    </w:p>
    <w:p w:rsidR="00970997" w:rsidRPr="00C713BD" w:rsidRDefault="00970997" w:rsidP="00DD2139">
      <w:pPr>
        <w:spacing w:line="360" w:lineRule="auto"/>
        <w:rPr>
          <w:rFonts w:ascii="Times New Roman" w:hAnsi="Times New Roman" w:cs="Times New Roman"/>
          <w:b/>
          <w:i/>
          <w:sz w:val="28"/>
          <w:szCs w:val="28"/>
          <w:lang w:val="en-US"/>
        </w:rPr>
      </w:pPr>
      <w:r w:rsidRPr="00C713BD">
        <w:rPr>
          <w:rFonts w:ascii="Times New Roman" w:hAnsi="Times New Roman" w:cs="Times New Roman"/>
          <w:b/>
          <w:i/>
          <w:sz w:val="28"/>
          <w:szCs w:val="28"/>
          <w:lang w:val="en-US"/>
        </w:rPr>
        <w:t>«</w:t>
      </w:r>
      <w:r w:rsidR="009448EC" w:rsidRPr="009448EC">
        <w:rPr>
          <w:rStyle w:val="Encabezado"/>
          <w:lang w:val="en"/>
        </w:rPr>
        <w:t xml:space="preserve"> </w:t>
      </w:r>
      <w:r w:rsidR="009448EC" w:rsidRPr="009448EC">
        <w:rPr>
          <w:rFonts w:ascii="Times New Roman" w:hAnsi="Times New Roman" w:cs="Times New Roman"/>
          <w:b/>
          <w:sz w:val="28"/>
          <w:szCs w:val="28"/>
          <w:lang w:val="es-CO"/>
        </w:rPr>
        <w:t>Analysis of economic-financial and social feasibility of the investment Marrero Photovoltaic Park in Villa Clara</w:t>
      </w:r>
      <w:r w:rsidR="009448EC" w:rsidRPr="00C713BD">
        <w:rPr>
          <w:rFonts w:ascii="Times New Roman" w:hAnsi="Times New Roman" w:cs="Times New Roman"/>
          <w:b/>
          <w:i/>
          <w:sz w:val="28"/>
          <w:szCs w:val="28"/>
          <w:lang w:val="en-US"/>
        </w:rPr>
        <w:t xml:space="preserve"> </w:t>
      </w:r>
      <w:r w:rsidRPr="00C713BD">
        <w:rPr>
          <w:rFonts w:ascii="Times New Roman" w:hAnsi="Times New Roman" w:cs="Times New Roman"/>
          <w:b/>
          <w:i/>
          <w:sz w:val="28"/>
          <w:szCs w:val="28"/>
          <w:lang w:val="en-US"/>
        </w:rPr>
        <w:t>»</w:t>
      </w:r>
    </w:p>
    <w:p w:rsidR="008649FD" w:rsidRPr="00C713BD" w:rsidRDefault="008649FD" w:rsidP="00593F06">
      <w:pPr>
        <w:spacing w:after="0" w:line="360" w:lineRule="auto"/>
        <w:rPr>
          <w:rFonts w:ascii="Times New Roman" w:hAnsi="Times New Roman" w:cs="Times New Roman"/>
          <w:b/>
          <w:i/>
          <w:sz w:val="28"/>
          <w:szCs w:val="28"/>
          <w:lang w:val="en-US"/>
        </w:rPr>
      </w:pPr>
    </w:p>
    <w:p w:rsidR="00B3585C" w:rsidRPr="00B3585C" w:rsidRDefault="00B40F75" w:rsidP="00B3585C">
      <w:pPr>
        <w:spacing w:after="0" w:line="360" w:lineRule="auto"/>
        <w:rPr>
          <w:rFonts w:ascii="Times New Roman" w:hAnsi="Times New Roman" w:cs="Times New Roman"/>
          <w:b/>
          <w:sz w:val="24"/>
          <w:szCs w:val="24"/>
          <w:vertAlign w:val="superscript"/>
        </w:rPr>
      </w:pPr>
      <w:r>
        <w:rPr>
          <w:rFonts w:ascii="Times New Roman" w:hAnsi="Times New Roman" w:cs="Times New Roman"/>
          <w:b/>
          <w:sz w:val="24"/>
          <w:szCs w:val="24"/>
        </w:rPr>
        <w:t xml:space="preserve">Yanetsy </w:t>
      </w:r>
      <w:r w:rsidRPr="00B40F75">
        <w:rPr>
          <w:rFonts w:ascii="Times New Roman" w:hAnsi="Times New Roman" w:cs="Times New Roman"/>
          <w:b/>
          <w:sz w:val="24"/>
          <w:szCs w:val="24"/>
        </w:rPr>
        <w:t>Dávila Jiménez</w:t>
      </w:r>
      <w:r w:rsidR="00704560">
        <w:rPr>
          <w:rStyle w:val="Refdenotaalpie"/>
          <w:rFonts w:ascii="Times New Roman" w:hAnsi="Times New Roman" w:cs="Times New Roman"/>
          <w:b/>
          <w:sz w:val="24"/>
          <w:szCs w:val="24"/>
        </w:rPr>
        <w:footnoteReference w:id="1"/>
      </w:r>
      <w:r w:rsidR="00B3585C" w:rsidRPr="00B3585C">
        <w:rPr>
          <w:rFonts w:ascii="Times New Roman" w:hAnsi="Times New Roman" w:cs="Times New Roman"/>
          <w:b/>
          <w:sz w:val="24"/>
          <w:szCs w:val="24"/>
        </w:rPr>
        <w:t xml:space="preserve">, </w:t>
      </w:r>
      <w:r w:rsidR="004B4EDE" w:rsidRPr="00B3585C">
        <w:rPr>
          <w:rFonts w:ascii="Times New Roman" w:hAnsi="Times New Roman" w:cs="Times New Roman"/>
          <w:b/>
          <w:sz w:val="24"/>
          <w:szCs w:val="24"/>
        </w:rPr>
        <w:t>Taymí</w:t>
      </w:r>
      <w:bookmarkStart w:id="0" w:name="_GoBack"/>
      <w:bookmarkEnd w:id="0"/>
      <w:r w:rsidR="00B3585C" w:rsidRPr="00B3585C">
        <w:rPr>
          <w:rFonts w:ascii="Times New Roman" w:hAnsi="Times New Roman" w:cs="Times New Roman"/>
          <w:b/>
          <w:sz w:val="24"/>
          <w:szCs w:val="24"/>
        </w:rPr>
        <w:t xml:space="preserve"> González Morera</w:t>
      </w:r>
      <w:r w:rsidR="00704560">
        <w:rPr>
          <w:rStyle w:val="Refdenotaalpie"/>
          <w:rFonts w:ascii="Times New Roman" w:hAnsi="Times New Roman" w:cs="Times New Roman"/>
          <w:b/>
          <w:sz w:val="24"/>
          <w:szCs w:val="24"/>
        </w:rPr>
        <w:footnoteReference w:id="2"/>
      </w:r>
      <w:r w:rsidR="004B4EDE">
        <w:rPr>
          <w:rFonts w:ascii="Times New Roman" w:hAnsi="Times New Roman" w:cs="Times New Roman"/>
          <w:b/>
          <w:sz w:val="24"/>
          <w:szCs w:val="24"/>
        </w:rPr>
        <w:t>, Liset Tani Salas, Ernesto Fernández Díaz.</w:t>
      </w:r>
    </w:p>
    <w:p w:rsidR="00B40F75" w:rsidRPr="00B40F75" w:rsidRDefault="008A1C16" w:rsidP="00B40F75">
      <w:pPr>
        <w:tabs>
          <w:tab w:val="left" w:pos="4395"/>
        </w:tabs>
        <w:autoSpaceDE w:val="0"/>
        <w:autoSpaceDN w:val="0"/>
        <w:adjustRightInd w:val="0"/>
        <w:spacing w:after="240" w:line="360" w:lineRule="auto"/>
        <w:jc w:val="both"/>
        <w:rPr>
          <w:rFonts w:ascii="Times New Roman" w:hAnsi="Times New Roman" w:cs="Times New Roman"/>
          <w:sz w:val="24"/>
          <w:szCs w:val="24"/>
        </w:rPr>
      </w:pPr>
      <w:r w:rsidRPr="00B3585C">
        <w:rPr>
          <w:rFonts w:ascii="Times New Roman" w:hAnsi="Times New Roman" w:cs="Times New Roman"/>
          <w:b/>
          <w:sz w:val="24"/>
          <w:szCs w:val="24"/>
        </w:rPr>
        <w:t>Resumen:</w:t>
      </w:r>
      <w:r w:rsidR="009061A5" w:rsidRPr="00B3585C">
        <w:rPr>
          <w:rFonts w:ascii="Times New Roman" w:hAnsi="Times New Roman" w:cs="Times New Roman"/>
          <w:sz w:val="24"/>
          <w:szCs w:val="24"/>
        </w:rPr>
        <w:t xml:space="preserve"> </w:t>
      </w:r>
      <w:r w:rsidR="00B40F75" w:rsidRPr="00B40F75">
        <w:rPr>
          <w:rFonts w:ascii="Times New Roman" w:hAnsi="Times New Roman" w:cs="Times New Roman"/>
          <w:sz w:val="24"/>
          <w:szCs w:val="24"/>
        </w:rPr>
        <w:t xml:space="preserve">La arista energética constituye un elemento de marcada obligatoriedad para tratar la problemática del desarrollo y la calidad de vida, ya que es necesaria para la supervivencia humana y la reproducción económica. De ahí que las decisiones de inversión enmarcadas en </w:t>
      </w:r>
      <w:r w:rsidR="00B40F75" w:rsidRPr="00B40F75">
        <w:rPr>
          <w:rFonts w:ascii="Times New Roman" w:hAnsi="Times New Roman" w:cs="Times New Roman"/>
          <w:sz w:val="24"/>
          <w:szCs w:val="24"/>
        </w:rPr>
        <w:lastRenderedPageBreak/>
        <w:t>esta temática, en el contexto medidor cubano, adquieren singular importancia ya que permiten la creación, ampliación y modernización de la infraestructura necesaria para potenciar y garantizar el desarrollo del país. En este sentido, la evaluación de la conveniencia económica y social del uso de tecnologías basadas en las fuentes renovables de energía, en el proceso inversionista energético, constituye una alternativa viable que tiene la doble finalidad de incrementar la eficiencia energética y económica, haciendo énfasis en los sectores estratégicos de la economía nacional.</w:t>
      </w:r>
    </w:p>
    <w:p w:rsidR="00704560" w:rsidRPr="00B40F75" w:rsidRDefault="00B40F75" w:rsidP="00B40F75">
      <w:pPr>
        <w:spacing w:line="360" w:lineRule="auto"/>
        <w:jc w:val="both"/>
        <w:rPr>
          <w:rFonts w:ascii="Times New Roman" w:hAnsi="Times New Roman" w:cs="Times New Roman"/>
          <w:sz w:val="24"/>
          <w:szCs w:val="24"/>
        </w:rPr>
      </w:pPr>
      <w:r w:rsidRPr="00B40F75">
        <w:rPr>
          <w:rFonts w:ascii="Times New Roman" w:hAnsi="Times New Roman" w:cs="Times New Roman"/>
          <w:sz w:val="24"/>
          <w:szCs w:val="24"/>
        </w:rPr>
        <w:t xml:space="preserve">En este entorno, la investigación realiza la evaluación de la factibilidad técnico-económica de la inversión correspondiente a la instalación de un parque fotovoltaico de 2,2 MW de potencia en la zona de Marrero, ubicada en el municipio Santa Clara, provincia de Villa Clara. Para lo cual fueron consideradas las premisas generales de la Unión Nacional Eléctrica para esta modalidad de inversiones así como el Decreto 327/2014 como marco regulador vigente en materia de evaluación del proceso inversionista, de forma general. Dicho análisis permitió establecer los criterios decisionales a favor de la aceptación de la inversión, a partir de la aplicación de herramientas de carácter económico-financieras que así lo sugieren.    </w:t>
      </w:r>
    </w:p>
    <w:p w:rsidR="009448EC" w:rsidRPr="009448EC" w:rsidRDefault="009061A5" w:rsidP="009448EC">
      <w:pPr>
        <w:spacing w:before="120" w:after="120" w:line="360" w:lineRule="auto"/>
        <w:jc w:val="both"/>
        <w:rPr>
          <w:rStyle w:val="tlid-translation"/>
          <w:rFonts w:ascii="Times New Roman" w:hAnsi="Times New Roman" w:cs="Times New Roman"/>
          <w:sz w:val="24"/>
          <w:szCs w:val="24"/>
          <w:lang w:val="en"/>
        </w:rPr>
      </w:pPr>
      <w:r w:rsidRPr="00C713BD">
        <w:rPr>
          <w:rFonts w:ascii="Times New Roman" w:hAnsi="Times New Roman" w:cs="Times New Roman"/>
          <w:b/>
          <w:i/>
          <w:sz w:val="24"/>
          <w:szCs w:val="24"/>
          <w:lang w:val="en-US"/>
        </w:rPr>
        <w:t>Abstract:</w:t>
      </w:r>
      <w:r w:rsidRPr="00C713BD">
        <w:rPr>
          <w:rFonts w:ascii="Times New Roman" w:hAnsi="Times New Roman" w:cs="Times New Roman"/>
          <w:sz w:val="24"/>
          <w:szCs w:val="24"/>
          <w:lang w:val="en-US"/>
        </w:rPr>
        <w:t xml:space="preserve"> </w:t>
      </w:r>
      <w:r w:rsidR="009448EC" w:rsidRPr="009448EC">
        <w:rPr>
          <w:rStyle w:val="tlid-translation"/>
          <w:rFonts w:ascii="Times New Roman" w:hAnsi="Times New Roman" w:cs="Times New Roman"/>
          <w:sz w:val="24"/>
          <w:szCs w:val="24"/>
          <w:lang w:val="en"/>
        </w:rPr>
        <w:t>The energetic edge constitutes an element of marked obligatoriness to treat the problematic one of the development and the quality of life, since it is necessary for the human survival and the economic reproduction. Hence, the investment decisions framed in this subject, in the Cuban measuring context, acquire singular importance since they allow the creation, expansion and modernization of the necessary infrastructure to enhance and guarantee the development of the country. In this sense, the evaluation of the economic and social convenience of the use of technologies based on renewable sources of energy, in the energy investment process, constitutes a viable alternative that has the dual purpose of increasing energy and economic efficiency, with emphasis on the strategic sectors of the national economy.</w:t>
      </w:r>
      <w:r w:rsidR="009448EC" w:rsidRPr="009448EC">
        <w:rPr>
          <w:rFonts w:ascii="Times New Roman" w:hAnsi="Times New Roman" w:cs="Times New Roman"/>
          <w:sz w:val="24"/>
          <w:szCs w:val="24"/>
          <w:lang w:val="en"/>
        </w:rPr>
        <w:br/>
      </w:r>
      <w:r w:rsidR="009448EC" w:rsidRPr="009448EC">
        <w:rPr>
          <w:rStyle w:val="tlid-translation"/>
          <w:rFonts w:ascii="Times New Roman" w:hAnsi="Times New Roman" w:cs="Times New Roman"/>
          <w:sz w:val="24"/>
          <w:szCs w:val="24"/>
          <w:lang w:val="en"/>
        </w:rPr>
        <w:t xml:space="preserve">In this environment, the research carries out the evaluation of the technical-economic feasibility </w:t>
      </w:r>
      <w:r w:rsidR="009448EC" w:rsidRPr="009448EC">
        <w:rPr>
          <w:rStyle w:val="tlid-translation"/>
          <w:rFonts w:ascii="Times New Roman" w:hAnsi="Times New Roman" w:cs="Times New Roman"/>
          <w:sz w:val="24"/>
          <w:szCs w:val="24"/>
          <w:lang w:val="en"/>
        </w:rPr>
        <w:lastRenderedPageBreak/>
        <w:t>of the investment corresponding to the installation of a 2.2 MW photovoltaic park in the Marrero area, located in the municipality of Santa Clara, province of Villa Clara . For which were considered the general premises of the National Electricity Union for this type of investments as well as Decree 327/2014 as the current regulatory framework in terms of evaluating the investment process, in general. This analysis allowed to establish the decisional criteria in favor of the acceptance of the investment, based on the application of economic-financial tools that suggest this.</w:t>
      </w:r>
    </w:p>
    <w:p w:rsidR="009061A5" w:rsidRPr="00782346" w:rsidRDefault="009061A5" w:rsidP="009448EC">
      <w:pPr>
        <w:spacing w:before="120" w:after="120" w:line="360" w:lineRule="auto"/>
        <w:jc w:val="both"/>
        <w:rPr>
          <w:rFonts w:ascii="Times New Roman" w:hAnsi="Times New Roman" w:cs="Times New Roman"/>
          <w:i/>
          <w:sz w:val="24"/>
          <w:szCs w:val="24"/>
        </w:rPr>
      </w:pPr>
      <w:r w:rsidRPr="009061A5">
        <w:rPr>
          <w:rFonts w:ascii="Times New Roman" w:hAnsi="Times New Roman" w:cs="Times New Roman"/>
          <w:b/>
          <w:sz w:val="24"/>
          <w:szCs w:val="24"/>
        </w:rPr>
        <w:t xml:space="preserve">Palabras </w:t>
      </w:r>
      <w:r w:rsidRPr="00782346">
        <w:rPr>
          <w:rFonts w:ascii="Times New Roman" w:hAnsi="Times New Roman" w:cs="Times New Roman"/>
          <w:b/>
          <w:i/>
          <w:sz w:val="24"/>
          <w:szCs w:val="24"/>
        </w:rPr>
        <w:t>Clave</w:t>
      </w:r>
      <w:r w:rsidRPr="00782346">
        <w:rPr>
          <w:rFonts w:ascii="Times New Roman" w:hAnsi="Times New Roman" w:cs="Times New Roman"/>
          <w:i/>
          <w:sz w:val="24"/>
          <w:szCs w:val="24"/>
        </w:rPr>
        <w:t>:</w:t>
      </w:r>
      <w:r w:rsidR="008F5A46" w:rsidRPr="00782346">
        <w:rPr>
          <w:rFonts w:ascii="Times New Roman" w:hAnsi="Times New Roman" w:cs="Times New Roman"/>
          <w:i/>
          <w:sz w:val="24"/>
          <w:szCs w:val="24"/>
        </w:rPr>
        <w:t xml:space="preserve"> </w:t>
      </w:r>
      <w:r w:rsidR="00B40F75">
        <w:rPr>
          <w:rFonts w:ascii="Times New Roman" w:hAnsi="Times New Roman" w:cs="Times New Roman"/>
          <w:i/>
          <w:sz w:val="24"/>
          <w:szCs w:val="24"/>
        </w:rPr>
        <w:t>Inversión energética, Toma de decisiones</w:t>
      </w:r>
      <w:r w:rsidR="008A21C0" w:rsidRPr="00782346">
        <w:rPr>
          <w:rFonts w:ascii="Times New Roman" w:hAnsi="Times New Roman" w:cs="Times New Roman"/>
          <w:i/>
          <w:sz w:val="24"/>
          <w:szCs w:val="24"/>
        </w:rPr>
        <w:t>.</w:t>
      </w:r>
    </w:p>
    <w:p w:rsidR="00DD2139" w:rsidRPr="00782346" w:rsidRDefault="009061A5" w:rsidP="00DD2139">
      <w:pPr>
        <w:spacing w:before="120" w:after="120" w:line="360" w:lineRule="auto"/>
        <w:jc w:val="both"/>
        <w:rPr>
          <w:rFonts w:ascii="Times New Roman" w:hAnsi="Times New Roman" w:cs="Times New Roman"/>
          <w:sz w:val="24"/>
          <w:szCs w:val="24"/>
          <w:lang w:val="en-US"/>
        </w:rPr>
      </w:pPr>
      <w:r w:rsidRPr="00DD2139">
        <w:rPr>
          <w:rFonts w:ascii="Times New Roman" w:hAnsi="Times New Roman" w:cs="Times New Roman"/>
          <w:b/>
          <w:i/>
          <w:sz w:val="24"/>
          <w:szCs w:val="24"/>
          <w:lang w:val="en-US"/>
        </w:rPr>
        <w:t>Keywords</w:t>
      </w:r>
      <w:r w:rsidRPr="00DD2139">
        <w:rPr>
          <w:rFonts w:ascii="Times New Roman" w:hAnsi="Times New Roman" w:cs="Times New Roman"/>
          <w:i/>
          <w:sz w:val="24"/>
          <w:szCs w:val="24"/>
          <w:lang w:val="en-US"/>
        </w:rPr>
        <w:t>:</w:t>
      </w:r>
      <w:r w:rsidR="00D94B4C" w:rsidRPr="00DD2139">
        <w:rPr>
          <w:rFonts w:ascii="Times New Roman" w:hAnsi="Times New Roman" w:cs="Times New Roman"/>
          <w:i/>
          <w:sz w:val="24"/>
          <w:szCs w:val="24"/>
          <w:lang w:val="en-US"/>
        </w:rPr>
        <w:t xml:space="preserve"> </w:t>
      </w:r>
      <w:r w:rsidR="004A3EF1" w:rsidRPr="004A3EF1">
        <w:rPr>
          <w:rFonts w:ascii="Times New Roman" w:hAnsi="Times New Roman" w:cs="Times New Roman"/>
          <w:i/>
          <w:sz w:val="24"/>
          <w:szCs w:val="24"/>
        </w:rPr>
        <w:t>Energy investment, decision making.</w:t>
      </w:r>
    </w:p>
    <w:p w:rsidR="009061A5" w:rsidRDefault="00BE78C6" w:rsidP="00612037">
      <w:pPr>
        <w:pStyle w:val="Prrafodelista"/>
        <w:numPr>
          <w:ilvl w:val="0"/>
          <w:numId w:val="24"/>
        </w:numPr>
        <w:spacing w:before="120" w:after="120" w:line="360" w:lineRule="auto"/>
        <w:jc w:val="both"/>
        <w:rPr>
          <w:rFonts w:ascii="Times New Roman" w:hAnsi="Times New Roman" w:cs="Times New Roman"/>
          <w:b/>
          <w:sz w:val="24"/>
          <w:szCs w:val="24"/>
        </w:rPr>
      </w:pPr>
      <w:r w:rsidRPr="00612037">
        <w:rPr>
          <w:rFonts w:ascii="Times New Roman" w:hAnsi="Times New Roman" w:cs="Times New Roman"/>
          <w:b/>
          <w:sz w:val="24"/>
          <w:szCs w:val="24"/>
        </w:rPr>
        <w:t>Introducción</w:t>
      </w:r>
      <w:r w:rsidR="00011F04" w:rsidRPr="00612037">
        <w:rPr>
          <w:rFonts w:ascii="Times New Roman" w:hAnsi="Times New Roman" w:cs="Times New Roman"/>
          <w:b/>
          <w:sz w:val="24"/>
          <w:szCs w:val="24"/>
        </w:rPr>
        <w:t xml:space="preserve"> </w:t>
      </w:r>
    </w:p>
    <w:p w:rsidR="00B40F75" w:rsidRPr="00B40F75" w:rsidRDefault="00B40F75" w:rsidP="00B40F75">
      <w:pPr>
        <w:autoSpaceDE w:val="0"/>
        <w:autoSpaceDN w:val="0"/>
        <w:adjustRightInd w:val="0"/>
        <w:spacing w:after="240" w:line="360" w:lineRule="auto"/>
        <w:jc w:val="both"/>
        <w:rPr>
          <w:rFonts w:ascii="Times New Roman" w:hAnsi="Times New Roman" w:cs="Times New Roman"/>
          <w:sz w:val="24"/>
          <w:szCs w:val="24"/>
        </w:rPr>
      </w:pPr>
      <w:r w:rsidRPr="00B40F75">
        <w:rPr>
          <w:rFonts w:ascii="Times New Roman" w:hAnsi="Times New Roman" w:cs="Times New Roman"/>
          <w:sz w:val="24"/>
          <w:szCs w:val="24"/>
        </w:rPr>
        <w:t xml:space="preserve">El análisis de las inversiones en Cuba ha sido una de las principales metas propuestas en el seno de todo el proceso de la construcción del socialismo, lo cual fue ampliamente debatido en la actualización de los Lineamientos de la Política Económica y Social del Partido y la Revolución (ANPP, 2016). Resalta de lo anterior la importancia que se le concede al proceso inversionista por la dirección política del país. Su carácter determinante en el desarrollo de todas las ramas de la producción y los servicios, así como en el mejoramiento del nivel y calidad de vida de la población, las pondera favorablemente dentro de los procesos económicos de la nación (González y </w:t>
      </w:r>
      <w:r w:rsidR="00BC4EE3">
        <w:rPr>
          <w:rFonts w:ascii="Times New Roman" w:hAnsi="Times New Roman" w:cs="Times New Roman"/>
          <w:sz w:val="24"/>
          <w:szCs w:val="24"/>
        </w:rPr>
        <w:t xml:space="preserve">col., </w:t>
      </w:r>
      <w:r w:rsidRPr="00B40F75">
        <w:rPr>
          <w:rFonts w:ascii="Times New Roman" w:hAnsi="Times New Roman" w:cs="Times New Roman"/>
          <w:sz w:val="24"/>
          <w:szCs w:val="24"/>
        </w:rPr>
        <w:t xml:space="preserve">2017). A través de ellas se crea la infraestructura necesaria para potenciar y garantizar el desarrollo del país. </w:t>
      </w:r>
    </w:p>
    <w:p w:rsidR="00B40F75" w:rsidRPr="00B40F75" w:rsidRDefault="00B40F75" w:rsidP="00B40F75">
      <w:pPr>
        <w:autoSpaceDE w:val="0"/>
        <w:autoSpaceDN w:val="0"/>
        <w:adjustRightInd w:val="0"/>
        <w:spacing w:after="240" w:line="360" w:lineRule="auto"/>
        <w:jc w:val="both"/>
        <w:rPr>
          <w:rFonts w:ascii="Times New Roman" w:hAnsi="Times New Roman" w:cs="Times New Roman"/>
          <w:sz w:val="24"/>
          <w:szCs w:val="24"/>
        </w:rPr>
      </w:pPr>
      <w:r w:rsidRPr="00B40F75">
        <w:rPr>
          <w:rFonts w:ascii="Times New Roman" w:hAnsi="Times New Roman" w:cs="Times New Roman"/>
          <w:sz w:val="24"/>
          <w:szCs w:val="24"/>
        </w:rPr>
        <w:t xml:space="preserve">En el contexto cubano, las inversiones adquieren singular importancia, pues se presentan en una economía subdesarrollada, bloqueada, abierta, con crecientes necesidades a cubrir en todos sus sectores y recursos (sobre todo financieros y materiales) escasos o limitados. Sin embargo, existen empresas que no toman con seriedad la importancia de la evaluación de los proyectos </w:t>
      </w:r>
      <w:r w:rsidRPr="00B40F75">
        <w:rPr>
          <w:rFonts w:ascii="Times New Roman" w:hAnsi="Times New Roman" w:cs="Times New Roman"/>
          <w:sz w:val="24"/>
          <w:szCs w:val="24"/>
        </w:rPr>
        <w:lastRenderedPageBreak/>
        <w:t>de inversión y su puesta en práctica, incluyendo el impacto ambiental de las mismas en la construcción de un desarrollo próspero pero sostenible (A</w:t>
      </w:r>
      <w:r w:rsidR="00BC4EE3">
        <w:rPr>
          <w:rFonts w:ascii="Times New Roman" w:hAnsi="Times New Roman" w:cs="Times New Roman"/>
          <w:sz w:val="24"/>
          <w:szCs w:val="24"/>
        </w:rPr>
        <w:t>rencibia, 2015</w:t>
      </w:r>
      <w:r w:rsidRPr="00B40F75">
        <w:rPr>
          <w:rFonts w:ascii="Times New Roman" w:hAnsi="Times New Roman" w:cs="Times New Roman"/>
          <w:sz w:val="24"/>
          <w:szCs w:val="24"/>
        </w:rPr>
        <w:t xml:space="preserve">). </w:t>
      </w:r>
    </w:p>
    <w:p w:rsidR="00B40F75" w:rsidRPr="00B40F75" w:rsidRDefault="00B40F75" w:rsidP="00B40F75">
      <w:pPr>
        <w:autoSpaceDE w:val="0"/>
        <w:autoSpaceDN w:val="0"/>
        <w:adjustRightInd w:val="0"/>
        <w:spacing w:after="240" w:line="360" w:lineRule="auto"/>
        <w:jc w:val="both"/>
        <w:rPr>
          <w:rFonts w:ascii="Times New Roman" w:hAnsi="Times New Roman" w:cs="Times New Roman"/>
          <w:sz w:val="24"/>
          <w:szCs w:val="24"/>
        </w:rPr>
      </w:pPr>
      <w:r w:rsidRPr="00B40F75">
        <w:rPr>
          <w:rFonts w:ascii="Times New Roman" w:hAnsi="Times New Roman" w:cs="Times New Roman"/>
          <w:sz w:val="24"/>
          <w:szCs w:val="24"/>
        </w:rPr>
        <w:t xml:space="preserve">En la actualidad, los proyectos de inversión requieren una base que los justifiquen. Dicha base es precisamente un plan bien estructurado y evaluado que indique la pauta que debe seguirse. Para tomar una decisión sobre un proyecto, es necesario que éste sea sometido al análisis multidisciplinario de diferentes especialistas. Una decisión de este tipo no puede ser tomada por una sola persona con un enfoque limitado, o ser analizada sólo desde un punto de vista. Para homologar e institucionalizar dichas pautas se pone en vigor, desde el año 2014 el Decreto 327 "Reglamento del Proceso Inversionista", aprobado por el Consejo de Ministros. Este decreto constituye el instrumento rector para la aprobación por el Ministerio de Economía y Planificación (MEP) de las inversiones y su alcance abarca a todas las entidades y empresas estatales cubanas y también aplica para las sociedades mercantiles con capital ciento por ciento (100%) cubano. </w:t>
      </w:r>
    </w:p>
    <w:p w:rsidR="00B40F75" w:rsidRPr="00B40F75" w:rsidRDefault="00B40F75" w:rsidP="00B40F75">
      <w:pPr>
        <w:autoSpaceDE w:val="0"/>
        <w:autoSpaceDN w:val="0"/>
        <w:adjustRightInd w:val="0"/>
        <w:spacing w:after="240" w:line="360" w:lineRule="auto"/>
        <w:jc w:val="both"/>
        <w:rPr>
          <w:rFonts w:ascii="Times New Roman" w:hAnsi="Times New Roman" w:cs="Times New Roman"/>
          <w:sz w:val="24"/>
          <w:szCs w:val="24"/>
        </w:rPr>
      </w:pPr>
      <w:r w:rsidRPr="00B40F75">
        <w:rPr>
          <w:rFonts w:ascii="Times New Roman" w:hAnsi="Times New Roman" w:cs="Times New Roman"/>
          <w:sz w:val="24"/>
          <w:szCs w:val="24"/>
        </w:rPr>
        <w:t>En este entorno inversionista, el Organismo Superior de Dirección Empresarial (OSDE) Unión Nacional Eléctrica (UNE), perteneciente al Ministerio de Energía y Minas (MINEM), tiene como misión transmitir, distribuir y comercializar la energía eléctrica con eficiencia y de forma oportuna, para satisfacer a todos sus clientes, mediante el empleo de métodos y técnicas avanzadas, con un nivel de profesionalidad que garantice el éxito de los objetivos previstos. Su visión se enmarca en brindar el servicio eléctrico a todos los clientes para su plena satisfacción, combinando la tecnología de punta con una fuerza de trabajo altamente profesional. Liderar en Cuba la calidad del servicio prestado a nuestros clientes al tener los menores índices de afectación, al ser los más rápidos y eficientes en el servicio y al brindar la mejor atención personalizada en beneficio de los clientes, siendo los mejores con los esfuerzos propios.</w:t>
      </w:r>
    </w:p>
    <w:p w:rsidR="00B40F75" w:rsidRPr="00B40F75" w:rsidRDefault="00B40F75" w:rsidP="00B40F75">
      <w:pPr>
        <w:autoSpaceDE w:val="0"/>
        <w:autoSpaceDN w:val="0"/>
        <w:adjustRightInd w:val="0"/>
        <w:spacing w:after="240" w:line="360" w:lineRule="auto"/>
        <w:jc w:val="both"/>
        <w:rPr>
          <w:rFonts w:ascii="Times New Roman" w:hAnsi="Times New Roman" w:cs="Times New Roman"/>
          <w:sz w:val="24"/>
          <w:szCs w:val="24"/>
        </w:rPr>
      </w:pPr>
      <w:r w:rsidRPr="00B40F75">
        <w:rPr>
          <w:rFonts w:ascii="Times New Roman" w:hAnsi="Times New Roman" w:cs="Times New Roman"/>
          <w:sz w:val="24"/>
          <w:szCs w:val="24"/>
        </w:rPr>
        <w:t xml:space="preserve">Sin embargo, el sector energético cubano presenta deformación estructural lo cual se evidencia en la estructura de su mix, dependiente en casi el 95% del crudo (importado principalmente). </w:t>
      </w:r>
      <w:r w:rsidRPr="00B40F75">
        <w:rPr>
          <w:rFonts w:ascii="Times New Roman" w:hAnsi="Times New Roman" w:cs="Times New Roman"/>
          <w:sz w:val="24"/>
          <w:szCs w:val="24"/>
        </w:rPr>
        <w:lastRenderedPageBreak/>
        <w:t>Esto conlleva a un elevado costo del kilowatt servido, el cual presenta una alta carga contaminante. Estas problemáticas del sector energético conducen a una posición de transición energética, con el objetivo de lograr una mayor soberanía energética, en donde favorece la introducción y generalización de las fuentes de energía renovables (FRE). Además, Cuba aspira a cumplir sus compromisos con los Objetivos de Desarrollo del Milenio (ODS), específicamente el número 7 referido al uso de energía asequible y sostenible. De igual forma, el país ha dispuesto del Plan de Estado denominado Tarea Vida para el enfrentamiento al cambio climático con el objetivo de garantizar los recursos a largo plazo (recursos energéticos) que garanticen la mejora de la calidad de vida.</w:t>
      </w:r>
    </w:p>
    <w:p w:rsidR="00B40F75" w:rsidRPr="00B40F75" w:rsidRDefault="00B40F75" w:rsidP="00B40F75">
      <w:pPr>
        <w:spacing w:line="360" w:lineRule="auto"/>
        <w:jc w:val="both"/>
        <w:rPr>
          <w:rFonts w:ascii="Times New Roman" w:hAnsi="Times New Roman" w:cs="Times New Roman"/>
          <w:sz w:val="24"/>
          <w:szCs w:val="24"/>
        </w:rPr>
      </w:pPr>
      <w:r w:rsidRPr="00B40F75">
        <w:rPr>
          <w:rFonts w:ascii="Times New Roman" w:hAnsi="Times New Roman" w:cs="Times New Roman"/>
          <w:sz w:val="24"/>
          <w:szCs w:val="24"/>
        </w:rPr>
        <w:t xml:space="preserve"> Esta preocupación ha sido históricamente atendida por la dirección del país que desde el año 2007, con el auspicio del Ministerio de la Industria Básica (MINBAS), el CITMA, el Ministerio de Educación Superior (MES), el Ministerio de la Industria Sideromecánica (SIME) y otros organismos del Estado, se crea el grupo nacional de energía renovable, cogeneración, ahorro y eficiencia energética que cuenta con 15 subgrupos que trabajan por el desarrollo y la rápida introducción de las energías renovables en el país con tecnologías más limpias (Castro, 2002). </w:t>
      </w:r>
    </w:p>
    <w:p w:rsidR="00B40F75" w:rsidRPr="00B40F75" w:rsidRDefault="00B40F75" w:rsidP="00B40F75">
      <w:pPr>
        <w:spacing w:line="360" w:lineRule="auto"/>
        <w:jc w:val="both"/>
        <w:rPr>
          <w:rFonts w:ascii="Times New Roman" w:hAnsi="Times New Roman" w:cs="Times New Roman"/>
          <w:bCs/>
          <w:sz w:val="24"/>
          <w:szCs w:val="24"/>
          <w:lang w:eastAsia="es-MX"/>
        </w:rPr>
      </w:pPr>
      <w:r w:rsidRPr="00B40F75">
        <w:rPr>
          <w:rFonts w:ascii="Times New Roman" w:hAnsi="Times New Roman" w:cs="Times New Roman"/>
          <w:sz w:val="24"/>
          <w:szCs w:val="24"/>
        </w:rPr>
        <w:t xml:space="preserve">No obstante, </w:t>
      </w:r>
      <w:r w:rsidRPr="00B40F75">
        <w:rPr>
          <w:rFonts w:ascii="Times New Roman" w:hAnsi="Times New Roman" w:cs="Times New Roman"/>
          <w:bCs/>
          <w:sz w:val="24"/>
          <w:szCs w:val="24"/>
          <w:lang w:eastAsia="es-MX"/>
        </w:rPr>
        <w:t xml:space="preserve">las fuentes alternativas o renovables solo representan el 4.3% del total de la generación, basada fundamentalmente en la biomasa cañera, tal como lo muestra la figura 1. </w:t>
      </w:r>
    </w:p>
    <w:p w:rsidR="00B40F75" w:rsidRPr="004A6998" w:rsidRDefault="00B40F75" w:rsidP="00B40F75">
      <w:pPr>
        <w:pStyle w:val="Sinespaciado"/>
        <w:ind w:left="1928" w:right="1531"/>
        <w:jc w:val="both"/>
        <w:rPr>
          <w:rFonts w:ascii="Arial" w:hAnsi="Arial" w:cs="Arial"/>
          <w:sz w:val="24"/>
          <w:szCs w:val="24"/>
          <w:lang w:val="es-ES_tradnl" w:eastAsia="es-MX"/>
        </w:rPr>
      </w:pPr>
    </w:p>
    <w:p w:rsidR="00B40F75" w:rsidRPr="004A6998" w:rsidRDefault="00B40F75" w:rsidP="00B40F75">
      <w:pPr>
        <w:spacing w:line="240" w:lineRule="auto"/>
        <w:rPr>
          <w:bCs/>
          <w:sz w:val="24"/>
          <w:szCs w:val="24"/>
          <w:lang w:eastAsia="es-MX"/>
        </w:rPr>
      </w:pPr>
      <w:r w:rsidRPr="004A6998">
        <w:rPr>
          <w:bCs/>
          <w:sz w:val="24"/>
          <w:szCs w:val="24"/>
          <w:lang w:eastAsia="es-MX"/>
        </w:rPr>
        <w:t xml:space="preserve">                         </w:t>
      </w:r>
      <w:r>
        <w:rPr>
          <w:noProof/>
          <w:sz w:val="24"/>
          <w:szCs w:val="24"/>
          <w:lang w:eastAsia="es-ES"/>
        </w:rPr>
        <w:drawing>
          <wp:inline distT="0" distB="0" distL="0" distR="0">
            <wp:extent cx="3667125" cy="1495425"/>
            <wp:effectExtent l="19050" t="19050" r="28575" b="2857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l="8485" t="17345" r="6250" b="11781"/>
                    <a:stretch>
                      <a:fillRect/>
                    </a:stretch>
                  </pic:blipFill>
                  <pic:spPr bwMode="auto">
                    <a:xfrm>
                      <a:off x="0" y="0"/>
                      <a:ext cx="3667125" cy="1495425"/>
                    </a:xfrm>
                    <a:prstGeom prst="rect">
                      <a:avLst/>
                    </a:prstGeom>
                    <a:noFill/>
                    <a:ln w="6350" cmpd="sng">
                      <a:solidFill>
                        <a:srgbClr val="000000"/>
                      </a:solidFill>
                      <a:miter lim="800000"/>
                      <a:headEnd/>
                      <a:tailEnd/>
                    </a:ln>
                    <a:effectLst/>
                  </pic:spPr>
                </pic:pic>
              </a:graphicData>
            </a:graphic>
          </wp:inline>
        </w:drawing>
      </w:r>
    </w:p>
    <w:p w:rsidR="00B40F75" w:rsidRPr="00340FAA" w:rsidRDefault="00B40F75" w:rsidP="00B40F75">
      <w:pPr>
        <w:pStyle w:val="Sinespaciado"/>
        <w:spacing w:after="100"/>
        <w:ind w:left="2268" w:right="964"/>
        <w:jc w:val="both"/>
        <w:rPr>
          <w:rFonts w:ascii="Arial" w:hAnsi="Arial" w:cs="Arial"/>
          <w:b/>
          <w:sz w:val="20"/>
          <w:szCs w:val="20"/>
          <w:lang w:val="es-ES_tradnl" w:eastAsia="es-MX"/>
        </w:rPr>
      </w:pPr>
      <w:r w:rsidRPr="00340FAA">
        <w:rPr>
          <w:rFonts w:ascii="Arial" w:hAnsi="Arial" w:cs="Arial"/>
          <w:b/>
          <w:sz w:val="20"/>
          <w:szCs w:val="20"/>
          <w:lang w:val="es-ES_tradnl" w:eastAsia="es-MX"/>
        </w:rPr>
        <w:lastRenderedPageBreak/>
        <w:t>Figura 1. Peso relativo de la generación de electricidad en Cuba por fuentes. Fuente: Informe de la Oficina Central de la UNE, noviembre, 2015.</w:t>
      </w:r>
    </w:p>
    <w:p w:rsidR="00B40F75" w:rsidRPr="00B40F75" w:rsidRDefault="00B40F75" w:rsidP="00B40F75">
      <w:pPr>
        <w:spacing w:before="240" w:line="360" w:lineRule="auto"/>
        <w:ind w:right="-93"/>
        <w:jc w:val="both"/>
        <w:rPr>
          <w:rFonts w:ascii="Times New Roman" w:hAnsi="Times New Roman" w:cs="Times New Roman"/>
          <w:sz w:val="24"/>
          <w:szCs w:val="24"/>
          <w:lang w:val="es-NI" w:eastAsia="es-NI"/>
        </w:rPr>
      </w:pPr>
      <w:r w:rsidRPr="00B40F75">
        <w:rPr>
          <w:rFonts w:ascii="Times New Roman" w:hAnsi="Times New Roman" w:cs="Times New Roman"/>
          <w:sz w:val="24"/>
          <w:szCs w:val="24"/>
          <w:lang w:val="es-NI" w:eastAsia="es-NI"/>
        </w:rPr>
        <w:t xml:space="preserve">Para dar un vuelco a esta situación es que el MINEM ha indicado el despliegue de parques fotovoltaicos (PFTV) conectados a las redes eléctricas del SEN como vía para incrementar la capacidad de generación eléctrica instalada, diversificar las fuentes de generación reduciendo consumos de combustibles fósiles y atenuar la contaminación atmosférica asociada a su quema, empleando la transformación directa en electricidad de la radiación solar, fuente renovable con manifestación estable y predecible en Cuba. Dicha indicación y atendiendo específicamente la provincia de Villa Clara es que su empresa eléctrica, en adelante EE-VC, y específicamente al proceso inversionista de esta, canaliza la introducción y generalización de FRE, sobre todo a partir de la energía FTV. En este entorno, se ha previsto para el año 2018 la instalación del PFTV Marrero, cuya zona objeto de construcción se ubica cercana al caserío del Yabú, Marrero, limita al norte y al sur con áreas de sembrados, al oeste con la Carretera a Sagua la Grande y al este con áreas aledañas al aeropuerto Abel Santa María. </w:t>
      </w:r>
    </w:p>
    <w:p w:rsidR="00B40F75" w:rsidRPr="00B40F75" w:rsidRDefault="00B40F75" w:rsidP="00B40F75">
      <w:pPr>
        <w:spacing w:before="240" w:line="360" w:lineRule="auto"/>
        <w:ind w:right="-93"/>
        <w:jc w:val="both"/>
        <w:rPr>
          <w:rFonts w:ascii="Times New Roman" w:hAnsi="Times New Roman" w:cs="Times New Roman"/>
          <w:sz w:val="24"/>
          <w:szCs w:val="24"/>
          <w:lang w:val="es-NI" w:eastAsia="es-NI"/>
        </w:rPr>
      </w:pPr>
      <w:r w:rsidRPr="00B40F75">
        <w:rPr>
          <w:rFonts w:ascii="Times New Roman" w:hAnsi="Times New Roman" w:cs="Times New Roman"/>
          <w:sz w:val="24"/>
          <w:szCs w:val="24"/>
          <w:lang w:val="es-NI" w:eastAsia="es-NI"/>
        </w:rPr>
        <w:t>Esta inversión tiene como objetivo brindar la solución planimetría y altimétrica para la construcción del PFTV "Marrero" con capacidad de 2,2 MWp, localizado en el kilómetro 7 de la carretera a Sagua la Grande, cercano al poblado de Yabú Marrero en el municipio de Santa Clara, provincia de Villa Clara. Los objetos de obra comprenden: mesa para el soporte fotovoltaico, casa de control, contenedor tecnológico, estación meteorológica, garita de entrada y vigilancia, tratamiento de residuales sociales, tanque soterrado para agua, tanque elevado para agua y cercado perimetral, fundamentalmente.</w:t>
      </w:r>
    </w:p>
    <w:p w:rsidR="00B40F75" w:rsidRPr="00B40F75" w:rsidRDefault="00B40F75" w:rsidP="00B40F75">
      <w:pPr>
        <w:tabs>
          <w:tab w:val="left" w:pos="5730"/>
        </w:tabs>
        <w:spacing w:line="360" w:lineRule="auto"/>
        <w:jc w:val="both"/>
        <w:rPr>
          <w:rFonts w:ascii="Times New Roman" w:hAnsi="Times New Roman" w:cs="Times New Roman"/>
          <w:sz w:val="24"/>
          <w:szCs w:val="24"/>
          <w:lang w:val="es-NI" w:eastAsia="es-NI"/>
        </w:rPr>
      </w:pPr>
      <w:r w:rsidRPr="00B40F75">
        <w:rPr>
          <w:rFonts w:ascii="Times New Roman" w:hAnsi="Times New Roman" w:cs="Times New Roman"/>
          <w:sz w:val="24"/>
          <w:szCs w:val="24"/>
          <w:lang w:val="es-NI" w:eastAsia="es-NI"/>
        </w:rPr>
        <w:t xml:space="preserve">Aunque la obra ya posee ingeniera básica y a la empresa ya han arribado una serie de recursos destinados a esta inversión, no se ha realizado una evaluación en detalle que delimite no solo el aporte energético a partir de tecnologías que usan las FRE al SEN sino además la rentabilidad económica, financiera y social de la inversión propuesta, lo cual reviste un impacto no solo </w:t>
      </w:r>
      <w:r w:rsidRPr="00B40F75">
        <w:rPr>
          <w:rFonts w:ascii="Times New Roman" w:hAnsi="Times New Roman" w:cs="Times New Roman"/>
          <w:sz w:val="24"/>
          <w:szCs w:val="24"/>
          <w:lang w:val="es-NI" w:eastAsia="es-NI"/>
        </w:rPr>
        <w:lastRenderedPageBreak/>
        <w:t xml:space="preserve">para la EE-VC sino también para la provincia, de forma general, lo cual constituye la situación problemática existente.  </w:t>
      </w:r>
    </w:p>
    <w:p w:rsidR="00B40F75" w:rsidRPr="00B40F75" w:rsidRDefault="00B40F75" w:rsidP="00B40F75">
      <w:pPr>
        <w:pStyle w:val="Sinespaciado"/>
        <w:spacing w:before="120" w:line="360" w:lineRule="auto"/>
        <w:jc w:val="both"/>
        <w:rPr>
          <w:rFonts w:ascii="Times New Roman" w:eastAsia="Times New Roman" w:hAnsi="Times New Roman" w:cs="Times New Roman"/>
          <w:sz w:val="24"/>
          <w:szCs w:val="24"/>
          <w:lang w:val="es-NI" w:eastAsia="es-NI"/>
        </w:rPr>
      </w:pPr>
      <w:r w:rsidRPr="00B40F75">
        <w:rPr>
          <w:rFonts w:ascii="Times New Roman" w:eastAsia="Times New Roman" w:hAnsi="Times New Roman" w:cs="Times New Roman"/>
          <w:sz w:val="24"/>
          <w:szCs w:val="24"/>
          <w:lang w:val="es-NI" w:eastAsia="es-NI"/>
        </w:rPr>
        <w:t>Por tanto, el objeto de estudio teórico lo constituye el análisis de factibilidad económica-financiera de inversiones que contribuyen a la diversificación de servicios, y el práctico es la inversión PFTV “Marrero” cuyo inversionista directo es la EE-VC. Consecuentemente, el problema científico de la investigación está dado por el desconocimiento de los resultados  económico, financiero y social de la inversión PFTV "Marrero” que justifique la combinación de FRE con energía convencional. Para cumplimentar la problemática investigativa se formula como objetivo general: Evaluar la factibilidad económica, financiera y social del proyecto de inversión PFTV “Marrero” de la EE-VC</w:t>
      </w:r>
      <w:r>
        <w:rPr>
          <w:rFonts w:ascii="Arial" w:eastAsia="Times New Roman" w:hAnsi="Arial" w:cs="Arial"/>
          <w:sz w:val="24"/>
          <w:szCs w:val="24"/>
          <w:lang w:val="es-NI" w:eastAsia="es-NI"/>
        </w:rPr>
        <w:t>.</w:t>
      </w:r>
    </w:p>
    <w:p w:rsidR="00B40F75" w:rsidRDefault="00B40F75" w:rsidP="00B40F75">
      <w:pPr>
        <w:pStyle w:val="Sinespaciado"/>
        <w:spacing w:before="120" w:line="360" w:lineRule="auto"/>
        <w:jc w:val="both"/>
        <w:rPr>
          <w:rFonts w:ascii="Times New Roman" w:eastAsia="Times New Roman" w:hAnsi="Times New Roman" w:cs="Times New Roman"/>
          <w:sz w:val="24"/>
          <w:szCs w:val="24"/>
          <w:lang w:val="es-NI" w:eastAsia="es-NI"/>
        </w:rPr>
      </w:pPr>
      <w:r w:rsidRPr="00B40F75">
        <w:rPr>
          <w:rFonts w:ascii="Times New Roman" w:eastAsia="Times New Roman" w:hAnsi="Times New Roman" w:cs="Times New Roman"/>
          <w:sz w:val="24"/>
          <w:szCs w:val="24"/>
          <w:lang w:val="es-NI" w:eastAsia="es-NI"/>
        </w:rPr>
        <w:t>Como principal aporte de la investigación se realiza un análisis económico-financiero y social al proceso inversionista energético de tecnologías que usan las FRE a partir del caso de estudio PFTV "Marrero" asimilando las especificidades del entorno económico y social donde se instala la inversión. Dicho análisis contribuye a la concreción de un escenario energético-socioeconómico que incide de forma favorable en la potenciación de la transformación del segmento comunitario objeto de impacto, todo lo cual reviste importancia vital para las decisiones del gobierno local.</w:t>
      </w:r>
    </w:p>
    <w:p w:rsidR="00D804D4" w:rsidRPr="00B40F75" w:rsidRDefault="00D804D4" w:rsidP="00B40F75">
      <w:pPr>
        <w:pStyle w:val="Sinespaciado"/>
        <w:spacing w:before="120" w:line="360" w:lineRule="auto"/>
        <w:jc w:val="both"/>
        <w:rPr>
          <w:rFonts w:ascii="Times New Roman" w:eastAsia="Times New Roman" w:hAnsi="Times New Roman" w:cs="Times New Roman"/>
          <w:sz w:val="24"/>
          <w:szCs w:val="24"/>
          <w:lang w:val="es-NI" w:eastAsia="es-NI"/>
        </w:rPr>
      </w:pPr>
    </w:p>
    <w:p w:rsidR="006762AF" w:rsidRDefault="00BE78C6" w:rsidP="00B40F75">
      <w:pPr>
        <w:pStyle w:val="Prrafodelista"/>
        <w:numPr>
          <w:ilvl w:val="0"/>
          <w:numId w:val="24"/>
        </w:numPr>
        <w:spacing w:line="360" w:lineRule="auto"/>
        <w:jc w:val="both"/>
        <w:rPr>
          <w:rFonts w:ascii="Times New Roman" w:hAnsi="Times New Roman" w:cs="Times New Roman"/>
          <w:b/>
          <w:sz w:val="24"/>
          <w:szCs w:val="24"/>
        </w:rPr>
      </w:pPr>
      <w:r w:rsidRPr="00B40F75">
        <w:rPr>
          <w:rFonts w:ascii="Times New Roman" w:hAnsi="Times New Roman" w:cs="Times New Roman"/>
          <w:b/>
          <w:sz w:val="24"/>
          <w:szCs w:val="24"/>
        </w:rPr>
        <w:t>Metodología</w:t>
      </w:r>
    </w:p>
    <w:p w:rsidR="00483339" w:rsidRPr="00413345" w:rsidRDefault="00817FD8" w:rsidP="00413345">
      <w:pPr>
        <w:pStyle w:val="Ttulo2"/>
        <w:spacing w:line="360" w:lineRule="auto"/>
        <w:jc w:val="both"/>
        <w:rPr>
          <w:rFonts w:ascii="Times New Roman" w:eastAsiaTheme="minorHAnsi" w:hAnsi="Times New Roman" w:cstheme="minorBidi"/>
          <w:b w:val="0"/>
          <w:bCs w:val="0"/>
          <w:color w:val="auto"/>
          <w:sz w:val="24"/>
          <w:szCs w:val="24"/>
        </w:rPr>
      </w:pPr>
      <w:r w:rsidRPr="00413345">
        <w:rPr>
          <w:rFonts w:ascii="Times New Roman" w:eastAsiaTheme="minorHAnsi" w:hAnsi="Times New Roman" w:cstheme="minorBidi"/>
          <w:b w:val="0"/>
          <w:bCs w:val="0"/>
          <w:color w:val="auto"/>
          <w:sz w:val="24"/>
          <w:szCs w:val="24"/>
        </w:rPr>
        <w:lastRenderedPageBreak/>
        <w:t>El estudio realizado</w:t>
      </w:r>
      <w:r w:rsidR="001737CC" w:rsidRPr="00413345">
        <w:rPr>
          <w:rFonts w:ascii="Times New Roman" w:eastAsiaTheme="minorHAnsi" w:hAnsi="Times New Roman" w:cstheme="minorBidi"/>
          <w:b w:val="0"/>
          <w:bCs w:val="0"/>
          <w:color w:val="auto"/>
          <w:sz w:val="24"/>
          <w:szCs w:val="24"/>
        </w:rPr>
        <w:t xml:space="preserve"> </w:t>
      </w:r>
      <w:r w:rsidR="002054FA" w:rsidRPr="00413345">
        <w:rPr>
          <w:rFonts w:ascii="Times New Roman" w:eastAsiaTheme="minorHAnsi" w:hAnsi="Times New Roman" w:cstheme="minorBidi"/>
          <w:b w:val="0"/>
          <w:bCs w:val="0"/>
          <w:color w:val="auto"/>
          <w:sz w:val="24"/>
          <w:szCs w:val="24"/>
        </w:rPr>
        <w:t xml:space="preserve">se basó en el diagnóstico </w:t>
      </w:r>
      <w:r w:rsidR="00B1366E" w:rsidRPr="00413345">
        <w:rPr>
          <w:rFonts w:ascii="Times New Roman" w:eastAsiaTheme="minorHAnsi" w:hAnsi="Times New Roman" w:cstheme="minorBidi"/>
          <w:b w:val="0"/>
          <w:bCs w:val="0"/>
          <w:color w:val="auto"/>
          <w:sz w:val="24"/>
          <w:szCs w:val="24"/>
        </w:rPr>
        <w:t xml:space="preserve">de </w:t>
      </w:r>
      <w:r w:rsidR="00B40F75">
        <w:rPr>
          <w:rFonts w:ascii="Times New Roman" w:eastAsiaTheme="minorHAnsi" w:hAnsi="Times New Roman" w:cstheme="minorBidi"/>
          <w:b w:val="0"/>
          <w:bCs w:val="0"/>
          <w:color w:val="auto"/>
          <w:sz w:val="24"/>
          <w:szCs w:val="24"/>
        </w:rPr>
        <w:t xml:space="preserve">la necesidad económica y social de la inversión en el parque fotovoltaico en la zona de Marrero, Valle del Yabú. </w:t>
      </w:r>
      <w:r w:rsidR="002054FA" w:rsidRPr="00413345">
        <w:rPr>
          <w:rFonts w:ascii="Times New Roman" w:eastAsiaTheme="minorHAnsi" w:hAnsi="Times New Roman" w:cstheme="minorBidi"/>
          <w:b w:val="0"/>
          <w:bCs w:val="0"/>
          <w:color w:val="auto"/>
          <w:sz w:val="24"/>
          <w:szCs w:val="24"/>
        </w:rPr>
        <w:t xml:space="preserve">Se declaró como </w:t>
      </w:r>
      <w:r w:rsidRPr="00413345">
        <w:rPr>
          <w:rFonts w:ascii="Times New Roman" w:eastAsiaTheme="minorHAnsi" w:hAnsi="Times New Roman" w:cstheme="minorBidi"/>
          <w:b w:val="0"/>
          <w:bCs w:val="0"/>
          <w:color w:val="auto"/>
          <w:sz w:val="24"/>
          <w:szCs w:val="24"/>
        </w:rPr>
        <w:t xml:space="preserve">variable independiente </w:t>
      </w:r>
      <w:r w:rsidR="00483339" w:rsidRPr="00413345">
        <w:rPr>
          <w:rFonts w:ascii="Times New Roman" w:eastAsiaTheme="minorHAnsi" w:hAnsi="Times New Roman" w:cstheme="minorBidi"/>
          <w:b w:val="0"/>
          <w:bCs w:val="0"/>
          <w:color w:val="auto"/>
          <w:sz w:val="24"/>
          <w:szCs w:val="24"/>
        </w:rPr>
        <w:t xml:space="preserve">las herramientas para </w:t>
      </w:r>
      <w:r w:rsidR="00B40F75">
        <w:rPr>
          <w:rFonts w:ascii="Times New Roman" w:eastAsiaTheme="minorHAnsi" w:hAnsi="Times New Roman" w:cstheme="minorBidi"/>
          <w:b w:val="0"/>
          <w:bCs w:val="0"/>
          <w:color w:val="auto"/>
          <w:sz w:val="24"/>
          <w:szCs w:val="24"/>
        </w:rPr>
        <w:t>la evaluación económica y financiera de la inversión y</w:t>
      </w:r>
      <w:r w:rsidRPr="00413345">
        <w:rPr>
          <w:rFonts w:ascii="Times New Roman" w:eastAsiaTheme="minorHAnsi" w:hAnsi="Times New Roman" w:cstheme="minorBidi"/>
          <w:b w:val="0"/>
          <w:bCs w:val="0"/>
          <w:color w:val="auto"/>
          <w:sz w:val="24"/>
          <w:szCs w:val="24"/>
        </w:rPr>
        <w:t xml:space="preserve"> la dependiente</w:t>
      </w:r>
      <w:r w:rsidR="00043CA7">
        <w:rPr>
          <w:rFonts w:ascii="Times New Roman" w:eastAsiaTheme="minorHAnsi" w:hAnsi="Times New Roman" w:cstheme="minorBidi"/>
          <w:b w:val="0"/>
          <w:bCs w:val="0"/>
          <w:color w:val="auto"/>
          <w:sz w:val="24"/>
          <w:szCs w:val="24"/>
        </w:rPr>
        <w:t xml:space="preserve"> (Weston y Bringham, 1994)</w:t>
      </w:r>
      <w:r w:rsidRPr="00413345">
        <w:rPr>
          <w:rFonts w:ascii="Times New Roman" w:eastAsiaTheme="minorHAnsi" w:hAnsi="Times New Roman" w:cstheme="minorBidi"/>
          <w:b w:val="0"/>
          <w:bCs w:val="0"/>
          <w:color w:val="auto"/>
          <w:sz w:val="24"/>
          <w:szCs w:val="24"/>
        </w:rPr>
        <w:t xml:space="preserve">, la </w:t>
      </w:r>
      <w:r w:rsidR="00FF115D" w:rsidRPr="00413345">
        <w:rPr>
          <w:rFonts w:ascii="Times New Roman" w:eastAsiaTheme="minorHAnsi" w:hAnsi="Times New Roman" w:cstheme="minorBidi"/>
          <w:b w:val="0"/>
          <w:bCs w:val="0"/>
          <w:color w:val="auto"/>
          <w:sz w:val="24"/>
          <w:szCs w:val="24"/>
        </w:rPr>
        <w:t>contribución a</w:t>
      </w:r>
      <w:r w:rsidR="002054FA" w:rsidRPr="00413345">
        <w:rPr>
          <w:rFonts w:ascii="Times New Roman" w:eastAsiaTheme="minorHAnsi" w:hAnsi="Times New Roman" w:cstheme="minorBidi"/>
          <w:b w:val="0"/>
          <w:bCs w:val="0"/>
          <w:color w:val="auto"/>
          <w:sz w:val="24"/>
          <w:szCs w:val="24"/>
        </w:rPr>
        <w:t xml:space="preserve"> la </w:t>
      </w:r>
      <w:r w:rsidR="00D804D4">
        <w:rPr>
          <w:rFonts w:ascii="Times New Roman" w:eastAsiaTheme="minorHAnsi" w:hAnsi="Times New Roman" w:cstheme="minorBidi"/>
          <w:b w:val="0"/>
          <w:bCs w:val="0"/>
          <w:color w:val="auto"/>
          <w:sz w:val="24"/>
          <w:szCs w:val="24"/>
        </w:rPr>
        <w:t xml:space="preserve">toma de decisiones en el proceso inversionista de la EE-VC. </w:t>
      </w:r>
      <w:r w:rsidR="00FF115D" w:rsidRPr="00413345">
        <w:rPr>
          <w:rFonts w:ascii="Times New Roman" w:eastAsiaTheme="minorHAnsi" w:hAnsi="Times New Roman" w:cstheme="minorBidi"/>
          <w:b w:val="0"/>
          <w:bCs w:val="0"/>
          <w:color w:val="auto"/>
          <w:sz w:val="24"/>
          <w:szCs w:val="24"/>
        </w:rPr>
        <w:t xml:space="preserve">Estos </w:t>
      </w:r>
      <w:r w:rsidR="00F135FE" w:rsidRPr="00413345">
        <w:rPr>
          <w:rFonts w:ascii="Times New Roman" w:eastAsiaTheme="minorHAnsi" w:hAnsi="Times New Roman" w:cstheme="minorBidi"/>
          <w:b w:val="0"/>
          <w:bCs w:val="0"/>
          <w:color w:val="auto"/>
          <w:sz w:val="24"/>
          <w:szCs w:val="24"/>
        </w:rPr>
        <w:t>estudios se realizaron desde el enfoque dialéctico materialista mediante la aplicación de técnicas y métodos generales. Del nivel teórico, el histórico-lógico, abstracción-concreción,</w:t>
      </w:r>
      <w:r w:rsidR="004D44DD" w:rsidRPr="00413345">
        <w:rPr>
          <w:rFonts w:ascii="Times New Roman" w:eastAsiaTheme="minorHAnsi" w:hAnsi="Times New Roman" w:cstheme="minorBidi"/>
          <w:b w:val="0"/>
          <w:bCs w:val="0"/>
          <w:color w:val="auto"/>
          <w:sz w:val="24"/>
          <w:szCs w:val="24"/>
        </w:rPr>
        <w:t xml:space="preserve"> </w:t>
      </w:r>
      <w:r w:rsidR="00F135FE" w:rsidRPr="00413345">
        <w:rPr>
          <w:rFonts w:ascii="Times New Roman" w:eastAsiaTheme="minorHAnsi" w:hAnsi="Times New Roman" w:cstheme="minorBidi"/>
          <w:b w:val="0"/>
          <w:bCs w:val="0"/>
          <w:color w:val="auto"/>
          <w:sz w:val="24"/>
          <w:szCs w:val="24"/>
        </w:rPr>
        <w:t>inductivo-deductivo</w:t>
      </w:r>
      <w:r w:rsidR="004D44DD" w:rsidRPr="00413345">
        <w:rPr>
          <w:rFonts w:ascii="Times New Roman" w:eastAsiaTheme="minorHAnsi" w:hAnsi="Times New Roman" w:cstheme="minorBidi"/>
          <w:b w:val="0"/>
          <w:bCs w:val="0"/>
          <w:color w:val="auto"/>
          <w:sz w:val="24"/>
          <w:szCs w:val="24"/>
        </w:rPr>
        <w:t xml:space="preserve"> </w:t>
      </w:r>
      <w:r w:rsidR="00F135FE" w:rsidRPr="00413345">
        <w:rPr>
          <w:rFonts w:ascii="Times New Roman" w:eastAsiaTheme="minorHAnsi" w:hAnsi="Times New Roman" w:cstheme="minorBidi"/>
          <w:b w:val="0"/>
          <w:bCs w:val="0"/>
          <w:color w:val="auto"/>
          <w:sz w:val="24"/>
          <w:szCs w:val="24"/>
        </w:rPr>
        <w:t>y analítico-sintético para el marco teórico referencial, y para identificar las causas del fenómeno</w:t>
      </w:r>
      <w:r w:rsidR="00EA3111" w:rsidRPr="00413345">
        <w:rPr>
          <w:rFonts w:ascii="Times New Roman" w:eastAsiaTheme="minorHAnsi" w:hAnsi="Times New Roman" w:cstheme="minorBidi"/>
          <w:b w:val="0"/>
          <w:bCs w:val="0"/>
          <w:color w:val="auto"/>
          <w:sz w:val="24"/>
          <w:szCs w:val="24"/>
        </w:rPr>
        <w:t>,</w:t>
      </w:r>
      <w:r w:rsidR="00F135FE" w:rsidRPr="00413345">
        <w:rPr>
          <w:rFonts w:ascii="Times New Roman" w:eastAsiaTheme="minorHAnsi" w:hAnsi="Times New Roman" w:cstheme="minorBidi"/>
          <w:b w:val="0"/>
          <w:bCs w:val="0"/>
          <w:color w:val="auto"/>
          <w:sz w:val="24"/>
          <w:szCs w:val="24"/>
        </w:rPr>
        <w:t xml:space="preserve"> los empíricos tales como la </w:t>
      </w:r>
      <w:r w:rsidR="00483339" w:rsidRPr="00413345">
        <w:rPr>
          <w:rFonts w:ascii="Times New Roman" w:eastAsiaTheme="minorHAnsi" w:hAnsi="Times New Roman" w:cstheme="minorBidi"/>
          <w:b w:val="0"/>
          <w:bCs w:val="0"/>
          <w:color w:val="auto"/>
          <w:sz w:val="24"/>
          <w:szCs w:val="24"/>
        </w:rPr>
        <w:t>r</w:t>
      </w:r>
      <w:r w:rsidR="00F135FE" w:rsidRPr="00413345">
        <w:rPr>
          <w:rFonts w:ascii="Times New Roman" w:eastAsiaTheme="minorHAnsi" w:hAnsi="Times New Roman" w:cstheme="minorBidi"/>
          <w:b w:val="0"/>
          <w:bCs w:val="0"/>
          <w:color w:val="auto"/>
          <w:sz w:val="24"/>
          <w:szCs w:val="24"/>
        </w:rPr>
        <w:t>evisión documental</w:t>
      </w:r>
      <w:r w:rsidR="00805819" w:rsidRPr="00413345">
        <w:rPr>
          <w:rFonts w:ascii="Times New Roman" w:eastAsiaTheme="minorHAnsi" w:hAnsi="Times New Roman" w:cstheme="minorBidi"/>
          <w:b w:val="0"/>
          <w:bCs w:val="0"/>
          <w:color w:val="auto"/>
          <w:sz w:val="24"/>
          <w:szCs w:val="24"/>
        </w:rPr>
        <w:t xml:space="preserve"> </w:t>
      </w:r>
      <w:r w:rsidR="000261FF" w:rsidRPr="00413345">
        <w:rPr>
          <w:rFonts w:ascii="Times New Roman" w:eastAsiaTheme="minorHAnsi" w:hAnsi="Times New Roman" w:cstheme="minorBidi"/>
          <w:b w:val="0"/>
          <w:bCs w:val="0"/>
          <w:color w:val="auto"/>
          <w:sz w:val="24"/>
          <w:szCs w:val="24"/>
        </w:rPr>
        <w:t xml:space="preserve">del </w:t>
      </w:r>
      <w:r w:rsidR="00483339" w:rsidRPr="00413345">
        <w:rPr>
          <w:rFonts w:ascii="Times New Roman" w:eastAsiaTheme="minorHAnsi" w:hAnsi="Times New Roman" w:cstheme="minorBidi"/>
          <w:b w:val="0"/>
          <w:bCs w:val="0"/>
          <w:color w:val="auto"/>
          <w:sz w:val="24"/>
          <w:szCs w:val="24"/>
        </w:rPr>
        <w:t xml:space="preserve">hotel </w:t>
      </w:r>
      <w:r w:rsidR="000261FF" w:rsidRPr="00413345">
        <w:rPr>
          <w:rFonts w:ascii="Times New Roman" w:eastAsiaTheme="minorHAnsi" w:hAnsi="Times New Roman" w:cstheme="minorBidi"/>
          <w:b w:val="0"/>
          <w:bCs w:val="0"/>
          <w:color w:val="auto"/>
          <w:sz w:val="24"/>
          <w:szCs w:val="24"/>
        </w:rPr>
        <w:t xml:space="preserve">utilizado como objeto de estudio práctico.  </w:t>
      </w:r>
      <w:r w:rsidR="00483339" w:rsidRPr="00413345">
        <w:rPr>
          <w:rFonts w:ascii="Times New Roman" w:eastAsiaTheme="minorHAnsi" w:hAnsi="Times New Roman" w:cstheme="minorBidi"/>
          <w:b w:val="0"/>
          <w:bCs w:val="0"/>
          <w:color w:val="auto"/>
          <w:sz w:val="24"/>
          <w:szCs w:val="24"/>
        </w:rPr>
        <w:t xml:space="preserve">Para el desarrollo de esta investigación se han tomado como base los datos reales que ofrecen los libros, registros y estados financieros de la </w:t>
      </w:r>
      <w:r w:rsidR="00D804D4">
        <w:rPr>
          <w:rFonts w:ascii="Times New Roman" w:eastAsiaTheme="minorHAnsi" w:hAnsi="Times New Roman" w:cstheme="minorBidi"/>
          <w:b w:val="0"/>
          <w:bCs w:val="0"/>
          <w:color w:val="auto"/>
          <w:sz w:val="24"/>
          <w:szCs w:val="24"/>
        </w:rPr>
        <w:t>EE-VC en el año 2018.</w:t>
      </w:r>
    </w:p>
    <w:p w:rsidR="001D62DB" w:rsidRPr="001D62DB" w:rsidRDefault="00BE78C6" w:rsidP="00D804D4">
      <w:pPr>
        <w:pStyle w:val="Default"/>
        <w:numPr>
          <w:ilvl w:val="0"/>
          <w:numId w:val="24"/>
        </w:numPr>
        <w:spacing w:line="360" w:lineRule="auto"/>
        <w:jc w:val="both"/>
        <w:rPr>
          <w:rFonts w:ascii="Times New Roman" w:hAnsi="Times New Roman" w:cstheme="minorBidi"/>
          <w:color w:val="auto"/>
        </w:rPr>
      </w:pPr>
      <w:r w:rsidRPr="001D62DB">
        <w:rPr>
          <w:rFonts w:ascii="Times New Roman" w:hAnsi="Times New Roman" w:cs="Times New Roman"/>
          <w:b/>
        </w:rPr>
        <w:t>Resultados y discusión</w:t>
      </w:r>
    </w:p>
    <w:p w:rsidR="00D804D4" w:rsidRDefault="00D804D4" w:rsidP="001D62DB">
      <w:pPr>
        <w:pStyle w:val="Default"/>
        <w:spacing w:line="360" w:lineRule="auto"/>
        <w:ind w:left="360"/>
        <w:jc w:val="both"/>
        <w:rPr>
          <w:rFonts w:ascii="Times New Roman" w:hAnsi="Times New Roman" w:cstheme="minorBidi"/>
          <w:color w:val="auto"/>
        </w:rPr>
      </w:pPr>
      <w:r w:rsidRPr="001D62DB">
        <w:rPr>
          <w:rFonts w:ascii="Times New Roman" w:hAnsi="Times New Roman" w:cstheme="minorBidi"/>
          <w:color w:val="auto"/>
        </w:rPr>
        <w:t>Evaluar el proceso inversionista energético a partir de tecnologías que usan las FRE, reviste singular importancia ya que el acometimiento de estas inversiones le permiten al país incrementar la capacidad de generación eléctrica, a la vez que se diversifican las fuentes de generación. Por otro lado y asociado a los compromisos del Estado cubano en la Tarea Vida, estas inversiones contribuyen a la reducción de la contaminación atmosférica asociada a la quema de combustibles fósiles, empleando el recurso solar, fuente renovable que en la nación presenta una manifestación estable en la región central.</w:t>
      </w:r>
      <w:r w:rsidR="001D62DB">
        <w:rPr>
          <w:rFonts w:ascii="Times New Roman" w:hAnsi="Times New Roman" w:cstheme="minorBidi"/>
          <w:color w:val="auto"/>
        </w:rPr>
        <w:t xml:space="preserve"> </w:t>
      </w:r>
      <w:r w:rsidRPr="00D804D4">
        <w:rPr>
          <w:rFonts w:ascii="Times New Roman" w:hAnsi="Times New Roman" w:cstheme="minorBidi"/>
          <w:b/>
          <w:bCs/>
          <w:color w:val="auto"/>
        </w:rPr>
        <w:t xml:space="preserve"> </w:t>
      </w:r>
      <w:r w:rsidRPr="001D62DB">
        <w:rPr>
          <w:rFonts w:ascii="Times New Roman" w:hAnsi="Times New Roman" w:cstheme="minorBidi"/>
          <w:color w:val="auto"/>
        </w:rPr>
        <w:t>De igual modo se fortalece el sistema eléctrico en la zona del emplazamiento considerando que la misma es una zona considerada de "bajos voltajes"; garantizando una alimentación de respaldo a las subestaciones que dan servicio a esta zona del poblado del Yabú durante el horario diurno. Por otro lado, propiciará la reducción del costo de generación del SEN y reducirá los impactos ambientales debidos al calentamiento global por emisiones de gases de efecto invernadero y lluvias ácidas.</w:t>
      </w:r>
      <w:r w:rsidR="001D62DB">
        <w:rPr>
          <w:rFonts w:ascii="Times New Roman" w:hAnsi="Times New Roman" w:cstheme="minorBidi"/>
          <w:color w:val="auto"/>
        </w:rPr>
        <w:t xml:space="preserve"> </w:t>
      </w:r>
      <w:r w:rsidRPr="001D62DB">
        <w:rPr>
          <w:rFonts w:ascii="Times New Roman" w:hAnsi="Times New Roman" w:cstheme="minorBidi"/>
          <w:color w:val="auto"/>
        </w:rPr>
        <w:t xml:space="preserve">Es válido aclarar que la realización de este estudio se basa en las premisas orientadas por la Dirección Nacional de Fuentes Renovables de Energía </w:t>
      </w:r>
      <w:r w:rsidRPr="001D62DB">
        <w:rPr>
          <w:rFonts w:ascii="Times New Roman" w:hAnsi="Times New Roman" w:cstheme="minorBidi"/>
          <w:color w:val="auto"/>
        </w:rPr>
        <w:lastRenderedPageBreak/>
        <w:t>(DNFRE) de la UNE, además se ha tomado como presupuesto de la inversión valores estimados de un parque de 2,2 MW facilitado por dicha dirección, ver figura 1.</w:t>
      </w:r>
    </w:p>
    <w:p w:rsidR="001D62DB" w:rsidRDefault="001D62DB" w:rsidP="001D62DB">
      <w:pPr>
        <w:pStyle w:val="Default"/>
        <w:spacing w:line="360" w:lineRule="auto"/>
        <w:ind w:left="360"/>
        <w:jc w:val="both"/>
        <w:rPr>
          <w:rFonts w:ascii="Times New Roman" w:hAnsi="Times New Roman" w:cstheme="minorBidi"/>
          <w:color w:val="auto"/>
        </w:rPr>
      </w:pPr>
      <w:r w:rsidRPr="001D62DB">
        <w:rPr>
          <w:rFonts w:ascii="Times New Roman" w:hAnsi="Times New Roman" w:cstheme="minorBidi"/>
          <w:noProof/>
          <w:color w:val="auto"/>
          <w:lang w:eastAsia="es-ES"/>
        </w:rPr>
        <w:drawing>
          <wp:inline distT="0" distB="0" distL="0" distR="0">
            <wp:extent cx="5400675" cy="5410200"/>
            <wp:effectExtent l="19050" t="0" r="9525" b="0"/>
            <wp:docPr id="10" name="Imagen 22" descr="C:\Users\taymigm\Desktop\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migm\Desktop\Sin títul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2580" cy="5412108"/>
                    </a:xfrm>
                    <a:prstGeom prst="rect">
                      <a:avLst/>
                    </a:prstGeom>
                    <a:noFill/>
                    <a:ln>
                      <a:noFill/>
                    </a:ln>
                  </pic:spPr>
                </pic:pic>
              </a:graphicData>
            </a:graphic>
          </wp:inline>
        </w:drawing>
      </w:r>
    </w:p>
    <w:p w:rsidR="001D62DB" w:rsidRPr="00251E54" w:rsidRDefault="001D62DB" w:rsidP="001D62DB">
      <w:pPr>
        <w:spacing w:line="240" w:lineRule="auto"/>
        <w:ind w:left="426" w:right="992" w:hanging="483"/>
        <w:jc w:val="both"/>
        <w:rPr>
          <w:b/>
          <w:sz w:val="20"/>
          <w:szCs w:val="20"/>
        </w:rPr>
      </w:pPr>
      <w:r>
        <w:rPr>
          <w:b/>
          <w:sz w:val="20"/>
          <w:szCs w:val="20"/>
        </w:rPr>
        <w:t xml:space="preserve">          </w:t>
      </w:r>
      <w:r w:rsidRPr="00251E54">
        <w:rPr>
          <w:b/>
          <w:sz w:val="20"/>
          <w:szCs w:val="20"/>
        </w:rPr>
        <w:t xml:space="preserve">Figura </w:t>
      </w:r>
      <w:r>
        <w:rPr>
          <w:b/>
          <w:sz w:val="20"/>
          <w:szCs w:val="20"/>
        </w:rPr>
        <w:t>1</w:t>
      </w:r>
      <w:r w:rsidRPr="00251E54">
        <w:rPr>
          <w:b/>
          <w:sz w:val="20"/>
          <w:szCs w:val="20"/>
        </w:rPr>
        <w:t>. Establecimiento de las premisas para el estudio económico-financiero del PFTV Marrero. Fuente: elaboración propia.</w:t>
      </w:r>
    </w:p>
    <w:p w:rsidR="00D804D4" w:rsidRDefault="00D804D4" w:rsidP="001D62DB">
      <w:pPr>
        <w:pStyle w:val="Sinespaciado"/>
        <w:spacing w:line="360" w:lineRule="auto"/>
        <w:jc w:val="both"/>
        <w:rPr>
          <w:rFonts w:ascii="Times New Roman" w:hAnsi="Times New Roman" w:cs="Times New Roman"/>
          <w:sz w:val="24"/>
          <w:szCs w:val="24"/>
        </w:rPr>
      </w:pPr>
      <w:r w:rsidRPr="001D62DB">
        <w:rPr>
          <w:rFonts w:ascii="Times New Roman" w:hAnsi="Times New Roman" w:cs="Times New Roman"/>
          <w:sz w:val="24"/>
          <w:szCs w:val="24"/>
        </w:rPr>
        <w:lastRenderedPageBreak/>
        <w:t xml:space="preserve">En la tabla </w:t>
      </w:r>
      <w:r w:rsidR="001D62DB" w:rsidRPr="001D62DB">
        <w:rPr>
          <w:rFonts w:ascii="Times New Roman" w:hAnsi="Times New Roman" w:cs="Times New Roman"/>
          <w:sz w:val="24"/>
          <w:szCs w:val="24"/>
        </w:rPr>
        <w:t>1</w:t>
      </w:r>
      <w:r w:rsidRPr="001D62DB">
        <w:rPr>
          <w:rFonts w:ascii="Times New Roman" w:hAnsi="Times New Roman" w:cs="Times New Roman"/>
          <w:sz w:val="24"/>
          <w:szCs w:val="24"/>
        </w:rPr>
        <w:t xml:space="preserve"> se muestra el presupuesto de esta inversión, es importante señalar que se ha considerado un 10% de incertidumbre cumpliendo con el Decreto 327/2014 para estudios de factibilidad. El costo de inversión preliminar ha sido elaborado teniendo en cuenta experiencias anteriores y resultados alcanzados en la instalación de los parques solares fotovoltaicos que en la actualidad ya se encuentran en funcionamiento (Sierpe Vieja, Sancti Spíritus), así como ofertas técnicas recibidas para el equipamiento tecnológico de un PFTV. En el concepto de C+M se previó la realización de las obras civiles a construir y que consisten en las canalizaciones, la cimentación, registros, vallados, base de los inversores, garitas de vigilancia, cercado perimetral, entre otros. A este valor se le consideró el total del valor de la obra inducida,  tal como plantea el Decreto 327/2014, artículo 85.2</w:t>
      </w:r>
      <w:r w:rsidR="00043CA7">
        <w:rPr>
          <w:rFonts w:ascii="Times New Roman" w:hAnsi="Times New Roman" w:cs="Times New Roman"/>
          <w:sz w:val="24"/>
          <w:szCs w:val="24"/>
        </w:rPr>
        <w:t>.</w:t>
      </w:r>
      <w:r w:rsidRPr="001D62DB">
        <w:rPr>
          <w:rFonts w:ascii="Times New Roman" w:hAnsi="Times New Roman" w:cs="Times New Roman"/>
          <w:sz w:val="24"/>
          <w:szCs w:val="24"/>
        </w:rPr>
        <w:t xml:space="preserve"> Todos estos objetos de obras cuentan con proyectos de ingeniería de detalles con las soluciones técnicas para su ejecución a ese nivel. Dentro del concepto E, una parte significativa de la inversión se prevé que se realice en CUC, dado que la estación meteorológica y el contenedor tecnológico son componentes importados. En el caso de la obra (O) el mayor componente se proyecta en MN. El capital de trabajo está referido a los recursos financieros requeridos para iniciar la explotación de una nueva inversión. </w:t>
      </w:r>
    </w:p>
    <w:p w:rsidR="001D62DB" w:rsidRPr="00BC4EE3" w:rsidRDefault="001D62DB" w:rsidP="001D62DB">
      <w:pPr>
        <w:spacing w:after="0" w:afterAutospacing="0"/>
        <w:ind w:left="-624"/>
        <w:rPr>
          <w:rFonts w:ascii="Times New Roman" w:hAnsi="Times New Roman" w:cs="Times New Roman"/>
          <w:sz w:val="24"/>
          <w:szCs w:val="24"/>
        </w:rPr>
      </w:pPr>
      <w:r w:rsidRPr="00BC4EE3">
        <w:rPr>
          <w:rFonts w:ascii="Times New Roman" w:hAnsi="Times New Roman" w:cs="Times New Roman"/>
          <w:b/>
          <w:sz w:val="20"/>
          <w:szCs w:val="20"/>
        </w:rPr>
        <w:t xml:space="preserve">Tabla 1. Presupuesto de la inversión en moneda total (MT).               </w:t>
      </w:r>
      <w:r w:rsidRPr="00BC4EE3">
        <w:rPr>
          <w:rFonts w:ascii="Times New Roman" w:hAnsi="Times New Roman" w:cs="Times New Roman"/>
          <w:b/>
          <w:sz w:val="20"/>
          <w:szCs w:val="20"/>
        </w:rPr>
        <w:tab/>
      </w:r>
    </w:p>
    <w:tbl>
      <w:tblPr>
        <w:tblpPr w:leftFromText="141" w:rightFromText="141" w:vertAnchor="text" w:horzAnchor="margin" w:tblpXSpec="center" w:tblpY="374"/>
        <w:tblW w:w="8460" w:type="dxa"/>
        <w:tblCellMar>
          <w:left w:w="70" w:type="dxa"/>
          <w:right w:w="70" w:type="dxa"/>
        </w:tblCellMar>
        <w:tblLook w:val="04A0" w:firstRow="1" w:lastRow="0" w:firstColumn="1" w:lastColumn="0" w:noHBand="0" w:noVBand="1"/>
      </w:tblPr>
      <w:tblGrid>
        <w:gridCol w:w="1343"/>
        <w:gridCol w:w="851"/>
        <w:gridCol w:w="1080"/>
        <w:gridCol w:w="851"/>
        <w:gridCol w:w="853"/>
        <w:gridCol w:w="10"/>
        <w:gridCol w:w="841"/>
        <w:gridCol w:w="916"/>
        <w:gridCol w:w="851"/>
        <w:gridCol w:w="854"/>
        <w:gridCol w:w="10"/>
      </w:tblGrid>
      <w:tr w:rsidR="001D62DB" w:rsidRPr="00563402" w:rsidTr="0042043F">
        <w:trPr>
          <w:trHeight w:val="304"/>
        </w:trPr>
        <w:tc>
          <w:tcPr>
            <w:tcW w:w="4988"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rsidR="001D62DB" w:rsidRPr="00563402" w:rsidRDefault="001D62DB" w:rsidP="001D62DB">
            <w:pPr>
              <w:pStyle w:val="Sinespaciad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TOTAL (OBRA +INDUCIDA)</w:t>
            </w:r>
          </w:p>
        </w:tc>
        <w:tc>
          <w:tcPr>
            <w:tcW w:w="3472" w:type="dxa"/>
            <w:gridSpan w:val="5"/>
            <w:tcBorders>
              <w:top w:val="single" w:sz="8" w:space="0" w:color="auto"/>
              <w:left w:val="nil"/>
              <w:bottom w:val="single" w:sz="8" w:space="0" w:color="auto"/>
              <w:right w:val="single" w:sz="8" w:space="0" w:color="000000"/>
            </w:tcBorders>
            <w:shd w:val="clear" w:color="000000" w:fill="F8CBAC"/>
            <w:vAlign w:val="center"/>
            <w:hideMark/>
          </w:tcPr>
          <w:p w:rsidR="001D62DB" w:rsidRPr="00563402" w:rsidRDefault="001D62DB" w:rsidP="001D62DB">
            <w:pPr>
              <w:pStyle w:val="Sinespaciad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INVERSIÓN INICIAL OBRA</w:t>
            </w:r>
          </w:p>
        </w:tc>
      </w:tr>
      <w:tr w:rsidR="001D62DB" w:rsidRPr="00563402" w:rsidTr="0042043F">
        <w:trPr>
          <w:gridAfter w:val="1"/>
          <w:wAfter w:w="10" w:type="dxa"/>
          <w:trHeight w:val="304"/>
        </w:trPr>
        <w:tc>
          <w:tcPr>
            <w:tcW w:w="1343" w:type="dxa"/>
            <w:tcBorders>
              <w:top w:val="nil"/>
              <w:left w:val="single" w:sz="8" w:space="0" w:color="auto"/>
              <w:bottom w:val="single" w:sz="4" w:space="0" w:color="auto"/>
              <w:right w:val="single" w:sz="4" w:space="0" w:color="auto"/>
            </w:tcBorders>
            <w:shd w:val="clear" w:color="000000" w:fill="FFF3CB"/>
            <w:vAlign w:val="center"/>
            <w:hideMark/>
          </w:tcPr>
          <w:p w:rsidR="001D62DB" w:rsidRPr="00563402" w:rsidRDefault="001D62DB" w:rsidP="001D62DB">
            <w:pPr>
              <w:pStyle w:val="Sinespaciad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Total</w:t>
            </w:r>
          </w:p>
        </w:tc>
        <w:tc>
          <w:tcPr>
            <w:tcW w:w="851"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1D62DB">
            <w:pPr>
              <w:pStyle w:val="Sinespaciad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MT</w:t>
            </w:r>
          </w:p>
        </w:tc>
        <w:tc>
          <w:tcPr>
            <w:tcW w:w="1080"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1D62DB">
            <w:pPr>
              <w:pStyle w:val="Sinespaciad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MCUC</w:t>
            </w:r>
          </w:p>
        </w:tc>
        <w:tc>
          <w:tcPr>
            <w:tcW w:w="851"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1D62DB">
            <w:pPr>
              <w:pStyle w:val="Sinespaciad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MN</w:t>
            </w:r>
          </w:p>
        </w:tc>
        <w:tc>
          <w:tcPr>
            <w:tcW w:w="853" w:type="dxa"/>
            <w:tcBorders>
              <w:top w:val="nil"/>
              <w:left w:val="nil"/>
              <w:bottom w:val="single" w:sz="4" w:space="0" w:color="auto"/>
              <w:right w:val="single" w:sz="8" w:space="0" w:color="auto"/>
            </w:tcBorders>
            <w:shd w:val="clear" w:color="000000" w:fill="FFF3CB"/>
            <w:vAlign w:val="center"/>
            <w:hideMark/>
          </w:tcPr>
          <w:p w:rsidR="001D62DB" w:rsidRPr="00563402" w:rsidRDefault="001D62DB" w:rsidP="001D62DB">
            <w:pPr>
              <w:pStyle w:val="Sinespaciad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MUSD</w:t>
            </w:r>
          </w:p>
        </w:tc>
        <w:tc>
          <w:tcPr>
            <w:tcW w:w="851" w:type="dxa"/>
            <w:gridSpan w:val="2"/>
            <w:tcBorders>
              <w:top w:val="nil"/>
              <w:left w:val="nil"/>
              <w:bottom w:val="single" w:sz="4" w:space="0" w:color="auto"/>
              <w:right w:val="single" w:sz="4" w:space="0" w:color="auto"/>
            </w:tcBorders>
            <w:shd w:val="clear" w:color="000000" w:fill="F8CBAC"/>
            <w:vAlign w:val="center"/>
            <w:hideMark/>
          </w:tcPr>
          <w:p w:rsidR="001D62DB" w:rsidRPr="00563402" w:rsidRDefault="001D62DB" w:rsidP="001D62DB">
            <w:pPr>
              <w:pStyle w:val="Sinespaciad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MT</w:t>
            </w:r>
          </w:p>
        </w:tc>
        <w:tc>
          <w:tcPr>
            <w:tcW w:w="916" w:type="dxa"/>
            <w:tcBorders>
              <w:top w:val="nil"/>
              <w:left w:val="nil"/>
              <w:bottom w:val="single" w:sz="4" w:space="0" w:color="auto"/>
              <w:right w:val="single" w:sz="4" w:space="0" w:color="auto"/>
            </w:tcBorders>
            <w:shd w:val="clear" w:color="000000" w:fill="F8CBAC"/>
            <w:vAlign w:val="center"/>
            <w:hideMark/>
          </w:tcPr>
          <w:p w:rsidR="001D62DB" w:rsidRPr="00563402" w:rsidRDefault="001D62DB" w:rsidP="001D62DB">
            <w:pPr>
              <w:pStyle w:val="Sinespaciad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MCUC</w:t>
            </w:r>
          </w:p>
        </w:tc>
        <w:tc>
          <w:tcPr>
            <w:tcW w:w="851" w:type="dxa"/>
            <w:tcBorders>
              <w:top w:val="nil"/>
              <w:left w:val="nil"/>
              <w:bottom w:val="single" w:sz="4" w:space="0" w:color="auto"/>
              <w:right w:val="single" w:sz="4" w:space="0" w:color="auto"/>
            </w:tcBorders>
            <w:shd w:val="clear" w:color="000000" w:fill="F8CBAC"/>
            <w:vAlign w:val="center"/>
            <w:hideMark/>
          </w:tcPr>
          <w:p w:rsidR="001D62DB" w:rsidRPr="00563402" w:rsidRDefault="001D62DB" w:rsidP="001D62DB">
            <w:pPr>
              <w:pStyle w:val="Sinespaciad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MN</w:t>
            </w:r>
          </w:p>
        </w:tc>
        <w:tc>
          <w:tcPr>
            <w:tcW w:w="854" w:type="dxa"/>
            <w:tcBorders>
              <w:top w:val="nil"/>
              <w:left w:val="nil"/>
              <w:bottom w:val="single" w:sz="4" w:space="0" w:color="auto"/>
              <w:right w:val="single" w:sz="8" w:space="0" w:color="auto"/>
            </w:tcBorders>
            <w:shd w:val="clear" w:color="000000" w:fill="F8CBAC"/>
            <w:vAlign w:val="center"/>
            <w:hideMark/>
          </w:tcPr>
          <w:p w:rsidR="001D62DB" w:rsidRPr="00563402" w:rsidRDefault="001D62DB" w:rsidP="001D62DB">
            <w:pPr>
              <w:pStyle w:val="Sinespaciad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MUSD</w:t>
            </w:r>
          </w:p>
        </w:tc>
      </w:tr>
      <w:tr w:rsidR="001D62DB" w:rsidRPr="00563402" w:rsidTr="0042043F">
        <w:trPr>
          <w:gridAfter w:val="1"/>
          <w:wAfter w:w="10" w:type="dxa"/>
          <w:trHeight w:val="304"/>
        </w:trPr>
        <w:tc>
          <w:tcPr>
            <w:tcW w:w="1343" w:type="dxa"/>
            <w:tcBorders>
              <w:top w:val="nil"/>
              <w:left w:val="single" w:sz="8" w:space="0" w:color="auto"/>
              <w:bottom w:val="single" w:sz="4" w:space="0" w:color="auto"/>
              <w:right w:val="single" w:sz="4" w:space="0" w:color="auto"/>
            </w:tcBorders>
            <w:shd w:val="clear" w:color="000000" w:fill="FFF3CB"/>
            <w:vAlign w:val="bottom"/>
            <w:hideMark/>
          </w:tcPr>
          <w:p w:rsidR="001D62DB" w:rsidRPr="00563402" w:rsidRDefault="001D62DB" w:rsidP="001D62DB">
            <w:pPr>
              <w:pStyle w:val="Sinespaciad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C+M</w:t>
            </w:r>
          </w:p>
        </w:tc>
        <w:tc>
          <w:tcPr>
            <w:tcW w:w="851"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1D62DB">
            <w:pPr>
              <w:pStyle w:val="Sinespaciado"/>
              <w:rPr>
                <w:rFonts w:ascii="Arial Narrow" w:eastAsia="Times New Roman" w:hAnsi="Arial Narrow" w:cs="Calibri"/>
                <w:color w:val="FF0000"/>
                <w:lang w:eastAsia="es-ES"/>
              </w:rPr>
            </w:pPr>
            <w:r w:rsidRPr="00563402">
              <w:rPr>
                <w:rFonts w:ascii="Arial Narrow" w:eastAsia="Times New Roman" w:hAnsi="Arial Narrow" w:cs="Calibri"/>
                <w:color w:val="FF0000"/>
                <w:lang w:eastAsia="es-ES"/>
              </w:rPr>
              <w:t>218,5</w:t>
            </w:r>
          </w:p>
        </w:tc>
        <w:tc>
          <w:tcPr>
            <w:tcW w:w="1080"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1D62DB">
            <w:pPr>
              <w:pStyle w:val="Sinespaciad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88,5</w:t>
            </w:r>
          </w:p>
        </w:tc>
        <w:tc>
          <w:tcPr>
            <w:tcW w:w="851"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1D62DB">
            <w:pPr>
              <w:pStyle w:val="Sinespaciad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255,6</w:t>
            </w:r>
          </w:p>
        </w:tc>
        <w:tc>
          <w:tcPr>
            <w:tcW w:w="853"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1D62DB">
            <w:pPr>
              <w:pStyle w:val="Sinespaciad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0,0</w:t>
            </w:r>
          </w:p>
        </w:tc>
        <w:tc>
          <w:tcPr>
            <w:tcW w:w="851" w:type="dxa"/>
            <w:gridSpan w:val="2"/>
            <w:tcBorders>
              <w:top w:val="nil"/>
              <w:left w:val="single" w:sz="8" w:space="0" w:color="auto"/>
              <w:bottom w:val="single" w:sz="4" w:space="0" w:color="auto"/>
              <w:right w:val="single" w:sz="4" w:space="0" w:color="auto"/>
            </w:tcBorders>
            <w:shd w:val="clear" w:color="000000" w:fill="F8CBAC"/>
            <w:vAlign w:val="center"/>
            <w:hideMark/>
          </w:tcPr>
          <w:p w:rsidR="001D62DB" w:rsidRPr="00563402" w:rsidRDefault="001D62DB" w:rsidP="001D62DB">
            <w:pPr>
              <w:pStyle w:val="Sinespaciado"/>
              <w:rPr>
                <w:rFonts w:ascii="Arial Narrow" w:eastAsia="Times New Roman" w:hAnsi="Arial Narrow" w:cs="Calibri"/>
                <w:color w:val="FF0000"/>
                <w:lang w:eastAsia="es-ES"/>
              </w:rPr>
            </w:pPr>
            <w:r w:rsidRPr="00563402">
              <w:rPr>
                <w:rFonts w:ascii="Arial Narrow" w:eastAsia="Times New Roman" w:hAnsi="Arial Narrow" w:cs="Calibri"/>
                <w:color w:val="FF0000"/>
                <w:lang w:eastAsia="es-ES"/>
              </w:rPr>
              <w:t>93,0</w:t>
            </w:r>
          </w:p>
        </w:tc>
        <w:tc>
          <w:tcPr>
            <w:tcW w:w="916" w:type="dxa"/>
            <w:tcBorders>
              <w:top w:val="nil"/>
              <w:left w:val="nil"/>
              <w:bottom w:val="single" w:sz="4" w:space="0" w:color="auto"/>
              <w:right w:val="single" w:sz="4" w:space="0" w:color="auto"/>
            </w:tcBorders>
            <w:shd w:val="clear" w:color="000000" w:fill="F8CBAC"/>
            <w:vAlign w:val="center"/>
            <w:hideMark/>
          </w:tcPr>
          <w:p w:rsidR="001D62DB" w:rsidRPr="00563402" w:rsidRDefault="001D62DB" w:rsidP="001D62DB">
            <w:pPr>
              <w:pStyle w:val="Sinespaciad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73,2</w:t>
            </w:r>
          </w:p>
        </w:tc>
        <w:tc>
          <w:tcPr>
            <w:tcW w:w="851" w:type="dxa"/>
            <w:tcBorders>
              <w:top w:val="nil"/>
              <w:left w:val="nil"/>
              <w:bottom w:val="single" w:sz="4" w:space="0" w:color="auto"/>
              <w:right w:val="single" w:sz="4" w:space="0" w:color="auto"/>
            </w:tcBorders>
            <w:shd w:val="clear" w:color="000000" w:fill="F8CBAC"/>
            <w:vAlign w:val="center"/>
            <w:hideMark/>
          </w:tcPr>
          <w:p w:rsidR="001D62DB" w:rsidRPr="00563402" w:rsidRDefault="001D62DB" w:rsidP="001D62DB">
            <w:pPr>
              <w:pStyle w:val="Sinespaciad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145,4</w:t>
            </w:r>
          </w:p>
        </w:tc>
        <w:tc>
          <w:tcPr>
            <w:tcW w:w="854" w:type="dxa"/>
            <w:tcBorders>
              <w:top w:val="nil"/>
              <w:left w:val="nil"/>
              <w:bottom w:val="single" w:sz="4" w:space="0" w:color="auto"/>
              <w:right w:val="single" w:sz="8" w:space="0" w:color="auto"/>
            </w:tcBorders>
            <w:shd w:val="clear" w:color="000000" w:fill="F8CBAC"/>
            <w:vAlign w:val="center"/>
            <w:hideMark/>
          </w:tcPr>
          <w:p w:rsidR="001D62DB" w:rsidRPr="00563402" w:rsidRDefault="001D62DB" w:rsidP="001D62DB">
            <w:pPr>
              <w:pStyle w:val="Sinespaciad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0,0</w:t>
            </w:r>
          </w:p>
        </w:tc>
      </w:tr>
      <w:tr w:rsidR="001D62DB" w:rsidRPr="00563402" w:rsidTr="0042043F">
        <w:trPr>
          <w:gridAfter w:val="1"/>
          <w:wAfter w:w="10" w:type="dxa"/>
          <w:trHeight w:val="304"/>
        </w:trPr>
        <w:tc>
          <w:tcPr>
            <w:tcW w:w="1343" w:type="dxa"/>
            <w:tcBorders>
              <w:top w:val="nil"/>
              <w:left w:val="single" w:sz="8" w:space="0" w:color="auto"/>
              <w:bottom w:val="single" w:sz="4" w:space="0" w:color="auto"/>
              <w:right w:val="single" w:sz="4" w:space="0" w:color="auto"/>
            </w:tcBorders>
            <w:shd w:val="clear" w:color="000000" w:fill="FFF3CB"/>
            <w:vAlign w:val="bottom"/>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E</w:t>
            </w:r>
          </w:p>
        </w:tc>
        <w:tc>
          <w:tcPr>
            <w:tcW w:w="851"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b/>
                <w:bCs/>
                <w:color w:val="FF0000"/>
                <w:lang w:eastAsia="es-ES"/>
              </w:rPr>
            </w:pPr>
            <w:r w:rsidRPr="00563402">
              <w:rPr>
                <w:rFonts w:ascii="Arial Narrow" w:eastAsia="Times New Roman" w:hAnsi="Arial Narrow" w:cs="Calibri"/>
                <w:b/>
                <w:bCs/>
                <w:color w:val="FF0000"/>
                <w:lang w:eastAsia="es-ES"/>
              </w:rPr>
              <w:t>6302,9</w:t>
            </w:r>
          </w:p>
        </w:tc>
        <w:tc>
          <w:tcPr>
            <w:tcW w:w="1080"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3266,6</w:t>
            </w:r>
          </w:p>
        </w:tc>
        <w:tc>
          <w:tcPr>
            <w:tcW w:w="851"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3036,3</w:t>
            </w:r>
          </w:p>
        </w:tc>
        <w:tc>
          <w:tcPr>
            <w:tcW w:w="853"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0,0</w:t>
            </w:r>
          </w:p>
        </w:tc>
        <w:tc>
          <w:tcPr>
            <w:tcW w:w="851" w:type="dxa"/>
            <w:gridSpan w:val="2"/>
            <w:tcBorders>
              <w:top w:val="nil"/>
              <w:left w:val="single" w:sz="8" w:space="0" w:color="auto"/>
              <w:bottom w:val="single" w:sz="4" w:space="0" w:color="auto"/>
              <w:right w:val="single" w:sz="4" w:space="0" w:color="auto"/>
            </w:tcBorders>
            <w:shd w:val="clear" w:color="000000" w:fill="F8CBAC"/>
            <w:vAlign w:val="center"/>
            <w:hideMark/>
          </w:tcPr>
          <w:p w:rsidR="001D62DB" w:rsidRPr="00563402" w:rsidRDefault="001D62DB" w:rsidP="0042043F">
            <w:pPr>
              <w:spacing w:after="0" w:line="240" w:lineRule="auto"/>
              <w:rPr>
                <w:rFonts w:ascii="Arial Narrow" w:eastAsia="Times New Roman" w:hAnsi="Arial Narrow" w:cs="Calibri"/>
                <w:b/>
                <w:bCs/>
                <w:color w:val="FF0000"/>
                <w:lang w:eastAsia="es-ES"/>
              </w:rPr>
            </w:pPr>
            <w:r w:rsidRPr="00563402">
              <w:rPr>
                <w:rFonts w:ascii="Arial Narrow" w:eastAsia="Times New Roman" w:hAnsi="Arial Narrow" w:cs="Calibri"/>
                <w:b/>
                <w:bCs/>
                <w:color w:val="FF0000"/>
                <w:lang w:eastAsia="es-ES"/>
              </w:rPr>
              <w:t>6302,9</w:t>
            </w:r>
          </w:p>
        </w:tc>
        <w:tc>
          <w:tcPr>
            <w:tcW w:w="916" w:type="dxa"/>
            <w:tcBorders>
              <w:top w:val="nil"/>
              <w:left w:val="nil"/>
              <w:bottom w:val="single" w:sz="4" w:space="0" w:color="auto"/>
              <w:right w:val="single" w:sz="4" w:space="0" w:color="auto"/>
            </w:tcBorders>
            <w:shd w:val="clear" w:color="000000" w:fill="F8CBAC"/>
            <w:vAlign w:val="center"/>
            <w:hideMark/>
          </w:tcPr>
          <w:p w:rsidR="001D62DB" w:rsidRPr="00563402" w:rsidRDefault="001D62DB" w:rsidP="0042043F">
            <w:pPr>
              <w:spacing w:after="0" w:line="240" w:lineRule="aut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3266,6</w:t>
            </w:r>
          </w:p>
        </w:tc>
        <w:tc>
          <w:tcPr>
            <w:tcW w:w="851" w:type="dxa"/>
            <w:tcBorders>
              <w:top w:val="nil"/>
              <w:left w:val="nil"/>
              <w:bottom w:val="single" w:sz="4" w:space="0" w:color="auto"/>
              <w:right w:val="single" w:sz="4" w:space="0" w:color="auto"/>
            </w:tcBorders>
            <w:shd w:val="clear" w:color="000000" w:fill="F8CBAC"/>
            <w:vAlign w:val="center"/>
            <w:hideMark/>
          </w:tcPr>
          <w:p w:rsidR="001D62DB" w:rsidRPr="00563402" w:rsidRDefault="001D62DB" w:rsidP="0042043F">
            <w:pPr>
              <w:spacing w:after="0" w:line="240" w:lineRule="aut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3036,3</w:t>
            </w:r>
          </w:p>
        </w:tc>
        <w:tc>
          <w:tcPr>
            <w:tcW w:w="854" w:type="dxa"/>
            <w:tcBorders>
              <w:top w:val="nil"/>
              <w:left w:val="nil"/>
              <w:bottom w:val="single" w:sz="4" w:space="0" w:color="auto"/>
              <w:right w:val="single" w:sz="8" w:space="0" w:color="auto"/>
            </w:tcBorders>
            <w:shd w:val="clear" w:color="000000" w:fill="F8CBAC"/>
            <w:vAlign w:val="center"/>
            <w:hideMark/>
          </w:tcPr>
          <w:p w:rsidR="001D62DB" w:rsidRPr="00563402" w:rsidRDefault="001D62DB" w:rsidP="0042043F">
            <w:pPr>
              <w:spacing w:after="0" w:line="240" w:lineRule="aut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0,0</w:t>
            </w:r>
          </w:p>
        </w:tc>
      </w:tr>
      <w:tr w:rsidR="001D62DB" w:rsidRPr="00563402" w:rsidTr="0042043F">
        <w:trPr>
          <w:gridAfter w:val="1"/>
          <w:wAfter w:w="10" w:type="dxa"/>
          <w:trHeight w:val="304"/>
        </w:trPr>
        <w:tc>
          <w:tcPr>
            <w:tcW w:w="1343" w:type="dxa"/>
            <w:tcBorders>
              <w:top w:val="nil"/>
              <w:left w:val="single" w:sz="8" w:space="0" w:color="auto"/>
              <w:bottom w:val="single" w:sz="4" w:space="0" w:color="auto"/>
              <w:right w:val="single" w:sz="4" w:space="0" w:color="auto"/>
            </w:tcBorders>
            <w:shd w:val="clear" w:color="000000" w:fill="FFF3CB"/>
            <w:vAlign w:val="bottom"/>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O</w:t>
            </w:r>
          </w:p>
        </w:tc>
        <w:tc>
          <w:tcPr>
            <w:tcW w:w="851"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b/>
                <w:bCs/>
                <w:color w:val="FF0000"/>
                <w:lang w:eastAsia="es-ES"/>
              </w:rPr>
            </w:pPr>
            <w:r w:rsidRPr="00563402">
              <w:rPr>
                <w:rFonts w:ascii="Arial Narrow" w:eastAsia="Times New Roman" w:hAnsi="Arial Narrow" w:cs="Calibri"/>
                <w:b/>
                <w:bCs/>
                <w:color w:val="FF0000"/>
                <w:lang w:eastAsia="es-ES"/>
              </w:rPr>
              <w:t>1286,4</w:t>
            </w:r>
          </w:p>
        </w:tc>
        <w:tc>
          <w:tcPr>
            <w:tcW w:w="1080"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169,3</w:t>
            </w:r>
          </w:p>
        </w:tc>
        <w:tc>
          <w:tcPr>
            <w:tcW w:w="851"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1117,2</w:t>
            </w:r>
          </w:p>
        </w:tc>
        <w:tc>
          <w:tcPr>
            <w:tcW w:w="853"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0,0</w:t>
            </w:r>
          </w:p>
        </w:tc>
        <w:tc>
          <w:tcPr>
            <w:tcW w:w="851" w:type="dxa"/>
            <w:gridSpan w:val="2"/>
            <w:tcBorders>
              <w:top w:val="nil"/>
              <w:left w:val="single" w:sz="8" w:space="0" w:color="auto"/>
              <w:bottom w:val="single" w:sz="4" w:space="0" w:color="auto"/>
              <w:right w:val="single" w:sz="4" w:space="0" w:color="auto"/>
            </w:tcBorders>
            <w:shd w:val="clear" w:color="000000" w:fill="F8CBAC"/>
            <w:vAlign w:val="center"/>
            <w:hideMark/>
          </w:tcPr>
          <w:p w:rsidR="001D62DB" w:rsidRPr="00563402" w:rsidRDefault="001D62DB" w:rsidP="0042043F">
            <w:pPr>
              <w:spacing w:after="0" w:line="240" w:lineRule="auto"/>
              <w:rPr>
                <w:rFonts w:ascii="Arial Narrow" w:eastAsia="Times New Roman" w:hAnsi="Arial Narrow" w:cs="Calibri"/>
                <w:b/>
                <w:bCs/>
                <w:color w:val="FF0000"/>
                <w:lang w:eastAsia="es-ES"/>
              </w:rPr>
            </w:pPr>
            <w:r w:rsidRPr="00563402">
              <w:rPr>
                <w:rFonts w:ascii="Arial Narrow" w:eastAsia="Times New Roman" w:hAnsi="Arial Narrow" w:cs="Calibri"/>
                <w:b/>
                <w:bCs/>
                <w:color w:val="FF0000"/>
                <w:lang w:eastAsia="es-ES"/>
              </w:rPr>
              <w:t>1286,4</w:t>
            </w:r>
          </w:p>
        </w:tc>
        <w:tc>
          <w:tcPr>
            <w:tcW w:w="916" w:type="dxa"/>
            <w:tcBorders>
              <w:top w:val="nil"/>
              <w:left w:val="nil"/>
              <w:bottom w:val="single" w:sz="4" w:space="0" w:color="auto"/>
              <w:right w:val="single" w:sz="4" w:space="0" w:color="auto"/>
            </w:tcBorders>
            <w:shd w:val="clear" w:color="000000" w:fill="F8CBAC"/>
            <w:vAlign w:val="center"/>
            <w:hideMark/>
          </w:tcPr>
          <w:p w:rsidR="001D62DB" w:rsidRPr="00563402" w:rsidRDefault="001D62DB" w:rsidP="0042043F">
            <w:pPr>
              <w:spacing w:after="0" w:line="240" w:lineRule="aut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169,3</w:t>
            </w:r>
          </w:p>
        </w:tc>
        <w:tc>
          <w:tcPr>
            <w:tcW w:w="851" w:type="dxa"/>
            <w:tcBorders>
              <w:top w:val="nil"/>
              <w:left w:val="nil"/>
              <w:bottom w:val="single" w:sz="4" w:space="0" w:color="auto"/>
              <w:right w:val="single" w:sz="4" w:space="0" w:color="auto"/>
            </w:tcBorders>
            <w:shd w:val="clear" w:color="000000" w:fill="F8CBAC"/>
            <w:vAlign w:val="center"/>
            <w:hideMark/>
          </w:tcPr>
          <w:p w:rsidR="001D62DB" w:rsidRPr="00563402" w:rsidRDefault="001D62DB" w:rsidP="0042043F">
            <w:pPr>
              <w:spacing w:after="0" w:line="240" w:lineRule="aut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1117,2</w:t>
            </w:r>
          </w:p>
        </w:tc>
        <w:tc>
          <w:tcPr>
            <w:tcW w:w="854" w:type="dxa"/>
            <w:tcBorders>
              <w:top w:val="nil"/>
              <w:left w:val="nil"/>
              <w:bottom w:val="single" w:sz="4" w:space="0" w:color="auto"/>
              <w:right w:val="single" w:sz="8" w:space="0" w:color="auto"/>
            </w:tcBorders>
            <w:shd w:val="clear" w:color="000000" w:fill="F8CBAC"/>
            <w:vAlign w:val="center"/>
            <w:hideMark/>
          </w:tcPr>
          <w:p w:rsidR="001D62DB" w:rsidRPr="00563402" w:rsidRDefault="001D62DB" w:rsidP="0042043F">
            <w:pPr>
              <w:spacing w:after="0" w:line="240" w:lineRule="aut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0,0</w:t>
            </w:r>
          </w:p>
        </w:tc>
      </w:tr>
      <w:tr w:rsidR="001D62DB" w:rsidRPr="00563402" w:rsidTr="0042043F">
        <w:trPr>
          <w:gridAfter w:val="1"/>
          <w:wAfter w:w="10" w:type="dxa"/>
          <w:trHeight w:val="304"/>
        </w:trPr>
        <w:tc>
          <w:tcPr>
            <w:tcW w:w="1343" w:type="dxa"/>
            <w:tcBorders>
              <w:top w:val="nil"/>
              <w:left w:val="single" w:sz="8" w:space="0" w:color="auto"/>
              <w:bottom w:val="single" w:sz="4" w:space="0" w:color="auto"/>
              <w:right w:val="single" w:sz="4" w:space="0" w:color="auto"/>
            </w:tcBorders>
            <w:shd w:val="clear" w:color="000000" w:fill="FFF3CB"/>
            <w:vAlign w:val="bottom"/>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IDC</w:t>
            </w:r>
          </w:p>
        </w:tc>
        <w:tc>
          <w:tcPr>
            <w:tcW w:w="851"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b/>
                <w:bCs/>
                <w:color w:val="FF0000"/>
                <w:lang w:eastAsia="es-ES"/>
              </w:rPr>
            </w:pPr>
            <w:r w:rsidRPr="00563402">
              <w:rPr>
                <w:rFonts w:ascii="Arial Narrow" w:eastAsia="Times New Roman" w:hAnsi="Arial Narrow" w:cs="Calibri"/>
                <w:b/>
                <w:bCs/>
                <w:color w:val="FF0000"/>
                <w:lang w:eastAsia="es-ES"/>
              </w:rPr>
              <w:t>0,0</w:t>
            </w:r>
          </w:p>
        </w:tc>
        <w:tc>
          <w:tcPr>
            <w:tcW w:w="1080"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0,0</w:t>
            </w:r>
          </w:p>
        </w:tc>
        <w:tc>
          <w:tcPr>
            <w:tcW w:w="851"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0,0</w:t>
            </w:r>
          </w:p>
        </w:tc>
        <w:tc>
          <w:tcPr>
            <w:tcW w:w="853"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0,0</w:t>
            </w:r>
          </w:p>
        </w:tc>
        <w:tc>
          <w:tcPr>
            <w:tcW w:w="851" w:type="dxa"/>
            <w:gridSpan w:val="2"/>
            <w:tcBorders>
              <w:top w:val="nil"/>
              <w:left w:val="single" w:sz="8" w:space="0" w:color="auto"/>
              <w:bottom w:val="single" w:sz="4" w:space="0" w:color="auto"/>
              <w:right w:val="single" w:sz="4" w:space="0" w:color="auto"/>
            </w:tcBorders>
            <w:shd w:val="clear" w:color="000000" w:fill="F8CBAC"/>
            <w:vAlign w:val="center"/>
            <w:hideMark/>
          </w:tcPr>
          <w:p w:rsidR="001D62DB" w:rsidRPr="00563402" w:rsidRDefault="001D62DB" w:rsidP="0042043F">
            <w:pPr>
              <w:spacing w:after="0" w:line="240" w:lineRule="auto"/>
              <w:rPr>
                <w:rFonts w:ascii="Arial Narrow" w:eastAsia="Times New Roman" w:hAnsi="Arial Narrow" w:cs="Calibri"/>
                <w:b/>
                <w:bCs/>
                <w:color w:val="FF0000"/>
                <w:lang w:eastAsia="es-ES"/>
              </w:rPr>
            </w:pPr>
            <w:r w:rsidRPr="00563402">
              <w:rPr>
                <w:rFonts w:ascii="Arial Narrow" w:eastAsia="Times New Roman" w:hAnsi="Arial Narrow" w:cs="Calibri"/>
                <w:b/>
                <w:bCs/>
                <w:color w:val="FF0000"/>
                <w:lang w:eastAsia="es-ES"/>
              </w:rPr>
              <w:t>0,0</w:t>
            </w:r>
          </w:p>
        </w:tc>
        <w:tc>
          <w:tcPr>
            <w:tcW w:w="916" w:type="dxa"/>
            <w:tcBorders>
              <w:top w:val="nil"/>
              <w:left w:val="nil"/>
              <w:bottom w:val="single" w:sz="4" w:space="0" w:color="auto"/>
              <w:right w:val="single" w:sz="4" w:space="0" w:color="auto"/>
            </w:tcBorders>
            <w:shd w:val="clear" w:color="000000" w:fill="F8CBAC"/>
            <w:vAlign w:val="center"/>
            <w:hideMark/>
          </w:tcPr>
          <w:p w:rsidR="001D62DB" w:rsidRPr="00563402" w:rsidRDefault="001D62DB" w:rsidP="0042043F">
            <w:pPr>
              <w:spacing w:after="0" w:line="240" w:lineRule="aut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0,0</w:t>
            </w:r>
          </w:p>
        </w:tc>
        <w:tc>
          <w:tcPr>
            <w:tcW w:w="851" w:type="dxa"/>
            <w:tcBorders>
              <w:top w:val="nil"/>
              <w:left w:val="nil"/>
              <w:bottom w:val="single" w:sz="4" w:space="0" w:color="auto"/>
              <w:right w:val="single" w:sz="4" w:space="0" w:color="auto"/>
            </w:tcBorders>
            <w:shd w:val="clear" w:color="000000" w:fill="F8CBAC"/>
            <w:vAlign w:val="center"/>
            <w:hideMark/>
          </w:tcPr>
          <w:p w:rsidR="001D62DB" w:rsidRPr="00563402" w:rsidRDefault="001D62DB" w:rsidP="0042043F">
            <w:pPr>
              <w:spacing w:after="0" w:line="240" w:lineRule="aut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0,0</w:t>
            </w:r>
          </w:p>
        </w:tc>
        <w:tc>
          <w:tcPr>
            <w:tcW w:w="854" w:type="dxa"/>
            <w:tcBorders>
              <w:top w:val="nil"/>
              <w:left w:val="nil"/>
              <w:bottom w:val="single" w:sz="4" w:space="0" w:color="auto"/>
              <w:right w:val="single" w:sz="8" w:space="0" w:color="auto"/>
            </w:tcBorders>
            <w:shd w:val="clear" w:color="000000" w:fill="F8CBAC"/>
            <w:vAlign w:val="center"/>
            <w:hideMark/>
          </w:tcPr>
          <w:p w:rsidR="001D62DB" w:rsidRPr="00563402" w:rsidRDefault="001D62DB" w:rsidP="0042043F">
            <w:pPr>
              <w:spacing w:after="0" w:line="240" w:lineRule="aut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0,0</w:t>
            </w:r>
          </w:p>
        </w:tc>
      </w:tr>
      <w:tr w:rsidR="001D62DB" w:rsidRPr="00563402" w:rsidTr="0042043F">
        <w:trPr>
          <w:gridAfter w:val="1"/>
          <w:wAfter w:w="10" w:type="dxa"/>
          <w:trHeight w:val="304"/>
        </w:trPr>
        <w:tc>
          <w:tcPr>
            <w:tcW w:w="1343" w:type="dxa"/>
            <w:tcBorders>
              <w:top w:val="nil"/>
              <w:left w:val="single" w:sz="8" w:space="0" w:color="auto"/>
              <w:bottom w:val="single" w:sz="4" w:space="0" w:color="auto"/>
              <w:right w:val="single" w:sz="4" w:space="0" w:color="auto"/>
            </w:tcBorders>
            <w:shd w:val="clear" w:color="000000" w:fill="FFF3CB"/>
            <w:vAlign w:val="bottom"/>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color w:val="000000"/>
                <w:sz w:val="18"/>
                <w:szCs w:val="18"/>
                <w:lang w:eastAsia="es-ES"/>
              </w:rPr>
            </w:pPr>
            <w:r w:rsidRPr="00563402">
              <w:rPr>
                <w:rFonts w:ascii="Arial Narrow" w:eastAsia="Times New Roman" w:hAnsi="Arial Narrow" w:cs="Calibri"/>
                <w:color w:val="000000"/>
                <w:sz w:val="18"/>
                <w:szCs w:val="18"/>
                <w:lang w:eastAsia="es-ES"/>
              </w:rPr>
              <w:t>Capital  Trabajo</w:t>
            </w:r>
          </w:p>
        </w:tc>
        <w:tc>
          <w:tcPr>
            <w:tcW w:w="851"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b/>
                <w:bCs/>
                <w:color w:val="FF0000"/>
                <w:lang w:eastAsia="es-ES"/>
              </w:rPr>
            </w:pPr>
            <w:r w:rsidRPr="00563402">
              <w:rPr>
                <w:rFonts w:ascii="Arial Narrow" w:eastAsia="Times New Roman" w:hAnsi="Arial Narrow" w:cs="Calibri"/>
                <w:b/>
                <w:bCs/>
                <w:color w:val="FF0000"/>
                <w:lang w:eastAsia="es-ES"/>
              </w:rPr>
              <w:t>544,6</w:t>
            </w:r>
          </w:p>
        </w:tc>
        <w:tc>
          <w:tcPr>
            <w:tcW w:w="1080"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289,2</w:t>
            </w:r>
          </w:p>
        </w:tc>
        <w:tc>
          <w:tcPr>
            <w:tcW w:w="851"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255,4</w:t>
            </w:r>
          </w:p>
        </w:tc>
        <w:tc>
          <w:tcPr>
            <w:tcW w:w="853" w:type="dxa"/>
            <w:tcBorders>
              <w:top w:val="nil"/>
              <w:left w:val="nil"/>
              <w:bottom w:val="single" w:sz="4" w:space="0" w:color="auto"/>
              <w:right w:val="single" w:sz="4" w:space="0" w:color="auto"/>
            </w:tcBorders>
            <w:shd w:val="clear" w:color="000000" w:fill="FFF3CB"/>
            <w:vAlign w:val="center"/>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0,0</w:t>
            </w:r>
          </w:p>
        </w:tc>
        <w:tc>
          <w:tcPr>
            <w:tcW w:w="851" w:type="dxa"/>
            <w:gridSpan w:val="2"/>
            <w:tcBorders>
              <w:top w:val="nil"/>
              <w:left w:val="single" w:sz="8" w:space="0" w:color="auto"/>
              <w:bottom w:val="single" w:sz="4" w:space="0" w:color="auto"/>
              <w:right w:val="single" w:sz="4" w:space="0" w:color="auto"/>
            </w:tcBorders>
            <w:shd w:val="clear" w:color="000000" w:fill="F8CBAC"/>
            <w:vAlign w:val="center"/>
            <w:hideMark/>
          </w:tcPr>
          <w:p w:rsidR="001D62DB" w:rsidRPr="00563402" w:rsidRDefault="001D62DB" w:rsidP="0042043F">
            <w:pPr>
              <w:spacing w:after="0" w:line="240" w:lineRule="auto"/>
              <w:rPr>
                <w:rFonts w:ascii="Arial Narrow" w:eastAsia="Times New Roman" w:hAnsi="Arial Narrow" w:cs="Calibri"/>
                <w:b/>
                <w:bCs/>
                <w:color w:val="FF0000"/>
                <w:lang w:eastAsia="es-ES"/>
              </w:rPr>
            </w:pPr>
            <w:r w:rsidRPr="00563402">
              <w:rPr>
                <w:rFonts w:ascii="Arial Narrow" w:eastAsia="Times New Roman" w:hAnsi="Arial Narrow" w:cs="Calibri"/>
                <w:b/>
                <w:bCs/>
                <w:color w:val="FF0000"/>
                <w:lang w:eastAsia="es-ES"/>
              </w:rPr>
              <w:t>544,6</w:t>
            </w:r>
          </w:p>
        </w:tc>
        <w:tc>
          <w:tcPr>
            <w:tcW w:w="916" w:type="dxa"/>
            <w:tcBorders>
              <w:top w:val="nil"/>
              <w:left w:val="nil"/>
              <w:bottom w:val="single" w:sz="4" w:space="0" w:color="auto"/>
              <w:right w:val="single" w:sz="4" w:space="0" w:color="auto"/>
            </w:tcBorders>
            <w:shd w:val="clear" w:color="000000" w:fill="F8CBAC"/>
            <w:vAlign w:val="center"/>
            <w:hideMark/>
          </w:tcPr>
          <w:p w:rsidR="001D62DB" w:rsidRPr="00563402" w:rsidRDefault="001D62DB" w:rsidP="0042043F">
            <w:pPr>
              <w:spacing w:after="0" w:line="240" w:lineRule="aut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289,2</w:t>
            </w:r>
          </w:p>
        </w:tc>
        <w:tc>
          <w:tcPr>
            <w:tcW w:w="851" w:type="dxa"/>
            <w:tcBorders>
              <w:top w:val="nil"/>
              <w:left w:val="nil"/>
              <w:bottom w:val="single" w:sz="4" w:space="0" w:color="auto"/>
              <w:right w:val="single" w:sz="4" w:space="0" w:color="auto"/>
            </w:tcBorders>
            <w:shd w:val="clear" w:color="000000" w:fill="F8CBAC"/>
            <w:vAlign w:val="center"/>
            <w:hideMark/>
          </w:tcPr>
          <w:p w:rsidR="001D62DB" w:rsidRPr="00563402" w:rsidRDefault="001D62DB" w:rsidP="0042043F">
            <w:pPr>
              <w:spacing w:after="0" w:line="240" w:lineRule="aut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255,4</w:t>
            </w:r>
          </w:p>
        </w:tc>
        <w:tc>
          <w:tcPr>
            <w:tcW w:w="854" w:type="dxa"/>
            <w:tcBorders>
              <w:top w:val="nil"/>
              <w:left w:val="nil"/>
              <w:bottom w:val="single" w:sz="4" w:space="0" w:color="auto"/>
              <w:right w:val="single" w:sz="8" w:space="0" w:color="auto"/>
            </w:tcBorders>
            <w:shd w:val="clear" w:color="000000" w:fill="F8CBAC"/>
            <w:vAlign w:val="center"/>
            <w:hideMark/>
          </w:tcPr>
          <w:p w:rsidR="001D62DB" w:rsidRPr="00563402" w:rsidRDefault="001D62DB" w:rsidP="0042043F">
            <w:pPr>
              <w:spacing w:after="0" w:line="240" w:lineRule="auto"/>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0,0</w:t>
            </w:r>
          </w:p>
        </w:tc>
      </w:tr>
      <w:tr w:rsidR="001D62DB" w:rsidRPr="00563402" w:rsidTr="0042043F">
        <w:trPr>
          <w:gridAfter w:val="1"/>
          <w:wAfter w:w="10" w:type="dxa"/>
          <w:trHeight w:val="304"/>
        </w:trPr>
        <w:tc>
          <w:tcPr>
            <w:tcW w:w="1343" w:type="dxa"/>
            <w:tcBorders>
              <w:top w:val="nil"/>
              <w:left w:val="single" w:sz="8" w:space="0" w:color="auto"/>
              <w:bottom w:val="single" w:sz="8" w:space="0" w:color="auto"/>
              <w:right w:val="single" w:sz="4" w:space="0" w:color="auto"/>
            </w:tcBorders>
            <w:shd w:val="clear" w:color="000000" w:fill="FFF3CB"/>
            <w:vAlign w:val="bottom"/>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b/>
                <w:bCs/>
                <w:color w:val="000000"/>
                <w:sz w:val="18"/>
                <w:szCs w:val="18"/>
                <w:lang w:eastAsia="es-ES"/>
              </w:rPr>
            </w:pPr>
            <w:r w:rsidRPr="00563402">
              <w:rPr>
                <w:rFonts w:ascii="Arial Narrow" w:eastAsia="Times New Roman" w:hAnsi="Arial Narrow" w:cs="Calibri"/>
                <w:b/>
                <w:bCs/>
                <w:color w:val="000000"/>
                <w:sz w:val="18"/>
                <w:szCs w:val="18"/>
                <w:lang w:eastAsia="es-ES"/>
              </w:rPr>
              <w:t>Total de la Inversión</w:t>
            </w:r>
          </w:p>
        </w:tc>
        <w:tc>
          <w:tcPr>
            <w:tcW w:w="851" w:type="dxa"/>
            <w:tcBorders>
              <w:top w:val="nil"/>
              <w:left w:val="nil"/>
              <w:bottom w:val="single" w:sz="8" w:space="0" w:color="auto"/>
              <w:right w:val="single" w:sz="4" w:space="0" w:color="auto"/>
            </w:tcBorders>
            <w:shd w:val="clear" w:color="000000" w:fill="FFF3CB"/>
            <w:vAlign w:val="center"/>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b/>
                <w:bCs/>
                <w:color w:val="FF0000"/>
                <w:lang w:eastAsia="es-ES"/>
              </w:rPr>
            </w:pPr>
            <w:r w:rsidRPr="00563402">
              <w:rPr>
                <w:rFonts w:ascii="Arial Narrow" w:eastAsia="Times New Roman" w:hAnsi="Arial Narrow" w:cs="Calibri"/>
                <w:b/>
                <w:bCs/>
                <w:color w:val="FF0000"/>
                <w:lang w:eastAsia="es-ES"/>
              </w:rPr>
              <w:t>8352,5</w:t>
            </w:r>
          </w:p>
        </w:tc>
        <w:tc>
          <w:tcPr>
            <w:tcW w:w="1080" w:type="dxa"/>
            <w:tcBorders>
              <w:top w:val="nil"/>
              <w:left w:val="nil"/>
              <w:bottom w:val="single" w:sz="8" w:space="0" w:color="auto"/>
              <w:right w:val="single" w:sz="4" w:space="0" w:color="auto"/>
            </w:tcBorders>
            <w:shd w:val="clear" w:color="000000" w:fill="FFF3CB"/>
            <w:vAlign w:val="center"/>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3813,6</w:t>
            </w:r>
          </w:p>
        </w:tc>
        <w:tc>
          <w:tcPr>
            <w:tcW w:w="851" w:type="dxa"/>
            <w:tcBorders>
              <w:top w:val="nil"/>
              <w:left w:val="nil"/>
              <w:bottom w:val="single" w:sz="8" w:space="0" w:color="auto"/>
              <w:right w:val="single" w:sz="4" w:space="0" w:color="auto"/>
            </w:tcBorders>
            <w:shd w:val="clear" w:color="000000" w:fill="FFF3CB"/>
            <w:vAlign w:val="center"/>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4664,4</w:t>
            </w:r>
          </w:p>
        </w:tc>
        <w:tc>
          <w:tcPr>
            <w:tcW w:w="853" w:type="dxa"/>
            <w:tcBorders>
              <w:top w:val="nil"/>
              <w:left w:val="nil"/>
              <w:bottom w:val="single" w:sz="8" w:space="0" w:color="auto"/>
              <w:right w:val="single" w:sz="4" w:space="0" w:color="auto"/>
            </w:tcBorders>
            <w:shd w:val="clear" w:color="000000" w:fill="FFF3CB"/>
            <w:vAlign w:val="center"/>
            <w:hideMark/>
          </w:tcPr>
          <w:p w:rsidR="001D62DB" w:rsidRPr="00563402" w:rsidRDefault="001D62DB" w:rsidP="0042043F">
            <w:pPr>
              <w:spacing w:before="100" w:beforeAutospacing="1" w:after="0" w:line="240" w:lineRule="auto"/>
              <w:ind w:left="-576" w:firstLine="450"/>
              <w:rPr>
                <w:rFonts w:ascii="Arial Narrow" w:eastAsia="Times New Roman" w:hAnsi="Arial Narrow" w:cs="Calibri"/>
                <w:color w:val="000000"/>
                <w:lang w:eastAsia="es-ES"/>
              </w:rPr>
            </w:pPr>
            <w:r w:rsidRPr="00563402">
              <w:rPr>
                <w:rFonts w:ascii="Arial Narrow" w:eastAsia="Times New Roman" w:hAnsi="Arial Narrow" w:cs="Calibri"/>
                <w:color w:val="000000"/>
                <w:lang w:eastAsia="es-ES"/>
              </w:rPr>
              <w:t>0,0</w:t>
            </w:r>
          </w:p>
        </w:tc>
        <w:tc>
          <w:tcPr>
            <w:tcW w:w="851" w:type="dxa"/>
            <w:gridSpan w:val="2"/>
            <w:tcBorders>
              <w:top w:val="nil"/>
              <w:left w:val="single" w:sz="8" w:space="0" w:color="auto"/>
              <w:bottom w:val="single" w:sz="8" w:space="0" w:color="auto"/>
              <w:right w:val="single" w:sz="4" w:space="0" w:color="auto"/>
            </w:tcBorders>
            <w:shd w:val="clear" w:color="000000" w:fill="F8CBAC"/>
            <w:vAlign w:val="center"/>
            <w:hideMark/>
          </w:tcPr>
          <w:p w:rsidR="001D62DB" w:rsidRPr="00563402" w:rsidRDefault="001D62DB" w:rsidP="0042043F">
            <w:pPr>
              <w:spacing w:after="0" w:line="240" w:lineRule="auto"/>
              <w:rPr>
                <w:rFonts w:ascii="Arial Narrow" w:eastAsia="Times New Roman" w:hAnsi="Arial Narrow" w:cs="Calibri"/>
                <w:b/>
                <w:bCs/>
                <w:color w:val="FF0000"/>
                <w:lang w:eastAsia="es-ES"/>
              </w:rPr>
            </w:pPr>
            <w:r w:rsidRPr="00563402">
              <w:rPr>
                <w:rFonts w:ascii="Arial Narrow" w:eastAsia="Times New Roman" w:hAnsi="Arial Narrow" w:cs="Calibri"/>
                <w:b/>
                <w:bCs/>
                <w:color w:val="FF0000"/>
                <w:lang w:eastAsia="es-ES"/>
              </w:rPr>
              <w:t>8226,9</w:t>
            </w:r>
          </w:p>
        </w:tc>
        <w:tc>
          <w:tcPr>
            <w:tcW w:w="916" w:type="dxa"/>
            <w:tcBorders>
              <w:top w:val="nil"/>
              <w:left w:val="nil"/>
              <w:bottom w:val="single" w:sz="8" w:space="0" w:color="auto"/>
              <w:right w:val="single" w:sz="4" w:space="0" w:color="auto"/>
            </w:tcBorders>
            <w:shd w:val="clear" w:color="000000" w:fill="F8CBAC"/>
            <w:vAlign w:val="center"/>
            <w:hideMark/>
          </w:tcPr>
          <w:p w:rsidR="001D62DB" w:rsidRPr="00563402" w:rsidRDefault="001D62DB" w:rsidP="0042043F">
            <w:pPr>
              <w:spacing w:after="0" w:line="240" w:lineRule="auto"/>
              <w:rPr>
                <w:rFonts w:ascii="Arial Narrow" w:eastAsia="Times New Roman" w:hAnsi="Arial Narrow" w:cs="Calibri"/>
                <w:b/>
                <w:bCs/>
                <w:color w:val="000000"/>
                <w:lang w:eastAsia="es-ES"/>
              </w:rPr>
            </w:pPr>
            <w:r w:rsidRPr="00563402">
              <w:rPr>
                <w:rFonts w:ascii="Arial Narrow" w:eastAsia="Times New Roman" w:hAnsi="Arial Narrow" w:cs="Calibri"/>
                <w:b/>
                <w:bCs/>
                <w:color w:val="000000"/>
                <w:lang w:eastAsia="es-ES"/>
              </w:rPr>
              <w:t>3798,2</w:t>
            </w:r>
          </w:p>
        </w:tc>
        <w:tc>
          <w:tcPr>
            <w:tcW w:w="851" w:type="dxa"/>
            <w:tcBorders>
              <w:top w:val="nil"/>
              <w:left w:val="nil"/>
              <w:bottom w:val="single" w:sz="8" w:space="0" w:color="auto"/>
              <w:right w:val="single" w:sz="4" w:space="0" w:color="auto"/>
            </w:tcBorders>
            <w:shd w:val="clear" w:color="000000" w:fill="F8CBAC"/>
            <w:vAlign w:val="center"/>
            <w:hideMark/>
          </w:tcPr>
          <w:p w:rsidR="001D62DB" w:rsidRPr="00563402" w:rsidRDefault="001D62DB" w:rsidP="0042043F">
            <w:pPr>
              <w:spacing w:after="0" w:line="240" w:lineRule="auto"/>
              <w:rPr>
                <w:rFonts w:ascii="Arial Narrow" w:eastAsia="Times New Roman" w:hAnsi="Arial Narrow" w:cs="Calibri"/>
                <w:b/>
                <w:bCs/>
                <w:color w:val="000000"/>
                <w:lang w:eastAsia="es-ES"/>
              </w:rPr>
            </w:pPr>
            <w:r w:rsidRPr="00563402">
              <w:rPr>
                <w:rFonts w:ascii="Arial Narrow" w:eastAsia="Times New Roman" w:hAnsi="Arial Narrow" w:cs="Calibri"/>
                <w:b/>
                <w:bCs/>
                <w:color w:val="000000"/>
                <w:lang w:eastAsia="es-ES"/>
              </w:rPr>
              <w:t>4554,2</w:t>
            </w:r>
          </w:p>
        </w:tc>
        <w:tc>
          <w:tcPr>
            <w:tcW w:w="854" w:type="dxa"/>
            <w:tcBorders>
              <w:top w:val="nil"/>
              <w:left w:val="nil"/>
              <w:bottom w:val="single" w:sz="8" w:space="0" w:color="auto"/>
              <w:right w:val="single" w:sz="8" w:space="0" w:color="auto"/>
            </w:tcBorders>
            <w:shd w:val="clear" w:color="000000" w:fill="F8CBAC"/>
            <w:vAlign w:val="center"/>
            <w:hideMark/>
          </w:tcPr>
          <w:p w:rsidR="001D62DB" w:rsidRPr="00563402" w:rsidRDefault="001D62DB" w:rsidP="0042043F">
            <w:pPr>
              <w:spacing w:after="0" w:line="240" w:lineRule="auto"/>
              <w:rPr>
                <w:rFonts w:ascii="Arial Narrow" w:eastAsia="Times New Roman" w:hAnsi="Arial Narrow" w:cs="Calibri"/>
                <w:b/>
                <w:bCs/>
                <w:color w:val="000000"/>
                <w:lang w:eastAsia="es-ES"/>
              </w:rPr>
            </w:pPr>
            <w:r w:rsidRPr="00563402">
              <w:rPr>
                <w:rFonts w:ascii="Arial Narrow" w:eastAsia="Times New Roman" w:hAnsi="Arial Narrow" w:cs="Calibri"/>
                <w:b/>
                <w:bCs/>
                <w:color w:val="000000"/>
                <w:lang w:eastAsia="es-ES"/>
              </w:rPr>
              <w:t>0,0</w:t>
            </w:r>
          </w:p>
        </w:tc>
      </w:tr>
    </w:tbl>
    <w:p w:rsidR="001D62DB" w:rsidRPr="00251E54" w:rsidRDefault="001D62DB" w:rsidP="001D62DB">
      <w:pPr>
        <w:spacing w:after="0"/>
        <w:ind w:left="426" w:right="566" w:hanging="1277"/>
        <w:jc w:val="both"/>
        <w:rPr>
          <w:b/>
          <w:sz w:val="20"/>
          <w:szCs w:val="20"/>
        </w:rPr>
      </w:pPr>
      <w:r>
        <w:rPr>
          <w:b/>
          <w:sz w:val="20"/>
          <w:szCs w:val="20"/>
        </w:rPr>
        <w:t xml:space="preserve">                           F</w:t>
      </w:r>
      <w:r w:rsidRPr="00251E54">
        <w:rPr>
          <w:b/>
          <w:sz w:val="20"/>
          <w:szCs w:val="20"/>
        </w:rPr>
        <w:t>uente: elaboración propia.</w:t>
      </w:r>
    </w:p>
    <w:p w:rsidR="001D62DB" w:rsidRPr="001D62DB" w:rsidRDefault="001D62DB" w:rsidP="001D62DB">
      <w:pPr>
        <w:jc w:val="both"/>
      </w:pPr>
    </w:p>
    <w:p w:rsidR="00D804D4" w:rsidRPr="001D62DB" w:rsidRDefault="00D804D4" w:rsidP="001D62DB">
      <w:pPr>
        <w:pStyle w:val="Sinespaciado"/>
        <w:spacing w:line="360" w:lineRule="auto"/>
        <w:jc w:val="both"/>
        <w:rPr>
          <w:rFonts w:ascii="Times New Roman" w:hAnsi="Times New Roman" w:cs="Times New Roman"/>
          <w:sz w:val="24"/>
          <w:szCs w:val="24"/>
        </w:rPr>
      </w:pPr>
      <w:bookmarkStart w:id="1" w:name="_Toc355134189"/>
      <w:r w:rsidRPr="001D62DB">
        <w:rPr>
          <w:rFonts w:ascii="Times New Roman" w:hAnsi="Times New Roman" w:cs="Times New Roman"/>
          <w:sz w:val="24"/>
          <w:szCs w:val="24"/>
        </w:rPr>
        <w:lastRenderedPageBreak/>
        <w:t xml:space="preserve">Dentro de los costos de operación se han previsto también los gastos de salarios los cuales poseen una marcada influencia en la rentabilidad final de la inversión tomando en consideración la naturaleza automática de la operación del PFTV. Según las premisas aprobadas se contará con seis operadores y dos jefes de brigada cuyos salarios se especifican en la figura </w:t>
      </w:r>
      <w:r w:rsidR="001D62DB">
        <w:rPr>
          <w:rFonts w:ascii="Times New Roman" w:hAnsi="Times New Roman" w:cs="Times New Roman"/>
          <w:sz w:val="24"/>
          <w:szCs w:val="24"/>
        </w:rPr>
        <w:t>2</w:t>
      </w:r>
      <w:r w:rsidRPr="001D62DB">
        <w:rPr>
          <w:rFonts w:ascii="Times New Roman" w:hAnsi="Times New Roman" w:cs="Times New Roman"/>
          <w:sz w:val="24"/>
          <w:szCs w:val="24"/>
        </w:rPr>
        <w:t xml:space="preserve">. </w:t>
      </w:r>
    </w:p>
    <w:p w:rsidR="00D804D4" w:rsidRPr="008B366A" w:rsidRDefault="00D804D4" w:rsidP="00D804D4">
      <w:pPr>
        <w:ind w:left="-851" w:right="566"/>
        <w:rPr>
          <w:sz w:val="24"/>
          <w:szCs w:val="24"/>
        </w:rPr>
      </w:pPr>
      <w:r w:rsidRPr="008B366A">
        <w:rPr>
          <w:noProof/>
          <w:sz w:val="24"/>
          <w:szCs w:val="24"/>
          <w:lang w:eastAsia="es-ES"/>
        </w:rPr>
        <w:drawing>
          <wp:inline distT="0" distB="0" distL="0" distR="0">
            <wp:extent cx="5400675" cy="3143250"/>
            <wp:effectExtent l="19050" t="0" r="9525" b="0"/>
            <wp:docPr id="26" name="Imagen 7" descr="C:\Users\Taymi\AppData\Local\Microsoft\Windows\Temporary Internet Files\Content.Word\salar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ymi\AppData\Local\Microsoft\Windows\Temporary Internet Files\Content.Word\salarios.png"/>
                    <pic:cNvPicPr>
                      <a:picLocks noChangeAspect="1" noChangeArrowheads="1"/>
                    </pic:cNvPicPr>
                  </pic:nvPicPr>
                  <pic:blipFill>
                    <a:blip r:embed="rId10" cstate="print"/>
                    <a:srcRect/>
                    <a:stretch>
                      <a:fillRect/>
                    </a:stretch>
                  </pic:blipFill>
                  <pic:spPr bwMode="auto">
                    <a:xfrm>
                      <a:off x="0" y="0"/>
                      <a:ext cx="5400040" cy="3142880"/>
                    </a:xfrm>
                    <a:prstGeom prst="rect">
                      <a:avLst/>
                    </a:prstGeom>
                    <a:noFill/>
                    <a:ln w="9525">
                      <a:noFill/>
                      <a:miter lim="800000"/>
                      <a:headEnd/>
                      <a:tailEnd/>
                    </a:ln>
                  </pic:spPr>
                </pic:pic>
              </a:graphicData>
            </a:graphic>
          </wp:inline>
        </w:drawing>
      </w:r>
    </w:p>
    <w:p w:rsidR="00D804D4" w:rsidRPr="00043CA7" w:rsidRDefault="001D62DB" w:rsidP="001D62DB">
      <w:pPr>
        <w:spacing w:line="240" w:lineRule="auto"/>
        <w:ind w:left="-284" w:right="1077" w:hanging="396"/>
        <w:jc w:val="both"/>
        <w:rPr>
          <w:rFonts w:ascii="Times New Roman" w:hAnsi="Times New Roman" w:cs="Times New Roman"/>
          <w:sz w:val="24"/>
          <w:szCs w:val="24"/>
        </w:rPr>
      </w:pPr>
      <w:r>
        <w:rPr>
          <w:b/>
          <w:sz w:val="20"/>
          <w:szCs w:val="20"/>
        </w:rPr>
        <w:t xml:space="preserve">       </w:t>
      </w:r>
      <w:r w:rsidR="00D804D4" w:rsidRPr="001A5FCD">
        <w:rPr>
          <w:b/>
          <w:sz w:val="20"/>
          <w:szCs w:val="20"/>
        </w:rPr>
        <w:t xml:space="preserve">Figura </w:t>
      </w:r>
      <w:r>
        <w:rPr>
          <w:b/>
          <w:sz w:val="20"/>
          <w:szCs w:val="20"/>
        </w:rPr>
        <w:t>2</w:t>
      </w:r>
      <w:r w:rsidR="00D804D4" w:rsidRPr="001A5FCD">
        <w:rPr>
          <w:b/>
          <w:sz w:val="20"/>
          <w:szCs w:val="20"/>
        </w:rPr>
        <w:t>. Salario de los operadores</w:t>
      </w:r>
      <w:r w:rsidR="00D804D4">
        <w:rPr>
          <w:b/>
          <w:sz w:val="20"/>
          <w:szCs w:val="20"/>
        </w:rPr>
        <w:t xml:space="preserve"> previstos para la operación del PFTV "Marrero"</w:t>
      </w:r>
      <w:r w:rsidR="00D804D4" w:rsidRPr="001A5FCD">
        <w:rPr>
          <w:b/>
          <w:sz w:val="20"/>
          <w:szCs w:val="20"/>
        </w:rPr>
        <w:t>.</w:t>
      </w:r>
      <w:r w:rsidR="00D804D4">
        <w:rPr>
          <w:b/>
          <w:sz w:val="20"/>
          <w:szCs w:val="20"/>
        </w:rPr>
        <w:t xml:space="preserve"> </w:t>
      </w:r>
      <w:r w:rsidR="00D804D4" w:rsidRPr="001A5FCD">
        <w:rPr>
          <w:b/>
          <w:sz w:val="20"/>
          <w:szCs w:val="20"/>
        </w:rPr>
        <w:t xml:space="preserve">Fuente: </w:t>
      </w:r>
      <w:r>
        <w:rPr>
          <w:b/>
          <w:sz w:val="20"/>
          <w:szCs w:val="20"/>
        </w:rPr>
        <w:t xml:space="preserve">  </w:t>
      </w:r>
      <w:r w:rsidR="00D804D4" w:rsidRPr="001A5FCD">
        <w:rPr>
          <w:b/>
          <w:sz w:val="20"/>
          <w:szCs w:val="20"/>
        </w:rPr>
        <w:t>elaboración propia.</w:t>
      </w:r>
    </w:p>
    <w:p w:rsidR="00D804D4" w:rsidRDefault="00D804D4" w:rsidP="001D62DB">
      <w:pPr>
        <w:pStyle w:val="Sinespaciado"/>
        <w:spacing w:line="360" w:lineRule="auto"/>
        <w:jc w:val="both"/>
        <w:rPr>
          <w:sz w:val="24"/>
          <w:szCs w:val="24"/>
        </w:rPr>
      </w:pPr>
      <w:r w:rsidRPr="001D62DB">
        <w:rPr>
          <w:rFonts w:ascii="Times New Roman" w:hAnsi="Times New Roman" w:cs="Times New Roman"/>
          <w:sz w:val="24"/>
          <w:szCs w:val="24"/>
        </w:rPr>
        <w:t>Teniendo en cuenta las consideraciones anteriores y que la presente inversión tiene como objetivo fundamental que la planta esté interconectada al SEN razón por la que no tendrá un consumidor único o definido, se consideró para el presente estudio una tarifa promedio acordada en las reuniones del grupo nacional de Energías Renovables: 0,15 CUC/kWh y 0,12 CUP/kWh para una tarifa total de 0,27 MT/kWh.</w:t>
      </w:r>
      <w:r w:rsidR="001D62DB">
        <w:rPr>
          <w:rFonts w:ascii="Times New Roman" w:hAnsi="Times New Roman" w:cs="Times New Roman"/>
          <w:sz w:val="24"/>
          <w:szCs w:val="24"/>
        </w:rPr>
        <w:t xml:space="preserve"> </w:t>
      </w:r>
      <w:r w:rsidRPr="00043CA7">
        <w:rPr>
          <w:rFonts w:ascii="Times New Roman" w:hAnsi="Times New Roman" w:cs="Times New Roman"/>
          <w:sz w:val="24"/>
          <w:szCs w:val="24"/>
        </w:rPr>
        <w:t>Considerando una generación lineal de 58.125 MWh/año y un factor de decrecimiento de 0.9895 para los primeros diez años y de 0.9922 para los años restantes, por concepto de ahorro de combustible se ha calcula que este</w:t>
      </w:r>
      <w:r w:rsidRPr="0008259E">
        <w:rPr>
          <w:sz w:val="24"/>
          <w:szCs w:val="24"/>
        </w:rPr>
        <w:t xml:space="preserve"> </w:t>
      </w:r>
      <w:r w:rsidRPr="00043CA7">
        <w:rPr>
          <w:rFonts w:ascii="Times New Roman" w:hAnsi="Times New Roman" w:cs="Times New Roman"/>
          <w:sz w:val="24"/>
          <w:szCs w:val="24"/>
        </w:rPr>
        <w:lastRenderedPageBreak/>
        <w:t xml:space="preserve">proyecto ahorra cerca de 13 890.0 MMT. La generación estimada total de 51.469 MWh provoca ahorro de toneladas de combustible (diésel)  con un importante beneficio añadido de evitar la emisión de 45.05 toneladas de CO2 al ambiente. Las referencias a estos datos se muestran en la figura </w:t>
      </w:r>
      <w:r w:rsidR="001D62DB" w:rsidRPr="00043CA7">
        <w:rPr>
          <w:rFonts w:ascii="Times New Roman" w:hAnsi="Times New Roman" w:cs="Times New Roman"/>
          <w:sz w:val="24"/>
          <w:szCs w:val="24"/>
        </w:rPr>
        <w:t>3</w:t>
      </w:r>
      <w:r w:rsidRPr="00043CA7">
        <w:rPr>
          <w:rFonts w:ascii="Times New Roman" w:hAnsi="Times New Roman" w:cs="Times New Roman"/>
          <w:sz w:val="24"/>
          <w:szCs w:val="24"/>
        </w:rPr>
        <w:t>.</w:t>
      </w:r>
    </w:p>
    <w:p w:rsidR="00D804D4" w:rsidRDefault="00D804D4" w:rsidP="00D804D4">
      <w:pPr>
        <w:ind w:left="-851" w:right="566"/>
        <w:rPr>
          <w:sz w:val="24"/>
          <w:szCs w:val="24"/>
        </w:rPr>
      </w:pPr>
      <w:r>
        <w:rPr>
          <w:noProof/>
          <w:lang w:eastAsia="es-ES"/>
        </w:rPr>
        <w:drawing>
          <wp:inline distT="0" distB="0" distL="0" distR="0">
            <wp:extent cx="3057525" cy="1714500"/>
            <wp:effectExtent l="19050" t="0" r="9525" b="0"/>
            <wp:docPr id="31" name="Imagen 22" descr="C:\Users\Taymi\AppData\Local\Microsoft\Windows\Temporary Internet Files\Content.Word\ingres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aymi\AppData\Local\Microsoft\Windows\Temporary Internet Files\Content.Word\ingresos.png"/>
                    <pic:cNvPicPr>
                      <a:picLocks noChangeAspect="1" noChangeArrowheads="1"/>
                    </pic:cNvPicPr>
                  </pic:nvPicPr>
                  <pic:blipFill>
                    <a:blip r:embed="rId11" cstate="print"/>
                    <a:srcRect/>
                    <a:stretch>
                      <a:fillRect/>
                    </a:stretch>
                  </pic:blipFill>
                  <pic:spPr bwMode="auto">
                    <a:xfrm>
                      <a:off x="0" y="0"/>
                      <a:ext cx="3057525" cy="1714500"/>
                    </a:xfrm>
                    <a:prstGeom prst="rect">
                      <a:avLst/>
                    </a:prstGeom>
                    <a:noFill/>
                    <a:ln w="9525">
                      <a:noFill/>
                      <a:miter lim="800000"/>
                      <a:headEnd/>
                      <a:tailEnd/>
                    </a:ln>
                  </pic:spPr>
                </pic:pic>
              </a:graphicData>
            </a:graphic>
          </wp:inline>
        </w:drawing>
      </w:r>
    </w:p>
    <w:p w:rsidR="00D804D4" w:rsidRDefault="00D804D4" w:rsidP="001D62DB">
      <w:pPr>
        <w:spacing w:line="240" w:lineRule="auto"/>
        <w:ind w:left="1077" w:right="2041"/>
        <w:jc w:val="both"/>
        <w:rPr>
          <w:b/>
          <w:sz w:val="20"/>
          <w:szCs w:val="20"/>
        </w:rPr>
      </w:pPr>
      <w:r w:rsidRPr="00ED500A">
        <w:rPr>
          <w:b/>
          <w:sz w:val="20"/>
          <w:szCs w:val="20"/>
        </w:rPr>
        <w:t xml:space="preserve">Figura </w:t>
      </w:r>
      <w:r w:rsidR="001D62DB">
        <w:rPr>
          <w:b/>
          <w:sz w:val="20"/>
          <w:szCs w:val="20"/>
        </w:rPr>
        <w:t>3</w:t>
      </w:r>
      <w:r w:rsidRPr="00ED500A">
        <w:rPr>
          <w:b/>
          <w:sz w:val="20"/>
          <w:szCs w:val="20"/>
        </w:rPr>
        <w:t>. Proyección de la generación estimada y las toneladas de CO</w:t>
      </w:r>
      <w:r w:rsidRPr="004E27EE">
        <w:rPr>
          <w:b/>
          <w:sz w:val="20"/>
          <w:szCs w:val="20"/>
          <w:vertAlign w:val="subscript"/>
        </w:rPr>
        <w:t>2</w:t>
      </w:r>
      <w:r w:rsidRPr="00ED500A">
        <w:rPr>
          <w:b/>
          <w:sz w:val="20"/>
          <w:szCs w:val="20"/>
        </w:rPr>
        <w:t xml:space="preserve"> dejadas de emitir al término de la vida útil.</w:t>
      </w:r>
      <w:r>
        <w:rPr>
          <w:b/>
          <w:sz w:val="20"/>
          <w:szCs w:val="20"/>
        </w:rPr>
        <w:t xml:space="preserve"> </w:t>
      </w:r>
      <w:r w:rsidRPr="00ED500A">
        <w:rPr>
          <w:b/>
          <w:sz w:val="20"/>
          <w:szCs w:val="20"/>
        </w:rPr>
        <w:t xml:space="preserve">Fuente: elaboración de </w:t>
      </w:r>
      <w:r w:rsidR="001D62DB">
        <w:rPr>
          <w:b/>
          <w:sz w:val="20"/>
          <w:szCs w:val="20"/>
        </w:rPr>
        <w:t>los autores.</w:t>
      </w:r>
    </w:p>
    <w:p w:rsidR="00D804D4" w:rsidRPr="001D62DB" w:rsidRDefault="00D804D4" w:rsidP="001D62DB">
      <w:pPr>
        <w:pStyle w:val="Sinespaciado"/>
        <w:spacing w:line="360" w:lineRule="auto"/>
        <w:jc w:val="both"/>
        <w:rPr>
          <w:rFonts w:ascii="Times New Roman" w:hAnsi="Times New Roman" w:cs="Times New Roman"/>
          <w:sz w:val="24"/>
          <w:szCs w:val="24"/>
        </w:rPr>
      </w:pPr>
      <w:r w:rsidRPr="001D62DB">
        <w:rPr>
          <w:rFonts w:ascii="Times New Roman" w:hAnsi="Times New Roman" w:cs="Times New Roman"/>
          <w:sz w:val="24"/>
          <w:szCs w:val="24"/>
        </w:rPr>
        <w:t xml:space="preserve">El flujo de caja de rendimiento del capital social en MMT se muestra en el anexo 10. Como puede observarse el proyecto en este escenario no ofrece rentabilidad absoluta a la empresa ya que genera una pérdida de 2 394.1 MMT. Este resultado está influenciado por el hecho de que la mayor parte de los costos operacionales y de la propia inversión inicial están expresados en CUP a la vez que por este concepto se obtienen los menores ingresos ya que la tarifa eléctrica en CUP es más baja que en CUC (120 CUP por 150 CUC). La rentabilidad relativa ascendente a 1.2% expresa esta situación descrita anteriormente, ya que el costo del capital (5%) la supera marginalmente en 3.8%. De esta forma los ingresos no son capaces de cubrir los costos totales en 0.3 centavos y la inversión no logra recuperarse al término de su vida útil de 25 años. Este comportamiento se presenta en la figura </w:t>
      </w:r>
      <w:r w:rsidR="001D62DB">
        <w:rPr>
          <w:rFonts w:ascii="Times New Roman" w:hAnsi="Times New Roman" w:cs="Times New Roman"/>
          <w:sz w:val="24"/>
          <w:szCs w:val="24"/>
        </w:rPr>
        <w:t>4</w:t>
      </w:r>
      <w:r w:rsidRPr="001D62DB">
        <w:rPr>
          <w:rFonts w:ascii="Times New Roman" w:hAnsi="Times New Roman" w:cs="Times New Roman"/>
          <w:sz w:val="24"/>
          <w:szCs w:val="24"/>
        </w:rPr>
        <w:t xml:space="preserve">.   </w:t>
      </w:r>
    </w:p>
    <w:p w:rsidR="00D804D4" w:rsidRDefault="00D804D4" w:rsidP="00D804D4">
      <w:pPr>
        <w:ind w:left="-851"/>
        <w:rPr>
          <w:b/>
          <w:sz w:val="20"/>
          <w:szCs w:val="20"/>
        </w:rPr>
      </w:pPr>
      <w:r>
        <w:rPr>
          <w:noProof/>
          <w:lang w:eastAsia="es-ES"/>
        </w:rPr>
        <w:lastRenderedPageBreak/>
        <w:drawing>
          <wp:inline distT="0" distB="0" distL="0" distR="0">
            <wp:extent cx="2952750" cy="1295400"/>
            <wp:effectExtent l="19050" t="0" r="0" b="0"/>
            <wp:docPr id="194" name="Imagen 28" descr="C:\Users\Taymi\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Taymi\AppData\Local\Microsoft\Windows\Temporary Internet Files\Content.Word\1.png"/>
                    <pic:cNvPicPr>
                      <a:picLocks noChangeAspect="1" noChangeArrowheads="1"/>
                    </pic:cNvPicPr>
                  </pic:nvPicPr>
                  <pic:blipFill>
                    <a:blip r:embed="rId12" cstate="print"/>
                    <a:srcRect/>
                    <a:stretch>
                      <a:fillRect/>
                    </a:stretch>
                  </pic:blipFill>
                  <pic:spPr bwMode="auto">
                    <a:xfrm>
                      <a:off x="0" y="0"/>
                      <a:ext cx="2952750" cy="1295400"/>
                    </a:xfrm>
                    <a:prstGeom prst="rect">
                      <a:avLst/>
                    </a:prstGeom>
                    <a:noFill/>
                    <a:ln w="9525">
                      <a:noFill/>
                      <a:miter lim="800000"/>
                      <a:headEnd/>
                      <a:tailEnd/>
                    </a:ln>
                  </pic:spPr>
                </pic:pic>
              </a:graphicData>
            </a:graphic>
          </wp:inline>
        </w:drawing>
      </w:r>
    </w:p>
    <w:p w:rsidR="00D804D4" w:rsidRPr="001D62DB" w:rsidRDefault="00D804D4" w:rsidP="001D62DB">
      <w:pPr>
        <w:spacing w:line="240" w:lineRule="auto"/>
        <w:ind w:left="1474" w:right="2324"/>
        <w:jc w:val="both"/>
        <w:rPr>
          <w:rFonts w:ascii="Times New Roman" w:hAnsi="Times New Roman" w:cs="Times New Roman"/>
          <w:b/>
          <w:sz w:val="20"/>
          <w:szCs w:val="20"/>
        </w:rPr>
      </w:pPr>
      <w:r w:rsidRPr="001D62DB">
        <w:rPr>
          <w:rFonts w:ascii="Times New Roman" w:hAnsi="Times New Roman" w:cs="Times New Roman"/>
          <w:b/>
          <w:sz w:val="20"/>
          <w:szCs w:val="20"/>
        </w:rPr>
        <w:t xml:space="preserve">Figura </w:t>
      </w:r>
      <w:r w:rsidR="001D62DB" w:rsidRPr="001D62DB">
        <w:rPr>
          <w:rFonts w:ascii="Times New Roman" w:hAnsi="Times New Roman" w:cs="Times New Roman"/>
          <w:b/>
          <w:sz w:val="20"/>
          <w:szCs w:val="20"/>
        </w:rPr>
        <w:t>4</w:t>
      </w:r>
      <w:r w:rsidRPr="001D62DB">
        <w:rPr>
          <w:rFonts w:ascii="Times New Roman" w:hAnsi="Times New Roman" w:cs="Times New Roman"/>
          <w:b/>
          <w:sz w:val="20"/>
          <w:szCs w:val="20"/>
        </w:rPr>
        <w:t>. Resultados de los indicadores financieros de la inversión expresados en MMT. Fuente: elaboración de l</w:t>
      </w:r>
      <w:r w:rsidR="001D62DB">
        <w:rPr>
          <w:rFonts w:ascii="Times New Roman" w:hAnsi="Times New Roman" w:cs="Times New Roman"/>
          <w:b/>
          <w:sz w:val="20"/>
          <w:szCs w:val="20"/>
        </w:rPr>
        <w:t>os</w:t>
      </w:r>
      <w:r w:rsidRPr="001D62DB">
        <w:rPr>
          <w:rFonts w:ascii="Times New Roman" w:hAnsi="Times New Roman" w:cs="Times New Roman"/>
          <w:b/>
          <w:sz w:val="20"/>
          <w:szCs w:val="20"/>
        </w:rPr>
        <w:t xml:space="preserve"> autor</w:t>
      </w:r>
      <w:r w:rsidR="001D62DB">
        <w:rPr>
          <w:rFonts w:ascii="Times New Roman" w:hAnsi="Times New Roman" w:cs="Times New Roman"/>
          <w:b/>
          <w:sz w:val="20"/>
          <w:szCs w:val="20"/>
        </w:rPr>
        <w:t>es</w:t>
      </w:r>
      <w:r w:rsidRPr="001D62DB">
        <w:rPr>
          <w:rFonts w:ascii="Times New Roman" w:hAnsi="Times New Roman" w:cs="Times New Roman"/>
          <w:b/>
          <w:sz w:val="20"/>
          <w:szCs w:val="20"/>
        </w:rPr>
        <w:t>.</w:t>
      </w:r>
    </w:p>
    <w:p w:rsidR="00D804D4" w:rsidRPr="001D62DB" w:rsidRDefault="00D804D4" w:rsidP="001D62DB">
      <w:pPr>
        <w:pStyle w:val="Sinespaciado"/>
        <w:spacing w:line="360" w:lineRule="auto"/>
        <w:jc w:val="both"/>
        <w:rPr>
          <w:rFonts w:ascii="Times New Roman" w:hAnsi="Times New Roman" w:cs="Times New Roman"/>
          <w:sz w:val="24"/>
          <w:szCs w:val="24"/>
        </w:rPr>
      </w:pPr>
      <w:r w:rsidRPr="001D62DB">
        <w:rPr>
          <w:rFonts w:ascii="Times New Roman" w:hAnsi="Times New Roman" w:cs="Times New Roman"/>
          <w:sz w:val="24"/>
          <w:szCs w:val="24"/>
        </w:rPr>
        <w:t>Es por ello que, el estudio de la factibilidad de la inversión por cada tipo de moneda utilizada en la proyección, establece un  análisis particularizado de la factibilidad de acometer esta propuesta. Se corroboran los indicios de que la moneda que afecta el acometimiento exitoso de la inversión es el CUP que deja de crear valor a la organización en 2 628.3 MCUP lo que la convierte, desde el punto de vista de su temporalidad espacial, en una inversión no recuperable al término de su vida útil</w:t>
      </w:r>
      <w:r w:rsidR="001D62DB">
        <w:rPr>
          <w:rFonts w:ascii="Times New Roman" w:hAnsi="Times New Roman" w:cs="Times New Roman"/>
          <w:sz w:val="24"/>
          <w:szCs w:val="24"/>
        </w:rPr>
        <w:t>, figura 5</w:t>
      </w:r>
      <w:r w:rsidRPr="001D62DB">
        <w:rPr>
          <w:rFonts w:ascii="Times New Roman" w:hAnsi="Times New Roman" w:cs="Times New Roman"/>
          <w:sz w:val="24"/>
          <w:szCs w:val="24"/>
        </w:rPr>
        <w:t xml:space="preserve">. Sin embargo, en la figura 17 derecha se verifica que en CUC la inversión del PFTV "Marrero" genera una rentabilidad absoluta de 234.2 MCUC por lo que la tasa interna de retorno de la inversión supera al costo de capital proyectado (5.6%&gt;5.0%). La inversión se recupera aproximadamente a los 22 años lo cual cubre las expectativas de su vida útil (22 años&lt; 25 años). Los ingresos totales cubren y sobrepasan en 0.1 centavos los costos totales. </w:t>
      </w:r>
    </w:p>
    <w:p w:rsidR="00D804D4" w:rsidRDefault="00D804D4" w:rsidP="00D804D4">
      <w:pPr>
        <w:ind w:left="-851"/>
        <w:rPr>
          <w:b/>
          <w:sz w:val="20"/>
          <w:szCs w:val="20"/>
        </w:rPr>
      </w:pPr>
      <w:r>
        <w:rPr>
          <w:noProof/>
          <w:lang w:eastAsia="es-ES"/>
        </w:rPr>
        <w:drawing>
          <wp:inline distT="0" distB="0" distL="0" distR="0">
            <wp:extent cx="2562225" cy="1257300"/>
            <wp:effectExtent l="19050" t="0" r="9525" b="0"/>
            <wp:docPr id="34" name="Imagen 34" descr="C:\Users\Taymi\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Taymi\AppData\Local\Microsoft\Windows\Temporary Internet Files\Content.Word\2.png"/>
                    <pic:cNvPicPr>
                      <a:picLocks noChangeAspect="1" noChangeArrowheads="1"/>
                    </pic:cNvPicPr>
                  </pic:nvPicPr>
                  <pic:blipFill>
                    <a:blip r:embed="rId13" cstate="print"/>
                    <a:srcRect/>
                    <a:stretch>
                      <a:fillRect/>
                    </a:stretch>
                  </pic:blipFill>
                  <pic:spPr bwMode="auto">
                    <a:xfrm>
                      <a:off x="0" y="0"/>
                      <a:ext cx="2562225" cy="1257300"/>
                    </a:xfrm>
                    <a:prstGeom prst="rect">
                      <a:avLst/>
                    </a:prstGeom>
                    <a:noFill/>
                    <a:ln w="9525">
                      <a:noFill/>
                      <a:miter lim="800000"/>
                      <a:headEnd/>
                      <a:tailEnd/>
                    </a:ln>
                  </pic:spPr>
                </pic:pic>
              </a:graphicData>
            </a:graphic>
          </wp:inline>
        </w:drawing>
      </w:r>
      <w:r>
        <w:t xml:space="preserve">   </w:t>
      </w:r>
      <w:r>
        <w:rPr>
          <w:noProof/>
          <w:lang w:eastAsia="es-ES"/>
        </w:rPr>
        <w:drawing>
          <wp:inline distT="0" distB="0" distL="0" distR="0">
            <wp:extent cx="2171700" cy="1200150"/>
            <wp:effectExtent l="19050" t="0" r="0" b="0"/>
            <wp:docPr id="40" name="Imagen 40" descr="C:\Users\Taymi\AppData\Local\Microsoft\Windows\Temporary Internet Files\Content.Word\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Taymi\AppData\Local\Microsoft\Windows\Temporary Internet Files\Content.Word\Sin título.png"/>
                    <pic:cNvPicPr>
                      <a:picLocks noChangeAspect="1" noChangeArrowheads="1"/>
                    </pic:cNvPicPr>
                  </pic:nvPicPr>
                  <pic:blipFill>
                    <a:blip r:embed="rId14" cstate="print"/>
                    <a:srcRect/>
                    <a:stretch>
                      <a:fillRect/>
                    </a:stretch>
                  </pic:blipFill>
                  <pic:spPr bwMode="auto">
                    <a:xfrm>
                      <a:off x="0" y="0"/>
                      <a:ext cx="2171700" cy="1200150"/>
                    </a:xfrm>
                    <a:prstGeom prst="rect">
                      <a:avLst/>
                    </a:prstGeom>
                    <a:noFill/>
                    <a:ln w="9525">
                      <a:noFill/>
                      <a:miter lim="800000"/>
                      <a:headEnd/>
                      <a:tailEnd/>
                    </a:ln>
                  </pic:spPr>
                </pic:pic>
              </a:graphicData>
            </a:graphic>
          </wp:inline>
        </w:drawing>
      </w:r>
    </w:p>
    <w:p w:rsidR="001D62DB" w:rsidRDefault="00D804D4" w:rsidP="001D62DB">
      <w:pPr>
        <w:spacing w:line="240" w:lineRule="auto"/>
        <w:ind w:left="397" w:right="1247"/>
        <w:jc w:val="both"/>
        <w:rPr>
          <w:rFonts w:ascii="Times New Roman" w:hAnsi="Times New Roman" w:cs="Times New Roman"/>
          <w:b/>
          <w:sz w:val="20"/>
          <w:szCs w:val="20"/>
        </w:rPr>
      </w:pPr>
      <w:r w:rsidRPr="001D62DB">
        <w:rPr>
          <w:rFonts w:ascii="Times New Roman" w:hAnsi="Times New Roman" w:cs="Times New Roman"/>
          <w:b/>
          <w:sz w:val="20"/>
          <w:szCs w:val="20"/>
        </w:rPr>
        <w:t xml:space="preserve">Figura </w:t>
      </w:r>
      <w:r w:rsidR="001D62DB" w:rsidRPr="001D62DB">
        <w:rPr>
          <w:rFonts w:ascii="Times New Roman" w:hAnsi="Times New Roman" w:cs="Times New Roman"/>
          <w:b/>
          <w:sz w:val="20"/>
          <w:szCs w:val="20"/>
        </w:rPr>
        <w:t>5</w:t>
      </w:r>
      <w:r w:rsidRPr="001D62DB">
        <w:rPr>
          <w:rFonts w:ascii="Times New Roman" w:hAnsi="Times New Roman" w:cs="Times New Roman"/>
          <w:b/>
          <w:sz w:val="20"/>
          <w:szCs w:val="20"/>
        </w:rPr>
        <w:t>. Resultados de los indicadores económico-financieros, izquierda en MCUP y derecha en MCUC. Fuente: elaboración de l</w:t>
      </w:r>
      <w:r w:rsidR="001D62DB">
        <w:rPr>
          <w:rFonts w:ascii="Times New Roman" w:hAnsi="Times New Roman" w:cs="Times New Roman"/>
          <w:b/>
          <w:sz w:val="20"/>
          <w:szCs w:val="20"/>
        </w:rPr>
        <w:t>os autores.</w:t>
      </w:r>
    </w:p>
    <w:p w:rsidR="00D804D4" w:rsidRPr="001D62DB" w:rsidRDefault="00D804D4" w:rsidP="001D62DB">
      <w:pPr>
        <w:pStyle w:val="Sinespaciado"/>
        <w:spacing w:line="360" w:lineRule="auto"/>
        <w:jc w:val="both"/>
        <w:rPr>
          <w:rFonts w:ascii="Times New Roman" w:hAnsi="Times New Roman" w:cs="Times New Roman"/>
          <w:sz w:val="24"/>
          <w:szCs w:val="24"/>
        </w:rPr>
      </w:pPr>
      <w:r w:rsidRPr="001D62DB">
        <w:rPr>
          <w:rFonts w:ascii="Times New Roman" w:hAnsi="Times New Roman" w:cs="Times New Roman"/>
          <w:sz w:val="24"/>
          <w:szCs w:val="24"/>
        </w:rPr>
        <w:lastRenderedPageBreak/>
        <w:t>No obstante, la factibilidad económica-financiera como todo estudio en proyección requiere del análisis de escenarios, cuya probabilidad de ocurrencia se considera elevada, dado el carácter incierto, dinámico e inestable de los actuales mercados e instituciones financieras. Estos escenarios permiten establecer cambios en las principales variables de manera que sea posible estimar el comportamiento de la inversión en cada uno de ellos. Una herramienta muy utilizada con esta finalidad es el análisis de sensibilidad. La figura</w:t>
      </w:r>
      <w:r w:rsidR="001D62DB">
        <w:rPr>
          <w:rFonts w:ascii="Times New Roman" w:hAnsi="Times New Roman" w:cs="Times New Roman"/>
          <w:sz w:val="24"/>
          <w:szCs w:val="24"/>
        </w:rPr>
        <w:t xml:space="preserve"> 6</w:t>
      </w:r>
      <w:r w:rsidRPr="001D62DB">
        <w:rPr>
          <w:rFonts w:ascii="Times New Roman" w:hAnsi="Times New Roman" w:cs="Times New Roman"/>
          <w:sz w:val="24"/>
          <w:szCs w:val="24"/>
        </w:rPr>
        <w:t xml:space="preserve"> muestra el estudio de sensibilidad realizado ante posibles variaciones en los costos de la inversión y los costos de operación y mantenimiento.</w:t>
      </w:r>
    </w:p>
    <w:p w:rsidR="00D804D4" w:rsidRPr="00AA3461" w:rsidRDefault="00D804D4" w:rsidP="00BC4EE3">
      <w:pPr>
        <w:ind w:left="-851" w:right="1077" w:firstLine="1277"/>
        <w:jc w:val="right"/>
        <w:rPr>
          <w:sz w:val="24"/>
          <w:szCs w:val="24"/>
        </w:rPr>
      </w:pPr>
      <w:r>
        <w:rPr>
          <w:noProof/>
          <w:lang w:eastAsia="es-ES"/>
        </w:rPr>
        <w:drawing>
          <wp:inline distT="0" distB="0" distL="0" distR="0">
            <wp:extent cx="5105400" cy="4210050"/>
            <wp:effectExtent l="19050" t="0" r="0" b="0"/>
            <wp:docPr id="50" name="Imagen 50" descr="C:\Users\Taymi\AppData\Local\Microsoft\Windows\Temporary Internet Files\Content.Word\sensibi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Taymi\AppData\Local\Microsoft\Windows\Temporary Internet Files\Content.Word\sensibilidad.png"/>
                    <pic:cNvPicPr>
                      <a:picLocks noChangeAspect="1" noChangeArrowheads="1"/>
                    </pic:cNvPicPr>
                  </pic:nvPicPr>
                  <pic:blipFill>
                    <a:blip r:embed="rId15" cstate="print"/>
                    <a:srcRect/>
                    <a:stretch>
                      <a:fillRect/>
                    </a:stretch>
                  </pic:blipFill>
                  <pic:spPr bwMode="auto">
                    <a:xfrm>
                      <a:off x="0" y="0"/>
                      <a:ext cx="5105400" cy="4210050"/>
                    </a:xfrm>
                    <a:prstGeom prst="rect">
                      <a:avLst/>
                    </a:prstGeom>
                    <a:noFill/>
                    <a:ln w="9525">
                      <a:noFill/>
                      <a:miter lim="800000"/>
                      <a:headEnd/>
                      <a:tailEnd/>
                    </a:ln>
                  </pic:spPr>
                </pic:pic>
              </a:graphicData>
            </a:graphic>
          </wp:inline>
        </w:drawing>
      </w:r>
      <w:r w:rsidRPr="00486C88">
        <w:rPr>
          <w:b/>
          <w:sz w:val="20"/>
          <w:szCs w:val="20"/>
        </w:rPr>
        <w:t xml:space="preserve">Figura </w:t>
      </w:r>
      <w:r w:rsidR="00BC4EE3">
        <w:rPr>
          <w:b/>
          <w:sz w:val="20"/>
          <w:szCs w:val="20"/>
        </w:rPr>
        <w:t>6</w:t>
      </w:r>
      <w:r w:rsidRPr="00486C88">
        <w:rPr>
          <w:b/>
          <w:sz w:val="20"/>
          <w:szCs w:val="20"/>
        </w:rPr>
        <w:t xml:space="preserve">.  </w:t>
      </w:r>
      <w:r>
        <w:rPr>
          <w:b/>
          <w:sz w:val="20"/>
          <w:szCs w:val="20"/>
        </w:rPr>
        <w:t xml:space="preserve">Análisis de sensibilidad proyectado. </w:t>
      </w:r>
      <w:r w:rsidRPr="00486C88">
        <w:rPr>
          <w:b/>
          <w:sz w:val="20"/>
          <w:szCs w:val="20"/>
        </w:rPr>
        <w:t>Fuente: elaboración de l</w:t>
      </w:r>
      <w:r w:rsidR="00BC4EE3">
        <w:rPr>
          <w:b/>
          <w:sz w:val="20"/>
          <w:szCs w:val="20"/>
        </w:rPr>
        <w:t>os autores</w:t>
      </w:r>
      <w:r w:rsidRPr="00486C88">
        <w:rPr>
          <w:b/>
          <w:sz w:val="20"/>
          <w:szCs w:val="20"/>
        </w:rPr>
        <w:t>.</w:t>
      </w:r>
    </w:p>
    <w:bookmarkEnd w:id="1"/>
    <w:p w:rsidR="00D804D4" w:rsidRPr="00BC4EE3" w:rsidRDefault="00D804D4" w:rsidP="00BC4EE3">
      <w:pPr>
        <w:pStyle w:val="Sinespaciado"/>
        <w:spacing w:line="360" w:lineRule="auto"/>
        <w:jc w:val="both"/>
        <w:rPr>
          <w:rFonts w:ascii="Times New Roman" w:hAnsi="Times New Roman" w:cs="Times New Roman"/>
          <w:sz w:val="24"/>
          <w:szCs w:val="24"/>
        </w:rPr>
      </w:pPr>
      <w:r w:rsidRPr="00BC4EE3">
        <w:rPr>
          <w:rFonts w:ascii="Times New Roman" w:hAnsi="Times New Roman" w:cs="Times New Roman"/>
          <w:sz w:val="24"/>
          <w:szCs w:val="24"/>
        </w:rPr>
        <w:lastRenderedPageBreak/>
        <w:t xml:space="preserve">Para el país, resulta determinante el análisis </w:t>
      </w:r>
      <w:hyperlink w:anchor="_Toc384328889" w:history="1">
        <w:bookmarkStart w:id="2" w:name="_Toc462064982"/>
        <w:r w:rsidRPr="00BC4EE3">
          <w:rPr>
            <w:rFonts w:ascii="Times New Roman" w:hAnsi="Times New Roman" w:cs="Times New Roman"/>
            <w:sz w:val="24"/>
            <w:szCs w:val="24"/>
          </w:rPr>
          <w:t>del flujo de caja en USD para el balance externo</w:t>
        </w:r>
        <w:bookmarkEnd w:id="2"/>
      </w:hyperlink>
      <w:r w:rsidRPr="00BC4EE3">
        <w:rPr>
          <w:rFonts w:ascii="Times New Roman" w:hAnsi="Times New Roman" w:cs="Times New Roman"/>
          <w:sz w:val="24"/>
          <w:szCs w:val="24"/>
        </w:rPr>
        <w:t xml:space="preserve"> con el objetivo de conocer si es factible al sustituir importaciones de forma directa por concepto de ahorro de combustibles, ver figura </w:t>
      </w:r>
      <w:r w:rsidR="00BC4EE3">
        <w:rPr>
          <w:rFonts w:ascii="Times New Roman" w:hAnsi="Times New Roman" w:cs="Times New Roman"/>
          <w:sz w:val="24"/>
          <w:szCs w:val="24"/>
        </w:rPr>
        <w:t>7</w:t>
      </w:r>
      <w:r w:rsidRPr="00BC4EE3">
        <w:rPr>
          <w:rFonts w:ascii="Times New Roman" w:hAnsi="Times New Roman" w:cs="Times New Roman"/>
          <w:sz w:val="24"/>
          <w:szCs w:val="24"/>
        </w:rPr>
        <w:t xml:space="preserve">.                        </w:t>
      </w:r>
    </w:p>
    <w:p w:rsidR="00D804D4" w:rsidRDefault="00D804D4" w:rsidP="00D804D4">
      <w:pPr>
        <w:ind w:left="-851" w:right="566"/>
        <w:rPr>
          <w:sz w:val="24"/>
          <w:szCs w:val="24"/>
        </w:rPr>
      </w:pPr>
      <w:r>
        <w:rPr>
          <w:noProof/>
          <w:lang w:eastAsia="es-ES"/>
        </w:rPr>
        <w:drawing>
          <wp:inline distT="0" distB="0" distL="0" distR="0">
            <wp:extent cx="2390775" cy="1143000"/>
            <wp:effectExtent l="19050" t="0" r="9525" b="0"/>
            <wp:docPr id="59" name="Imagen 59" descr="C:\Users\Taymi\AppData\Local\Microsoft\Windows\Temporary Internet Files\Content.Word\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Taymi\AppData\Local\Microsoft\Windows\Temporary Internet Files\Content.Word\Sin título.png"/>
                    <pic:cNvPicPr>
                      <a:picLocks noChangeAspect="1" noChangeArrowheads="1"/>
                    </pic:cNvPicPr>
                  </pic:nvPicPr>
                  <pic:blipFill>
                    <a:blip r:embed="rId16" cstate="print"/>
                    <a:srcRect/>
                    <a:stretch>
                      <a:fillRect/>
                    </a:stretch>
                  </pic:blipFill>
                  <pic:spPr bwMode="auto">
                    <a:xfrm>
                      <a:off x="0" y="0"/>
                      <a:ext cx="2390775" cy="1143000"/>
                    </a:xfrm>
                    <a:prstGeom prst="rect">
                      <a:avLst/>
                    </a:prstGeom>
                    <a:noFill/>
                    <a:ln w="9525">
                      <a:noFill/>
                      <a:miter lim="800000"/>
                      <a:headEnd/>
                      <a:tailEnd/>
                    </a:ln>
                  </pic:spPr>
                </pic:pic>
              </a:graphicData>
            </a:graphic>
          </wp:inline>
        </w:drawing>
      </w:r>
    </w:p>
    <w:p w:rsidR="00D804D4" w:rsidRPr="00BC4EE3" w:rsidRDefault="00D804D4" w:rsidP="00BC4EE3">
      <w:pPr>
        <w:spacing w:line="240" w:lineRule="auto"/>
        <w:ind w:left="1843" w:right="3402" w:hanging="681"/>
        <w:jc w:val="both"/>
        <w:rPr>
          <w:rFonts w:ascii="Times New Roman" w:hAnsi="Times New Roman" w:cs="Times New Roman"/>
          <w:b/>
          <w:sz w:val="20"/>
          <w:szCs w:val="20"/>
        </w:rPr>
      </w:pPr>
      <w:r>
        <w:rPr>
          <w:b/>
          <w:sz w:val="20"/>
          <w:szCs w:val="20"/>
        </w:rPr>
        <w:t xml:space="preserve">               </w:t>
      </w:r>
      <w:r w:rsidRPr="00BC4EE3">
        <w:rPr>
          <w:rFonts w:ascii="Times New Roman" w:hAnsi="Times New Roman" w:cs="Times New Roman"/>
          <w:b/>
          <w:sz w:val="20"/>
          <w:szCs w:val="20"/>
        </w:rPr>
        <w:t xml:space="preserve">Figura </w:t>
      </w:r>
      <w:r w:rsidR="00BC4EE3" w:rsidRPr="00BC4EE3">
        <w:rPr>
          <w:rFonts w:ascii="Times New Roman" w:hAnsi="Times New Roman" w:cs="Times New Roman"/>
          <w:b/>
          <w:sz w:val="20"/>
          <w:szCs w:val="20"/>
        </w:rPr>
        <w:t>7</w:t>
      </w:r>
      <w:r w:rsidRPr="00BC4EE3">
        <w:rPr>
          <w:rFonts w:ascii="Times New Roman" w:hAnsi="Times New Roman" w:cs="Times New Roman"/>
          <w:b/>
          <w:sz w:val="20"/>
          <w:szCs w:val="20"/>
        </w:rPr>
        <w:t>. Resultados de la evaluación del flujo   país (balanza de pagos). Fuente: elaboración de l</w:t>
      </w:r>
      <w:r w:rsidR="00BC4EE3">
        <w:rPr>
          <w:rFonts w:ascii="Times New Roman" w:hAnsi="Times New Roman" w:cs="Times New Roman"/>
          <w:b/>
          <w:sz w:val="20"/>
          <w:szCs w:val="20"/>
        </w:rPr>
        <w:t>os autores</w:t>
      </w:r>
      <w:r w:rsidRPr="00BC4EE3">
        <w:rPr>
          <w:rFonts w:ascii="Times New Roman" w:hAnsi="Times New Roman" w:cs="Times New Roman"/>
          <w:b/>
          <w:sz w:val="20"/>
          <w:szCs w:val="20"/>
        </w:rPr>
        <w:t>.</w:t>
      </w:r>
    </w:p>
    <w:p w:rsidR="00D804D4" w:rsidRPr="00BC4EE3" w:rsidRDefault="00D804D4" w:rsidP="00BC4EE3">
      <w:pPr>
        <w:pStyle w:val="Sinespaciado"/>
        <w:spacing w:line="360" w:lineRule="auto"/>
        <w:jc w:val="both"/>
        <w:rPr>
          <w:rFonts w:ascii="Times New Roman" w:hAnsi="Times New Roman" w:cs="Times New Roman"/>
          <w:sz w:val="24"/>
          <w:szCs w:val="24"/>
        </w:rPr>
      </w:pPr>
      <w:r w:rsidRPr="00BC4EE3">
        <w:rPr>
          <w:rFonts w:ascii="Times New Roman" w:hAnsi="Times New Roman" w:cs="Times New Roman"/>
          <w:sz w:val="24"/>
          <w:szCs w:val="24"/>
        </w:rPr>
        <w:t>El VAN del flujo de caja en USD resultante de esta evaluación es de 6 584.4 MUSD con un periodo de recuperación descontado  de 2,5 años. La rentabilidad del VAN muestra que por cada unidad monetaria de costos totales se ingresa un equivalente a 18.2 unidades monetarias.</w:t>
      </w:r>
    </w:p>
    <w:p w:rsidR="00D804D4" w:rsidRPr="00BC4EE3" w:rsidRDefault="00D804D4" w:rsidP="00BC4EE3">
      <w:pPr>
        <w:pStyle w:val="Sinespaciado"/>
        <w:spacing w:line="360" w:lineRule="auto"/>
        <w:jc w:val="both"/>
        <w:rPr>
          <w:rFonts w:ascii="Times New Roman" w:hAnsi="Times New Roman" w:cs="Times New Roman"/>
          <w:sz w:val="24"/>
          <w:szCs w:val="24"/>
        </w:rPr>
      </w:pPr>
      <w:r w:rsidRPr="00BC4EE3">
        <w:rPr>
          <w:rFonts w:ascii="Times New Roman" w:hAnsi="Times New Roman" w:cs="Times New Roman"/>
          <w:sz w:val="24"/>
          <w:szCs w:val="24"/>
        </w:rPr>
        <w:t xml:space="preserve">Como resultado del análisis de los indicadores económico-financieros practicados se obtiene que la inversión PFTV "Marrero" de 2.2 MW no resulta factible su acometimiento ya que en MT no ofrece rentabilidad dado que los costos de la inversión inicial y de operación de la inversión en esta moneda superan los ingresos proyectados, utilizando la tarifa estándar establecida por la DNFRE de 120.00CUP/MW. Sin embargo, en la moneda CUC la inversión sí ofrece rentabilidad tanto absoluta como relativa, superando el costo de capital utilizando e incorporando 234.2 MCUC a la entidad. Teniendo en consideración la vida útil del proyecto la planeación de la inversión se recupera en aproximadamente 22 años. </w:t>
      </w:r>
    </w:p>
    <w:p w:rsidR="00D804D4" w:rsidRPr="00BC4EE3" w:rsidRDefault="00D804D4" w:rsidP="00BC4EE3">
      <w:pPr>
        <w:pStyle w:val="Sinespaciado"/>
        <w:spacing w:line="360" w:lineRule="auto"/>
        <w:jc w:val="both"/>
        <w:rPr>
          <w:rFonts w:ascii="Times New Roman" w:hAnsi="Times New Roman" w:cs="Times New Roman"/>
          <w:sz w:val="24"/>
          <w:szCs w:val="24"/>
        </w:rPr>
      </w:pPr>
      <w:r w:rsidRPr="00BC4EE3">
        <w:rPr>
          <w:rFonts w:ascii="Times New Roman" w:hAnsi="Times New Roman" w:cs="Times New Roman"/>
          <w:sz w:val="24"/>
          <w:szCs w:val="24"/>
        </w:rPr>
        <w:t>A su favor y cumpliendo la política del país de priorizar aquellas inversiones que sustituyan importaciones, que sean amigables con el medio ambiente y utilicen los recursos renovables en aras de potenciar un verdadero desarrollo sostenible</w:t>
      </w:r>
      <w:r w:rsidR="00043CA7">
        <w:rPr>
          <w:rFonts w:ascii="Times New Roman" w:hAnsi="Times New Roman" w:cs="Times New Roman"/>
          <w:sz w:val="24"/>
          <w:szCs w:val="24"/>
        </w:rPr>
        <w:t xml:space="preserve"> (González y col., 2014)</w:t>
      </w:r>
      <w:r w:rsidRPr="00BC4EE3">
        <w:rPr>
          <w:rFonts w:ascii="Times New Roman" w:hAnsi="Times New Roman" w:cs="Times New Roman"/>
          <w:sz w:val="24"/>
          <w:szCs w:val="24"/>
        </w:rPr>
        <w:t>, la inversión propuesta ofrece una rentabilidad de positiva ascendente a 6 584.4 MUSD.</w:t>
      </w:r>
    </w:p>
    <w:p w:rsidR="00BC4EE3" w:rsidRDefault="00D804D4" w:rsidP="00BC4EE3">
      <w:pPr>
        <w:pStyle w:val="Sinespaciado"/>
        <w:spacing w:line="360" w:lineRule="auto"/>
        <w:jc w:val="both"/>
        <w:rPr>
          <w:rFonts w:ascii="Times New Roman" w:hAnsi="Times New Roman" w:cs="Times New Roman"/>
          <w:sz w:val="24"/>
          <w:szCs w:val="24"/>
        </w:rPr>
      </w:pPr>
      <w:r w:rsidRPr="00BC4EE3">
        <w:rPr>
          <w:rFonts w:ascii="Times New Roman" w:hAnsi="Times New Roman" w:cs="Times New Roman"/>
          <w:sz w:val="24"/>
          <w:szCs w:val="24"/>
        </w:rPr>
        <w:lastRenderedPageBreak/>
        <w:t xml:space="preserve">Desde el punto de vista social, los beneficios que se esperan de la inversión, se detallan en la tabla </w:t>
      </w:r>
      <w:r w:rsidR="00BC4EE3">
        <w:rPr>
          <w:rFonts w:ascii="Times New Roman" w:hAnsi="Times New Roman" w:cs="Times New Roman"/>
          <w:sz w:val="24"/>
          <w:szCs w:val="24"/>
        </w:rPr>
        <w:t>2</w:t>
      </w:r>
      <w:r w:rsidRPr="00BC4EE3">
        <w:rPr>
          <w:rFonts w:ascii="Times New Roman" w:hAnsi="Times New Roman" w:cs="Times New Roman"/>
          <w:sz w:val="24"/>
          <w:szCs w:val="24"/>
        </w:rPr>
        <w:t xml:space="preserve">.   </w:t>
      </w:r>
    </w:p>
    <w:p w:rsidR="00D804D4" w:rsidRPr="00BC4EE3" w:rsidRDefault="00D804D4" w:rsidP="00BC4EE3">
      <w:pPr>
        <w:pStyle w:val="Sinespaciado"/>
        <w:spacing w:line="360" w:lineRule="auto"/>
        <w:jc w:val="both"/>
        <w:rPr>
          <w:rFonts w:ascii="Times New Roman" w:hAnsi="Times New Roman" w:cs="Times New Roman"/>
          <w:b/>
          <w:sz w:val="20"/>
          <w:szCs w:val="20"/>
        </w:rPr>
      </w:pPr>
      <w:r>
        <w:rPr>
          <w:sz w:val="24"/>
          <w:szCs w:val="24"/>
        </w:rPr>
        <w:t xml:space="preserve">       </w:t>
      </w:r>
      <w:r w:rsidRPr="00BC4EE3">
        <w:rPr>
          <w:rFonts w:ascii="Times New Roman" w:hAnsi="Times New Roman" w:cs="Times New Roman"/>
          <w:b/>
          <w:sz w:val="20"/>
          <w:szCs w:val="20"/>
        </w:rPr>
        <w:t xml:space="preserve">Tabla </w:t>
      </w:r>
      <w:r w:rsidR="00BC4EE3" w:rsidRPr="00BC4EE3">
        <w:rPr>
          <w:rFonts w:ascii="Times New Roman" w:hAnsi="Times New Roman" w:cs="Times New Roman"/>
          <w:b/>
          <w:sz w:val="20"/>
          <w:szCs w:val="20"/>
        </w:rPr>
        <w:t>2</w:t>
      </w:r>
      <w:r w:rsidRPr="00BC4EE3">
        <w:rPr>
          <w:rFonts w:ascii="Times New Roman" w:hAnsi="Times New Roman" w:cs="Times New Roman"/>
          <w:b/>
          <w:sz w:val="20"/>
          <w:szCs w:val="20"/>
        </w:rPr>
        <w:t>. Posibles beneficios sociales de la instalación de la inversión PFTV "Marrero".</w:t>
      </w:r>
    </w:p>
    <w:tbl>
      <w:tblPr>
        <w:tblStyle w:val="Tablaconcuadrcula"/>
        <w:tblW w:w="0" w:type="auto"/>
        <w:tblInd w:w="250" w:type="dxa"/>
        <w:tblLook w:val="04A0" w:firstRow="1" w:lastRow="0" w:firstColumn="1" w:lastColumn="0" w:noHBand="0" w:noVBand="1"/>
      </w:tblPr>
      <w:tblGrid>
        <w:gridCol w:w="1985"/>
        <w:gridCol w:w="5811"/>
      </w:tblGrid>
      <w:tr w:rsidR="00D804D4" w:rsidTr="0042043F">
        <w:tc>
          <w:tcPr>
            <w:tcW w:w="1985" w:type="dxa"/>
            <w:shd w:val="clear" w:color="auto" w:fill="D6E3BC" w:themeFill="accent3" w:themeFillTint="66"/>
          </w:tcPr>
          <w:p w:rsidR="00D804D4" w:rsidRPr="0057771E" w:rsidRDefault="00D804D4" w:rsidP="0042043F">
            <w:pPr>
              <w:ind w:right="566"/>
              <w:rPr>
                <w:b/>
              </w:rPr>
            </w:pPr>
            <w:r w:rsidRPr="0057771E">
              <w:rPr>
                <w:b/>
              </w:rPr>
              <w:t>Beneficios</w:t>
            </w:r>
          </w:p>
        </w:tc>
        <w:tc>
          <w:tcPr>
            <w:tcW w:w="5811" w:type="dxa"/>
            <w:shd w:val="clear" w:color="auto" w:fill="D6E3BC" w:themeFill="accent3" w:themeFillTint="66"/>
          </w:tcPr>
          <w:p w:rsidR="00D804D4" w:rsidRPr="0057771E" w:rsidRDefault="00D804D4" w:rsidP="0042043F">
            <w:pPr>
              <w:ind w:right="566"/>
              <w:rPr>
                <w:b/>
              </w:rPr>
            </w:pPr>
            <w:r w:rsidRPr="0057771E">
              <w:rPr>
                <w:b/>
              </w:rPr>
              <w:t>Descripción</w:t>
            </w:r>
          </w:p>
        </w:tc>
      </w:tr>
      <w:tr w:rsidR="00D804D4" w:rsidTr="0042043F">
        <w:trPr>
          <w:trHeight w:val="225"/>
        </w:trPr>
        <w:tc>
          <w:tcPr>
            <w:tcW w:w="1985" w:type="dxa"/>
            <w:vMerge w:val="restart"/>
          </w:tcPr>
          <w:p w:rsidR="00D804D4" w:rsidRDefault="00D804D4" w:rsidP="0042043F">
            <w:pPr>
              <w:ind w:right="566"/>
              <w:rPr>
                <w:sz w:val="24"/>
                <w:szCs w:val="24"/>
              </w:rPr>
            </w:pPr>
            <w:r>
              <w:rPr>
                <w:sz w:val="24"/>
                <w:szCs w:val="24"/>
              </w:rPr>
              <w:t>Directos</w:t>
            </w:r>
          </w:p>
        </w:tc>
        <w:tc>
          <w:tcPr>
            <w:tcW w:w="5811" w:type="dxa"/>
          </w:tcPr>
          <w:p w:rsidR="00D804D4" w:rsidRPr="0057771E" w:rsidRDefault="00D804D4" w:rsidP="00D804D4">
            <w:pPr>
              <w:pStyle w:val="Prrafodelista"/>
              <w:numPr>
                <w:ilvl w:val="0"/>
                <w:numId w:val="34"/>
              </w:numPr>
              <w:spacing w:afterAutospacing="0"/>
              <w:ind w:right="566"/>
              <w:jc w:val="both"/>
              <w:rPr>
                <w:rFonts w:ascii="Arial" w:eastAsia="Calibri" w:hAnsi="Arial" w:cs="Arial"/>
              </w:rPr>
            </w:pPr>
            <w:r w:rsidRPr="0057771E">
              <w:rPr>
                <w:rFonts w:ascii="Arial" w:eastAsia="Calibri" w:hAnsi="Arial" w:cs="Arial"/>
              </w:rPr>
              <w:t>Generación de empleos directos e indirectos como fuente de ingresos para la población de la zona agroalimentaria Valle del Yabú.</w:t>
            </w:r>
          </w:p>
        </w:tc>
      </w:tr>
      <w:tr w:rsidR="00D804D4" w:rsidTr="0042043F">
        <w:trPr>
          <w:trHeight w:val="801"/>
        </w:trPr>
        <w:tc>
          <w:tcPr>
            <w:tcW w:w="1985" w:type="dxa"/>
            <w:vMerge/>
          </w:tcPr>
          <w:p w:rsidR="00D804D4" w:rsidRDefault="00D804D4" w:rsidP="0042043F">
            <w:pPr>
              <w:ind w:right="566"/>
              <w:rPr>
                <w:sz w:val="24"/>
                <w:szCs w:val="24"/>
              </w:rPr>
            </w:pPr>
          </w:p>
        </w:tc>
        <w:tc>
          <w:tcPr>
            <w:tcW w:w="5811" w:type="dxa"/>
          </w:tcPr>
          <w:p w:rsidR="00D804D4" w:rsidRPr="0057771E" w:rsidRDefault="00D804D4" w:rsidP="00D804D4">
            <w:pPr>
              <w:pStyle w:val="Prrafodelista"/>
              <w:numPr>
                <w:ilvl w:val="0"/>
                <w:numId w:val="34"/>
              </w:numPr>
              <w:spacing w:afterAutospacing="0"/>
              <w:ind w:right="566"/>
              <w:jc w:val="both"/>
              <w:rPr>
                <w:rFonts w:eastAsia="Calibri"/>
              </w:rPr>
            </w:pPr>
            <w:r w:rsidRPr="003471D7">
              <w:rPr>
                <w:rFonts w:ascii="Arial" w:eastAsia="Calibri" w:hAnsi="Arial" w:cs="Arial"/>
              </w:rPr>
              <w:t>Incremento de la eficiencia energética (disminución de bajos voltajes) en el circuito 14.</w:t>
            </w:r>
            <w:r>
              <w:rPr>
                <w:rFonts w:eastAsia="Calibri"/>
              </w:rPr>
              <w:t xml:space="preserve">   </w:t>
            </w:r>
          </w:p>
        </w:tc>
      </w:tr>
      <w:tr w:rsidR="00D804D4" w:rsidTr="0042043F">
        <w:trPr>
          <w:trHeight w:val="840"/>
        </w:trPr>
        <w:tc>
          <w:tcPr>
            <w:tcW w:w="1985" w:type="dxa"/>
            <w:vMerge/>
          </w:tcPr>
          <w:p w:rsidR="00D804D4" w:rsidRDefault="00D804D4" w:rsidP="0042043F">
            <w:pPr>
              <w:ind w:right="566"/>
              <w:rPr>
                <w:sz w:val="24"/>
                <w:szCs w:val="24"/>
              </w:rPr>
            </w:pPr>
          </w:p>
        </w:tc>
        <w:tc>
          <w:tcPr>
            <w:tcW w:w="5811" w:type="dxa"/>
          </w:tcPr>
          <w:p w:rsidR="00D804D4" w:rsidRPr="003471D7" w:rsidRDefault="00D804D4" w:rsidP="00D804D4">
            <w:pPr>
              <w:pStyle w:val="Prrafodelista"/>
              <w:numPr>
                <w:ilvl w:val="0"/>
                <w:numId w:val="34"/>
              </w:numPr>
              <w:spacing w:afterAutospacing="0"/>
              <w:ind w:right="566"/>
              <w:jc w:val="both"/>
              <w:rPr>
                <w:rFonts w:ascii="Arial" w:eastAsia="Calibri" w:hAnsi="Arial" w:cs="Arial"/>
              </w:rPr>
            </w:pPr>
            <w:r w:rsidRPr="00674098">
              <w:rPr>
                <w:rFonts w:ascii="Arial" w:eastAsia="Calibri" w:hAnsi="Arial" w:cs="Arial"/>
              </w:rPr>
              <w:t xml:space="preserve">Disminución de la afectación medioambiental por la disminución del uso de combustible fósil.  </w:t>
            </w:r>
          </w:p>
        </w:tc>
      </w:tr>
      <w:tr w:rsidR="00D804D4" w:rsidTr="0042043F">
        <w:tc>
          <w:tcPr>
            <w:tcW w:w="1985" w:type="dxa"/>
            <w:vMerge w:val="restart"/>
          </w:tcPr>
          <w:p w:rsidR="00D804D4" w:rsidRDefault="00D804D4" w:rsidP="0042043F">
            <w:pPr>
              <w:ind w:right="566"/>
              <w:rPr>
                <w:sz w:val="24"/>
                <w:szCs w:val="24"/>
              </w:rPr>
            </w:pPr>
            <w:r>
              <w:rPr>
                <w:sz w:val="24"/>
                <w:szCs w:val="24"/>
              </w:rPr>
              <w:t xml:space="preserve">Indirectos  </w:t>
            </w:r>
          </w:p>
        </w:tc>
        <w:tc>
          <w:tcPr>
            <w:tcW w:w="5811" w:type="dxa"/>
          </w:tcPr>
          <w:p w:rsidR="00D804D4" w:rsidRPr="00674098" w:rsidRDefault="00D804D4" w:rsidP="00D804D4">
            <w:pPr>
              <w:pStyle w:val="Prrafodelista"/>
              <w:numPr>
                <w:ilvl w:val="0"/>
                <w:numId w:val="35"/>
              </w:numPr>
              <w:spacing w:afterAutospacing="0"/>
              <w:ind w:right="566"/>
              <w:jc w:val="both"/>
              <w:rPr>
                <w:rFonts w:ascii="Arial" w:eastAsia="Calibri" w:hAnsi="Arial" w:cs="Arial"/>
              </w:rPr>
            </w:pPr>
            <w:r w:rsidRPr="0093071C">
              <w:rPr>
                <w:rFonts w:ascii="Arial" w:eastAsia="Calibri" w:hAnsi="Arial" w:cs="Arial"/>
              </w:rPr>
              <w:t xml:space="preserve">Mejora de </w:t>
            </w:r>
            <w:r>
              <w:rPr>
                <w:rFonts w:ascii="Arial" w:eastAsia="Calibri" w:hAnsi="Arial" w:cs="Arial"/>
              </w:rPr>
              <w:t xml:space="preserve">los </w:t>
            </w:r>
            <w:r w:rsidRPr="0093071C">
              <w:rPr>
                <w:rFonts w:ascii="Arial" w:eastAsia="Calibri" w:hAnsi="Arial" w:cs="Arial"/>
              </w:rPr>
              <w:t>caminos circundantes a la inversión.</w:t>
            </w:r>
          </w:p>
        </w:tc>
      </w:tr>
      <w:tr w:rsidR="00D804D4" w:rsidTr="0042043F">
        <w:trPr>
          <w:trHeight w:val="823"/>
        </w:trPr>
        <w:tc>
          <w:tcPr>
            <w:tcW w:w="1985" w:type="dxa"/>
            <w:vMerge/>
          </w:tcPr>
          <w:p w:rsidR="00D804D4" w:rsidRDefault="00D804D4" w:rsidP="0042043F">
            <w:pPr>
              <w:ind w:right="566"/>
              <w:rPr>
                <w:sz w:val="24"/>
                <w:szCs w:val="24"/>
              </w:rPr>
            </w:pPr>
          </w:p>
        </w:tc>
        <w:tc>
          <w:tcPr>
            <w:tcW w:w="5811" w:type="dxa"/>
          </w:tcPr>
          <w:p w:rsidR="00D804D4" w:rsidRPr="003515F8" w:rsidRDefault="00D804D4" w:rsidP="00D804D4">
            <w:pPr>
              <w:pStyle w:val="Prrafodelista"/>
              <w:numPr>
                <w:ilvl w:val="0"/>
                <w:numId w:val="35"/>
              </w:numPr>
              <w:spacing w:afterAutospacing="0"/>
              <w:ind w:right="566"/>
              <w:jc w:val="both"/>
              <w:rPr>
                <w:rFonts w:eastAsia="Calibri"/>
              </w:rPr>
            </w:pPr>
            <w:r w:rsidRPr="003515F8">
              <w:rPr>
                <w:rFonts w:ascii="Arial" w:eastAsia="Calibri" w:hAnsi="Arial" w:cs="Arial"/>
              </w:rPr>
              <w:t>Desarrollo de nuevas actividades económicas y sociales en la zona agroalimentaria a partir del incremento de la oferta energética.</w:t>
            </w:r>
          </w:p>
        </w:tc>
      </w:tr>
    </w:tbl>
    <w:p w:rsidR="00D804D4" w:rsidRDefault="00D804D4" w:rsidP="00D804D4">
      <w:pPr>
        <w:ind w:left="-851" w:right="566"/>
        <w:rPr>
          <w:sz w:val="24"/>
          <w:szCs w:val="24"/>
        </w:rPr>
      </w:pPr>
      <w:r>
        <w:rPr>
          <w:sz w:val="24"/>
          <w:szCs w:val="24"/>
        </w:rPr>
        <w:t xml:space="preserve"> </w:t>
      </w:r>
    </w:p>
    <w:p w:rsidR="00D804D4" w:rsidRPr="00BC4EE3" w:rsidRDefault="00D804D4" w:rsidP="00BC4EE3">
      <w:pPr>
        <w:pStyle w:val="Sinespaciado"/>
        <w:spacing w:line="360" w:lineRule="auto"/>
        <w:jc w:val="both"/>
        <w:rPr>
          <w:rFonts w:ascii="Times New Roman" w:hAnsi="Times New Roman" w:cs="Times New Roman"/>
          <w:sz w:val="24"/>
          <w:szCs w:val="24"/>
        </w:rPr>
      </w:pPr>
      <w:r w:rsidRPr="00BC4EE3">
        <w:rPr>
          <w:rFonts w:ascii="Times New Roman" w:hAnsi="Times New Roman" w:cs="Times New Roman"/>
          <w:sz w:val="24"/>
          <w:szCs w:val="24"/>
        </w:rPr>
        <w:t>En resumen, para la evaluación de la factibilidad de la inversión fueron utilizadas las premisas que, el MINEM estipula para la elaboración del estudio de parques fotovoltaicos con 1 año de construcción establecidas por la DNFRE de la UNE. La evaluación de la factibilidad económica-financiera arrojó la rentabilidad del proyecto expresada en MCUC. A su vez, la incorporación del efecto de la ficha de costo país (balanza de pagos) realza la necesidad de su acometimiento una vez que reviste ahorros en USD y mitiga la afectación al cambio climático por concepto de toneladas de CO</w:t>
      </w:r>
      <w:r w:rsidRPr="00BC4EE3">
        <w:rPr>
          <w:rFonts w:ascii="Times New Roman" w:hAnsi="Times New Roman" w:cs="Times New Roman"/>
          <w:sz w:val="24"/>
          <w:szCs w:val="24"/>
          <w:vertAlign w:val="subscript"/>
        </w:rPr>
        <w:t>2</w:t>
      </w:r>
      <w:r w:rsidRPr="00BC4EE3">
        <w:rPr>
          <w:rFonts w:ascii="Times New Roman" w:hAnsi="Times New Roman" w:cs="Times New Roman"/>
          <w:sz w:val="24"/>
          <w:szCs w:val="24"/>
        </w:rPr>
        <w:t xml:space="preserve"> evitadas al entorno, así como otros beneficios sociales que fueron detallados en la tabla </w:t>
      </w:r>
      <w:r w:rsidR="00BC4EE3">
        <w:rPr>
          <w:rFonts w:ascii="Times New Roman" w:hAnsi="Times New Roman" w:cs="Times New Roman"/>
          <w:sz w:val="24"/>
          <w:szCs w:val="24"/>
        </w:rPr>
        <w:t>2</w:t>
      </w:r>
      <w:r w:rsidRPr="00BC4EE3">
        <w:rPr>
          <w:rFonts w:ascii="Times New Roman" w:hAnsi="Times New Roman" w:cs="Times New Roman"/>
          <w:sz w:val="24"/>
          <w:szCs w:val="24"/>
        </w:rPr>
        <w:t xml:space="preserve">.  </w:t>
      </w:r>
    </w:p>
    <w:p w:rsidR="00D804D4" w:rsidRDefault="00D804D4" w:rsidP="00D804D4">
      <w:pPr>
        <w:ind w:left="-851" w:right="566"/>
        <w:rPr>
          <w:sz w:val="24"/>
          <w:szCs w:val="24"/>
        </w:rPr>
      </w:pPr>
    </w:p>
    <w:p w:rsidR="00481F5B" w:rsidRPr="00D804D4" w:rsidRDefault="00481F5B" w:rsidP="00D804D4">
      <w:pPr>
        <w:spacing w:line="360" w:lineRule="auto"/>
        <w:ind w:left="360"/>
        <w:jc w:val="both"/>
        <w:rPr>
          <w:rFonts w:ascii="Times New Roman" w:hAnsi="Times New Roman"/>
          <w:sz w:val="24"/>
          <w:szCs w:val="24"/>
        </w:rPr>
      </w:pPr>
    </w:p>
    <w:p w:rsidR="00C25BDD" w:rsidRDefault="00C25BDD" w:rsidP="00B40F75">
      <w:pPr>
        <w:pStyle w:val="Default"/>
        <w:numPr>
          <w:ilvl w:val="0"/>
          <w:numId w:val="24"/>
        </w:numPr>
        <w:spacing w:line="360" w:lineRule="auto"/>
        <w:jc w:val="both"/>
        <w:rPr>
          <w:rFonts w:ascii="Times New Roman" w:hAnsi="Times New Roman" w:cs="Times New Roman"/>
          <w:b/>
          <w:color w:val="auto"/>
        </w:rPr>
      </w:pPr>
      <w:r w:rsidRPr="0062120B">
        <w:rPr>
          <w:rFonts w:ascii="Times New Roman" w:hAnsi="Times New Roman" w:cs="Times New Roman"/>
          <w:b/>
          <w:color w:val="auto"/>
        </w:rPr>
        <w:lastRenderedPageBreak/>
        <w:t>Conclusiones</w:t>
      </w:r>
    </w:p>
    <w:p w:rsidR="00BC4EE3" w:rsidRPr="00BC4EE3" w:rsidRDefault="00BC4EE3" w:rsidP="00BC4EE3">
      <w:pPr>
        <w:pStyle w:val="Default"/>
        <w:numPr>
          <w:ilvl w:val="0"/>
          <w:numId w:val="30"/>
        </w:numPr>
        <w:spacing w:line="360" w:lineRule="auto"/>
        <w:ind w:left="709"/>
        <w:jc w:val="both"/>
        <w:rPr>
          <w:rFonts w:ascii="Times New Roman" w:hAnsi="Times New Roman" w:cs="Times New Roman"/>
          <w:color w:val="auto"/>
        </w:rPr>
      </w:pPr>
      <w:r w:rsidRPr="00BC4EE3">
        <w:rPr>
          <w:rFonts w:ascii="Times New Roman" w:hAnsi="Times New Roman" w:cs="Times New Roman"/>
          <w:color w:val="auto"/>
        </w:rPr>
        <w:t xml:space="preserve">A tenor con lo reglamentado en el Decreto 327/2014 "Reglamento del proceso inversionista" la decisión de acometimiento de una inversión parte del estudio de factibilidad de la misma, demostrando el grado de rentabilidad que incorporan a la empresa y al país. En este entorno, el proceso inversionista energético a partir de tecnologías que usan las FRE reviste importancia estratégica ya que se enmarcan dentro de la política del MINEM para el desarrollo de las fuentes renovables y el aumento de la eficiencia energética. </w:t>
      </w:r>
    </w:p>
    <w:p w:rsidR="00BC4EE3" w:rsidRPr="00BC4EE3" w:rsidRDefault="00BC4EE3" w:rsidP="00BC4EE3">
      <w:pPr>
        <w:pStyle w:val="Default"/>
        <w:numPr>
          <w:ilvl w:val="0"/>
          <w:numId w:val="30"/>
        </w:numPr>
        <w:spacing w:line="360" w:lineRule="auto"/>
        <w:ind w:left="709"/>
        <w:jc w:val="both"/>
        <w:rPr>
          <w:rFonts w:ascii="Times New Roman" w:hAnsi="Times New Roman" w:cs="Times New Roman"/>
          <w:color w:val="auto"/>
        </w:rPr>
      </w:pPr>
      <w:r w:rsidRPr="00BC4EE3">
        <w:rPr>
          <w:rFonts w:ascii="Times New Roman" w:hAnsi="Times New Roman" w:cs="Times New Roman"/>
          <w:color w:val="auto"/>
        </w:rPr>
        <w:t xml:space="preserve">La decisión de instalación del PFTV "Marrero" en el municipio de Santa Clara, provincia de Villa Clara forma parte del desarrollo de los programas de energías renovables del MINEM, y se prevé que la misma disponga de 2.2 MWh de potencia, así como su interconexión a 13,8 kV del SEN. La financiación se concertó a partir de un crédito chino el cual ha sido negociado desde la UNE como inversionista central el cual conlleva un control de sus partidas por parte de la EE-VC como inversionista directo de la inversión practicada.   </w:t>
      </w:r>
    </w:p>
    <w:p w:rsidR="00BC4EE3" w:rsidRPr="00BC4EE3" w:rsidRDefault="00BC4EE3" w:rsidP="00BC4EE3">
      <w:pPr>
        <w:pStyle w:val="Default"/>
        <w:numPr>
          <w:ilvl w:val="0"/>
          <w:numId w:val="30"/>
        </w:numPr>
        <w:spacing w:line="360" w:lineRule="auto"/>
        <w:ind w:left="709"/>
        <w:jc w:val="both"/>
        <w:rPr>
          <w:rFonts w:ascii="Times New Roman" w:hAnsi="Times New Roman" w:cs="Times New Roman"/>
          <w:color w:val="auto"/>
        </w:rPr>
      </w:pPr>
      <w:r w:rsidRPr="00BC4EE3">
        <w:rPr>
          <w:rFonts w:ascii="Times New Roman" w:hAnsi="Times New Roman" w:cs="Times New Roman"/>
          <w:color w:val="auto"/>
        </w:rPr>
        <w:t>La inversión PFTV "Marrero” para un horizonte de planeación de 25 años en la expresión de la moneda CUP ocasiona una pérdida de 2 628.3 MCUP lo que la convierte, desde el punto de vista de su temporalidad espacial, en una inversión no recuperable al término de su vida útil. Sin embargo, su rentabilidad económica y financiera se verifica en la expresión monetaria CUC donde la inversión genera una rentabilidad absoluta de 234.2 MCUC. Esta rentabilidad permite que la tasa interna de retorno de la inversión supera al costo de capital proyectado (5.6%&gt;5.0%) por lo que la inversión se recupera aproximadamente a los 22 años lo cual cubre las expectativas de su vida útil (22 años&lt; 25 años). Los ingresos totales cubren y sobrepasan en 0.1 centavos los costos totales.</w:t>
      </w:r>
    </w:p>
    <w:p w:rsidR="00BC4EE3" w:rsidRPr="00BC4EE3" w:rsidRDefault="00BC4EE3" w:rsidP="00BC4EE3">
      <w:pPr>
        <w:pStyle w:val="Default"/>
        <w:numPr>
          <w:ilvl w:val="0"/>
          <w:numId w:val="30"/>
        </w:numPr>
        <w:spacing w:line="360" w:lineRule="auto"/>
        <w:ind w:left="709"/>
        <w:jc w:val="both"/>
        <w:rPr>
          <w:rFonts w:ascii="Times New Roman" w:hAnsi="Times New Roman" w:cs="Times New Roman"/>
          <w:color w:val="auto"/>
        </w:rPr>
      </w:pPr>
      <w:r w:rsidRPr="00BC4EE3">
        <w:rPr>
          <w:rFonts w:ascii="Times New Roman" w:hAnsi="Times New Roman" w:cs="Times New Roman"/>
          <w:color w:val="auto"/>
        </w:rPr>
        <w:t xml:space="preserve">Los beneficios sociales de la inversión fueron declarados tanto de forma directa como indirecta. Se estiman, principalmente, el mejoramiento de las posibilidades de empleos </w:t>
      </w:r>
      <w:r w:rsidRPr="00BC4EE3">
        <w:rPr>
          <w:rFonts w:ascii="Times New Roman" w:hAnsi="Times New Roman" w:cs="Times New Roman"/>
          <w:color w:val="auto"/>
        </w:rPr>
        <w:lastRenderedPageBreak/>
        <w:t xml:space="preserve">para los pobladores de la comunidad circundante, el incremento en la eficiencia energética, la disminución de afectaciones medioambientales, la mejora de caminos aledaños así como la potenciación de nuevas actividades económico-sociales en favor de la zona Valle del Yabú. </w:t>
      </w:r>
    </w:p>
    <w:p w:rsidR="005A628D" w:rsidRDefault="00C25BDD" w:rsidP="00B40F75">
      <w:pPr>
        <w:pStyle w:val="Prrafodelista"/>
        <w:numPr>
          <w:ilvl w:val="0"/>
          <w:numId w:val="24"/>
        </w:numPr>
        <w:tabs>
          <w:tab w:val="left" w:pos="426"/>
        </w:tabs>
        <w:spacing w:before="120" w:after="120" w:line="360" w:lineRule="auto"/>
        <w:jc w:val="both"/>
        <w:rPr>
          <w:rFonts w:ascii="Times New Roman" w:hAnsi="Times New Roman" w:cs="Times New Roman"/>
          <w:b/>
          <w:sz w:val="24"/>
          <w:szCs w:val="24"/>
        </w:rPr>
      </w:pPr>
      <w:r w:rsidRPr="00C447C7">
        <w:rPr>
          <w:rFonts w:ascii="Times New Roman" w:hAnsi="Times New Roman" w:cs="Times New Roman"/>
          <w:b/>
          <w:sz w:val="24"/>
          <w:szCs w:val="24"/>
        </w:rPr>
        <w:t>Referencias bibliográficas</w:t>
      </w:r>
    </w:p>
    <w:p w:rsidR="00BC4EE3" w:rsidRPr="00BC4EE3" w:rsidRDefault="00BC4EE3" w:rsidP="00BC4EE3">
      <w:pPr>
        <w:pStyle w:val="Prrafodelista"/>
        <w:numPr>
          <w:ilvl w:val="1"/>
          <w:numId w:val="28"/>
        </w:numPr>
        <w:spacing w:after="0" w:afterAutospacing="0" w:line="360" w:lineRule="auto"/>
        <w:ind w:right="-42"/>
        <w:jc w:val="both"/>
        <w:rPr>
          <w:rFonts w:ascii="Times New Roman" w:hAnsi="Times New Roman" w:cs="Times New Roman"/>
          <w:sz w:val="24"/>
          <w:szCs w:val="24"/>
        </w:rPr>
      </w:pPr>
      <w:r w:rsidRPr="00BC4EE3">
        <w:rPr>
          <w:rFonts w:ascii="Times New Roman" w:hAnsi="Times New Roman" w:cs="Times New Roman"/>
          <w:sz w:val="24"/>
          <w:szCs w:val="24"/>
        </w:rPr>
        <w:t>ANNP. Actualización de los lineamientos de la política económica y social del Partido y la Revolución para el período 2016-2021 aprobados en el 7mo. Congreso del Partido en abril de 2016 y por la Asamblea del Poder Popular en julio de 2016. Cuba. 2016.</w:t>
      </w:r>
    </w:p>
    <w:p w:rsidR="00BC4EE3" w:rsidRPr="00BC4EE3" w:rsidRDefault="00BC4EE3" w:rsidP="00BC4EE3">
      <w:pPr>
        <w:pStyle w:val="Prrafodelista"/>
        <w:numPr>
          <w:ilvl w:val="1"/>
          <w:numId w:val="28"/>
        </w:numPr>
        <w:spacing w:after="0" w:afterAutospacing="0" w:line="360" w:lineRule="auto"/>
        <w:ind w:right="-42"/>
        <w:jc w:val="both"/>
        <w:rPr>
          <w:rFonts w:ascii="Times New Roman" w:hAnsi="Times New Roman" w:cs="Times New Roman"/>
          <w:sz w:val="24"/>
          <w:szCs w:val="24"/>
        </w:rPr>
      </w:pPr>
      <w:r w:rsidRPr="00BC4EE3">
        <w:rPr>
          <w:rFonts w:ascii="Times New Roman" w:hAnsi="Times New Roman" w:cs="Times New Roman"/>
          <w:sz w:val="24"/>
          <w:szCs w:val="24"/>
        </w:rPr>
        <w:t xml:space="preserve">Arencibia, A. Momentos de la gestión energética municipal. Revista científico-popular trimestral de CUBASOLAR No.71 (julio-septiembre). ISSN 128-9925. Cuba. 2015.   </w:t>
      </w:r>
    </w:p>
    <w:p w:rsidR="00043CA7" w:rsidRPr="00043CA7" w:rsidRDefault="00043CA7" w:rsidP="00043CA7">
      <w:pPr>
        <w:pStyle w:val="Prrafodelista"/>
        <w:numPr>
          <w:ilvl w:val="1"/>
          <w:numId w:val="28"/>
        </w:numPr>
        <w:spacing w:after="0" w:afterAutospacing="0" w:line="360" w:lineRule="auto"/>
        <w:ind w:right="-42"/>
        <w:jc w:val="both"/>
        <w:rPr>
          <w:rFonts w:ascii="Times New Roman" w:hAnsi="Times New Roman" w:cs="Times New Roman"/>
          <w:sz w:val="24"/>
          <w:szCs w:val="24"/>
        </w:rPr>
      </w:pPr>
      <w:r w:rsidRPr="00043CA7">
        <w:rPr>
          <w:rFonts w:ascii="Times New Roman" w:hAnsi="Times New Roman" w:cs="Times New Roman"/>
          <w:sz w:val="24"/>
          <w:szCs w:val="24"/>
        </w:rPr>
        <w:t>Castro Ruz, F. Discurso pronunciado en la Conferencia de Naciones Unidas sobre Medio Ambiente y Desarrollo. Río de Janeiro. Versiones taquigráficas. 2002.</w:t>
      </w:r>
    </w:p>
    <w:p w:rsidR="00043CA7" w:rsidRPr="00043CA7" w:rsidRDefault="00043CA7" w:rsidP="00043CA7">
      <w:pPr>
        <w:pStyle w:val="Prrafodelista"/>
        <w:numPr>
          <w:ilvl w:val="1"/>
          <w:numId w:val="28"/>
        </w:numPr>
        <w:spacing w:after="0" w:afterAutospacing="0" w:line="360" w:lineRule="auto"/>
        <w:ind w:right="-42"/>
        <w:jc w:val="both"/>
        <w:rPr>
          <w:rFonts w:ascii="Times New Roman" w:hAnsi="Times New Roman" w:cs="Times New Roman"/>
          <w:sz w:val="24"/>
          <w:szCs w:val="24"/>
        </w:rPr>
      </w:pPr>
      <w:r w:rsidRPr="00043CA7">
        <w:rPr>
          <w:rFonts w:ascii="Times New Roman" w:hAnsi="Times New Roman" w:cs="Times New Roman"/>
          <w:sz w:val="24"/>
          <w:szCs w:val="24"/>
        </w:rPr>
        <w:t>Gaceta Oficial de la República de Cuba, No.05 Edición Extraordinaria Decreto 327/2014 Reglamento del Proceso Inversionista del Consejo de Ministros. La Habana. Cuba. 2014.</w:t>
      </w:r>
    </w:p>
    <w:p w:rsidR="00BC4EE3" w:rsidRPr="00BC4EE3" w:rsidRDefault="00BC4EE3" w:rsidP="00BC4EE3">
      <w:pPr>
        <w:pStyle w:val="Prrafodelista"/>
        <w:numPr>
          <w:ilvl w:val="1"/>
          <w:numId w:val="28"/>
        </w:numPr>
        <w:spacing w:after="0" w:afterAutospacing="0" w:line="360" w:lineRule="auto"/>
        <w:ind w:right="-42"/>
        <w:jc w:val="both"/>
        <w:rPr>
          <w:rFonts w:ascii="Times New Roman" w:hAnsi="Times New Roman" w:cs="Times New Roman"/>
          <w:sz w:val="24"/>
          <w:szCs w:val="24"/>
        </w:rPr>
      </w:pPr>
      <w:r w:rsidRPr="00BC4EE3">
        <w:rPr>
          <w:rFonts w:ascii="Times New Roman" w:hAnsi="Times New Roman" w:cs="Times New Roman"/>
          <w:sz w:val="24"/>
          <w:szCs w:val="24"/>
        </w:rPr>
        <w:t>González, T.; Sánchez, I.R.; Olalde, R.; Martínez, Y.; Díaz, M.E.; Dávila, Y. Contribución de la EE-VC al cambio en la matriz energética cubana. Responsabilidad social de la entidad con su entorno. Evento provincial de la Empresa Eléctrica de Villa Clara. 2017.</w:t>
      </w:r>
    </w:p>
    <w:p w:rsidR="00043CA7" w:rsidRPr="00043CA7" w:rsidRDefault="00043CA7" w:rsidP="00043CA7">
      <w:pPr>
        <w:pStyle w:val="Prrafodelista"/>
        <w:numPr>
          <w:ilvl w:val="1"/>
          <w:numId w:val="28"/>
        </w:numPr>
        <w:spacing w:after="0" w:afterAutospacing="0" w:line="360" w:lineRule="auto"/>
        <w:ind w:right="-42"/>
        <w:jc w:val="both"/>
        <w:rPr>
          <w:rFonts w:ascii="Times New Roman" w:hAnsi="Times New Roman" w:cs="Times New Roman"/>
          <w:sz w:val="24"/>
          <w:szCs w:val="24"/>
        </w:rPr>
      </w:pPr>
      <w:r w:rsidRPr="00043CA7">
        <w:rPr>
          <w:rFonts w:ascii="Times New Roman" w:hAnsi="Times New Roman" w:cs="Times New Roman"/>
          <w:sz w:val="24"/>
          <w:szCs w:val="24"/>
        </w:rPr>
        <w:t>González, T.; Sánchez, I.R.; Olalde, R.; Herrera, L.; Cherni, J. El desarrollo local social y financiero: su papel protagónico en la activación de pequeñas economías a partir de la transferencia tecnológica en comunidades rurales de Cuba. Memorias de la VIII Conferencia Internacional de Ingeniería Mecánica COMEC 2014. 2014.</w:t>
      </w:r>
    </w:p>
    <w:p w:rsidR="00043CA7" w:rsidRPr="00043CA7" w:rsidRDefault="00043CA7" w:rsidP="00043CA7">
      <w:pPr>
        <w:pStyle w:val="Prrafodelista"/>
        <w:numPr>
          <w:ilvl w:val="1"/>
          <w:numId w:val="28"/>
        </w:numPr>
        <w:spacing w:after="0" w:afterAutospacing="0" w:line="360" w:lineRule="auto"/>
        <w:ind w:right="-42"/>
        <w:jc w:val="both"/>
        <w:rPr>
          <w:rFonts w:ascii="Times New Roman" w:hAnsi="Times New Roman" w:cs="Times New Roman"/>
          <w:sz w:val="24"/>
          <w:szCs w:val="24"/>
        </w:rPr>
      </w:pPr>
      <w:r w:rsidRPr="00043CA7">
        <w:rPr>
          <w:rFonts w:ascii="Times New Roman" w:hAnsi="Times New Roman" w:cs="Times New Roman"/>
          <w:sz w:val="24"/>
          <w:szCs w:val="24"/>
        </w:rPr>
        <w:lastRenderedPageBreak/>
        <w:t>Weston J. F. y Brigham E. F. Fundamentos de Administración Financiera, Décima edición, McGraw Hill, México.</w:t>
      </w:r>
      <w:r>
        <w:rPr>
          <w:rFonts w:ascii="Times New Roman" w:hAnsi="Times New Roman" w:cs="Times New Roman"/>
          <w:sz w:val="24"/>
          <w:szCs w:val="24"/>
        </w:rPr>
        <w:t xml:space="preserve"> 1994.</w:t>
      </w:r>
      <w:r w:rsidRPr="00043CA7">
        <w:rPr>
          <w:rFonts w:ascii="Times New Roman" w:hAnsi="Times New Roman" w:cs="Times New Roman"/>
          <w:sz w:val="24"/>
          <w:szCs w:val="24"/>
        </w:rPr>
        <w:t xml:space="preserve">   </w:t>
      </w:r>
    </w:p>
    <w:p w:rsidR="00043CA7" w:rsidRPr="00043CA7" w:rsidRDefault="00043CA7" w:rsidP="00043CA7">
      <w:pPr>
        <w:pStyle w:val="Prrafodelista"/>
        <w:numPr>
          <w:ilvl w:val="1"/>
          <w:numId w:val="28"/>
        </w:numPr>
        <w:spacing w:after="0" w:afterAutospacing="0" w:line="360" w:lineRule="auto"/>
        <w:ind w:right="-42"/>
        <w:jc w:val="both"/>
        <w:rPr>
          <w:rFonts w:ascii="Times New Roman" w:hAnsi="Times New Roman" w:cs="Times New Roman"/>
          <w:sz w:val="24"/>
          <w:szCs w:val="24"/>
        </w:rPr>
      </w:pPr>
      <w:r w:rsidRPr="00043CA7">
        <w:rPr>
          <w:rFonts w:ascii="Times New Roman" w:hAnsi="Times New Roman" w:cs="Times New Roman"/>
          <w:sz w:val="24"/>
          <w:szCs w:val="24"/>
        </w:rPr>
        <w:t>Sapag y Sapag. Preparación y evaluación de proyectos. Bogotá, Colombia.</w:t>
      </w:r>
      <w:r>
        <w:rPr>
          <w:rFonts w:ascii="Times New Roman" w:hAnsi="Times New Roman" w:cs="Times New Roman"/>
          <w:sz w:val="24"/>
          <w:szCs w:val="24"/>
        </w:rPr>
        <w:t xml:space="preserve"> 1995.</w:t>
      </w:r>
    </w:p>
    <w:p w:rsidR="00BC4EE3" w:rsidRPr="00043CA7" w:rsidRDefault="00BC4EE3" w:rsidP="00043CA7">
      <w:pPr>
        <w:spacing w:after="0" w:afterAutospacing="0" w:line="360" w:lineRule="auto"/>
        <w:ind w:left="1080" w:right="-42"/>
        <w:jc w:val="both"/>
        <w:rPr>
          <w:rFonts w:ascii="Times New Roman" w:hAnsi="Times New Roman" w:cs="Times New Roman"/>
          <w:sz w:val="24"/>
          <w:szCs w:val="24"/>
        </w:rPr>
      </w:pPr>
    </w:p>
    <w:sectPr w:rsidR="00BC4EE3" w:rsidRPr="00043CA7" w:rsidSect="007E2AD7">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993"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16" w:rsidRDefault="00241516" w:rsidP="00C8585B">
      <w:pPr>
        <w:spacing w:after="0" w:line="240" w:lineRule="auto"/>
      </w:pPr>
      <w:r>
        <w:separator/>
      </w:r>
    </w:p>
  </w:endnote>
  <w:endnote w:type="continuationSeparator" w:id="0">
    <w:p w:rsidR="00241516" w:rsidRDefault="00241516"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45B" w:rsidRDefault="0023445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rPr>
        <w:rFonts w:ascii="Times New Roman" w:hAnsi="Times New Roman" w:cs="Times New Roman"/>
        <w:sz w:val="24"/>
        <w:szCs w:val="24"/>
      </w:rPr>
    </w:sdtEndPr>
    <w:sdtContent>
      <w:p w:rsidR="0023445B" w:rsidRPr="005B17F7" w:rsidRDefault="00D40E87">
        <w:pPr>
          <w:pStyle w:val="Piedepgina"/>
          <w:jc w:val="right"/>
          <w:rPr>
            <w:rFonts w:ascii="Times New Roman" w:hAnsi="Times New Roman" w:cs="Times New Roman"/>
            <w:sz w:val="24"/>
            <w:szCs w:val="24"/>
          </w:rPr>
        </w:pPr>
        <w:r w:rsidRPr="005B17F7">
          <w:rPr>
            <w:rFonts w:ascii="Times New Roman" w:hAnsi="Times New Roman" w:cs="Times New Roman"/>
            <w:sz w:val="24"/>
            <w:szCs w:val="24"/>
          </w:rPr>
          <w:fldChar w:fldCharType="begin"/>
        </w:r>
        <w:r w:rsidR="0023445B" w:rsidRPr="005B17F7">
          <w:rPr>
            <w:rFonts w:ascii="Times New Roman" w:hAnsi="Times New Roman" w:cs="Times New Roman"/>
            <w:sz w:val="24"/>
            <w:szCs w:val="24"/>
          </w:rPr>
          <w:instrText xml:space="preserve"> PAGE   \* MERGEFORMAT </w:instrText>
        </w:r>
        <w:r w:rsidRPr="005B17F7">
          <w:rPr>
            <w:rFonts w:ascii="Times New Roman" w:hAnsi="Times New Roman" w:cs="Times New Roman"/>
            <w:sz w:val="24"/>
            <w:szCs w:val="24"/>
          </w:rPr>
          <w:fldChar w:fldCharType="separate"/>
        </w:r>
        <w:r w:rsidR="004B4EDE">
          <w:rPr>
            <w:rFonts w:ascii="Times New Roman" w:hAnsi="Times New Roman" w:cs="Times New Roman"/>
            <w:noProof/>
            <w:sz w:val="24"/>
            <w:szCs w:val="24"/>
          </w:rPr>
          <w:t>2</w:t>
        </w:r>
        <w:r w:rsidRPr="005B17F7">
          <w:rPr>
            <w:rFonts w:ascii="Times New Roman" w:hAnsi="Times New Roman" w:cs="Times New Roman"/>
            <w:noProof/>
            <w:sz w:val="24"/>
            <w:szCs w:val="24"/>
          </w:rPr>
          <w:fldChar w:fldCharType="end"/>
        </w:r>
      </w:p>
    </w:sdtContent>
  </w:sdt>
  <w:p w:rsidR="0023445B" w:rsidRPr="00C8585B" w:rsidRDefault="0023445B" w:rsidP="00A73C37">
    <w:pPr>
      <w:pStyle w:val="Encabezado"/>
      <w:rPr>
        <w:rFonts w:ascii="Verdana" w:hAnsi="Verdana"/>
        <w:b/>
        <w:sz w:val="16"/>
        <w:szCs w:val="16"/>
        <w:lang w:val="es-ES_tradnl"/>
      </w:rPr>
    </w:pPr>
    <w:r>
      <w:rPr>
        <w:rFonts w:ascii="Verdana" w:hAnsi="Verdana"/>
        <w:b/>
        <w:sz w:val="16"/>
        <w:szCs w:val="16"/>
        <w:lang w:val="es-ES_tradnl"/>
      </w:rPr>
      <w:t>II Convención Científica Internacional 2019</w:t>
    </w:r>
  </w:p>
  <w:p w:rsidR="0023445B" w:rsidRPr="00C8585B" w:rsidRDefault="0023445B" w:rsidP="00A73C37">
    <w:pPr>
      <w:pStyle w:val="Encabezado"/>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23445B" w:rsidRDefault="0023445B" w:rsidP="00A73C37">
    <w:pPr>
      <w:pStyle w:val="Encabezado"/>
    </w:pPr>
    <w:r w:rsidRPr="00C8585B">
      <w:rPr>
        <w:rFonts w:ascii="Verdana" w:hAnsi="Verdana"/>
        <w:b/>
        <w:sz w:val="16"/>
        <w:szCs w:val="16"/>
        <w:lang w:val="es-ES_tradnl"/>
      </w:rPr>
      <w:t>CIENCIA, TECNOLOGÍA Y SOCIEDAD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45B" w:rsidRDefault="002344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16" w:rsidRDefault="00241516" w:rsidP="00C8585B">
      <w:pPr>
        <w:spacing w:after="0" w:line="240" w:lineRule="auto"/>
      </w:pPr>
      <w:r>
        <w:separator/>
      </w:r>
    </w:p>
  </w:footnote>
  <w:footnote w:type="continuationSeparator" w:id="0">
    <w:p w:rsidR="00241516" w:rsidRDefault="00241516" w:rsidP="00C8585B">
      <w:pPr>
        <w:spacing w:after="0" w:line="240" w:lineRule="auto"/>
      </w:pPr>
      <w:r>
        <w:continuationSeparator/>
      </w:r>
    </w:p>
  </w:footnote>
  <w:footnote w:id="1">
    <w:p w:rsidR="0023445B" w:rsidRPr="00704560" w:rsidRDefault="0023445B" w:rsidP="00704560">
      <w:pPr>
        <w:tabs>
          <w:tab w:val="left" w:pos="284"/>
        </w:tabs>
        <w:spacing w:after="0" w:line="480" w:lineRule="auto"/>
        <w:ind w:left="360"/>
        <w:jc w:val="both"/>
        <w:rPr>
          <w:rFonts w:ascii="Times New Roman" w:hAnsi="Times New Roman" w:cs="Times New Roman"/>
          <w:sz w:val="24"/>
          <w:szCs w:val="24"/>
        </w:rPr>
      </w:pPr>
      <w:r>
        <w:rPr>
          <w:rStyle w:val="Refdenotaalpie"/>
        </w:rPr>
        <w:footnoteRef/>
      </w:r>
      <w:r>
        <w:t xml:space="preserve"> </w:t>
      </w:r>
      <w:r w:rsidR="00B40F75" w:rsidRPr="00B40F75">
        <w:rPr>
          <w:rFonts w:ascii="Times New Roman" w:hAnsi="Times New Roman" w:cs="Times New Roman"/>
          <w:sz w:val="24"/>
          <w:szCs w:val="24"/>
        </w:rPr>
        <w:t xml:space="preserve">Empresa Eléctrica de Villa Clara, </w:t>
      </w:r>
      <w:r w:rsidRPr="00704560">
        <w:rPr>
          <w:rFonts w:ascii="Times New Roman" w:hAnsi="Times New Roman" w:cs="Times New Roman"/>
          <w:sz w:val="24"/>
          <w:szCs w:val="24"/>
        </w:rPr>
        <w:t xml:space="preserve">Cuba. </w:t>
      </w:r>
    </w:p>
    <w:p w:rsidR="0023445B" w:rsidRDefault="0023445B">
      <w:pPr>
        <w:pStyle w:val="Textonotapie"/>
      </w:pPr>
    </w:p>
  </w:footnote>
  <w:footnote w:id="2">
    <w:p w:rsidR="0023445B" w:rsidRPr="00851F91" w:rsidRDefault="0023445B" w:rsidP="00851F91">
      <w:pPr>
        <w:tabs>
          <w:tab w:val="left" w:pos="284"/>
        </w:tabs>
        <w:spacing w:after="0" w:line="360" w:lineRule="auto"/>
        <w:ind w:left="360"/>
        <w:jc w:val="both"/>
        <w:rPr>
          <w:rFonts w:ascii="Times New Roman" w:hAnsi="Times New Roman" w:cs="Times New Roman"/>
          <w:sz w:val="24"/>
          <w:szCs w:val="24"/>
        </w:rPr>
      </w:pPr>
      <w:r>
        <w:rPr>
          <w:rStyle w:val="Refdenotaalpie"/>
        </w:rPr>
        <w:footnoteRef/>
      </w:r>
      <w:r>
        <w:t xml:space="preserve"> </w:t>
      </w:r>
      <w:r w:rsidRPr="00851F91">
        <w:rPr>
          <w:rFonts w:ascii="Times New Roman" w:hAnsi="Times New Roman" w:cs="Times New Roman"/>
          <w:sz w:val="24"/>
          <w:szCs w:val="24"/>
        </w:rPr>
        <w:t xml:space="preserve">Universidad Central «Marta Abreu» de Las Villas, Cuba. </w:t>
      </w:r>
      <w:hyperlink r:id="rId1" w:history="1">
        <w:r w:rsidRPr="00851F91">
          <w:rPr>
            <w:rStyle w:val="Hipervnculo"/>
            <w:rFonts w:ascii="Times New Roman" w:hAnsi="Times New Roman" w:cs="Times New Roman"/>
            <w:sz w:val="24"/>
            <w:szCs w:val="24"/>
          </w:rPr>
          <w:t>taymigm@uclv.edu.cu</w:t>
        </w:r>
      </w:hyperlink>
    </w:p>
    <w:p w:rsidR="0023445B" w:rsidRDefault="0023445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45B" w:rsidRDefault="0023445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64" w:type="dxa"/>
      <w:tblLayout w:type="fixed"/>
      <w:tblLook w:val="04A0" w:firstRow="1" w:lastRow="0" w:firstColumn="1" w:lastColumn="0" w:noHBand="0" w:noVBand="1"/>
    </w:tblPr>
    <w:tblGrid>
      <w:gridCol w:w="1242"/>
      <w:gridCol w:w="5890"/>
      <w:gridCol w:w="1632"/>
    </w:tblGrid>
    <w:tr w:rsidR="0023445B" w:rsidRPr="004D77C8" w:rsidTr="005754D8">
      <w:trPr>
        <w:trHeight w:val="991"/>
      </w:trPr>
      <w:tc>
        <w:tcPr>
          <w:tcW w:w="1242" w:type="dxa"/>
        </w:tcPr>
        <w:p w:rsidR="0023445B" w:rsidRPr="004D77C8" w:rsidRDefault="0023445B"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2336" behindDoc="1" locked="0" layoutInCell="1" allowOverlap="1">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5890" w:type="dxa"/>
        </w:tcPr>
        <w:p w:rsidR="0023445B" w:rsidRDefault="0023445B" w:rsidP="00C8585B">
          <w:pPr>
            <w:pStyle w:val="Encabezado"/>
            <w:rPr>
              <w:rFonts w:ascii="Verdana" w:hAnsi="Verdana"/>
              <w:b/>
              <w:sz w:val="16"/>
              <w:szCs w:val="16"/>
              <w:lang w:val="es-ES_tradnl"/>
            </w:rPr>
          </w:pPr>
        </w:p>
        <w:p w:rsidR="0023445B" w:rsidRPr="00C8585B" w:rsidRDefault="0023445B" w:rsidP="005754D8">
          <w:pPr>
            <w:pStyle w:val="Encabezado"/>
            <w:rPr>
              <w:rFonts w:ascii="Verdana" w:hAnsi="Verdana"/>
              <w:b/>
              <w:sz w:val="16"/>
              <w:szCs w:val="16"/>
              <w:lang w:val="es-ES_tradnl"/>
            </w:rPr>
          </w:pPr>
          <w:r>
            <w:rPr>
              <w:rFonts w:ascii="Verdana" w:hAnsi="Verdana"/>
              <w:b/>
              <w:sz w:val="16"/>
              <w:szCs w:val="16"/>
              <w:lang w:val="es-ES_tradnl"/>
            </w:rPr>
            <w:t>II Convención Científica Internacional 2019</w:t>
          </w:r>
        </w:p>
        <w:p w:rsidR="0023445B" w:rsidRPr="00C8585B" w:rsidRDefault="0023445B" w:rsidP="005754D8">
          <w:pPr>
            <w:pStyle w:val="Encabezado"/>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23445B" w:rsidRPr="00125F56" w:rsidRDefault="0023445B" w:rsidP="00A73C37">
          <w:pPr>
            <w:pStyle w:val="Encabezado"/>
            <w:rPr>
              <w:rFonts w:ascii="Verdana" w:hAnsi="Verdana"/>
              <w:b/>
              <w:sz w:val="16"/>
              <w:szCs w:val="16"/>
              <w:lang w:val="es-ES_tradnl"/>
            </w:rPr>
          </w:pPr>
          <w:r w:rsidRPr="00C8585B">
            <w:rPr>
              <w:rFonts w:ascii="Verdana" w:hAnsi="Verdana"/>
              <w:b/>
              <w:sz w:val="16"/>
              <w:szCs w:val="16"/>
              <w:lang w:val="es-ES_tradnl"/>
            </w:rPr>
            <w:t>CIENCIA, TECNOLOGÍA Y SOCIEDAD</w:t>
          </w:r>
        </w:p>
      </w:tc>
      <w:tc>
        <w:tcPr>
          <w:tcW w:w="1632" w:type="dxa"/>
        </w:tcPr>
        <w:p w:rsidR="0023445B" w:rsidRPr="004D77C8" w:rsidRDefault="0023445B" w:rsidP="009061A5">
          <w:pPr>
            <w:pStyle w:val="Encabezado"/>
            <w:jc w:val="right"/>
            <w:rPr>
              <w:rFonts w:ascii="Verdana" w:hAnsi="Verdana"/>
              <w:b/>
              <w:sz w:val="18"/>
              <w:szCs w:val="18"/>
              <w:lang w:val="es-ES_tradnl"/>
            </w:rPr>
          </w:pPr>
          <w:r w:rsidRPr="000E72AD">
            <w:rPr>
              <w:rFonts w:ascii="Verdana" w:hAnsi="Verdana"/>
              <w:b/>
              <w:noProof/>
              <w:sz w:val="18"/>
              <w:szCs w:val="18"/>
              <w:lang w:eastAsia="es-ES"/>
            </w:rPr>
            <w:drawing>
              <wp:inline distT="0" distB="0" distL="0" distR="0">
                <wp:extent cx="329184" cy="700405"/>
                <wp:effectExtent l="0" t="0" r="0" b="0"/>
                <wp:docPr id="1" name="Imagen 1" descr="C:\Users\IRIAN\Downloads\logo-convencionuniversidadsantac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AN\Downloads\logo-convencionuniversidadsantacla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7880" cy="782738"/>
                        </a:xfrm>
                        <a:prstGeom prst="rect">
                          <a:avLst/>
                        </a:prstGeom>
                        <a:noFill/>
                        <a:ln>
                          <a:noFill/>
                        </a:ln>
                      </pic:spPr>
                    </pic:pic>
                  </a:graphicData>
                </a:graphic>
              </wp:inline>
            </w:drawing>
          </w:r>
        </w:p>
      </w:tc>
    </w:tr>
  </w:tbl>
  <w:p w:rsidR="0023445B" w:rsidRDefault="0023445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45B" w:rsidRDefault="002344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A58"/>
    <w:multiLevelType w:val="hybridMultilevel"/>
    <w:tmpl w:val="93361D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B7676B"/>
    <w:multiLevelType w:val="hybridMultilevel"/>
    <w:tmpl w:val="6A246C02"/>
    <w:lvl w:ilvl="0" w:tplc="FDE24BF6">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903BB9"/>
    <w:multiLevelType w:val="hybridMultilevel"/>
    <w:tmpl w:val="2F68F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413E8"/>
    <w:multiLevelType w:val="hybridMultilevel"/>
    <w:tmpl w:val="B78605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D7482B"/>
    <w:multiLevelType w:val="singleLevel"/>
    <w:tmpl w:val="AB86E65E"/>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21A315A7"/>
    <w:multiLevelType w:val="hybridMultilevel"/>
    <w:tmpl w:val="5CAE0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3E68C0"/>
    <w:multiLevelType w:val="multilevel"/>
    <w:tmpl w:val="AFBE9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D21E1"/>
    <w:multiLevelType w:val="hybridMultilevel"/>
    <w:tmpl w:val="5F52355C"/>
    <w:lvl w:ilvl="0" w:tplc="5DE6C512">
      <w:start w:val="1"/>
      <w:numFmt w:val="decimal"/>
      <w:lvlText w:val="%1."/>
      <w:lvlJc w:val="left"/>
      <w:pPr>
        <w:ind w:left="2040" w:hanging="360"/>
      </w:pPr>
      <w:rPr>
        <w:rFonts w:ascii="Times New Roman" w:eastAsiaTheme="minorHAnsi" w:hAnsi="Times New Roman" w:cs="Times New Roman"/>
      </w:rPr>
    </w:lvl>
    <w:lvl w:ilvl="1" w:tplc="0C0A0003" w:tentative="1">
      <w:start w:val="1"/>
      <w:numFmt w:val="bullet"/>
      <w:lvlText w:val="o"/>
      <w:lvlJc w:val="left"/>
      <w:pPr>
        <w:ind w:left="2760" w:hanging="360"/>
      </w:pPr>
      <w:rPr>
        <w:rFonts w:ascii="Courier New" w:hAnsi="Courier New" w:cs="Courier New" w:hint="default"/>
      </w:rPr>
    </w:lvl>
    <w:lvl w:ilvl="2" w:tplc="0C0A0005" w:tentative="1">
      <w:start w:val="1"/>
      <w:numFmt w:val="bullet"/>
      <w:lvlText w:val=""/>
      <w:lvlJc w:val="left"/>
      <w:pPr>
        <w:ind w:left="3480" w:hanging="360"/>
      </w:pPr>
      <w:rPr>
        <w:rFonts w:ascii="Wingdings" w:hAnsi="Wingdings" w:hint="default"/>
      </w:rPr>
    </w:lvl>
    <w:lvl w:ilvl="3" w:tplc="0C0A0001" w:tentative="1">
      <w:start w:val="1"/>
      <w:numFmt w:val="bullet"/>
      <w:lvlText w:val=""/>
      <w:lvlJc w:val="left"/>
      <w:pPr>
        <w:ind w:left="4200" w:hanging="360"/>
      </w:pPr>
      <w:rPr>
        <w:rFonts w:ascii="Symbol" w:hAnsi="Symbol" w:hint="default"/>
      </w:rPr>
    </w:lvl>
    <w:lvl w:ilvl="4" w:tplc="0C0A0003" w:tentative="1">
      <w:start w:val="1"/>
      <w:numFmt w:val="bullet"/>
      <w:lvlText w:val="o"/>
      <w:lvlJc w:val="left"/>
      <w:pPr>
        <w:ind w:left="4920" w:hanging="360"/>
      </w:pPr>
      <w:rPr>
        <w:rFonts w:ascii="Courier New" w:hAnsi="Courier New" w:cs="Courier New" w:hint="default"/>
      </w:rPr>
    </w:lvl>
    <w:lvl w:ilvl="5" w:tplc="0C0A0005" w:tentative="1">
      <w:start w:val="1"/>
      <w:numFmt w:val="bullet"/>
      <w:lvlText w:val=""/>
      <w:lvlJc w:val="left"/>
      <w:pPr>
        <w:ind w:left="5640" w:hanging="360"/>
      </w:pPr>
      <w:rPr>
        <w:rFonts w:ascii="Wingdings" w:hAnsi="Wingdings" w:hint="default"/>
      </w:rPr>
    </w:lvl>
    <w:lvl w:ilvl="6" w:tplc="0C0A0001" w:tentative="1">
      <w:start w:val="1"/>
      <w:numFmt w:val="bullet"/>
      <w:lvlText w:val=""/>
      <w:lvlJc w:val="left"/>
      <w:pPr>
        <w:ind w:left="6360" w:hanging="360"/>
      </w:pPr>
      <w:rPr>
        <w:rFonts w:ascii="Symbol" w:hAnsi="Symbol" w:hint="default"/>
      </w:rPr>
    </w:lvl>
    <w:lvl w:ilvl="7" w:tplc="0C0A0003" w:tentative="1">
      <w:start w:val="1"/>
      <w:numFmt w:val="bullet"/>
      <w:lvlText w:val="o"/>
      <w:lvlJc w:val="left"/>
      <w:pPr>
        <w:ind w:left="7080" w:hanging="360"/>
      </w:pPr>
      <w:rPr>
        <w:rFonts w:ascii="Courier New" w:hAnsi="Courier New" w:cs="Courier New" w:hint="default"/>
      </w:rPr>
    </w:lvl>
    <w:lvl w:ilvl="8" w:tplc="0C0A0005" w:tentative="1">
      <w:start w:val="1"/>
      <w:numFmt w:val="bullet"/>
      <w:lvlText w:val=""/>
      <w:lvlJc w:val="left"/>
      <w:pPr>
        <w:ind w:left="7800" w:hanging="360"/>
      </w:pPr>
      <w:rPr>
        <w:rFonts w:ascii="Wingdings" w:hAnsi="Wingdings" w:hint="default"/>
      </w:rPr>
    </w:lvl>
  </w:abstractNum>
  <w:abstractNum w:abstractNumId="8" w15:restartNumberingAfterBreak="0">
    <w:nsid w:val="2A716F92"/>
    <w:multiLevelType w:val="hybridMultilevel"/>
    <w:tmpl w:val="CC243E46"/>
    <w:lvl w:ilvl="0" w:tplc="0C0A000B">
      <w:start w:val="1"/>
      <w:numFmt w:val="bullet"/>
      <w:lvlText w:val=""/>
      <w:lvlJc w:val="left"/>
      <w:pPr>
        <w:ind w:left="-131" w:hanging="360"/>
      </w:pPr>
      <w:rPr>
        <w:rFonts w:ascii="Wingdings" w:hAnsi="Wingdings" w:hint="default"/>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9" w15:restartNumberingAfterBreak="0">
    <w:nsid w:val="2ACD4225"/>
    <w:multiLevelType w:val="hybridMultilevel"/>
    <w:tmpl w:val="6B2036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D7A6170"/>
    <w:multiLevelType w:val="hybridMultilevel"/>
    <w:tmpl w:val="92C2CA9E"/>
    <w:lvl w:ilvl="0" w:tplc="0C0A0001">
      <w:start w:val="1"/>
      <w:numFmt w:val="bullet"/>
      <w:lvlText w:val=""/>
      <w:lvlJc w:val="left"/>
      <w:pPr>
        <w:ind w:left="533" w:hanging="360"/>
      </w:pPr>
      <w:rPr>
        <w:rFonts w:ascii="Symbol" w:hAnsi="Symbol" w:hint="default"/>
      </w:rPr>
    </w:lvl>
    <w:lvl w:ilvl="1" w:tplc="0C0A0003" w:tentative="1">
      <w:start w:val="1"/>
      <w:numFmt w:val="bullet"/>
      <w:lvlText w:val="o"/>
      <w:lvlJc w:val="left"/>
      <w:pPr>
        <w:ind w:left="1253" w:hanging="360"/>
      </w:pPr>
      <w:rPr>
        <w:rFonts w:ascii="Courier New" w:hAnsi="Courier New" w:cs="Courier New" w:hint="default"/>
      </w:rPr>
    </w:lvl>
    <w:lvl w:ilvl="2" w:tplc="0C0A0005" w:tentative="1">
      <w:start w:val="1"/>
      <w:numFmt w:val="bullet"/>
      <w:lvlText w:val=""/>
      <w:lvlJc w:val="left"/>
      <w:pPr>
        <w:ind w:left="1973" w:hanging="360"/>
      </w:pPr>
      <w:rPr>
        <w:rFonts w:ascii="Wingdings" w:hAnsi="Wingdings" w:hint="default"/>
      </w:rPr>
    </w:lvl>
    <w:lvl w:ilvl="3" w:tplc="0C0A0001" w:tentative="1">
      <w:start w:val="1"/>
      <w:numFmt w:val="bullet"/>
      <w:lvlText w:val=""/>
      <w:lvlJc w:val="left"/>
      <w:pPr>
        <w:ind w:left="2693" w:hanging="360"/>
      </w:pPr>
      <w:rPr>
        <w:rFonts w:ascii="Symbol" w:hAnsi="Symbol" w:hint="default"/>
      </w:rPr>
    </w:lvl>
    <w:lvl w:ilvl="4" w:tplc="0C0A0003" w:tentative="1">
      <w:start w:val="1"/>
      <w:numFmt w:val="bullet"/>
      <w:lvlText w:val="o"/>
      <w:lvlJc w:val="left"/>
      <w:pPr>
        <w:ind w:left="3413" w:hanging="360"/>
      </w:pPr>
      <w:rPr>
        <w:rFonts w:ascii="Courier New" w:hAnsi="Courier New" w:cs="Courier New" w:hint="default"/>
      </w:rPr>
    </w:lvl>
    <w:lvl w:ilvl="5" w:tplc="0C0A0005" w:tentative="1">
      <w:start w:val="1"/>
      <w:numFmt w:val="bullet"/>
      <w:lvlText w:val=""/>
      <w:lvlJc w:val="left"/>
      <w:pPr>
        <w:ind w:left="4133" w:hanging="360"/>
      </w:pPr>
      <w:rPr>
        <w:rFonts w:ascii="Wingdings" w:hAnsi="Wingdings" w:hint="default"/>
      </w:rPr>
    </w:lvl>
    <w:lvl w:ilvl="6" w:tplc="0C0A0001" w:tentative="1">
      <w:start w:val="1"/>
      <w:numFmt w:val="bullet"/>
      <w:lvlText w:val=""/>
      <w:lvlJc w:val="left"/>
      <w:pPr>
        <w:ind w:left="4853" w:hanging="360"/>
      </w:pPr>
      <w:rPr>
        <w:rFonts w:ascii="Symbol" w:hAnsi="Symbol" w:hint="default"/>
      </w:rPr>
    </w:lvl>
    <w:lvl w:ilvl="7" w:tplc="0C0A0003" w:tentative="1">
      <w:start w:val="1"/>
      <w:numFmt w:val="bullet"/>
      <w:lvlText w:val="o"/>
      <w:lvlJc w:val="left"/>
      <w:pPr>
        <w:ind w:left="5573" w:hanging="360"/>
      </w:pPr>
      <w:rPr>
        <w:rFonts w:ascii="Courier New" w:hAnsi="Courier New" w:cs="Courier New" w:hint="default"/>
      </w:rPr>
    </w:lvl>
    <w:lvl w:ilvl="8" w:tplc="0C0A0005" w:tentative="1">
      <w:start w:val="1"/>
      <w:numFmt w:val="bullet"/>
      <w:lvlText w:val=""/>
      <w:lvlJc w:val="left"/>
      <w:pPr>
        <w:ind w:left="6293" w:hanging="360"/>
      </w:pPr>
      <w:rPr>
        <w:rFonts w:ascii="Wingdings" w:hAnsi="Wingdings" w:hint="default"/>
      </w:rPr>
    </w:lvl>
  </w:abstractNum>
  <w:abstractNum w:abstractNumId="11" w15:restartNumberingAfterBreak="0">
    <w:nsid w:val="2F807F59"/>
    <w:multiLevelType w:val="hybridMultilevel"/>
    <w:tmpl w:val="6B32EF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836EB5"/>
    <w:multiLevelType w:val="hybridMultilevel"/>
    <w:tmpl w:val="564C17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8A4B85"/>
    <w:multiLevelType w:val="hybridMultilevel"/>
    <w:tmpl w:val="6824AD14"/>
    <w:lvl w:ilvl="0" w:tplc="71CC303A">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AD0708"/>
    <w:multiLevelType w:val="hybridMultilevel"/>
    <w:tmpl w:val="E06E59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A11A7E"/>
    <w:multiLevelType w:val="hybridMultilevel"/>
    <w:tmpl w:val="21C28A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7377E51"/>
    <w:multiLevelType w:val="hybridMultilevel"/>
    <w:tmpl w:val="723E48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99635C"/>
    <w:multiLevelType w:val="multilevel"/>
    <w:tmpl w:val="11C4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FB064F"/>
    <w:multiLevelType w:val="hybridMultilevel"/>
    <w:tmpl w:val="CD6885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081D5C"/>
    <w:multiLevelType w:val="singleLevel"/>
    <w:tmpl w:val="0D34F38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49520022"/>
    <w:multiLevelType w:val="hybridMultilevel"/>
    <w:tmpl w:val="78C6C3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E60EFC"/>
    <w:multiLevelType w:val="hybridMultilevel"/>
    <w:tmpl w:val="2EEA3386"/>
    <w:lvl w:ilvl="0" w:tplc="5784FDC6">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B182349"/>
    <w:multiLevelType w:val="hybridMultilevel"/>
    <w:tmpl w:val="D2F0C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C7851D6"/>
    <w:multiLevelType w:val="hybridMultilevel"/>
    <w:tmpl w:val="7AE4041E"/>
    <w:lvl w:ilvl="0" w:tplc="3C1445A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9E70A4"/>
    <w:multiLevelType w:val="hybridMultilevel"/>
    <w:tmpl w:val="117C41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51642C"/>
    <w:multiLevelType w:val="hybridMultilevel"/>
    <w:tmpl w:val="6722FD9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90F6772"/>
    <w:multiLevelType w:val="hybridMultilevel"/>
    <w:tmpl w:val="2ED4F122"/>
    <w:lvl w:ilvl="0" w:tplc="C1F2EB1A">
      <w:start w:val="1"/>
      <w:numFmt w:val="decimal"/>
      <w:lvlText w:val="%1."/>
      <w:lvlJc w:val="left"/>
      <w:pPr>
        <w:ind w:left="720" w:hanging="436"/>
      </w:pPr>
      <w:rPr>
        <w:rFonts w:hint="default"/>
        <w:i w:val="0"/>
        <w:color w:val="auto"/>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74640F"/>
    <w:multiLevelType w:val="hybridMultilevel"/>
    <w:tmpl w:val="5030B0C0"/>
    <w:lvl w:ilvl="0" w:tplc="6932FB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0D6070"/>
    <w:multiLevelType w:val="hybridMultilevel"/>
    <w:tmpl w:val="3B6850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45E7D92"/>
    <w:multiLevelType w:val="hybridMultilevel"/>
    <w:tmpl w:val="A06A6B2C"/>
    <w:lvl w:ilvl="0" w:tplc="3A2ADEEA">
      <w:start w:val="1"/>
      <w:numFmt w:val="bullet"/>
      <w:lvlText w:val=""/>
      <w:lvlJc w:val="left"/>
      <w:pPr>
        <w:ind w:left="720" w:hanging="360"/>
      </w:pPr>
      <w:rPr>
        <w:rFonts w:ascii="Symbol" w:hAnsi="Symbo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D2D7BD9"/>
    <w:multiLevelType w:val="multilevel"/>
    <w:tmpl w:val="0F6C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777A6A"/>
    <w:multiLevelType w:val="hybridMultilevel"/>
    <w:tmpl w:val="3C8C4390"/>
    <w:lvl w:ilvl="0" w:tplc="555C1070">
      <w:start w:val="1"/>
      <w:numFmt w:val="decimal"/>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943037"/>
    <w:multiLevelType w:val="hybridMultilevel"/>
    <w:tmpl w:val="994EC242"/>
    <w:lvl w:ilvl="0" w:tplc="FFEA7362">
      <w:start w:val="1"/>
      <w:numFmt w:val="decimal"/>
      <w:lvlText w:val="%1-"/>
      <w:lvlJc w:val="left"/>
      <w:pPr>
        <w:ind w:left="720" w:hanging="360"/>
      </w:pPr>
      <w:rPr>
        <w:rFonts w:hint="default"/>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27"/>
  </w:num>
  <w:num w:numId="3">
    <w:abstractNumId w:val="33"/>
  </w:num>
  <w:num w:numId="4">
    <w:abstractNumId w:val="2"/>
  </w:num>
  <w:num w:numId="5">
    <w:abstractNumId w:val="0"/>
  </w:num>
  <w:num w:numId="6">
    <w:abstractNumId w:val="14"/>
  </w:num>
  <w:num w:numId="7">
    <w:abstractNumId w:val="3"/>
  </w:num>
  <w:num w:numId="8">
    <w:abstractNumId w:val="16"/>
  </w:num>
  <w:num w:numId="9">
    <w:abstractNumId w:val="32"/>
  </w:num>
  <w:num w:numId="10">
    <w:abstractNumId w:val="20"/>
  </w:num>
  <w:num w:numId="11">
    <w:abstractNumId w:val="28"/>
  </w:num>
  <w:num w:numId="12">
    <w:abstractNumId w:val="15"/>
  </w:num>
  <w:num w:numId="13">
    <w:abstractNumId w:val="12"/>
  </w:num>
  <w:num w:numId="14">
    <w:abstractNumId w:val="18"/>
  </w:num>
  <w:num w:numId="15">
    <w:abstractNumId w:val="5"/>
  </w:num>
  <w:num w:numId="16">
    <w:abstractNumId w:val="25"/>
  </w:num>
  <w:num w:numId="17">
    <w:abstractNumId w:val="10"/>
  </w:num>
  <w:num w:numId="18">
    <w:abstractNumId w:val="21"/>
  </w:num>
  <w:num w:numId="19">
    <w:abstractNumId w:val="19"/>
  </w:num>
  <w:num w:numId="20">
    <w:abstractNumId w:val="4"/>
  </w:num>
  <w:num w:numId="21">
    <w:abstractNumId w:val="4"/>
    <w:lvlOverride w:ilvl="0">
      <w:lvl w:ilvl="0">
        <w:start w:val="4"/>
        <w:numFmt w:val="decimal"/>
        <w:lvlText w:val="1.%1 "/>
        <w:legacy w:legacy="1" w:legacySpace="0" w:legacyIndent="283"/>
        <w:lvlJc w:val="left"/>
        <w:pPr>
          <w:ind w:left="283" w:hanging="283"/>
        </w:pPr>
        <w:rPr>
          <w:rFonts w:ascii="Times New Roman" w:hAnsi="Times New Roman" w:hint="default"/>
          <w:b w:val="0"/>
          <w:i w:val="0"/>
          <w:sz w:val="24"/>
          <w:u w:val="none"/>
        </w:rPr>
      </w:lvl>
    </w:lvlOverride>
  </w:num>
  <w:num w:numId="22">
    <w:abstractNumId w:val="4"/>
    <w:lvlOverride w:ilvl="0">
      <w:lvl w:ilvl="0">
        <w:start w:val="5"/>
        <w:numFmt w:val="decimal"/>
        <w:lvlText w:val="1.%1 "/>
        <w:legacy w:legacy="1" w:legacySpace="0" w:legacyIndent="283"/>
        <w:lvlJc w:val="left"/>
        <w:pPr>
          <w:ind w:left="283" w:hanging="283"/>
        </w:pPr>
        <w:rPr>
          <w:rFonts w:ascii="Times New Roman" w:hAnsi="Times New Roman" w:hint="default"/>
          <w:b w:val="0"/>
          <w:i w:val="0"/>
          <w:sz w:val="24"/>
          <w:u w:val="none"/>
        </w:rPr>
      </w:lvl>
    </w:lvlOverride>
  </w:num>
  <w:num w:numId="23">
    <w:abstractNumId w:val="11"/>
  </w:num>
  <w:num w:numId="24">
    <w:abstractNumId w:val="23"/>
  </w:num>
  <w:num w:numId="25">
    <w:abstractNumId w:val="22"/>
  </w:num>
  <w:num w:numId="26">
    <w:abstractNumId w:val="31"/>
  </w:num>
  <w:num w:numId="27">
    <w:abstractNumId w:val="17"/>
  </w:num>
  <w:num w:numId="28">
    <w:abstractNumId w:val="6"/>
  </w:num>
  <w:num w:numId="29">
    <w:abstractNumId w:val="30"/>
  </w:num>
  <w:num w:numId="30">
    <w:abstractNumId w:val="7"/>
  </w:num>
  <w:num w:numId="31">
    <w:abstractNumId w:val="26"/>
  </w:num>
  <w:num w:numId="32">
    <w:abstractNumId w:val="24"/>
  </w:num>
  <w:num w:numId="33">
    <w:abstractNumId w:val="8"/>
  </w:num>
  <w:num w:numId="34">
    <w:abstractNumId w:val="13"/>
  </w:num>
  <w:num w:numId="35">
    <w:abstractNumId w:val="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Estilo Harvard Eveli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5x2rzfvvuw9228e2t9m5tsv7ptsvza9dsv2d&quot;&gt;Dulce 2018&lt;record-ids&gt;&lt;item&gt;1&lt;/item&gt;&lt;item&gt;66&lt;/item&gt;&lt;item&gt;203&lt;/item&gt;&lt;item&gt;466&lt;/item&gt;&lt;item&gt;579&lt;/item&gt;&lt;item&gt;625&lt;/item&gt;&lt;item&gt;630&lt;/item&gt;&lt;item&gt;637&lt;/item&gt;&lt;item&gt;662&lt;/item&gt;&lt;item&gt;703&lt;/item&gt;&lt;item&gt;776&lt;/item&gt;&lt;item&gt;875&lt;/item&gt;&lt;item&gt;877&lt;/item&gt;&lt;item&gt;878&lt;/item&gt;&lt;item&gt;879&lt;/item&gt;&lt;item&gt;884&lt;/item&gt;&lt;item&gt;912&lt;/item&gt;&lt;item&gt;919&lt;/item&gt;&lt;item&gt;937&lt;/item&gt;&lt;item&gt;944&lt;/item&gt;&lt;item&gt;946&lt;/item&gt;&lt;item&gt;980&lt;/item&gt;&lt;item&gt;995&lt;/item&gt;&lt;/record-ids&gt;&lt;/item&gt;&lt;/Libraries&gt;"/>
  </w:docVars>
  <w:rsids>
    <w:rsidRoot w:val="00C8585B"/>
    <w:rsid w:val="00001176"/>
    <w:rsid w:val="00011F04"/>
    <w:rsid w:val="000125FE"/>
    <w:rsid w:val="00014027"/>
    <w:rsid w:val="000220F2"/>
    <w:rsid w:val="000261FF"/>
    <w:rsid w:val="00026FB3"/>
    <w:rsid w:val="00031A31"/>
    <w:rsid w:val="00033667"/>
    <w:rsid w:val="00033710"/>
    <w:rsid w:val="00041250"/>
    <w:rsid w:val="00043CA7"/>
    <w:rsid w:val="00052D9A"/>
    <w:rsid w:val="000539BD"/>
    <w:rsid w:val="000578FB"/>
    <w:rsid w:val="00063AE6"/>
    <w:rsid w:val="000652FF"/>
    <w:rsid w:val="00075DC2"/>
    <w:rsid w:val="00096701"/>
    <w:rsid w:val="000A77CE"/>
    <w:rsid w:val="000B025C"/>
    <w:rsid w:val="000B0F78"/>
    <w:rsid w:val="000B17BB"/>
    <w:rsid w:val="000B6BF0"/>
    <w:rsid w:val="000C14DC"/>
    <w:rsid w:val="000C4B51"/>
    <w:rsid w:val="000C5837"/>
    <w:rsid w:val="000D188D"/>
    <w:rsid w:val="000D41C0"/>
    <w:rsid w:val="000D4451"/>
    <w:rsid w:val="000D7BC5"/>
    <w:rsid w:val="000E55F1"/>
    <w:rsid w:val="000E72AD"/>
    <w:rsid w:val="0010104B"/>
    <w:rsid w:val="0010353D"/>
    <w:rsid w:val="00105F3D"/>
    <w:rsid w:val="0011048A"/>
    <w:rsid w:val="00110FF3"/>
    <w:rsid w:val="00117F96"/>
    <w:rsid w:val="00123D50"/>
    <w:rsid w:val="0012684D"/>
    <w:rsid w:val="001270C2"/>
    <w:rsid w:val="001316AE"/>
    <w:rsid w:val="00135617"/>
    <w:rsid w:val="00137E10"/>
    <w:rsid w:val="0014224D"/>
    <w:rsid w:val="00165D6C"/>
    <w:rsid w:val="00171AEF"/>
    <w:rsid w:val="001737CC"/>
    <w:rsid w:val="00176422"/>
    <w:rsid w:val="00176497"/>
    <w:rsid w:val="00177FFB"/>
    <w:rsid w:val="001848A3"/>
    <w:rsid w:val="00192F96"/>
    <w:rsid w:val="00193448"/>
    <w:rsid w:val="00194BCC"/>
    <w:rsid w:val="001974C2"/>
    <w:rsid w:val="001A311D"/>
    <w:rsid w:val="001C061C"/>
    <w:rsid w:val="001C1E81"/>
    <w:rsid w:val="001C57B4"/>
    <w:rsid w:val="001C61C9"/>
    <w:rsid w:val="001D01BE"/>
    <w:rsid w:val="001D121E"/>
    <w:rsid w:val="001D422B"/>
    <w:rsid w:val="001D62DB"/>
    <w:rsid w:val="001E034C"/>
    <w:rsid w:val="001F1450"/>
    <w:rsid w:val="001F29FB"/>
    <w:rsid w:val="001F6B54"/>
    <w:rsid w:val="00203D75"/>
    <w:rsid w:val="002054FA"/>
    <w:rsid w:val="0021356C"/>
    <w:rsid w:val="002200DB"/>
    <w:rsid w:val="00224227"/>
    <w:rsid w:val="00225595"/>
    <w:rsid w:val="00226D26"/>
    <w:rsid w:val="0023445B"/>
    <w:rsid w:val="002355FB"/>
    <w:rsid w:val="00237DED"/>
    <w:rsid w:val="00241516"/>
    <w:rsid w:val="002475E0"/>
    <w:rsid w:val="00250F1D"/>
    <w:rsid w:val="002750B9"/>
    <w:rsid w:val="002A2957"/>
    <w:rsid w:val="002B0C19"/>
    <w:rsid w:val="002B1A52"/>
    <w:rsid w:val="002C4E3F"/>
    <w:rsid w:val="002E0345"/>
    <w:rsid w:val="002E0882"/>
    <w:rsid w:val="002E2590"/>
    <w:rsid w:val="002E272A"/>
    <w:rsid w:val="00306C2D"/>
    <w:rsid w:val="00310239"/>
    <w:rsid w:val="0031059B"/>
    <w:rsid w:val="00321C6D"/>
    <w:rsid w:val="0033307C"/>
    <w:rsid w:val="003500C2"/>
    <w:rsid w:val="00350B7C"/>
    <w:rsid w:val="00353D57"/>
    <w:rsid w:val="003655FA"/>
    <w:rsid w:val="00365FB5"/>
    <w:rsid w:val="00366069"/>
    <w:rsid w:val="00393E3B"/>
    <w:rsid w:val="003A7E42"/>
    <w:rsid w:val="003D732F"/>
    <w:rsid w:val="003E00A4"/>
    <w:rsid w:val="003E3D08"/>
    <w:rsid w:val="003E561B"/>
    <w:rsid w:val="003E737B"/>
    <w:rsid w:val="00400628"/>
    <w:rsid w:val="00403285"/>
    <w:rsid w:val="00413345"/>
    <w:rsid w:val="00443284"/>
    <w:rsid w:val="00451A71"/>
    <w:rsid w:val="00455396"/>
    <w:rsid w:val="00457239"/>
    <w:rsid w:val="00460722"/>
    <w:rsid w:val="00462011"/>
    <w:rsid w:val="00481F5B"/>
    <w:rsid w:val="00483339"/>
    <w:rsid w:val="00490B07"/>
    <w:rsid w:val="00496D84"/>
    <w:rsid w:val="004A3EF1"/>
    <w:rsid w:val="004B4EDE"/>
    <w:rsid w:val="004C0556"/>
    <w:rsid w:val="004C43D7"/>
    <w:rsid w:val="004C5541"/>
    <w:rsid w:val="004C7ADC"/>
    <w:rsid w:val="004C7DB9"/>
    <w:rsid w:val="004D0AD0"/>
    <w:rsid w:val="004D1A84"/>
    <w:rsid w:val="004D37F4"/>
    <w:rsid w:val="004D44DD"/>
    <w:rsid w:val="004D5CC2"/>
    <w:rsid w:val="004E6C27"/>
    <w:rsid w:val="004F748C"/>
    <w:rsid w:val="0051700B"/>
    <w:rsid w:val="00524A96"/>
    <w:rsid w:val="0052577E"/>
    <w:rsid w:val="00527F37"/>
    <w:rsid w:val="00533221"/>
    <w:rsid w:val="00535EB2"/>
    <w:rsid w:val="0054227B"/>
    <w:rsid w:val="00543948"/>
    <w:rsid w:val="00554820"/>
    <w:rsid w:val="00557A7B"/>
    <w:rsid w:val="00567A2F"/>
    <w:rsid w:val="005754D8"/>
    <w:rsid w:val="0057680B"/>
    <w:rsid w:val="00580DC8"/>
    <w:rsid w:val="00583745"/>
    <w:rsid w:val="00590565"/>
    <w:rsid w:val="00593F06"/>
    <w:rsid w:val="00594656"/>
    <w:rsid w:val="00596416"/>
    <w:rsid w:val="005A2730"/>
    <w:rsid w:val="005A628D"/>
    <w:rsid w:val="005B17F7"/>
    <w:rsid w:val="005B6CDA"/>
    <w:rsid w:val="005C4D25"/>
    <w:rsid w:val="005D67A4"/>
    <w:rsid w:val="005F3BD8"/>
    <w:rsid w:val="005F4A13"/>
    <w:rsid w:val="005F535C"/>
    <w:rsid w:val="005F72CE"/>
    <w:rsid w:val="00603355"/>
    <w:rsid w:val="006069A2"/>
    <w:rsid w:val="0060754B"/>
    <w:rsid w:val="00612037"/>
    <w:rsid w:val="00613459"/>
    <w:rsid w:val="00614669"/>
    <w:rsid w:val="00617690"/>
    <w:rsid w:val="0062120B"/>
    <w:rsid w:val="006217AB"/>
    <w:rsid w:val="006271E4"/>
    <w:rsid w:val="00627320"/>
    <w:rsid w:val="00637A82"/>
    <w:rsid w:val="0064055F"/>
    <w:rsid w:val="006637ED"/>
    <w:rsid w:val="00667F10"/>
    <w:rsid w:val="00670CDB"/>
    <w:rsid w:val="006726AF"/>
    <w:rsid w:val="006742DC"/>
    <w:rsid w:val="006762AF"/>
    <w:rsid w:val="006771BD"/>
    <w:rsid w:val="006826A8"/>
    <w:rsid w:val="006A21D2"/>
    <w:rsid w:val="006B3216"/>
    <w:rsid w:val="006B6118"/>
    <w:rsid w:val="006E7B77"/>
    <w:rsid w:val="006F19C7"/>
    <w:rsid w:val="006F2E89"/>
    <w:rsid w:val="006F63B9"/>
    <w:rsid w:val="0070088E"/>
    <w:rsid w:val="00704560"/>
    <w:rsid w:val="007126CE"/>
    <w:rsid w:val="00715006"/>
    <w:rsid w:val="0072505D"/>
    <w:rsid w:val="00734FF2"/>
    <w:rsid w:val="00744213"/>
    <w:rsid w:val="007657A5"/>
    <w:rsid w:val="0076657D"/>
    <w:rsid w:val="007672FF"/>
    <w:rsid w:val="00776FE9"/>
    <w:rsid w:val="00782346"/>
    <w:rsid w:val="00790FE3"/>
    <w:rsid w:val="00792BE4"/>
    <w:rsid w:val="007A185C"/>
    <w:rsid w:val="007C436B"/>
    <w:rsid w:val="007C48C7"/>
    <w:rsid w:val="007D3CBD"/>
    <w:rsid w:val="007D52E8"/>
    <w:rsid w:val="007E0C46"/>
    <w:rsid w:val="007E2AD7"/>
    <w:rsid w:val="007E2FF8"/>
    <w:rsid w:val="007E7B61"/>
    <w:rsid w:val="00805819"/>
    <w:rsid w:val="00817FD8"/>
    <w:rsid w:val="00822402"/>
    <w:rsid w:val="00826164"/>
    <w:rsid w:val="00834E77"/>
    <w:rsid w:val="0083572E"/>
    <w:rsid w:val="008368D7"/>
    <w:rsid w:val="008462E5"/>
    <w:rsid w:val="00850D3C"/>
    <w:rsid w:val="00851F91"/>
    <w:rsid w:val="0085219B"/>
    <w:rsid w:val="008649FD"/>
    <w:rsid w:val="0088159E"/>
    <w:rsid w:val="00882C84"/>
    <w:rsid w:val="00891DCC"/>
    <w:rsid w:val="00892051"/>
    <w:rsid w:val="00895474"/>
    <w:rsid w:val="008A1C16"/>
    <w:rsid w:val="008A21C0"/>
    <w:rsid w:val="008A3535"/>
    <w:rsid w:val="008A5A95"/>
    <w:rsid w:val="008C326C"/>
    <w:rsid w:val="008D018B"/>
    <w:rsid w:val="008D16C9"/>
    <w:rsid w:val="008E7C08"/>
    <w:rsid w:val="008F5A46"/>
    <w:rsid w:val="00904747"/>
    <w:rsid w:val="009061A5"/>
    <w:rsid w:val="00907EC0"/>
    <w:rsid w:val="0092511A"/>
    <w:rsid w:val="009254DB"/>
    <w:rsid w:val="00936B5F"/>
    <w:rsid w:val="009448EC"/>
    <w:rsid w:val="00953E66"/>
    <w:rsid w:val="00955541"/>
    <w:rsid w:val="00955B07"/>
    <w:rsid w:val="00970997"/>
    <w:rsid w:val="009815DA"/>
    <w:rsid w:val="009820DE"/>
    <w:rsid w:val="00995651"/>
    <w:rsid w:val="009A3CC0"/>
    <w:rsid w:val="009A6A1F"/>
    <w:rsid w:val="009B1EF2"/>
    <w:rsid w:val="009B4C52"/>
    <w:rsid w:val="009C5F74"/>
    <w:rsid w:val="009C7B12"/>
    <w:rsid w:val="009D0CD7"/>
    <w:rsid w:val="009D5E02"/>
    <w:rsid w:val="009D67CD"/>
    <w:rsid w:val="009F230D"/>
    <w:rsid w:val="00A005CC"/>
    <w:rsid w:val="00A01B17"/>
    <w:rsid w:val="00A1076B"/>
    <w:rsid w:val="00A10FD9"/>
    <w:rsid w:val="00A13ECA"/>
    <w:rsid w:val="00A21A1F"/>
    <w:rsid w:val="00A2360D"/>
    <w:rsid w:val="00A26E4C"/>
    <w:rsid w:val="00A359B5"/>
    <w:rsid w:val="00A369B6"/>
    <w:rsid w:val="00A43427"/>
    <w:rsid w:val="00A45BC3"/>
    <w:rsid w:val="00A4742E"/>
    <w:rsid w:val="00A53F48"/>
    <w:rsid w:val="00A543D1"/>
    <w:rsid w:val="00A62A14"/>
    <w:rsid w:val="00A73C37"/>
    <w:rsid w:val="00A81410"/>
    <w:rsid w:val="00A81854"/>
    <w:rsid w:val="00A822EF"/>
    <w:rsid w:val="00A92B70"/>
    <w:rsid w:val="00A92E36"/>
    <w:rsid w:val="00AA3525"/>
    <w:rsid w:val="00AA54B3"/>
    <w:rsid w:val="00AB7A7F"/>
    <w:rsid w:val="00AC0B84"/>
    <w:rsid w:val="00AC7ACD"/>
    <w:rsid w:val="00AD11D0"/>
    <w:rsid w:val="00AD2F10"/>
    <w:rsid w:val="00AE490F"/>
    <w:rsid w:val="00AE70F8"/>
    <w:rsid w:val="00AF1DC1"/>
    <w:rsid w:val="00AF72E7"/>
    <w:rsid w:val="00B04641"/>
    <w:rsid w:val="00B06601"/>
    <w:rsid w:val="00B1366E"/>
    <w:rsid w:val="00B1510B"/>
    <w:rsid w:val="00B2024E"/>
    <w:rsid w:val="00B21795"/>
    <w:rsid w:val="00B3585C"/>
    <w:rsid w:val="00B36240"/>
    <w:rsid w:val="00B40380"/>
    <w:rsid w:val="00B40E34"/>
    <w:rsid w:val="00B40F75"/>
    <w:rsid w:val="00B41D3F"/>
    <w:rsid w:val="00B56F5D"/>
    <w:rsid w:val="00B641E4"/>
    <w:rsid w:val="00B6677A"/>
    <w:rsid w:val="00B80E97"/>
    <w:rsid w:val="00B836BA"/>
    <w:rsid w:val="00B8582D"/>
    <w:rsid w:val="00BA2B34"/>
    <w:rsid w:val="00BC4EE3"/>
    <w:rsid w:val="00BC5E12"/>
    <w:rsid w:val="00BD55EB"/>
    <w:rsid w:val="00BE0304"/>
    <w:rsid w:val="00BE6D97"/>
    <w:rsid w:val="00BE754D"/>
    <w:rsid w:val="00BE78C6"/>
    <w:rsid w:val="00BF2404"/>
    <w:rsid w:val="00BF2FF2"/>
    <w:rsid w:val="00C13A85"/>
    <w:rsid w:val="00C17EE2"/>
    <w:rsid w:val="00C25BDD"/>
    <w:rsid w:val="00C30B74"/>
    <w:rsid w:val="00C40B39"/>
    <w:rsid w:val="00C4422C"/>
    <w:rsid w:val="00C447C7"/>
    <w:rsid w:val="00C451C1"/>
    <w:rsid w:val="00C5785D"/>
    <w:rsid w:val="00C63F3E"/>
    <w:rsid w:val="00C6777F"/>
    <w:rsid w:val="00C713BD"/>
    <w:rsid w:val="00C73C45"/>
    <w:rsid w:val="00C73C9C"/>
    <w:rsid w:val="00C8585B"/>
    <w:rsid w:val="00C85B07"/>
    <w:rsid w:val="00CA41ED"/>
    <w:rsid w:val="00CD2BC3"/>
    <w:rsid w:val="00CD2E4B"/>
    <w:rsid w:val="00CD427A"/>
    <w:rsid w:val="00CE503B"/>
    <w:rsid w:val="00D0073F"/>
    <w:rsid w:val="00D03F3B"/>
    <w:rsid w:val="00D124E1"/>
    <w:rsid w:val="00D12868"/>
    <w:rsid w:val="00D2051F"/>
    <w:rsid w:val="00D23076"/>
    <w:rsid w:val="00D25235"/>
    <w:rsid w:val="00D36C38"/>
    <w:rsid w:val="00D36D1C"/>
    <w:rsid w:val="00D409ED"/>
    <w:rsid w:val="00D40E87"/>
    <w:rsid w:val="00D50CF8"/>
    <w:rsid w:val="00D52130"/>
    <w:rsid w:val="00D73DE9"/>
    <w:rsid w:val="00D76D8C"/>
    <w:rsid w:val="00D80070"/>
    <w:rsid w:val="00D804D4"/>
    <w:rsid w:val="00D822FF"/>
    <w:rsid w:val="00D937B3"/>
    <w:rsid w:val="00D94B4C"/>
    <w:rsid w:val="00D9537E"/>
    <w:rsid w:val="00DA109C"/>
    <w:rsid w:val="00DA1BF1"/>
    <w:rsid w:val="00DA3FCE"/>
    <w:rsid w:val="00DA4948"/>
    <w:rsid w:val="00DB51D6"/>
    <w:rsid w:val="00DD02AB"/>
    <w:rsid w:val="00DD2139"/>
    <w:rsid w:val="00DE4490"/>
    <w:rsid w:val="00DE6965"/>
    <w:rsid w:val="00DF2C74"/>
    <w:rsid w:val="00E0111A"/>
    <w:rsid w:val="00E01C4F"/>
    <w:rsid w:val="00E07EB4"/>
    <w:rsid w:val="00E121A6"/>
    <w:rsid w:val="00E15952"/>
    <w:rsid w:val="00E1702A"/>
    <w:rsid w:val="00E1795C"/>
    <w:rsid w:val="00E238D3"/>
    <w:rsid w:val="00E33659"/>
    <w:rsid w:val="00E34B58"/>
    <w:rsid w:val="00E40384"/>
    <w:rsid w:val="00E51192"/>
    <w:rsid w:val="00E51D6E"/>
    <w:rsid w:val="00E53589"/>
    <w:rsid w:val="00E57A09"/>
    <w:rsid w:val="00E67A37"/>
    <w:rsid w:val="00E72C2E"/>
    <w:rsid w:val="00E74274"/>
    <w:rsid w:val="00E74A1B"/>
    <w:rsid w:val="00E752F2"/>
    <w:rsid w:val="00E7549C"/>
    <w:rsid w:val="00E76FF4"/>
    <w:rsid w:val="00E912D0"/>
    <w:rsid w:val="00E91E07"/>
    <w:rsid w:val="00E92B11"/>
    <w:rsid w:val="00E9487C"/>
    <w:rsid w:val="00EA3111"/>
    <w:rsid w:val="00EA7C5E"/>
    <w:rsid w:val="00EB39C2"/>
    <w:rsid w:val="00EB39F0"/>
    <w:rsid w:val="00EB66AA"/>
    <w:rsid w:val="00EC39CB"/>
    <w:rsid w:val="00EC5337"/>
    <w:rsid w:val="00EE0AC6"/>
    <w:rsid w:val="00EE4080"/>
    <w:rsid w:val="00EF360C"/>
    <w:rsid w:val="00EF7205"/>
    <w:rsid w:val="00EF7D6F"/>
    <w:rsid w:val="00F02B52"/>
    <w:rsid w:val="00F06656"/>
    <w:rsid w:val="00F069F2"/>
    <w:rsid w:val="00F11353"/>
    <w:rsid w:val="00F135FE"/>
    <w:rsid w:val="00F161F2"/>
    <w:rsid w:val="00F2421F"/>
    <w:rsid w:val="00F31ADB"/>
    <w:rsid w:val="00F34DDA"/>
    <w:rsid w:val="00F44170"/>
    <w:rsid w:val="00F612B1"/>
    <w:rsid w:val="00F616CC"/>
    <w:rsid w:val="00F746B8"/>
    <w:rsid w:val="00F8174E"/>
    <w:rsid w:val="00F93BE8"/>
    <w:rsid w:val="00FB621F"/>
    <w:rsid w:val="00FB6DF5"/>
    <w:rsid w:val="00FC06CF"/>
    <w:rsid w:val="00FC3A51"/>
    <w:rsid w:val="00FC5A69"/>
    <w:rsid w:val="00FD3128"/>
    <w:rsid w:val="00FD31E5"/>
    <w:rsid w:val="00FD514C"/>
    <w:rsid w:val="00FD7480"/>
    <w:rsid w:val="00FF115D"/>
    <w:rsid w:val="00FF3346"/>
    <w:rsid w:val="00FF73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10ECB"/>
  <w15:docId w15:val="{0C7C0DC3-7A47-457A-8BE6-C3EF9EFF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00" w:afterAutospacing="1"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851F91"/>
    <w:pPr>
      <w:keepNext/>
      <w:spacing w:before="240" w:after="60" w:afterAutospacing="0" w:line="240" w:lineRule="auto"/>
      <w:jc w:val="left"/>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unhideWhenUsed/>
    <w:qFormat/>
    <w:rsid w:val="00483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Mapadeldocumento">
    <w:name w:val="Document Map"/>
    <w:basedOn w:val="Normal"/>
    <w:link w:val="MapadeldocumentoCar"/>
    <w:uiPriority w:val="99"/>
    <w:semiHidden/>
    <w:unhideWhenUsed/>
    <w:rsid w:val="00DE696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E6965"/>
    <w:rPr>
      <w:rFonts w:ascii="Tahoma" w:hAnsi="Tahoma" w:cs="Tahoma"/>
      <w:sz w:val="16"/>
      <w:szCs w:val="16"/>
    </w:rPr>
  </w:style>
  <w:style w:type="character" w:customStyle="1" w:styleId="tlid-translation">
    <w:name w:val="tlid-translation"/>
    <w:basedOn w:val="Fuentedeprrafopredeter"/>
    <w:rsid w:val="00D124E1"/>
  </w:style>
  <w:style w:type="paragraph" w:styleId="Textoindependiente3">
    <w:name w:val="Body Text 3"/>
    <w:basedOn w:val="Normal"/>
    <w:link w:val="Textoindependiente3Car"/>
    <w:rsid w:val="004C7DB9"/>
    <w:pPr>
      <w:autoSpaceDE w:val="0"/>
      <w:autoSpaceDN w:val="0"/>
      <w:spacing w:after="0" w:line="240" w:lineRule="auto"/>
      <w:jc w:val="both"/>
    </w:pPr>
    <w:rPr>
      <w:rFonts w:ascii="Times New Roman" w:eastAsia="Times New Roman" w:hAnsi="Times New Roman" w:cs="Times New Roman"/>
      <w:sz w:val="24"/>
      <w:szCs w:val="24"/>
      <w:lang w:val="es-ES_tradnl" w:eastAsia="es-ES" w:bidi="he-IL"/>
    </w:rPr>
  </w:style>
  <w:style w:type="character" w:customStyle="1" w:styleId="Textoindependiente3Car">
    <w:name w:val="Texto independiente 3 Car"/>
    <w:basedOn w:val="Fuentedeprrafopredeter"/>
    <w:link w:val="Textoindependiente3"/>
    <w:rsid w:val="004C7DB9"/>
    <w:rPr>
      <w:rFonts w:ascii="Times New Roman" w:eastAsia="Times New Roman" w:hAnsi="Times New Roman" w:cs="Times New Roman"/>
      <w:sz w:val="24"/>
      <w:szCs w:val="24"/>
      <w:lang w:val="es-ES_tradnl" w:eastAsia="es-ES" w:bidi="he-IL"/>
    </w:rPr>
  </w:style>
  <w:style w:type="paragraph" w:styleId="Textonotapie">
    <w:name w:val="footnote text"/>
    <w:basedOn w:val="Normal"/>
    <w:link w:val="TextonotapieCar"/>
    <w:autoRedefine/>
    <w:uiPriority w:val="99"/>
    <w:semiHidden/>
    <w:rsid w:val="00D822FF"/>
    <w:pPr>
      <w:tabs>
        <w:tab w:val="left" w:pos="0"/>
      </w:tabs>
      <w:spacing w:after="0" w:line="240" w:lineRule="auto"/>
      <w:jc w:val="both"/>
    </w:pPr>
    <w:rPr>
      <w:rFonts w:ascii="Arial" w:eastAsia="Times New Roman" w:hAnsi="Arial" w:cs="Arial"/>
      <w:sz w:val="20"/>
      <w:szCs w:val="20"/>
    </w:rPr>
  </w:style>
  <w:style w:type="character" w:customStyle="1" w:styleId="TextonotapieCar">
    <w:name w:val="Texto nota pie Car"/>
    <w:basedOn w:val="Fuentedeprrafopredeter"/>
    <w:link w:val="Textonotapie"/>
    <w:uiPriority w:val="99"/>
    <w:semiHidden/>
    <w:rsid w:val="00D822FF"/>
    <w:rPr>
      <w:rFonts w:ascii="Arial" w:eastAsia="Times New Roman" w:hAnsi="Arial" w:cs="Arial"/>
      <w:sz w:val="20"/>
      <w:szCs w:val="20"/>
    </w:rPr>
  </w:style>
  <w:style w:type="character" w:styleId="Refdenotaalpie">
    <w:name w:val="footnote reference"/>
    <w:basedOn w:val="Fuentedeprrafopredeter"/>
    <w:uiPriority w:val="99"/>
    <w:rsid w:val="00D822FF"/>
    <w:rPr>
      <w:vertAlign w:val="superscript"/>
    </w:rPr>
  </w:style>
  <w:style w:type="paragraph" w:styleId="NormalWeb">
    <w:name w:val="Normal (Web)"/>
    <w:basedOn w:val="Normal"/>
    <w:uiPriority w:val="99"/>
    <w:semiHidden/>
    <w:unhideWhenUsed/>
    <w:rsid w:val="00D25235"/>
    <w:pPr>
      <w:spacing w:before="100" w:beforeAutospacing="1" w:line="240" w:lineRule="auto"/>
    </w:pPr>
    <w:rPr>
      <w:rFonts w:ascii="Times New Roman" w:eastAsiaTheme="minorEastAsia" w:hAnsi="Times New Roman" w:cs="Times New Roman"/>
      <w:sz w:val="24"/>
      <w:szCs w:val="24"/>
      <w:lang w:eastAsia="es-ES"/>
    </w:rPr>
  </w:style>
  <w:style w:type="paragraph" w:styleId="Lista">
    <w:name w:val="List"/>
    <w:basedOn w:val="Normal"/>
    <w:rsid w:val="00AB7A7F"/>
    <w:pPr>
      <w:spacing w:after="0" w:line="240" w:lineRule="auto"/>
      <w:ind w:left="283" w:hanging="283"/>
      <w:contextualSpacing/>
    </w:pPr>
    <w:rPr>
      <w:rFonts w:ascii="Times New Roman" w:eastAsia="Times New Roman" w:hAnsi="Times New Roman" w:cs="Times New Roman"/>
      <w:sz w:val="24"/>
      <w:szCs w:val="24"/>
      <w:lang w:eastAsia="es-ES"/>
    </w:rPr>
  </w:style>
  <w:style w:type="paragraph" w:customStyle="1" w:styleId="Default">
    <w:name w:val="Default"/>
    <w:rsid w:val="00891DCC"/>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semiHidden/>
    <w:unhideWhenUsed/>
    <w:rsid w:val="001270C2"/>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1270C2"/>
    <w:rPr>
      <w:rFonts w:ascii="Consolas" w:hAnsi="Consolas"/>
      <w:sz w:val="20"/>
      <w:szCs w:val="20"/>
    </w:rPr>
  </w:style>
  <w:style w:type="paragraph" w:styleId="Textoindependiente">
    <w:name w:val="Body Text"/>
    <w:basedOn w:val="Normal"/>
    <w:link w:val="TextoindependienteCar"/>
    <w:uiPriority w:val="99"/>
    <w:semiHidden/>
    <w:unhideWhenUsed/>
    <w:rsid w:val="00851F91"/>
    <w:pPr>
      <w:spacing w:after="120"/>
    </w:pPr>
  </w:style>
  <w:style w:type="character" w:customStyle="1" w:styleId="TextoindependienteCar">
    <w:name w:val="Texto independiente Car"/>
    <w:basedOn w:val="Fuentedeprrafopredeter"/>
    <w:link w:val="Textoindependiente"/>
    <w:uiPriority w:val="99"/>
    <w:semiHidden/>
    <w:rsid w:val="00851F91"/>
  </w:style>
  <w:style w:type="character" w:customStyle="1" w:styleId="Ttulo1Car">
    <w:name w:val="Título 1 Car"/>
    <w:basedOn w:val="Fuentedeprrafopredeter"/>
    <w:link w:val="Ttulo1"/>
    <w:uiPriority w:val="9"/>
    <w:rsid w:val="00851F9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483339"/>
    <w:rPr>
      <w:rFonts w:asciiTheme="majorHAnsi" w:eastAsiaTheme="majorEastAsia" w:hAnsiTheme="majorHAnsi" w:cstheme="majorBidi"/>
      <w:b/>
      <w:bCs/>
      <w:color w:val="4F81BD" w:themeColor="accent1"/>
      <w:sz w:val="26"/>
      <w:szCs w:val="26"/>
    </w:rPr>
  </w:style>
  <w:style w:type="paragraph" w:styleId="Sinespaciado">
    <w:name w:val="No Spacing"/>
    <w:link w:val="SinespaciadoCar"/>
    <w:uiPriority w:val="1"/>
    <w:qFormat/>
    <w:rsid w:val="00413345"/>
    <w:pPr>
      <w:spacing w:after="0" w:line="240" w:lineRule="auto"/>
    </w:pPr>
  </w:style>
  <w:style w:type="table" w:styleId="Tablaconcuadrcula">
    <w:name w:val="Table Grid"/>
    <w:basedOn w:val="Tablanormal"/>
    <w:uiPriority w:val="59"/>
    <w:rsid w:val="00137E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137E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rrafodelistaCar">
    <w:name w:val="Párrafo de lista Car"/>
    <w:link w:val="Prrafodelista"/>
    <w:uiPriority w:val="34"/>
    <w:qFormat/>
    <w:rsid w:val="001D121E"/>
  </w:style>
  <w:style w:type="character" w:customStyle="1" w:styleId="SinespaciadoCar">
    <w:name w:val="Sin espaciado Car"/>
    <w:link w:val="Sinespaciado"/>
    <w:uiPriority w:val="1"/>
    <w:rsid w:val="00B40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4524">
      <w:bodyDiv w:val="1"/>
      <w:marLeft w:val="0"/>
      <w:marRight w:val="0"/>
      <w:marTop w:val="0"/>
      <w:marBottom w:val="0"/>
      <w:divBdr>
        <w:top w:val="none" w:sz="0" w:space="0" w:color="auto"/>
        <w:left w:val="none" w:sz="0" w:space="0" w:color="auto"/>
        <w:bottom w:val="none" w:sz="0" w:space="0" w:color="auto"/>
        <w:right w:val="none" w:sz="0" w:space="0" w:color="auto"/>
      </w:divBdr>
    </w:div>
    <w:div w:id="749501456">
      <w:bodyDiv w:val="1"/>
      <w:marLeft w:val="0"/>
      <w:marRight w:val="0"/>
      <w:marTop w:val="0"/>
      <w:marBottom w:val="0"/>
      <w:divBdr>
        <w:top w:val="none" w:sz="0" w:space="0" w:color="auto"/>
        <w:left w:val="none" w:sz="0" w:space="0" w:color="auto"/>
        <w:bottom w:val="none" w:sz="0" w:space="0" w:color="auto"/>
        <w:right w:val="none" w:sz="0" w:space="0" w:color="auto"/>
      </w:divBdr>
    </w:div>
    <w:div w:id="897937192">
      <w:bodyDiv w:val="1"/>
      <w:marLeft w:val="0"/>
      <w:marRight w:val="0"/>
      <w:marTop w:val="0"/>
      <w:marBottom w:val="0"/>
      <w:divBdr>
        <w:top w:val="none" w:sz="0" w:space="0" w:color="auto"/>
        <w:left w:val="none" w:sz="0" w:space="0" w:color="auto"/>
        <w:bottom w:val="none" w:sz="0" w:space="0" w:color="auto"/>
        <w:right w:val="none" w:sz="0" w:space="0" w:color="auto"/>
      </w:divBdr>
    </w:div>
    <w:div w:id="978458545">
      <w:bodyDiv w:val="1"/>
      <w:marLeft w:val="0"/>
      <w:marRight w:val="0"/>
      <w:marTop w:val="0"/>
      <w:marBottom w:val="0"/>
      <w:divBdr>
        <w:top w:val="none" w:sz="0" w:space="0" w:color="auto"/>
        <w:left w:val="none" w:sz="0" w:space="0" w:color="auto"/>
        <w:bottom w:val="none" w:sz="0" w:space="0" w:color="auto"/>
        <w:right w:val="none" w:sz="0" w:space="0" w:color="auto"/>
      </w:divBdr>
    </w:div>
    <w:div w:id="1067729482">
      <w:bodyDiv w:val="1"/>
      <w:marLeft w:val="0"/>
      <w:marRight w:val="0"/>
      <w:marTop w:val="0"/>
      <w:marBottom w:val="0"/>
      <w:divBdr>
        <w:top w:val="none" w:sz="0" w:space="0" w:color="auto"/>
        <w:left w:val="none" w:sz="0" w:space="0" w:color="auto"/>
        <w:bottom w:val="none" w:sz="0" w:space="0" w:color="auto"/>
        <w:right w:val="none" w:sz="0" w:space="0" w:color="auto"/>
      </w:divBdr>
    </w:div>
    <w:div w:id="1241208092">
      <w:bodyDiv w:val="1"/>
      <w:marLeft w:val="0"/>
      <w:marRight w:val="0"/>
      <w:marTop w:val="0"/>
      <w:marBottom w:val="0"/>
      <w:divBdr>
        <w:top w:val="none" w:sz="0" w:space="0" w:color="auto"/>
        <w:left w:val="none" w:sz="0" w:space="0" w:color="auto"/>
        <w:bottom w:val="none" w:sz="0" w:space="0" w:color="auto"/>
        <w:right w:val="none" w:sz="0" w:space="0" w:color="auto"/>
      </w:divBdr>
    </w:div>
    <w:div w:id="1933465672">
      <w:bodyDiv w:val="1"/>
      <w:marLeft w:val="0"/>
      <w:marRight w:val="0"/>
      <w:marTop w:val="0"/>
      <w:marBottom w:val="0"/>
      <w:divBdr>
        <w:top w:val="none" w:sz="0" w:space="0" w:color="auto"/>
        <w:left w:val="none" w:sz="0" w:space="0" w:color="auto"/>
        <w:bottom w:val="none" w:sz="0" w:space="0" w:color="auto"/>
        <w:right w:val="none" w:sz="0" w:space="0" w:color="auto"/>
      </w:divBdr>
      <w:divsChild>
        <w:div w:id="752051403">
          <w:marLeft w:val="0"/>
          <w:marRight w:val="0"/>
          <w:marTop w:val="0"/>
          <w:marBottom w:val="0"/>
          <w:divBdr>
            <w:top w:val="none" w:sz="0" w:space="0" w:color="auto"/>
            <w:left w:val="none" w:sz="0" w:space="0" w:color="auto"/>
            <w:bottom w:val="none" w:sz="0" w:space="0" w:color="auto"/>
            <w:right w:val="none" w:sz="0" w:space="0" w:color="auto"/>
          </w:divBdr>
          <w:divsChild>
            <w:div w:id="421801037">
              <w:marLeft w:val="0"/>
              <w:marRight w:val="0"/>
              <w:marTop w:val="0"/>
              <w:marBottom w:val="0"/>
              <w:divBdr>
                <w:top w:val="none" w:sz="0" w:space="0" w:color="auto"/>
                <w:left w:val="none" w:sz="0" w:space="0" w:color="auto"/>
                <w:bottom w:val="none" w:sz="0" w:space="0" w:color="auto"/>
                <w:right w:val="none" w:sz="0" w:space="0" w:color="auto"/>
              </w:divBdr>
              <w:divsChild>
                <w:div w:id="16942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0271">
      <w:bodyDiv w:val="1"/>
      <w:marLeft w:val="0"/>
      <w:marRight w:val="0"/>
      <w:marTop w:val="0"/>
      <w:marBottom w:val="0"/>
      <w:divBdr>
        <w:top w:val="none" w:sz="0" w:space="0" w:color="auto"/>
        <w:left w:val="none" w:sz="0" w:space="0" w:color="auto"/>
        <w:bottom w:val="none" w:sz="0" w:space="0" w:color="auto"/>
        <w:right w:val="none" w:sz="0" w:space="0" w:color="auto"/>
      </w:divBdr>
      <w:divsChild>
        <w:div w:id="1548762946">
          <w:marLeft w:val="0"/>
          <w:marRight w:val="0"/>
          <w:marTop w:val="0"/>
          <w:marBottom w:val="0"/>
          <w:divBdr>
            <w:top w:val="none" w:sz="0" w:space="0" w:color="auto"/>
            <w:left w:val="none" w:sz="0" w:space="0" w:color="auto"/>
            <w:bottom w:val="none" w:sz="0" w:space="0" w:color="auto"/>
            <w:right w:val="none" w:sz="0" w:space="0" w:color="auto"/>
          </w:divBdr>
          <w:divsChild>
            <w:div w:id="62678686">
              <w:marLeft w:val="0"/>
              <w:marRight w:val="0"/>
              <w:marTop w:val="0"/>
              <w:marBottom w:val="0"/>
              <w:divBdr>
                <w:top w:val="none" w:sz="0" w:space="0" w:color="auto"/>
                <w:left w:val="none" w:sz="0" w:space="0" w:color="auto"/>
                <w:bottom w:val="none" w:sz="0" w:space="0" w:color="auto"/>
                <w:right w:val="none" w:sz="0" w:space="0" w:color="auto"/>
              </w:divBdr>
              <w:divsChild>
                <w:div w:id="14532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taymigm@uclv.edu.c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55DB-25BD-46AE-A8C8-5E36082F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4329</Words>
  <Characters>23811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Evelio Suárez Gutiérrez</dc:creator>
  <cp:lastModifiedBy>Lester Olivera Fernandez</cp:lastModifiedBy>
  <cp:revision>5</cp:revision>
  <dcterms:created xsi:type="dcterms:W3CDTF">2019-05-19T17:53:00Z</dcterms:created>
  <dcterms:modified xsi:type="dcterms:W3CDTF">2019-05-21T16:35:00Z</dcterms:modified>
</cp:coreProperties>
</file>