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8FD" w:rsidRDefault="00FC1F11">
      <w:pPr>
        <w:spacing w:after="0"/>
        <w:jc w:val="center"/>
        <w:rPr>
          <w:rFonts w:ascii="Times New Roman" w:hAnsi="Times New Roman" w:cs="Times New Roman"/>
          <w:b/>
          <w:sz w:val="28"/>
          <w:szCs w:val="28"/>
        </w:rPr>
      </w:pPr>
      <w:r>
        <w:rPr>
          <w:rFonts w:ascii="Times New Roman" w:hAnsi="Times New Roman" w:cs="Times New Roman"/>
          <w:b/>
          <w:sz w:val="28"/>
          <w:szCs w:val="28"/>
        </w:rPr>
        <w:t>SIMPOSIO INTERNACIONAL INDUSTRIA Y ENERGÍA</w:t>
      </w:r>
    </w:p>
    <w:p w:rsidR="009078FD" w:rsidRDefault="009078FD">
      <w:pPr>
        <w:spacing w:after="0"/>
        <w:jc w:val="center"/>
        <w:rPr>
          <w:rFonts w:ascii="Times New Roman" w:hAnsi="Times New Roman" w:cs="Times New Roman"/>
          <w:b/>
          <w:sz w:val="24"/>
          <w:szCs w:val="24"/>
        </w:rPr>
      </w:pPr>
    </w:p>
    <w:p w:rsidR="009078FD" w:rsidRDefault="00FC1F11">
      <w:pPr>
        <w:spacing w:after="120" w:line="240" w:lineRule="auto"/>
        <w:jc w:val="center"/>
        <w:rPr>
          <w:rFonts w:ascii="Arial" w:hAnsi="Arial" w:cs="Arial"/>
          <w:b/>
          <w:bCs/>
        </w:rPr>
      </w:pPr>
      <w:r>
        <w:rPr>
          <w:rFonts w:ascii="Arial" w:hAnsi="Arial" w:cs="Arial"/>
          <w:b/>
          <w:bCs/>
        </w:rPr>
        <w:t xml:space="preserve">PRONÓSTICO DE LA DEMANDA DE CONSTRUCCIÓN DE VIVIENDAS </w:t>
      </w:r>
    </w:p>
    <w:p w:rsidR="009078FD" w:rsidRDefault="00FC1F11">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Housing construction demand forecast</w:t>
      </w:r>
    </w:p>
    <w:p w:rsidR="009078FD" w:rsidRDefault="009078FD">
      <w:pPr>
        <w:spacing w:after="0" w:line="360" w:lineRule="auto"/>
        <w:rPr>
          <w:rFonts w:ascii="Times New Roman" w:hAnsi="Times New Roman" w:cs="Times New Roman"/>
          <w:b/>
          <w:sz w:val="24"/>
          <w:szCs w:val="24"/>
        </w:rPr>
      </w:pPr>
    </w:p>
    <w:p w:rsidR="009078FD" w:rsidRDefault="009078FD">
      <w:pPr>
        <w:spacing w:after="0" w:line="360" w:lineRule="auto"/>
        <w:rPr>
          <w:rFonts w:ascii="Times New Roman" w:hAnsi="Times New Roman" w:cs="Times New Roman"/>
          <w:sz w:val="24"/>
          <w:szCs w:val="24"/>
        </w:rPr>
      </w:pPr>
    </w:p>
    <w:p w:rsidR="009078FD" w:rsidRDefault="00FC1F1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Gretel Martínez Curbelo</w:t>
      </w:r>
      <w:r>
        <w:rPr>
          <w:rFonts w:ascii="Times New Roman" w:hAnsi="Times New Roman" w:cs="Times New Roman"/>
          <w:b/>
          <w:sz w:val="24"/>
          <w:szCs w:val="24"/>
          <w:vertAlign w:val="superscript"/>
        </w:rPr>
        <w:t>1</w:t>
      </w:r>
      <w:r>
        <w:rPr>
          <w:rFonts w:ascii="Times New Roman" w:hAnsi="Times New Roman" w:cs="Times New Roman"/>
          <w:b/>
          <w:sz w:val="24"/>
          <w:szCs w:val="24"/>
        </w:rPr>
        <w:t>, Michael Feitó Cespón</w:t>
      </w:r>
      <w:r>
        <w:rPr>
          <w:rFonts w:ascii="Times New Roman" w:hAnsi="Times New Roman" w:cs="Times New Roman"/>
          <w:b/>
          <w:sz w:val="24"/>
          <w:szCs w:val="24"/>
          <w:vertAlign w:val="superscript"/>
        </w:rPr>
        <w:t>2</w:t>
      </w:r>
      <w:r>
        <w:rPr>
          <w:rFonts w:ascii="Times New Roman" w:hAnsi="Times New Roman" w:cs="Times New Roman"/>
          <w:b/>
          <w:sz w:val="24"/>
          <w:szCs w:val="24"/>
        </w:rPr>
        <w:t>, Alberto Medina León</w:t>
      </w:r>
      <w:r>
        <w:rPr>
          <w:rFonts w:ascii="Times New Roman" w:hAnsi="Times New Roman" w:cs="Times New Roman"/>
          <w:b/>
          <w:sz w:val="24"/>
          <w:szCs w:val="24"/>
          <w:vertAlign w:val="superscript"/>
        </w:rPr>
        <w:t>3</w:t>
      </w:r>
    </w:p>
    <w:p w:rsidR="009078FD" w:rsidRDefault="009078FD">
      <w:pPr>
        <w:spacing w:after="0" w:line="360" w:lineRule="auto"/>
        <w:rPr>
          <w:rFonts w:ascii="Times New Roman" w:hAnsi="Times New Roman" w:cs="Times New Roman"/>
          <w:sz w:val="24"/>
          <w:szCs w:val="24"/>
        </w:rPr>
      </w:pPr>
    </w:p>
    <w:p w:rsidR="009078FD" w:rsidRDefault="00FC1F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Gretel Martínez Curbelo. Universidad de Cienfuegos, Cuba. </w:t>
      </w:r>
      <w:hyperlink r:id="rId7" w:history="1">
        <w:r>
          <w:rPr>
            <w:rStyle w:val="Hyperlink"/>
            <w:rFonts w:ascii="Times New Roman" w:hAnsi="Times New Roman" w:cs="Times New Roman"/>
            <w:sz w:val="24"/>
            <w:szCs w:val="24"/>
          </w:rPr>
          <w:t>gmartinez@ucf.edu.cu</w:t>
        </w:r>
      </w:hyperlink>
    </w:p>
    <w:p w:rsidR="009078FD" w:rsidRDefault="00FC1F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Michael Feitó Cespón. Universidad de Cienfuegos, Cuba. </w:t>
      </w:r>
      <w:hyperlink r:id="rId8" w:history="1">
        <w:r>
          <w:rPr>
            <w:rStyle w:val="Hyperlink"/>
            <w:rFonts w:ascii="Times New Roman" w:hAnsi="Times New Roman" w:cs="Times New Roman"/>
            <w:sz w:val="24"/>
            <w:szCs w:val="24"/>
          </w:rPr>
          <w:t>mfeito@ucf.edu.cu</w:t>
        </w:r>
      </w:hyperlink>
    </w:p>
    <w:p w:rsidR="009078FD" w:rsidRDefault="00FC1F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Alberto Medina León. Universidad de Matanzas, Cuba. </w:t>
      </w:r>
      <w:hyperlink r:id="rId9" w:history="1">
        <w:r>
          <w:rPr>
            <w:rStyle w:val="Hyperlink"/>
            <w:rFonts w:ascii="Times New Roman" w:hAnsi="Times New Roman" w:cs="Times New Roman"/>
            <w:sz w:val="24"/>
            <w:szCs w:val="24"/>
          </w:rPr>
          <w:t>alberto.medina@umcc.cu</w:t>
        </w:r>
      </w:hyperlink>
    </w:p>
    <w:p w:rsidR="009078FD" w:rsidRDefault="009078FD">
      <w:pPr>
        <w:spacing w:after="0" w:line="360" w:lineRule="auto"/>
        <w:jc w:val="both"/>
        <w:rPr>
          <w:rFonts w:ascii="Times New Roman" w:hAnsi="Times New Roman" w:cs="Times New Roman"/>
          <w:b/>
          <w:sz w:val="24"/>
          <w:szCs w:val="24"/>
        </w:rPr>
      </w:pPr>
    </w:p>
    <w:p w:rsidR="009078FD" w:rsidRDefault="00FC1F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p>
    <w:p w:rsidR="009078FD" w:rsidRDefault="00FC1F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 objetivo de la investigación consistió en el diseño de un procedimiento que permita pronosticar la demanda de viviendas de la provincia de Cienfuegos a partir de su desglose en viviendas nuevas y acciones constructivas. El estudio demostró la ausencia de un modelo matemático que se ajuste a las condiciones cubanas. El procedimiento propuesto para el pronóstico de la demanda de la construcción de viviendas se basó en la Lógica Difusa. Este incluyó la preparación para el estudio, la construcción del modelo de pronóstico y, el análisis de los resultados. Su aplicación exigió la utilización de herramientas informáticas tales como el MatLab y el software Super Decisions, que utiliza el Proceso Jerárquico de Análisis para ponderar los conductores de la demanda. Finalmente, el procedimiento permitió obtener valores de demanda desagregados en acciones constructivas y nuevas viviendas para la provincia de Cienfuegos y sus respectivos municipios en los años comprendidos entre el 2016 y 2018. </w:t>
      </w:r>
    </w:p>
    <w:p w:rsidR="009078FD" w:rsidRDefault="009078FD">
      <w:pPr>
        <w:spacing w:after="0" w:line="360" w:lineRule="auto"/>
        <w:jc w:val="both"/>
        <w:rPr>
          <w:rFonts w:ascii="Times New Roman" w:hAnsi="Times New Roman" w:cs="Times New Roman"/>
          <w:sz w:val="24"/>
          <w:szCs w:val="24"/>
        </w:rPr>
      </w:pPr>
    </w:p>
    <w:p w:rsidR="009078FD" w:rsidRDefault="00FC1F11">
      <w:pPr>
        <w:spacing w:after="0" w:line="360" w:lineRule="auto"/>
        <w:jc w:val="both"/>
        <w:rPr>
          <w:rFonts w:ascii="Times New Roman" w:hAnsi="Times New Roman" w:cs="Times New Roman"/>
          <w:sz w:val="24"/>
          <w:szCs w:val="24"/>
        </w:rPr>
      </w:pPr>
      <w:r>
        <w:rPr>
          <w:rFonts w:ascii="Times New Roman" w:hAnsi="Times New Roman" w:cs="Times New Roman"/>
          <w:b/>
          <w:i/>
          <w:sz w:val="24"/>
          <w:szCs w:val="24"/>
          <w:lang w:val="en-US"/>
        </w:rPr>
        <w:t>Abstract:</w:t>
      </w:r>
      <w:r>
        <w:rPr>
          <w:rFonts w:ascii="Times New Roman" w:hAnsi="Times New Roman" w:cs="Times New Roman"/>
          <w:sz w:val="24"/>
          <w:szCs w:val="24"/>
        </w:rPr>
        <w:t xml:space="preserve"> </w:t>
      </w:r>
    </w:p>
    <w:p w:rsidR="009078FD" w:rsidRPr="00D71EE1" w:rsidRDefault="00FC1F11" w:rsidP="00D71EE1">
      <w:pPr>
        <w:autoSpaceDE w:val="0"/>
        <w:autoSpaceDN w:val="0"/>
        <w:adjustRightInd w:val="0"/>
        <w:spacing w:after="0" w:line="360" w:lineRule="auto"/>
        <w:jc w:val="both"/>
        <w:rPr>
          <w:rFonts w:ascii="Times New Roman" w:hAnsi="Times New Roman" w:cs="Times New Roman"/>
          <w:i/>
          <w:iCs/>
          <w:color w:val="000000"/>
          <w:sz w:val="24"/>
          <w:szCs w:val="24"/>
        </w:rPr>
      </w:pPr>
      <w:r w:rsidRPr="00D71EE1">
        <w:rPr>
          <w:rFonts w:ascii="Times New Roman" w:hAnsi="Times New Roman" w:cs="Times New Roman"/>
          <w:i/>
          <w:iCs/>
          <w:color w:val="000000"/>
          <w:sz w:val="24"/>
          <w:szCs w:val="24"/>
        </w:rPr>
        <w:t xml:space="preserve">The objective of the research consisted in the design of a procedure to forecast the demand for housing in the province of Cienfuegos based on its breakdown into new housing and construction actions. The study showed the absence of a mathematical model that adjusts to Cuban conditions. The proposed procedure for forecasting housing construction demand was based on Fuzzy Logic. It included the preparation for the study, the construction of the forecast model and the analysis of the results. Its application </w:t>
      </w:r>
      <w:r w:rsidRPr="00D71EE1">
        <w:rPr>
          <w:rFonts w:ascii="Times New Roman" w:hAnsi="Times New Roman" w:cs="Times New Roman"/>
          <w:i/>
          <w:iCs/>
          <w:color w:val="000000"/>
          <w:sz w:val="24"/>
          <w:szCs w:val="24"/>
        </w:rPr>
        <w:lastRenderedPageBreak/>
        <w:t>required the use of computer tools such as MatLab and Super Decisions software, which uses the Hierarchical Analysis Process to weight the demand drivers. Finally, the procedure allowed obtaining disaggregated demand values in construction actions and new housing for the province of Cienfuegos and its respective municipalities in the years between 2016 and 2018.</w:t>
      </w:r>
    </w:p>
    <w:p w:rsidR="009078FD" w:rsidRDefault="009078FD">
      <w:pPr>
        <w:spacing w:after="0" w:line="360" w:lineRule="auto"/>
        <w:jc w:val="both"/>
        <w:rPr>
          <w:rFonts w:ascii="Times New Roman" w:hAnsi="Times New Roman" w:cs="Times New Roman"/>
          <w:b/>
          <w:sz w:val="24"/>
          <w:szCs w:val="24"/>
        </w:rPr>
      </w:pPr>
    </w:p>
    <w:p w:rsidR="009078FD" w:rsidRDefault="00FC1F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Palabras Clave:</w:t>
      </w:r>
      <w:r>
        <w:rPr>
          <w:rFonts w:ascii="Times New Roman" w:hAnsi="Times New Roman" w:cs="Times New Roman"/>
          <w:sz w:val="24"/>
          <w:szCs w:val="24"/>
        </w:rPr>
        <w:t xml:space="preserve"> </w:t>
      </w:r>
    </w:p>
    <w:p w:rsidR="009078FD" w:rsidRDefault="00FC1F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Demanda de viviendas; Pronóstico; Construcción </w:t>
      </w:r>
    </w:p>
    <w:p w:rsidR="009078FD" w:rsidRDefault="009078FD">
      <w:pPr>
        <w:spacing w:after="0" w:line="360" w:lineRule="auto"/>
        <w:jc w:val="both"/>
        <w:rPr>
          <w:rFonts w:ascii="Times New Roman" w:hAnsi="Times New Roman" w:cs="Times New Roman"/>
          <w:sz w:val="24"/>
          <w:szCs w:val="24"/>
        </w:rPr>
      </w:pPr>
    </w:p>
    <w:p w:rsidR="009078FD" w:rsidRDefault="00FC1F11">
      <w:pPr>
        <w:spacing w:after="0" w:line="36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Keywords:</w:t>
      </w:r>
      <w:r>
        <w:rPr>
          <w:rFonts w:ascii="Times New Roman" w:hAnsi="Times New Roman" w:cs="Times New Roman"/>
          <w:sz w:val="24"/>
          <w:szCs w:val="24"/>
          <w:lang w:val="en-US"/>
        </w:rPr>
        <w:t xml:space="preserve"> </w:t>
      </w:r>
    </w:p>
    <w:p w:rsidR="009078FD" w:rsidRDefault="00FC1F1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Housing demand; Forecast; Construction </w:t>
      </w:r>
    </w:p>
    <w:p w:rsidR="009078FD" w:rsidRDefault="009078FD">
      <w:pPr>
        <w:spacing w:after="0" w:line="360" w:lineRule="auto"/>
        <w:jc w:val="both"/>
        <w:rPr>
          <w:rFonts w:ascii="Times New Roman" w:hAnsi="Times New Roman" w:cs="Times New Roman"/>
          <w:sz w:val="24"/>
          <w:szCs w:val="24"/>
        </w:rPr>
      </w:pPr>
    </w:p>
    <w:p w:rsidR="009078FD" w:rsidRDefault="00FC1F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Introducción</w:t>
      </w:r>
    </w:p>
    <w:p w:rsidR="009078FD" w:rsidRDefault="00FC1F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Desde la Segunda Guerra Mundial en numerosos países del mundo se trazan políticas públicas que intervienen en el mercado de la vivienda impulsando su oferta para las clases sociales con menos recursos. En dependencia de cada país, estas políticas públicas han determinado estructuras habitacionales diversas.</w:t>
      </w:r>
    </w:p>
    <w:p w:rsidR="009078FD" w:rsidRDefault="00FC1F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 mercado de la vivienda se encuentra compuesto por factores que determinan la oferta – demanda  y responde  de manera inmediata a los cambios en la economía general de un país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{"citationItems":[{"id":"ITEM-1","itemData":{"DOI":"10.1080/01446199400000002","ISSN":"0144-6193","abstract":"An analysis is made of private sector construction demand (quarterly new orders) grouped into housing, commercial and industrial construction, respectively and their relationship with a priori selected leading indicators of GNP, price level, real interest rate, unemployment and manufacturing profitability over the period 1974–1988. The results indicate that different variables explain the trends in these private sector construction demand subsectors. While construction price appeared to be an important elastic influence in housing investment, it was not found to be an important factor with respect to commercial and industrial construction. Trends in commercial and industrial constructions are explained by manufacturing profitability and economic conditions. The level of unemployment influences commercial construction only and with a negative inelastic relationship. Lead indicator forecasts of the groupings of private sector investment are above 10% accuracy due to the unusually deep cut in private constru...","author":[{"dropping-particle":"","family":"Akintoye","given":"Akintola","non-dropping-particle":"","parse-names":false,"suffix":""},{"dropping-particle":"","family":"Skitmore","given":"Martin","non-dropping-particle":"","parse-names":false,"suffix":""}],"container-title":"Construction Management and Economics","id":"ITEM-1","issue":"1","issued":{"date-parts":[["1994","1"]]},"page":"3-13","publisher":" E. &amp; F.N. Spon Ltd. ","title":"Models of UK private sector quarterly construction demand","type":"article-journal","volume":"12"},"uris":["http://www.mendeley.com/documents/?uuid=7db126e5-c0d2-33af-9e7b-606faac0ad36"]}],"mendeley":{"formattedCitation":"(Akintoye &amp; Skitmore, 1994)","manualFormatting":"Akintoye &amp; Skitmore 1994)","plainTextFormattedCitation":"(Akintoye &amp; Skitmore, 1994)","previouslyFormattedCitation":"(Akintoye &amp; Skitmore, 1994)"},"properties":{"noteIndex":0},"schema":"https://github.com/citation-style-language/schema/raw/master/csl-citation.json"}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Akintoye &amp; Skitmore 1994)</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Los esfuerzos de investigación sobre el modelado y pronóstico de la demanda de construcción son diversos, pero pocos investigadores consideran el impacto de los eventos de la economía global en el modelado de la demanda de construcción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{"citationItems":[{"id":"ITEM-1","itemData":{"DOI":"10.1080/01446193.2011.611522","ISSN":"0144-6193","abstract":"Modelling the level of demand for construction is vital in policy formulation and implementation as the construction industry plays an important role in a country’s economic development process. In construction economics, research efforts on construction demand modelling and forecasting are various, but few researchers have considered the impact of global economy events in construction demand modelling. An advanced multivariate modelling technique, namely the vector error correction (VEC) model with dummy variables, was adopted to predict demand in the Australian construction market. The results of prediction accuracy tests suggest that the general VEC model and the VEC model with dummy variables are both acceptable for forecasting construction economic indicators. However, the VEC model that considers external impacts achieves higher prediction accuracy than the general VEC model. The model estimates indicate that the growth in population, changes in national income, fluctuations in interest rates and ch...","author":[{"dropping-particle":"","family":"Jiang","given":"Heng","non-dropping-particle":"","parse-names":false,"suffix":""},{"dropping-particle":"","family":"Liu","given":"Chunlu","non-dropping-particle":"","parse-names":false,"suffix":""}],"container-title":"Construction Management and Economics","id":"ITEM-1","issue":"9","issued":{"date-parts":[["2011","9"]]},"page":"969-979","publisher":" Routledge ","title":"Forecasting construction demand: a vector error correction model with dummy variables","type":"article-journal","volume":"29"},"uris":["http://www.mendeley.com/documents/?uuid=94f670c2-0af2-3372-b9d8-e7fe1aaea580"]}],"mendeley":{"formattedCitation":"(Jiang &amp; Liu, 2011)","plainTextFormattedCitation":"(Jiang &amp; Liu, 2011)","previouslyFormattedCitation":"(Jiang &amp; Liu, 2011)"},"properties":{"noteIndex":0},"schema":"https://github.com/citation-style-language/schema/raw/master/csl-citation.json"}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(Jiang &amp; Liu, 2011)</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Dada su importancia, no es sorprendente que se hayan dedicado esfuerzos para entender mejor la demanda, los factores que influyen en su comportamiento y la forma y los modelos más adecuados para su estudio y predicción. </w:t>
      </w:r>
    </w:p>
    <w:p w:rsidR="009078FD" w:rsidRDefault="00FC1F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 demanda de viviendas depende significativamente de conductores o variables, donde se encuentra con mayor relevancia las correspondientes al ritmo de crecimiento de la economía, a la intensidad del proceso de creación de nuevos hogares, al nivel de precios reales de la vivienda, a las expectativas de revalorización y a los tipos de interés.</w:t>
      </w:r>
    </w:p>
    <w:p w:rsidR="009078FD" w:rsidRDefault="00FC1F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 analizar los modelos de demanda de vivienda se aprecia que a pesar de distinguirse en ellos elementos como el nivel de desagregación, variables explicativas, formulación dinámica y número de ecuaciones estimadas, se pueden agrupar por los fines que </w:t>
      </w:r>
      <w:r>
        <w:rPr>
          <w:rFonts w:ascii="Times New Roman" w:hAnsi="Times New Roman" w:cs="Times New Roman"/>
          <w:color w:val="000000"/>
          <w:sz w:val="24"/>
          <w:szCs w:val="24"/>
        </w:rPr>
        <w:lastRenderedPageBreak/>
        <w:t>persiguen en su utilización. Es el caso de aqu</w:t>
      </w:r>
      <w:bookmarkStart w:id="0" w:name="_GoBack"/>
      <w:bookmarkEnd w:id="0"/>
      <w:r>
        <w:rPr>
          <w:rFonts w:ascii="Times New Roman" w:hAnsi="Times New Roman" w:cs="Times New Roman"/>
          <w:color w:val="000000"/>
          <w:sz w:val="24"/>
          <w:szCs w:val="24"/>
        </w:rPr>
        <w:t xml:space="preserve">ellos donde se valora la influencia que ejercen diferentes variables económicas en las demandas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{"citationItems":[{"id":"ITEM-1","itemData":{"DOI":"https://doi.org/10.2307/1911493","ISSN":"00129682","abstract":"Recent micro-simulation studies of the demand for electricity by residences have attempted to model jointly the demand for appliance and the demand for electricity by appliance. Within this context it becomes important to test the statistical exogeneity of appliance dummy variables typically included in demand for electricity equations. If, as the theory would suggest, the demand for durables and their use are related decisions by the consumer, specifications which ignore this fact will lead to biased and inconsistent estimates of price and income elasticities. The present paper attempts to test this bias using a subsample of the 1975 survey of 3249 households carried out by the Washington Center for Metropolitan Studies (WCMS) for the Federal Energy Administration. We discuss and derive a unified model of the demand for consumer durables and the derived demand for electricity. To determine the magnitude of the bias resulting from estimating a unit electricity consumption (UEC) equation by ordinary least squares when unobserved factors influence both choice of appliances and intensity of use, we introduce and estimate a joint water-heat space-heat choice model, and conclude with the consistent estimation and specification of demand for electricity equations.","author":[{"dropping-particle":"","family":"Dubin","given":"Jeffrey A.","non-dropping-particle":"","parse-names":false,"suffix":""},{"dropping-particle":"","family":"McFadden","given":"Daniel L.","non-dropping-particle":"","parse-names":false,"suffix":""}],"container-title":"Econométrica","id":"ITEM-1","issue":"2","issued":{"date-parts":[["1984","3"]]},"page":"345","publisher":"The Econometric Society","title":"An Econometric Analysis of Residential Electric Appliance Holdings and Consumption","type":"article-journal","volume":"52"},"uris":["http://www.mendeley.com/documents/?uuid=c92804de-f759-3ca8-b15b-716298087971"]},{"id":"ITEM-2","itemData":{"author":[{"dropping-particle":"","family":"Jean","given":"Manuel","non-dropping-particle":"","parse-names":false,"suffix":""},{"dropping-particle":"","family":"Molina","given":"Agustín","non-dropping-particle":"","parse-names":false,"suffix":""}],"container-title":"Investigaciones Económicas","id":"ITEM-2","issue":"1","issued":{"date-parts":[["1994"]]},"page":"143-164","title":"Un análisis empírico de la tenencia y demanda de vivienda en Andalucía","type":"article-journal","volume":"XVIII"},"uris":["http://www.mendeley.com/documents/?uuid=088e1188-0fb2-3358-81f6-02dc558c3791"]},{"id":"ITEM-3","itemData":{"author":[{"dropping-particle":"","family":"Lozano Serna","given":"Sara","non-dropping-particle":"","parse-names":false,"suffix":""},{"dropping-particle":"","family":"Patiño Galindo","given":"Ivonne","non-dropping-particle":"","parse-names":false,"suffix":""},{"dropping-particle":"","family":"Gómez Cabrera","given":"Adiana","non-dropping-particle":"","parse-names":false,"suffix":""},{"dropping-particle":"","family":"Torres","given":"Andrés","non-dropping-particle":"","parse-names":false,"suffix":""}],"container-title":"Ingeniería y Ciencia","id":"ITEM-3","issue":"27","issued":{"date-parts":[["2018"]]},"page":"117-151","title":"Identificación de factores que generan diferencias de tiempo y costos en proyectos de construcción en Colombia","type":"article-journal","volume":"14"},"uris":["http://www.mendeley.com/documents/?uuid=09a7a802-dd79-366a-a3a7-10944ebbfd66"]}],"mendeley":{"formattedCitation":"(Dubin &amp; McFadden, 1984; Jean &amp; Molina, 1994; Lozano Serna, Patiño Galindo, Gómez Cabrera, &amp; Torres, 2018)","plainTextFormattedCitation":"(Dubin &amp; McFadden, 1984; Jean &amp; Molina, 1994; Lozano Serna, Patiño Galindo, Gómez Cabrera, &amp; Torres, 2018)","previouslyFormattedCitation":"(Dubin &amp; McFadden, 1984; Jean &amp; Molina, 1994; Lozano Serna, Patiño Galindo, Gómez Cabrera, &amp; Torres, 2018)"},"properties":{"noteIndex":0},"schema":"https://github.com/citation-style-language/schema/raw/master/csl-citation.json"}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(Dubin &amp; McFadden, 1984; Jean &amp; Molina, 1994; Lozano Serna, Patiño Galindo, Gómez Cabrera, &amp; Torres, 2018)</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se modelan teóricamente el proceder de los individuos encontrados simultáneamente a las decisiones de movilidad residencial y elección de tenencia de vivienda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{"citationItems":[{"id":"ITEM-1","itemData":{"abstract":"Les documents de travail ne reflètent pas la position de l'INSEE et n'engagent que leurs auteurs. Working papers do not reflect the position of INSEE but only the views of the authors.","author":[{"dropping-particle":"","family":"Gobillon","given":"L","non-dropping-particle":"","parse-names":false,"suffix":""},{"dropping-particle":"","family":"Blanc","given":"D","non-dropping-particle":"Le","parse-names":false,"suffix":""}],"id":"ITEM-1","issued":{"date-parts":[["2002"]]},"title":"The Impact of Borrowing Constraints on Mobility and Tenure Choice","type":"report"},"uris":["http://www.mendeley.com/documents/?uuid=a97b8a4c-f014-3e1d-b056-5cca201fca72"]},{"id":"ITEM-2","itemData":{"DOI":"10.1006/JUEC.2001.2234","ISSN":"0094-1190","abstract":"This study models demand by owner-occupied housing “stayers.” Most consumers do not move routinely in response to small changes in income or housing price, so the “own–rent” and “move–stay” decisions are modeled as multiperiod optimization in the presence of transaction costs. The empirical section uses the “American Housing Survey” to provide a panel of household stayers for a metropolitan area. Results indicate that income and value-rent measures in different years have separable and significant impacts on housing demand. Estimated conditional income elasticities are between 0.40 and 0.45.","author":[{"dropping-particle":"","family":"Goodman","given":"Allen C.","non-dropping-particle":"","parse-names":false,"suffix":""}],"container-title":"Journal of Urban Economics","id":"ITEM-2","issue":"1","issued":{"date-parts":[["2002","1","1"]]},"page":"1-24","publisher":"Academic Press","title":"Estimating Equilibrium Housing Demand for “Stayers”","type":"article-journal","volume":"51"},"uris":["http://www.mendeley.com/documents/?uuid=ca803649-58ec-396e-8716-9bf169baea28"]},{"id":"ITEM-3","itemData":{"DOI":"https://doi.org/10.3982/ECTA10170","abstract":"This paper develops a dynamic model of neighborhood choice along with a computationally light multi-step estimator. The proposed empirical framework captures observed and unobserved preference heterogeneity across households and locations in a flexible way. The model is estimated using a newly assembled data set that matches demographic information from mortgage applications to the universe of housing transactions in the San Francisco Bay Area from 1994-2004. The results provide the first estimates of the marginal willingness to pay for several non-marketed amenities-neighborhood air pollution, violent crime and racial composition-in a dynamic framework. Comparing these estimates with those from a static version of the model highlights several important biases that arise when dynamic considerations are ignored.","author":[{"dropping-particle":"","family":"Bayer","given":"Patrick","non-dropping-particle":"","parse-names":false,"suffix":""},{"dropping-particle":"","family":"Mcmillan","given":"Robert","non-dropping-particle":"","parse-names":false,"suffix":""},{"dropping-particle":"","family":"Murphy","given":"Alvin","non-dropping-particle":"","parse-names":false,"suffix":""},{"dropping-particle":"","family":"Timmins","given":"Christopher","non-dropping-particle":"","parse-names":false,"suffix":""}],"container-title":"Econométrica","id":"ITEM-3","issue":"3","issued":{"date-parts":[["2016"]]},"page":"893-942","title":"A Dynamic model of demand for houses and neighborhoods","type":"article-journal","volume":"84"},"uris":["http://www.mendeley.com/documents/?uuid=02be4934-2c45-3976-917a-aaf27f05950a"]}],"mendeley":{"formattedCitation":"(Bayer, Mcmillan, Murphy, &amp; Timmins, 2016; Gobillon &amp; Le Blanc, 2002; Goodman, 2002)","plainTextFormattedCitation":"(Bayer, Mcmillan, Murphy, &amp; Timmins, 2016; Gobillon &amp; Le Blanc, 2002; Goodman, 2002)","previouslyFormattedCitation":"(Bayer, Mcmillan, Murphy, &amp; Timmins, 2016; Gobillon &amp; Le Blanc, 2002; Goodman, 2002)"},"properties":{"noteIndex":0},"schema":"https://github.com/citation-style-language/schema/raw/master/csl-citation.json"}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(Bayer, Mcmillan, Murphy, &amp; Timmins, 2016; Gobillon &amp; Le Blanc, 2002; Goodman, 2002)</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y un tercer grupo con variados propósitos, pero que tratan la incertidumbre de los datos a partir de herramientas difusas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{"citationItems":[{"id":"ITEM-1","itemData":{"DOI":"https://doi.org/10.3846/tede.2019.7456","author":[{"dropping-particle":"","family":"Azcona","given":"Juan Pedro","non-dropping-particle":"","parse-names":false,"suffix":""}],"container-title":"CT: Catastro","id":"ITEM-1","issued":{"date-parts":[["2014"]]},"page":"7-34","title":"Modelo Fuzzy de determinación del valor unitario de edificación destinada a vivienda con fines catastrales","type":"article-journal","volume":"82"},"uris":["http://www.mendeley.com/documents/?uuid=40928850-3bae-4cee-98e6-bdf7c48bef18"]},{"id":"ITEM-2","itemData":{"abstract":"El presente estudio inicia con una descripción acerca del entorno de la actividad de la construcción residencial en el cantón Cuenca, así como un análisis sobre el comportamiento evolutivo que han presentado los montos de inversión en edificaciones residenciales y sus principales determinantes. Posteriormente, para comprobar si la inversión en la construcción de viviendas genera efectos económicos positivos en la tasa de desempleo del cantón, y con el objetivo de medir dicho impacto, se desarrollará un modelo econométrico de regresión que relacione estas variables. El periodo a ser analizado, tanto para el análisis descriptivo como para la elaboración del modelo es el comprendido entre los años 2001 y 2012; utilizando fuentes de datos provenientes de la Encuesta de Edificaciones del INEC, del Censo Nacional de Población y Vivienda, así como de los portales electrónicos del Banco Central, Superintendencia de Bancos, Cámara de la Construcción, entre otras fuentes.","author":[{"dropping-particle":"","family":"Reyes Vintimilla","given":"Pablo Andrés","non-dropping-particle":"","parse-names":false,"suffix":""}],"container-title":"Economista","id":"ITEM-2","issued":{"date-parts":[["2015"]]},"publisher":"Universidad del Azuay","title":"Análisis económico de la industria de la construcción residencial y su impacto en la generación de empleo en el Cantón Cuenca, periodo: 2001 - 2012","type":"article-journal"},"uris":["http://www.mendeley.com/documents/?uuid=109c3481-e42b-35cb-9d8f-1ee0cdb28f0c"]}],"mendeley":{"formattedCitation":"(Azcona, 2014; Reyes Vintimilla, 2015)","plainTextFormattedCitation":"(Azcona, 2014; Reyes Vintimilla, 2015)","previouslyFormattedCitation":"(Azcona, 2014; Reyes Vintimilla, 2015)"},"properties":{"noteIndex":0},"schema":"https://github.com/citation-style-language/schema/raw/master/csl-citation.json"}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(Azcona, 2014; Reyes Vintimilla, 2015)</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rsidR="009078FD" w:rsidRDefault="00FC1F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igual forma, se evidencia que los modelos econométricos son los más utilizados en estos tipos de estudio, por lo que su aplicación requiriere de una muestra suficientemente amplia e informativa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{"citationItems":[{"id":"ITEM-1","itemData":{"abstract":"En este trabajo se muestran de forma esquemática los problemas fundamentales de evaluación de las políticas públicas. El impacto de un determinado programa de formación en un participante se mide como la diferencia entre el valor de la variable-resultado (salario, duración del desempleo) alcanzado en su situación actual, en la que ha participado en el programa y el valor de su resultado contrafactual en la situación hipotética de que no hubiese participado en el programa. Sin embargo, el resultado contrafactual no puede observarse por lo que es necesario recurrir a su estimación mediante métodos econométricos y estadísticos.","author":[{"dropping-particle":"","family":"Durán","given":"Christian","non-dropping-particle":"","parse-names":false,"suffix":""}],"container-title":"Hacienda Pública Española","id":"ITEM-1","issue":"3","issued":{"date-parts":[["2004"]]},"page":"107-133","publisher":"IEF","title":"Evaluación microeconométrica de las políticas públicas de empleo: aspectos metodológicos","type":"article-journal"},"uris":["http://www.mendeley.com/documents/?uuid=49f5fd07-c244-3b97-ad8b-27815cfcca79"]}],"mendeley":{"formattedCitation":"(Durán, 2004)","plainTextFormattedCitation":"(Durán, 2004)","previouslyFormattedCitation":"(Durán, 2004)"},"properties":{"noteIndex":0},"schema":"https://github.com/citation-style-language/schema/raw/master/csl-citation.json"}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(Durán, 2004)</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Los modelos econométricos tradicionales que estudian el comportamiento de la demanda de las viviendas presentan incertidumbre que puede estar dada por informaciones incompletas, imprecisa, no totalmente confiable, contraria, o deficiente que generan dificultades en la valoración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{"citationItems":[{"id":"ITEM-1","itemData":{"DOI":"10.1108/02637470610643092","ISSN":"0263-7472","abstract":"Purpose – The traditional models of real estate market have several sources of imprecision, such as transitions between submarkets, generating difficulties in property valuation. The purpose of thi...","author":[{"dropping-particle":"","family":"Stumpf González","given":"Marco Aurélio","non-dropping-particle":"","parse-names":false,"suffix":""},{"dropping-particle":"","family":"Torres Formoso","given":"Carlos","non-dropping-particle":"","parse-names":false,"suffix":""}],"container-title":"Property Management","id":"ITEM-1","issue":"1","issued":{"date-parts":[["2006","1","13"]]},"page":"20-30","publisher":"Emerald Group Publishing Limited","title":"Mass appraisal with genetic fuzzy rule‐based systems","type":"article-journal","volume":"24"},"uris":["http://www.mendeley.com/documents/?uuid=954f9d67-3d43-3678-87a6-e009599a0880"]}],"mendeley":{"formattedCitation":"(Stumpf González &amp; Torres Formoso, 2006)","plainTextFormattedCitation":"(Stumpf González &amp; Torres Formoso, 2006)","previouslyFormattedCitation":"(Stumpf González &amp; Torres Formoso, 2006)"},"properties":{"noteIndex":0},"schema":"https://github.com/citation-style-language/schema/raw/master/csl-citation.json"}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(Stumpf González &amp; Torres Formoso, 2006)</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rsidR="009078FD" w:rsidRDefault="00FC1F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 desarrollo habitacional de Cuba ha transcurrido por diferentes etapas con diversas características que respaldan la presencia de brechas en la obtención de una solución a la problemática de la vivienda. Sus políticas públicas están dirigidas al incentivo de la vivienda en propiedad, por encima de la rentada debido a que, en las condiciones económicas actuales, no dispone de un parque de vivienda con fines de arrendamiento y las que se utilizan con este propósito son propiedades privadas muy costosas, por lo que se hace insustentable para los cubanos vivir en una renta.</w:t>
      </w:r>
    </w:p>
    <w:p w:rsidR="009078FD" w:rsidRDefault="00FC1F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ahí que en un país donde las necesidades de materiales de construcción son elevadas, se impone movilizar todas las fuerzas productivas posibles en aras de alcanzar las metas sociales. La producción de materiales para la construcción, no puede mantenerse sustentado en la producción industrial nacional, sino que requiere el aprovechamiento ordenado y creciente de las potencialidades de los territorios para garantizar los diferentes elementos tradicionales y ampliar sus capacidades a la mayoría de los rubros de alto empleo, que puedan aportar no solo al balance nacional, sino que, sobre todo, cubran las necesidades de cada territorio. </w:t>
      </w:r>
    </w:p>
    <w:p w:rsidR="009078FD" w:rsidRDefault="00FC1F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Ante esta necesidad se impone el estudio de la demanda de la vivienda y es por ello que la presente investigación se centra en diseñar un modelo para el pronóstico de la demanda </w:t>
      </w:r>
      <w:r>
        <w:rPr>
          <w:rFonts w:ascii="Times New Roman" w:hAnsi="Times New Roman" w:cs="Times New Roman"/>
          <w:color w:val="000000"/>
          <w:sz w:val="24"/>
          <w:szCs w:val="24"/>
        </w:rPr>
        <w:lastRenderedPageBreak/>
        <w:t xml:space="preserve">de construcción y reparación de viviendas en Cienfuegos. El modelo propuesto a partir de la generación de escenarios y ante la falta de datos estadísticamente confiables es capaz de predecir la construcción de viviendas nuevas y acciones constructivas de la provincia y sus respectivos municipios. </w:t>
      </w:r>
    </w:p>
    <w:p w:rsidR="009078FD" w:rsidRDefault="00FC1F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 diseño del modelo en una primera fase se encuentra orientado a la generación de escenarios fundamentados en sistemas de inferencia difusa (FIS), donde se utiliza el conocimiento de los expertos para suplir la falta de información estadísticamente confiable, permitiendo que las valoraciones de los expertos se traduzcan a valores numéricos. En la segunda fase le proporcional al modelo un carácter multinivel al desagregar la demanda provincial obtenida en demandas provinciales. </w:t>
      </w:r>
    </w:p>
    <w:p w:rsidR="009078FD" w:rsidRDefault="009078FD">
      <w:pPr>
        <w:spacing w:after="0" w:line="360" w:lineRule="auto"/>
        <w:jc w:val="both"/>
        <w:rPr>
          <w:rFonts w:ascii="Times New Roman" w:hAnsi="Times New Roman" w:cs="Times New Roman"/>
          <w:sz w:val="24"/>
          <w:szCs w:val="24"/>
        </w:rPr>
      </w:pPr>
    </w:p>
    <w:p w:rsidR="009078FD" w:rsidRDefault="00FC1F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Metodología</w:t>
      </w:r>
    </w:p>
    <w:p w:rsidR="009078FD" w:rsidRDefault="00FC1F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 la presente investigación la demanda de viviendas se valora como la demanda de construcción de una nueva vivienda y la realización de acciones constructivas. Al referirse a acciones constructivas se tienen en cuenta la rehabilitación, conservación y ampliación de una vivienda ya existente.</w:t>
      </w:r>
    </w:p>
    <w:p w:rsidR="009078FD" w:rsidRDefault="00FC1F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Una recopilación de la información de las variables que intervienen en la demanda de viviendas en la provincia de Cienfuegos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{"citationItems":[{"id":"ITEM-1","itemData":{"author":[{"dropping-particle":"","family":"Martel Montalvo","given":"Marlyn","non-dropping-particle":"","parse-names":false,"suffix":""},{"dropping-particle":"","family":"Martínez Díaz","given":"Adrián","non-dropping-particle":"","parse-names":false,"suffix":""}],"id":"ITEM-1","issued":{"date-parts":[["2018"]]},"number-of-pages":"91","publisher":"Universidad de Cienfuegos","title":"Pronóstico colaborativo de la demanda de vivienda para la gestión del Programa Local de Producción y Venta de Materiales de la Construcción","type":"thesis"},"uris":["http://www.mendeley.com/documents/?uuid=dfda54e3-d316-4e3a-9e53-8621c077da86"]}],"mendeley":{"formattedCitation":"(Martel Montalvo &amp; Martínez Díaz, 2018)","plainTextFormattedCitation":"(Martel Montalvo &amp; Martínez Díaz, 2018)","previouslyFormattedCitation":"(Martel Montalvo &amp; Martínez Díaz, 2018)"},"properties":{"noteIndex":0},"schema":"https://github.com/citation-style-language/schema/raw/master/csl-citation.json"}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(Martel Montalvo &amp; Martínez Díaz, 2018)</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revela una la existencia de datos inciertos. Esta incertidumbre ser encuentra referida en la aleatoriedad de los parámetros del modelo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{"citationItems":[{"id":"ITEM-1","itemData":{"DOI":"https://doi.org/https://doi.org/10.1016/j.eswa.2015.12.043","author":[{"dropping-particle":"","family":"Langroodi","given":"Rafi Rahanandeh Poor","non-dropping-particle":"","parse-names":false,"suffix":""},{"dropping-particle":"","family":"Amiri","given":"Maghsoud","non-dropping-particle":"","parse-names":false,"suffix":""}],"container-title":"Expert Systems with Applications","id":"ITEM-1","issued":{"date-parts":[["2016"]]},"page":"231-244","title":"A system dynamics modeling approach for a multi-level, multi-product, multi-region supply chain under demand uncertainty.","type":"article-journal","volume":"51"},"uris":["http://www.mendeley.com/documents/?uuid=75b1f611-01dd-46f5-8e18-983d7be140ba"]},{"id":"ITEM-2","itemData":{"DOI":"https://doi.org/https://doi.org/10.1016/j.eswa.2016.12.024","author":[{"dropping-particle":"","family":"Amin","given":"Saman Hassanzadeh","non-dropping-particle":"","parse-names":false,"suffix":""},{"dropping-particle":"","family":"Zhang","given":"Guoqing","non-dropping-particle":"","parse-names":false,"suffix":""},{"dropping-particle":"","family":"Akhtar","given":"Pervaiz","non-dropping-particle":"","parse-names":false,"suffix":""}],"container-title":"Expert Systems with Applications","id":"ITEM-2","issued":{"date-parts":[["2017"]]},"page":"82-91","title":"Effects of uncertainty on a tire closed-loop supply chain network.","type":"article-journal","volume":"73"},"uris":["http://www.mendeley.com/documents/?uuid=198916ef-aaf7-47cf-a3f3-81b1cdfeb0b2"]}],"mendeley":{"formattedCitation":"(Amin, Zhang, &amp; Akhtar, 2017; Langroodi &amp; Amiri, 2016)","plainTextFormattedCitation":"(Amin, Zhang, &amp; Akhtar, 2017; Langroodi &amp; Amiri, 2016)","previouslyFormattedCitation":"(Amin, Zhang, &amp; Akhtar, 2017; Langroodi &amp; Amiri, 2016)"},"properties":{"noteIndex":0},"schema":"https://github.com/citation-style-language/schema/raw/master/csl-citation.json"}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(Amin, Zhang, &amp; Akhtar, 2017; Langroodi &amp; Amiri, 2016)</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 y en la falta de información (incertidumbre epistémica)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{"citationItems":[{"id":"ITEM-1","itemData":{"DOI":"https://doi.org/10.1016/j.eswa.2018.03.029","author":[{"dropping-particle":"","family":"Alamdar","given":"Safoura Famil","non-dropping-particle":"","parse-names":false,"suffix":""},{"dropping-particle":"","family":"Rabbani","given":"Masoud","non-dropping-particle":"","parse-names":false,"suffix":""},{"dropping-particle":"","family":"Heydari","given":"Jafar","non-dropping-particle":"","parse-names":false,"suffix":""}],"container-title":"Expert Systems with Applications","id":"ITEM-1","issued":{"date-parts":[["2018"]]},"page":"261-276","title":"Pricing, collection, and effort decisions with coordination contracts in a fuzzy, three-level closed-loop supply chain.","type":"article-journal","volume":"104"},"uris":["http://www.mendeley.com/documents/?uuid=15e74835-0746-4efd-94b7-8c5bf0bd3929"]},{"id":"ITEM-2","itemData":{"DOI":"https://doi.org/10.1016/j.eswa.2017.09.039","author":[{"dropping-particle":"","family":"Tosarkani","given":"Babak Mohamadpour","non-dropping-particle":"","parse-names":false,"suffix":""},{"dropping-particle":"","family":"Amin","given":"Saman Hassanzadeh","non-dropping-particle":"","parse-names":false,"suffix":""}],"container-title":"Expert Systems with Applications","id":"ITEM-2","issued":{"date-parts":[["2018"]]},"page":"12-26","title":"A possibilistic solution to configure a battery closed-loop supply chain: multi-objective approach","type":"article-journal","volume":"92"},"uris":["http://www.mendeley.com/documents/?uuid=cb0eb1e9-d670-47f3-a037-aaf0f034865c"]},{"id":"ITEM-3","itemData":{"DOI":"https://doi.org/10.1016/j.eswa.2020.113643","author":[{"dropping-particle":"","family":"Wu","given":"Chong","non-dropping-particle":"","parse-names":false,"suffix":""},{"dropping-particle":"","family":"Zhang","given":"Yi","non-dropping-particle":"","parse-names":false,"suffix":""},{"dropping-particle":"","family":"Pun","given":"Hubert","non-dropping-particle":"","parse-names":false,"suffix":""},{"dropping-particle":"","family":"Lin","given":"Chuanlin","non-dropping-particle":"","parse-names":false,"suffix":""}],"container-title":"Expert Systems with Applications","id":"ITEM-3","issued":{"date-parts":[["2020"]]},"page":"113-643","title":"Construction of partner selection criteria in sustainable supply chains: A systematic optimization model","type":"article-journal","volume":"185"},"uris":["http://www.mendeley.com/documents/?uuid=6bbf010c-d693-4a5c-baaa-39bde8ae00e2"]}],"mendeley":{"formattedCitation":"(Alamdar, Rabbani, &amp; Heydari, 2018; Tosarkani &amp; Amin, 2018; Wu, Zhang, Pun, &amp; Lin, 2020)","plainTextFormattedCitation":"(Alamdar, Rabbani, &amp; Heydari, 2018; Tosarkani &amp; Amin, 2018; Wu, Zhang, Pun, &amp; Lin, 2020)","previouslyFormattedCitation":"(Alamdar, Rabbani, &amp; Heydari, 2018; Tosarkani &amp; Amin, 2018; Wu, Zhang, Pun, &amp; Lin, 2020)"},"properties":{"noteIndex":0},"schema":"https://github.com/citation-style-language/schema/raw/master/csl-citation.json"}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(Alamdar, Rabbani, &amp; Heydari, 2018; Tosarkani &amp; Amin, 2018; Wu, Zhang, Pun, &amp; Lin, 2020)</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de ahí la necesidad de utilizar modelos matemáticos ligados a conceptos de incertidumbres resultados de alguna deficiencia en la información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{"citationItems":[{"id":"ITEM-1","itemData":{"DOI":"https://doi.org/10.3846/tede.2019.7456","author":[{"dropping-particle":"","family":"Azcona","given":"Juan Pedro","non-dropping-particle":"","parse-names":false,"suffix":""}],"container-title":"CT: Catastro","id":"ITEM-1","issued":{"date-parts":[["2014"]]},"page":"7-34","title":"Modelo Fuzzy de determinación del valor unitario de edificación destinada a vivienda con fines catastrales","type":"article-journal","volume":"82"},"uris":["http://www.mendeley.com/documents/?uuid=40928850-3bae-4cee-98e6-bdf7c48bef18"]}],"mendeley":{"formattedCitation":"(Azcona, 2014)","plainTextFormattedCitation":"(Azcona, 2014)","previouslyFormattedCitation":"(Azcona, 2014)"},"properties":{"noteIndex":0},"schema":"https://github.com/citation-style-language/schema/raw/master/csl-citation.json"}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(Azcona, 2014)</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y de involucrar la experiencia de los expertos implicados con el tema en estudio. </w:t>
      </w:r>
    </w:p>
    <w:p w:rsidR="009078FD" w:rsidRDefault="00FC1F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 la presente investigación se utiliza para el diseño del modelo cuatro sistemas de inferencia difusa (FIS), los que son fácil de usar, no requieren grandes bases de datos, su programación e utilización no es complicada y se basa en el conocimiento de los expertos.</w:t>
      </w:r>
    </w:p>
    <w:p w:rsidR="009078FD" w:rsidRDefault="00FC1F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Para el posterior pronóstico de la demanda de vivienda se hace necesario una desagregación de la demanda a distintos niveles (provincia y municipios), por ello se utiliza el Proceso Jerárquico de Análisis (AHP). Este permite la construcción de un modelo   jerárquico y organizar la información respecto de un problema de decisión, </w:t>
      </w:r>
      <w:r>
        <w:rPr>
          <w:rFonts w:ascii="Times New Roman" w:hAnsi="Times New Roman" w:cs="Times New Roman"/>
          <w:color w:val="000000"/>
          <w:sz w:val="24"/>
          <w:szCs w:val="24"/>
        </w:rPr>
        <w:lastRenderedPageBreak/>
        <w:t xml:space="preserve">descomponerla y analizarla por partes, visualizar los efectos de cambios en los niveles y sintetizar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{"citationItems":[{"id":"ITEM-1","itemData":{"author":[{"dropping-particle":"","family":"Saaty","given":"T. L","non-dropping-particle":"","parse-names":false,"suffix":""},{"dropping-particle":"","family":"Rogers","given":"P","non-dropping-particle":"","parse-names":false,"suffix":""},{"dropping-particle":"","family":"Pell","given":"R","non-dropping-particle":"","parse-names":false,"suffix":""}],"container-title":"Journal of Porfolio Management","id":"ITEM-1","issued":{"date-parts":[["1988"]]},"page":"16-21","title":"Portfolio selection through hierarchies","type":"article-journal"},"uris":["http://www.mendeley.com/documents/?uuid=64a644e2-5917-494e-8edd-381684126e19"]}],"mendeley":{"formattedCitation":"(Saaty, Rogers, &amp; Pell, 1988)","plainTextFormattedCitation":"(Saaty, Rogers, &amp; Pell, 1988)","previouslyFormattedCitation":"(Saaty, Rogers, &amp; Pell, 1988)"},"properties":{"noteIndex":0},"schema":"https://github.com/citation-style-language/schema/raw/master/csl-citation.json"}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(Saaty, Rogers, &amp; Pell, 1988)</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rsidR="009078FD" w:rsidRDefault="00FC1F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 modelo objeto de estudio se muestra a continuación:</w:t>
      </w:r>
    </w:p>
    <w:p w:rsidR="009078FD" w:rsidRDefault="00FC1F11">
      <w:pPr>
        <w:autoSpaceDE w:val="0"/>
        <w:autoSpaceDN w:val="0"/>
        <w:adjustRightInd w:val="0"/>
        <w:spacing w:after="0" w:line="360" w:lineRule="auto"/>
        <w:jc w:val="both"/>
      </w:pPr>
      <w:r>
        <w:rPr>
          <w:rFonts w:ascii="Times New Roman" w:hAnsi="Times New Roman" w:cs="Times New Roman"/>
          <w:noProof/>
          <w:color w:val="000000"/>
          <w:sz w:val="24"/>
          <w:szCs w:val="24"/>
        </w:rPr>
        <w:drawing>
          <wp:inline distT="0" distB="0" distL="0" distR="0">
            <wp:extent cx="5391150" cy="5067300"/>
            <wp:effectExtent l="0" t="0" r="0" b="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0" cstate="print"/>
                    <a:srcRect/>
                    <a:stretch/>
                  </pic:blipFill>
                  <pic:spPr>
                    <a:xfrm>
                      <a:off x="0" y="0"/>
                      <a:ext cx="5391150" cy="5067300"/>
                    </a:xfrm>
                    <a:prstGeom prst="rect">
                      <a:avLst/>
                    </a:prstGeom>
                    <a:ln>
                      <a:noFill/>
                    </a:ln>
                  </pic:spPr>
                </pic:pic>
              </a:graphicData>
            </a:graphic>
          </wp:inline>
        </w:drawing>
      </w:r>
    </w:p>
    <w:p w:rsidR="009078FD" w:rsidRDefault="00FC1F11">
      <w:pPr>
        <w:widowControl w:val="0"/>
        <w:autoSpaceDE w:val="0"/>
        <w:autoSpaceDN w:val="0"/>
        <w:adjustRightInd w:val="0"/>
        <w:spacing w:after="120" w:line="240" w:lineRule="auto"/>
        <w:ind w:hanging="11"/>
        <w:jc w:val="both"/>
        <w:rPr>
          <w:rFonts w:ascii="Times New Roman" w:hAnsi="Times New Roman" w:cs="Times New Roman"/>
          <w:sz w:val="20"/>
          <w:szCs w:val="20"/>
        </w:rPr>
      </w:pPr>
      <w:r>
        <w:rPr>
          <w:rFonts w:ascii="Times New Roman" w:hAnsi="Times New Roman" w:cs="Times New Roman"/>
          <w:b/>
          <w:bCs/>
          <w:sz w:val="20"/>
          <w:szCs w:val="20"/>
        </w:rPr>
        <w:t>Figura 1.</w:t>
      </w:r>
      <w:r>
        <w:rPr>
          <w:rFonts w:ascii="Times New Roman" w:hAnsi="Times New Roman" w:cs="Times New Roman"/>
          <w:sz w:val="20"/>
          <w:szCs w:val="20"/>
        </w:rPr>
        <w:t xml:space="preserve"> Modelo objeto de estudio de la investigación. </w:t>
      </w:r>
      <w:r>
        <w:rPr>
          <w:rFonts w:ascii="Times New Roman" w:hAnsi="Times New Roman" w:cs="Times New Roman"/>
          <w:b/>
          <w:bCs/>
          <w:sz w:val="20"/>
          <w:szCs w:val="20"/>
        </w:rPr>
        <w:t>Fuente:</w:t>
      </w:r>
      <w:r>
        <w:rPr>
          <w:rFonts w:ascii="Times New Roman" w:hAnsi="Times New Roman" w:cs="Times New Roman"/>
          <w:sz w:val="20"/>
          <w:szCs w:val="20"/>
        </w:rPr>
        <w:t xml:space="preserve"> Elaboración propia</w:t>
      </w:r>
    </w:p>
    <w:p w:rsidR="009078FD" w:rsidRDefault="00FC1F11">
      <w:pPr>
        <w:widowControl w:val="0"/>
        <w:autoSpaceDE w:val="0"/>
        <w:autoSpaceDN w:val="0"/>
        <w:adjustRightInd w:val="0"/>
        <w:spacing w:after="120" w:line="360" w:lineRule="auto"/>
        <w:ind w:hanging="11"/>
        <w:jc w:val="both"/>
        <w:rPr>
          <w:rFonts w:ascii="Times New Roman" w:eastAsia="MS Mincho" w:hAnsi="Times New Roman" w:cs="Times New Roman"/>
          <w:b/>
          <w:iCs/>
          <w:sz w:val="24"/>
          <w:szCs w:val="24"/>
        </w:rPr>
      </w:pPr>
      <w:r>
        <w:rPr>
          <w:rFonts w:ascii="Times New Roman" w:eastAsia="MS Mincho" w:hAnsi="Times New Roman" w:cs="Times New Roman"/>
          <w:b/>
          <w:iCs/>
          <w:sz w:val="24"/>
          <w:szCs w:val="24"/>
        </w:rPr>
        <w:t>Sistemas de inferencia difusa para diseño del modelo</w:t>
      </w:r>
    </w:p>
    <w:p w:rsidR="009078FD" w:rsidRDefault="00FC1F11">
      <w:pPr>
        <w:widowControl w:val="0"/>
        <w:autoSpaceDE w:val="0"/>
        <w:autoSpaceDN w:val="0"/>
        <w:adjustRightInd w:val="0"/>
        <w:spacing w:after="120" w:line="36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El sistema de inferencia difusa (FIS) se identifica como un modelo difuso utilizado para modelar aspectos cualitativos del conocimiento humano sin análisis cuantitativos precisos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https://doi.org/10.1007/s40815-017-0378-y","author":[{"dropping-particle":"","family":"Pourjavad","given":"Ehsan","non-dropping-particle":"","parse-names":false,"suffix":""},{"dropping-particle":"","family":"Shahin","given":"Arash","non-dropping-particle":"","parse-names":false,"suffix":""}],"container-title":"International Journal of Fuzzy Systems","id":"ITEM-1","issued":{"date-parts":[["2018"]]},"page":"901-912","title":"The Application of Mamdani Fuzzy Inference System in Evaluating Green Supply Chain Management Performance","type":"article-journal","volume":"20"},"uris":["http://www.mendeley.com/documents/?uuid=645fd7ef-ed1b-4e5b-b2e6-0bb5f3efb8d4"]},{"id":"ITEM-2","itemData":{"DOI":"https://doi.org/10.1016/j.eswa.2014.06.042","author":[{"dropping-particle":"","family":"Petrović","given":"Dejan","non-dropping-particle":"","parse-names":false,"suffix":""},{"dropping-particle":"","family":"Tanasijević","given":"Miloš","non-dropping-particle":"","parse-names":false,"suffix":""},{"dropping-particle":"","family":"Milić","given":"Vitomir","non-dropping-particle":"","parse-names":false,"suffix":""},{"dropping-particle":"","family":"Lilić","given":"Nikola","non-dropping-particle":"","parse-names":false,"suffix":""},{"dropping-particle":"","family":"Stojadinović","given":"Saša","non-dropping-particle":"","parse-names":false,"suffix":""},{"dropping-particle":"","family":"Svrkota","given":"Igor","non-dropping-particle":"","parse-names":false,"suffix":""}],"container-title":"Expert Systems with Applications","id":"ITEM-2","issue":"18","issued":{"date-parts":[["2014"]]},"page":"8157-8164","title":"Risk assessment model of mining equipment failure based on fuzzy logic","type":"article-journal","volume":"14"},"uris":["http://www.mendeley.com/documents/?uuid=6b85ae7b-71c4-4587-a5ab-0111d6b974de"]}],"mendeley":{"formattedCitation":"(Petrović et al., 2014; Pourjavad &amp; Shahin, 2018)","plainTextFormattedCitation":"(Petrović et al., 2014; Pourjavad &amp; Shahin, 2018)","previouslyFormattedCitation":"(Petrović et al., 2014; Pourjavad &amp; Shahin,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(Petrović et al., 2014; Pourjavad &amp; Shahin, 2018)</w:t>
      </w:r>
      <w:r>
        <w:rPr>
          <w:rFonts w:ascii="Times New Roman" w:hAnsi="Times New Roman" w:cs="Times New Roman"/>
          <w:sz w:val="24"/>
          <w:szCs w:val="24"/>
        </w:rPr>
        <w:fldChar w:fldCharType="end"/>
      </w:r>
      <w:r>
        <w:rPr>
          <w:rFonts w:ascii="Times New Roman" w:hAnsi="Times New Roman" w:cs="Times New Roman"/>
          <w:sz w:val="24"/>
          <w:szCs w:val="24"/>
        </w:rPr>
        <w:t xml:space="preserve">. El conocimiento impreciso se modela eficazmente mediante el uso de valores lingüísticos y grados de pertenencia a la teoría de conjuntos difusos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{"citationItems":[{"id":"ITEM-1","itemData":{"author":[{"dropping-particle":"","family":"Oscullo","given":"José Antonio","non-dropping-particle":"","parse-names":false,"suffix":""},{"dropping-particle":"","family":"Gallardo","given":"Carlos Fabian","non-dropping-particle":"","parse-names":false,"suffix":""}],"container-title":"IEEE LATIN AMERICA TRANSACTIONS","id":"ITEM-1","issue":"1","issued":{"date-parts":[["2020"]]},"page":"24-31","title":"Residue Method Evaluation for the Location of PSS with Sliding Mode Control and Fuzzy for Power Electromechanical Oscillation Damping Control","type":"article-journal","volume":"8"},"uris":["http://www.mendeley.com/documents/?uuid=d498a747-611d-44a8-bec0-439b5b967159"]}],"mendeley":{"formattedCitation":"(Oscullo &amp; Gallardo, 2020)","plainTextFormattedCitation":"(Oscullo &amp; Gallardo, 2020)","previouslyFormattedCitation":"(Oscullo &amp; Gallardo,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(Oscullo &amp; Gallardo,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9078FD" w:rsidRDefault="00FC1F11">
      <w:pPr>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El modelo propuesto por </w:t>
      </w:r>
      <w:r>
        <w:rPr>
          <w:rFonts w:ascii="Times New Roman" w:hAnsi="Times New Roman" w:cs="Times New Roman"/>
          <w:spacing w:val="-1"/>
          <w:sz w:val="24"/>
          <w:szCs w:val="24"/>
        </w:rPr>
        <w:fldChar w:fldCharType="begin"/>
      </w:r>
      <w:r>
        <w:rPr>
          <w:rFonts w:ascii="Times New Roman" w:hAnsi="Times New Roman" w:cs="Times New Roman"/>
          <w:spacing w:val="-1"/>
          <w:sz w:val="24"/>
          <w:szCs w:val="24"/>
        </w:rPr>
        <w:instrText>ADDIN CSL_CITATION {"citationItems":[{"id":"ITEM-1","itemData":{"DOI":"https://doi.org/10.1006/ijhc.1973.0303","author":[{"dropping-particle":"","family":"Mamdani","given":"E.H.","non-dropping-particle":"","parse-names":false,"suffix":""},{"dropping-particle":"","family":"Assilian","given":"S","non-dropping-particle":"","parse-names":false,"suffix":""}],"container-title":"International Journal of Human-Computer Studies","id":"ITEM-1","issue":"2","issued":{"date-parts":[["1999"]]},"page":"135-147","title":"An Experiment in Linguistic Synthesis with a Fuzzy Logic Controller","type":"article-journal","volume":"51"},"uris":["http://www.mendeley.com/documents/?uuid=f7ecb25c-f30a-42d1-a31d-0ed07ccbdd87"]}],"mendeley":{"formattedCitation":"(Mamdani &amp; Assilian, 1999)","manualFormatting":"Mamdani &amp; Assilian (1999)","plainTextFormattedCitation":"(Mamdani &amp; Assilian, 1999)","previouslyFormattedCitation":"(Mamdani &amp; Assilian, 1999)"},"properties":{"noteIndex":0},"schema":"https://github.com/citation-style-language/schema/raw/master/csl-citation.json"}</w:instrText>
      </w:r>
      <w:r>
        <w:rPr>
          <w:rFonts w:ascii="Times New Roman" w:hAnsi="Times New Roman" w:cs="Times New Roman"/>
          <w:spacing w:val="-1"/>
          <w:sz w:val="24"/>
          <w:szCs w:val="24"/>
        </w:rPr>
        <w:fldChar w:fldCharType="separate"/>
      </w:r>
      <w:r>
        <w:rPr>
          <w:rFonts w:ascii="Times New Roman" w:hAnsi="Times New Roman" w:cs="Times New Roman"/>
          <w:noProof/>
          <w:spacing w:val="-1"/>
          <w:sz w:val="24"/>
          <w:szCs w:val="24"/>
        </w:rPr>
        <w:t>Mamdani &amp; Assilian (1999)</w:t>
      </w:r>
      <w:r>
        <w:rPr>
          <w:rFonts w:ascii="Times New Roman" w:hAnsi="Times New Roman" w:cs="Times New Roman"/>
          <w:spacing w:val="-1"/>
          <w:sz w:val="24"/>
          <w:szCs w:val="24"/>
        </w:rPr>
        <w:fldChar w:fldCharType="end"/>
      </w:r>
      <w:r>
        <w:rPr>
          <w:rFonts w:ascii="Times New Roman" w:hAnsi="Times New Roman" w:cs="Times New Roman"/>
          <w:spacing w:val="-1"/>
          <w:sz w:val="24"/>
          <w:szCs w:val="24"/>
        </w:rPr>
        <w:t xml:space="preserve">  construye las reglas sobre cuatro fases: fuzzificación, conocimiento base, motor de inferencia y defuzzificación. La primera </w:t>
      </w:r>
      <w:r>
        <w:rPr>
          <w:rFonts w:ascii="Times New Roman" w:hAnsi="Times New Roman" w:cs="Times New Roman"/>
          <w:spacing w:val="-1"/>
          <w:sz w:val="24"/>
          <w:szCs w:val="24"/>
        </w:rPr>
        <w:lastRenderedPageBreak/>
        <w:t xml:space="preserve">fase transforma los </w:t>
      </w:r>
      <w:r>
        <w:rPr>
          <w:rFonts w:ascii="Times New Roman" w:hAnsi="Times New Roman" w:cs="Times New Roman"/>
          <w:spacing w:val="-1"/>
          <w:sz w:val="24"/>
          <w:szCs w:val="24"/>
          <w:u w:val="single"/>
        </w:rPr>
        <w:t>inputs</w:t>
      </w:r>
      <w:r>
        <w:rPr>
          <w:rFonts w:ascii="Times New Roman" w:hAnsi="Times New Roman" w:cs="Times New Roman"/>
          <w:spacing w:val="-1"/>
          <w:sz w:val="24"/>
          <w:szCs w:val="24"/>
        </w:rPr>
        <w:t xml:space="preserve"> en variables lingüísticas. El conocimiento base incluye, por un lado, un conjunto de definiciones </w:t>
      </w:r>
      <w:r>
        <w:rPr>
          <w:rFonts w:ascii="Times New Roman" w:hAnsi="Times New Roman" w:cs="Times New Roman"/>
          <w:spacing w:val="-1"/>
          <w:sz w:val="24"/>
          <w:szCs w:val="24"/>
          <w:u w:val="single"/>
          <w:lang w:val="en-US"/>
        </w:rPr>
        <w:t>fuzzy,</w:t>
      </w:r>
      <w:r>
        <w:rPr>
          <w:rFonts w:ascii="Times New Roman" w:hAnsi="Times New Roman" w:cs="Times New Roman"/>
          <w:spacing w:val="-1"/>
          <w:sz w:val="24"/>
          <w:szCs w:val="24"/>
        </w:rPr>
        <w:t xml:space="preserve"> y por otro, el conjunto de reglas del tipo </w:t>
      </w:r>
      <w:r>
        <w:rPr>
          <w:rFonts w:ascii="Times New Roman" w:hAnsi="Times New Roman" w:cs="Times New Roman"/>
          <w:spacing w:val="-1"/>
          <w:sz w:val="24"/>
          <w:szCs w:val="24"/>
          <w:u w:val="single"/>
        </w:rPr>
        <w:t>IF-THEN</w:t>
      </w:r>
      <w:r>
        <w:rPr>
          <w:rFonts w:ascii="Times New Roman" w:hAnsi="Times New Roman" w:cs="Times New Roman"/>
          <w:spacing w:val="-1"/>
          <w:sz w:val="24"/>
          <w:szCs w:val="24"/>
        </w:rPr>
        <w:t xml:space="preserve">. El motor de inferencia realiza el proceso de aprendizaje entre las reglas y las entradas </w:t>
      </w:r>
      <w:r>
        <w:rPr>
          <w:rFonts w:ascii="Times New Roman" w:hAnsi="Times New Roman" w:cs="Times New Roman"/>
          <w:spacing w:val="-1"/>
          <w:sz w:val="24"/>
          <w:szCs w:val="24"/>
        </w:rPr>
        <w:fldChar w:fldCharType="begin"/>
      </w:r>
      <w:r>
        <w:rPr>
          <w:rFonts w:ascii="Times New Roman" w:hAnsi="Times New Roman" w:cs="Times New Roman"/>
          <w:spacing w:val="-1"/>
          <w:sz w:val="24"/>
          <w:szCs w:val="24"/>
        </w:rPr>
        <w:instrText>ADDIN CSL_CITATION {"citationItems":[{"id":"ITEM-1","itemData":{"DOI":"https://doi.org/10.46505/ALEP9985","author":[{"dropping-particle":"","family":"Muncharaz","given":"Javier Oliver","non-dropping-particle":"","parse-names":false,"suffix":""}],"container-title":"Finance, Markets and Valuation","id":"ITEM-1","issue":"1","issued":{"date-parts":[["2020"]]},"page":"85-98","title":"Hybrid fuzzy neural network versus backpropagation neural network: An application to predict the Ibex-35 index stock","type":"article-journal","volume":"6"},"uris":["http://www.mendeley.com/documents/?uuid=efc0636a-8d46-4eb8-a27c-bf5fb769d506"]}],"mendeley":{"formattedCitation":"(Muncharaz, 2020)","plainTextFormattedCitation":"(Muncharaz, 2020)","previouslyFormattedCitation":"(Muncharaz, 2020)"},"properties":{"noteIndex":0},"schema":"https://github.com/citation-style-language/schema/raw/master/csl-citation.json"}</w:instrText>
      </w:r>
      <w:r>
        <w:rPr>
          <w:rFonts w:ascii="Times New Roman" w:hAnsi="Times New Roman" w:cs="Times New Roman"/>
          <w:spacing w:val="-1"/>
          <w:sz w:val="24"/>
          <w:szCs w:val="24"/>
        </w:rPr>
        <w:fldChar w:fldCharType="separate"/>
      </w:r>
      <w:r>
        <w:rPr>
          <w:rFonts w:ascii="Times New Roman" w:hAnsi="Times New Roman" w:cs="Times New Roman"/>
          <w:noProof/>
          <w:spacing w:val="-1"/>
          <w:sz w:val="24"/>
          <w:szCs w:val="24"/>
        </w:rPr>
        <w:t>(Muncharaz, 2020)</w:t>
      </w:r>
      <w:r>
        <w:rPr>
          <w:rFonts w:ascii="Times New Roman" w:hAnsi="Times New Roman" w:cs="Times New Roman"/>
          <w:spacing w:val="-1"/>
          <w:sz w:val="24"/>
          <w:szCs w:val="24"/>
        </w:rPr>
        <w:fldChar w:fldCharType="end"/>
      </w:r>
      <w:r>
        <w:rPr>
          <w:rFonts w:ascii="Times New Roman" w:hAnsi="Times New Roman" w:cs="Times New Roman"/>
          <w:spacing w:val="-1"/>
          <w:sz w:val="24"/>
          <w:szCs w:val="24"/>
        </w:rPr>
        <w:t>. La defuzzificación decodifica las variables lingüísticas en una variable de salida.</w:t>
      </w:r>
    </w:p>
    <w:p w:rsidR="009078FD" w:rsidRDefault="00FC1F11">
      <w:pPr>
        <w:widowControl w:val="0"/>
        <w:autoSpaceDE w:val="0"/>
        <w:autoSpaceDN w:val="0"/>
        <w:adjustRightInd w:val="0"/>
        <w:spacing w:after="120" w:line="36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Para el diseño del modelo de la presente investigación se utilizan como conductores de la demanda: el crecimiento poblacional (CP), los ingresos (I), las políticas públicas (PP), el crecimiento del turismo (CT), el estado del fondo habitacional (FH), el efecto de los desastres naturales (DN), las nuevas viviendas (NV) y las acciones constructivas (AC); previamente determinados en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{"citationItems":[{"id":"ITEM-1","itemData":{"author":[{"dropping-particle":"","family":"Martel Montalvo","given":"Marlyn","non-dropping-particle":"","parse-names":false,"suffix":""},{"dropping-particle":"","family":"Martínez Díaz","given":"Adrián","non-dropping-particle":"","parse-names":false,"suffix":""}],"id":"ITEM-1","issued":{"date-parts":[["2018"]]},"number-of-pages":"91","publisher":"Universidad de Cienfuegos","title":"Pronóstico colaborativo de la demanda de vivienda para la gestión del Programa Local de Producción y Venta de Materiales de la Construcción","type":"thesis"},"uris":["http://www.mendeley.com/documents/?uuid=dfda54e3-d316-4e3a-9e53-8621c077da86"]}],"mendeley":{"formattedCitation":"(Martel Montalvo &amp; Martínez Díaz, 2018)","manualFormatting":"Martel Montalvo &amp; Martínez Díaz (2018)","plainTextFormattedCitation":"(Martel Montalvo &amp; Martínez Díaz, 2018)","previouslyFormattedCitation":"(Martel Montalvo &amp; Martínez Díaz,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Martel Montalvo &amp; Martínez Díaz (2018)</w:t>
      </w:r>
      <w:r>
        <w:rPr>
          <w:rFonts w:ascii="Times New Roman" w:hAnsi="Times New Roman" w:cs="Times New Roman"/>
          <w:sz w:val="24"/>
          <w:szCs w:val="24"/>
        </w:rPr>
        <w:fldChar w:fldCharType="end"/>
      </w:r>
      <w:r>
        <w:rPr>
          <w:rFonts w:ascii="Times New Roman" w:hAnsi="Times New Roman" w:cs="Times New Roman"/>
          <w:sz w:val="24"/>
          <w:szCs w:val="24"/>
        </w:rPr>
        <w:t xml:space="preserve"> que justifica el sistema conformado por cuatro FIS como se muestra en la figura 2 a continuación: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2733"/>
      </w:tblGrid>
      <w:tr w:rsidR="009078FD">
        <w:trPr>
          <w:jc w:val="center"/>
        </w:trPr>
        <w:tc>
          <w:tcPr>
            <w:tcW w:w="2874" w:type="dxa"/>
          </w:tcPr>
          <w:p w:rsidR="009078FD" w:rsidRDefault="00FC1F11">
            <w:pPr>
              <w:spacing w:after="120" w:line="360" w:lineRule="auto"/>
              <w:jc w:val="both"/>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1457325" cy="1057275"/>
                  <wp:effectExtent l="0" t="0" r="0" b="0"/>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1" cstate="print"/>
                          <a:srcRect/>
                          <a:stretch/>
                        </pic:blipFill>
                        <pic:spPr>
                          <a:xfrm>
                            <a:off x="0" y="0"/>
                            <a:ext cx="1457325" cy="1057275"/>
                          </a:xfrm>
                          <a:prstGeom prst="rect">
                            <a:avLst/>
                          </a:prstGeom>
                          <a:ln>
                            <a:noFill/>
                          </a:ln>
                        </pic:spPr>
                      </pic:pic>
                    </a:graphicData>
                  </a:graphic>
                </wp:inline>
              </w:drawing>
            </w:r>
          </w:p>
          <w:p w:rsidR="009078FD" w:rsidRDefault="00FC1F11">
            <w:pPr>
              <w:spacing w:after="120" w:line="360" w:lineRule="auto"/>
              <w:jc w:val="both"/>
              <w:rPr>
                <w:rFonts w:ascii="Times New Roman" w:hAnsi="Times New Roman" w:cs="Times New Roman"/>
                <w:color w:val="000000"/>
                <w:spacing w:val="1"/>
                <w:sz w:val="24"/>
                <w:szCs w:val="24"/>
              </w:rPr>
            </w:pPr>
            <w:r>
              <w:rPr>
                <w:rFonts w:ascii="Times New Roman" w:hAnsi="Times New Roman" w:cs="Times New Roman"/>
                <w:sz w:val="24"/>
                <w:szCs w:val="24"/>
              </w:rPr>
              <w:t>a</w:t>
            </w:r>
          </w:p>
        </w:tc>
        <w:tc>
          <w:tcPr>
            <w:tcW w:w="2733" w:type="dxa"/>
          </w:tcPr>
          <w:p w:rsidR="009078FD" w:rsidRDefault="00FC1F11">
            <w:pPr>
              <w:spacing w:after="120" w:line="360" w:lineRule="auto"/>
              <w:jc w:val="both"/>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1428750" cy="1085850"/>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2" cstate="print"/>
                          <a:srcRect/>
                          <a:stretch/>
                        </pic:blipFill>
                        <pic:spPr>
                          <a:xfrm>
                            <a:off x="0" y="0"/>
                            <a:ext cx="1428750" cy="1085850"/>
                          </a:xfrm>
                          <a:prstGeom prst="rect">
                            <a:avLst/>
                          </a:prstGeom>
                          <a:ln>
                            <a:noFill/>
                          </a:ln>
                        </pic:spPr>
                      </pic:pic>
                    </a:graphicData>
                  </a:graphic>
                </wp:inline>
              </w:drawing>
            </w:r>
          </w:p>
          <w:p w:rsidR="009078FD" w:rsidRDefault="00FC1F11">
            <w:pPr>
              <w:spacing w:after="120" w:line="360" w:lineRule="auto"/>
              <w:jc w:val="both"/>
              <w:rPr>
                <w:rFonts w:ascii="Times New Roman" w:hAnsi="Times New Roman" w:cs="Times New Roman"/>
                <w:color w:val="000000"/>
                <w:spacing w:val="1"/>
                <w:sz w:val="24"/>
                <w:szCs w:val="24"/>
              </w:rPr>
            </w:pPr>
            <w:r>
              <w:rPr>
                <w:rFonts w:ascii="Times New Roman" w:hAnsi="Times New Roman" w:cs="Times New Roman"/>
                <w:sz w:val="24"/>
                <w:szCs w:val="24"/>
              </w:rPr>
              <w:t>b</w:t>
            </w:r>
          </w:p>
        </w:tc>
      </w:tr>
      <w:tr w:rsidR="009078FD">
        <w:trPr>
          <w:jc w:val="center"/>
        </w:trPr>
        <w:tc>
          <w:tcPr>
            <w:tcW w:w="2874" w:type="dxa"/>
          </w:tcPr>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95450" cy="1333500"/>
                  <wp:effectExtent l="0" t="0" r="0" b="0"/>
                  <wp:docPr id="103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3" cstate="print"/>
                          <a:srcRect/>
                          <a:stretch/>
                        </pic:blipFill>
                        <pic:spPr>
                          <a:xfrm>
                            <a:off x="0" y="0"/>
                            <a:ext cx="1695450" cy="1333500"/>
                          </a:xfrm>
                          <a:prstGeom prst="rect">
                            <a:avLst/>
                          </a:prstGeom>
                          <a:ln>
                            <a:noFill/>
                          </a:ln>
                        </pic:spPr>
                      </pic:pic>
                    </a:graphicData>
                  </a:graphic>
                </wp:inline>
              </w:drawing>
            </w:r>
          </w:p>
          <w:p w:rsidR="009078FD" w:rsidRDefault="00FC1F11">
            <w:pPr>
              <w:spacing w:after="120" w:line="360" w:lineRule="auto"/>
              <w:jc w:val="both"/>
              <w:rPr>
                <w:rFonts w:ascii="Times New Roman" w:hAnsi="Times New Roman" w:cs="Times New Roman"/>
                <w:color w:val="000000"/>
                <w:spacing w:val="1"/>
                <w:sz w:val="24"/>
                <w:szCs w:val="24"/>
              </w:rPr>
            </w:pPr>
            <w:r>
              <w:rPr>
                <w:rFonts w:ascii="Times New Roman" w:hAnsi="Times New Roman" w:cs="Times New Roman"/>
                <w:sz w:val="24"/>
                <w:szCs w:val="24"/>
              </w:rPr>
              <w:t>c</w:t>
            </w:r>
          </w:p>
        </w:tc>
        <w:tc>
          <w:tcPr>
            <w:tcW w:w="2733" w:type="dxa"/>
          </w:tcPr>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81150" cy="1257300"/>
                  <wp:effectExtent l="0" t="0" r="0" b="0"/>
                  <wp:docPr id="10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4" cstate="print"/>
                          <a:srcRect/>
                          <a:stretch/>
                        </pic:blipFill>
                        <pic:spPr>
                          <a:xfrm>
                            <a:off x="0" y="0"/>
                            <a:ext cx="1581150" cy="1257300"/>
                          </a:xfrm>
                          <a:prstGeom prst="rect">
                            <a:avLst/>
                          </a:prstGeom>
                          <a:ln>
                            <a:noFill/>
                          </a:ln>
                        </pic:spPr>
                      </pic:pic>
                    </a:graphicData>
                  </a:graphic>
                </wp:inline>
              </w:drawing>
            </w:r>
          </w:p>
          <w:p w:rsidR="009078FD" w:rsidRDefault="00FC1F11">
            <w:pPr>
              <w:spacing w:after="120" w:line="360" w:lineRule="auto"/>
              <w:jc w:val="both"/>
              <w:rPr>
                <w:rFonts w:ascii="Times New Roman" w:hAnsi="Times New Roman" w:cs="Times New Roman"/>
                <w:color w:val="000000"/>
                <w:spacing w:val="1"/>
                <w:sz w:val="24"/>
                <w:szCs w:val="24"/>
              </w:rPr>
            </w:pPr>
            <w:r>
              <w:rPr>
                <w:rFonts w:ascii="Times New Roman" w:hAnsi="Times New Roman" w:cs="Times New Roman"/>
                <w:sz w:val="24"/>
                <w:szCs w:val="24"/>
              </w:rPr>
              <w:t>d</w:t>
            </w:r>
          </w:p>
        </w:tc>
      </w:tr>
    </w:tbl>
    <w:p w:rsidR="009078FD" w:rsidRDefault="00FC1F11">
      <w:pPr>
        <w:widowControl w:val="0"/>
        <w:autoSpaceDE w:val="0"/>
        <w:autoSpaceDN w:val="0"/>
        <w:adjustRightInd w:val="0"/>
        <w:spacing w:after="120" w:line="360" w:lineRule="auto"/>
        <w:jc w:val="both"/>
        <w:rPr>
          <w:rFonts w:ascii="Times New Roman" w:hAnsi="Times New Roman" w:cs="Times New Roman"/>
          <w:spacing w:val="-1"/>
          <w:sz w:val="24"/>
          <w:szCs w:val="24"/>
        </w:rPr>
      </w:pPr>
      <w:r>
        <w:rPr>
          <w:rFonts w:ascii="Times New Roman" w:hAnsi="Times New Roman" w:cs="Times New Roman"/>
          <w:b/>
          <w:bCs/>
          <w:spacing w:val="-1"/>
          <w:sz w:val="24"/>
          <w:szCs w:val="24"/>
        </w:rPr>
        <w:t>Figura 2.</w:t>
      </w:r>
      <w:r>
        <w:rPr>
          <w:rFonts w:ascii="Times New Roman" w:hAnsi="Times New Roman" w:cs="Times New Roman"/>
          <w:spacing w:val="-1"/>
          <w:sz w:val="24"/>
          <w:szCs w:val="24"/>
        </w:rPr>
        <w:t xml:space="preserve"> Diseño de los FIS para cada uno de los conductores de la demanda a) FIS Crecimiento poblacional; b) FIS Crecimiento del turismo; c) FIS Estado del fondo habitacional; d) FIS Efecto de los desastres naturales. </w:t>
      </w:r>
      <w:r>
        <w:rPr>
          <w:rFonts w:ascii="Times New Roman" w:hAnsi="Times New Roman" w:cs="Times New Roman"/>
          <w:b/>
          <w:bCs/>
          <w:spacing w:val="-1"/>
          <w:sz w:val="24"/>
          <w:szCs w:val="24"/>
        </w:rPr>
        <w:t>Fuente:</w:t>
      </w:r>
      <w:r>
        <w:rPr>
          <w:rFonts w:ascii="Times New Roman" w:hAnsi="Times New Roman" w:cs="Times New Roman"/>
          <w:spacing w:val="-1"/>
          <w:sz w:val="24"/>
          <w:szCs w:val="24"/>
        </w:rPr>
        <w:t xml:space="preserve"> Elaboración propia.</w:t>
      </w:r>
    </w:p>
    <w:p w:rsidR="009078FD" w:rsidRDefault="00FC1F11">
      <w:pPr>
        <w:pStyle w:val="Heading3"/>
        <w:spacing w:before="0" w:after="120" w:line="360" w:lineRule="auto"/>
        <w:jc w:val="both"/>
        <w:rPr>
          <w:rFonts w:ascii="Times New Roman" w:eastAsia="MS Mincho" w:hAnsi="Times New Roman" w:cs="Times New Roman"/>
          <w:b/>
          <w:iCs/>
          <w:color w:val="auto"/>
        </w:rPr>
      </w:pPr>
      <w:r>
        <w:rPr>
          <w:rFonts w:ascii="Times New Roman" w:eastAsia="MS Mincho" w:hAnsi="Times New Roman" w:cs="Times New Roman"/>
          <w:b/>
          <w:iCs/>
          <w:color w:val="auto"/>
        </w:rPr>
        <w:t>Definición de las variables de entrada y de salida</w:t>
      </w:r>
    </w:p>
    <w:p w:rsidR="009078FD" w:rsidRDefault="00FC1F11">
      <w:pPr>
        <w:widowControl w:val="0"/>
        <w:autoSpaceDE w:val="0"/>
        <w:autoSpaceDN w:val="0"/>
        <w:adjustRightInd w:val="0"/>
        <w:spacing w:after="120" w:line="360" w:lineRule="auto"/>
        <w:ind w:hanging="11"/>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El proceso de parametrización consiste en la transformación de datos medidos a un valor lingüístico en el lenguaje de la lógica difusa con la utilización de funciones de membrecía de las variables lingüísticas para calcular el grado de pertenencia </w:t>
      </w:r>
      <w:r>
        <w:rPr>
          <w:rFonts w:ascii="Times New Roman" w:hAnsi="Times New Roman" w:cs="Times New Roman"/>
          <w:spacing w:val="-1"/>
          <w:sz w:val="24"/>
          <w:szCs w:val="24"/>
        </w:rPr>
        <w:fldChar w:fldCharType="begin"/>
      </w:r>
      <w:r>
        <w:rPr>
          <w:rFonts w:ascii="Times New Roman" w:hAnsi="Times New Roman" w:cs="Times New Roman"/>
          <w:spacing w:val="-1"/>
          <w:sz w:val="24"/>
          <w:szCs w:val="24"/>
        </w:rPr>
        <w:instrText>ADDIN CSL_CITATION {"citationItems":[{"id":"ITEM-1","itemData":{"author":[{"dropping-particle":"","family":"Delgado","given":"Gilberto Bojórquez","non-dropping-particle":"","parse-names":false,"suffix":""},{"dropping-particle":"","family":"Delgado","given":"Jesús Bojórquez","non-dropping-particle":"","parse-names":false,"suffix":""}],"container-title":"Congreso Internacional en Ingeniería Electrónica","id":"ITEM-1","issued":{"date-parts":[["2014"]]},"page":"318-323","publisher-place":"Chihuahua, México","title":"Metodología para la implementacion de sistemas difusos tipo MAMDANI en lenguaje de programación de propósito general.","type":"paper-conference"},"uris":["http://www.mendeley.com/documents/?uuid=52790233-136b-4cc0-9b37-d57d8f4d3f6d"]},{"id":"ITEM-2","itemData":{"DOI":"https://doi.org/10.1016/j.matpr.2020.06.179","author":[{"dropping-particle":"","family":"Janarthanan","given":"R","non-dropping-particle":"","parse-names":false,"suffix":""},{"dropping-particle":"","family":"Balamurali","given":"R","non-dropping-particle":"","parse-names":false,"suffix":""},{"dropping-particle":"","family":"Annapoorani","given":"A","non-dropping-particle":"","parse-names":false,"suffix":""},{"dropping-particle":"","family":"Vimala","given":"V","non-dropping-particle":"","parse-names":false,"suffix":""}],"container-title":"Material Today:Proceedings","id":"ITEM-2","issued":{"date-parts":[["2020"]]},"page":"1-6","title":"Prediction of rainfall using fuzzy logic","type":"article-journal"},"uris":["http://www.mendeley.com/documents/?uuid=1046fbc8-6e4b-4fd9-a5a8-f89e786a7884"]}],"mendeley":{"formattedCitation":"(Delgado &amp; Delgado, 2014; Janarthanan, Balamurali, Annapoorani, &amp; Vimala, 2020)","manualFormatting":"(Janarthanan, Balamurali, Annapoorani, &amp; Vimala, 2020)","plainTextFormattedCitation":"(Delgado &amp; Delgado, 2014; Janarthanan, Balamurali, Annapoorani, &amp; Vimala, 2020)","previouslyFormattedCitation":"(Delgado &amp; Delgado, 2014; Janarthanan, Balamurali, Annapoorani, &amp; Vimala, 2020)"},"properties":{"noteIndex":0},"schema":"https://github.com/citation-style-language/schema/raw/master/csl-citation.json"}</w:instrText>
      </w:r>
      <w:r>
        <w:rPr>
          <w:rFonts w:ascii="Times New Roman" w:hAnsi="Times New Roman" w:cs="Times New Roman"/>
          <w:spacing w:val="-1"/>
          <w:sz w:val="24"/>
          <w:szCs w:val="24"/>
        </w:rPr>
        <w:fldChar w:fldCharType="separate"/>
      </w:r>
      <w:r>
        <w:rPr>
          <w:rFonts w:ascii="Times New Roman" w:hAnsi="Times New Roman" w:cs="Times New Roman"/>
          <w:noProof/>
          <w:spacing w:val="-1"/>
          <w:sz w:val="24"/>
          <w:szCs w:val="24"/>
        </w:rPr>
        <w:t xml:space="preserve">(Janarthanan, Balamurali, </w:t>
      </w:r>
      <w:r>
        <w:rPr>
          <w:rFonts w:ascii="Times New Roman" w:hAnsi="Times New Roman" w:cs="Times New Roman"/>
          <w:noProof/>
          <w:spacing w:val="-1"/>
          <w:sz w:val="24"/>
          <w:szCs w:val="24"/>
        </w:rPr>
        <w:lastRenderedPageBreak/>
        <w:t>Annapoorani, &amp; Vimala, 2020)</w:t>
      </w:r>
      <w:r>
        <w:rPr>
          <w:rFonts w:ascii="Times New Roman" w:hAnsi="Times New Roman" w:cs="Times New Roman"/>
          <w:spacing w:val="-1"/>
          <w:sz w:val="24"/>
          <w:szCs w:val="24"/>
        </w:rPr>
        <w:fldChar w:fldCharType="end"/>
      </w:r>
      <w:r>
        <w:rPr>
          <w:rFonts w:ascii="Times New Roman" w:hAnsi="Times New Roman" w:cs="Times New Roman"/>
          <w:spacing w:val="-1"/>
          <w:sz w:val="24"/>
          <w:szCs w:val="24"/>
        </w:rPr>
        <w:t>.</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Las formas de las funciones de pertenencia comúnmente utilizadas son: la función Triangular, Trapezoidal, Gaussiana, Sigmoidal y Generalizada de Bell. Estas se seleccionan de forma tal que se adquiera una apropiada correspondencia entre las entradas y salida de un sistema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{"citationItems":[{"id":"ITEM-1","itemData":{"author":[{"dropping-particle":"","family":"Medina Hurtado","given":"Santiago","non-dropping-particle":"","parse-names":false,"suffix":""},{"dropping-particle":"","family":"Paniagua Gómez","given":"Gisela","non-dropping-particle":"","parse-names":false,"suffix":""}],"container-title":"Dyna","id":"ITEM-1","issue":"154","issued":{"date-parts":[["2008"]]},"page":"215-229","title":"Modelo de inferencia difuso para estudio de crédito","type":"article-journal","volume":"75"},"uris":["http://www.mendeley.com/documents/?uuid=01a94bce-ec29-4ef0-9acc-4f0118590061"]}],"mendeley":{"formattedCitation":"(Medina Hurtado &amp; Paniagua Gómez, 2008)","plainTextFormattedCitation":"(Medina Hurtado &amp; Paniagua Gómez, 2008)","previouslyFormattedCitation":"(Medina Hurtado &amp; Paniagua Gómez, 2008)"},"properties":{"noteIndex":0},"schema":"https://github.com/citation-style-language/schema/raw/master/csl-citation.json"}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(Medina Hurtado &amp; Paniagua Gómez, 2008)</w:t>
      </w:r>
      <w:r>
        <w:rPr>
          <w:rFonts w:ascii="Times New Roman" w:hAnsi="Times New Roman" w:cs="Times New Roman"/>
          <w:sz w:val="24"/>
          <w:szCs w:val="24"/>
        </w:rPr>
        <w:fldChar w:fldCharType="end"/>
      </w:r>
      <w:r>
        <w:rPr>
          <w:rFonts w:ascii="Times New Roman" w:hAnsi="Times New Roman" w:cs="Times New Roman"/>
          <w:sz w:val="24"/>
          <w:szCs w:val="24"/>
        </w:rPr>
        <w:t xml:space="preserve">. Las funciones lineal triangular y lineal trapezoidal se aplican generalmente en la mayoría de los estudios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https://doi.org/10.1007/s40815-017-0378-y","author":[{"dropping-particle":"","family":"Pourjavad","given":"Ehsan","non-dropping-particle":"","parse-names":false,"suffix":""},{"dropping-particle":"","family":"Shahin","given":"Arash","non-dropping-particle":"","parse-names":false,"suffix":""}],"container-title":"International Journal of Fuzzy Systems","id":"ITEM-1","issued":{"date-parts":[["2018"]]},"page":"901-912","title":"The Application of Mamdani Fuzzy Inference System in Evaluating Green Supply Chain Management Performance","type":"article-journal","volume":"20"},"uris":["http://www.mendeley.com/documents/?uuid=645fd7ef-ed1b-4e5b-b2e6-0bb5f3efb8d4"]},{"id":"ITEM-2","itemData":{"DOI":"https://doi.org/10.1016/j.ijpe.2009.06.037","author":[{"dropping-particle":"","family":"Chen","given":"Chien Ming","non-dropping-particle":"","parse-names":false,"suffix":""}],"container-title":"International Journal of Production Economics","id":"ITEM-2","issue":"2","issued":{"date-parts":[["2009"]]},"page":"714-724","title":"A fuzzy-based decision-support model for rebuy procurement","type":"article-journal","volume":"122"},"uris":["http://www.mendeley.com/documents/?uuid=77f9bbf5-8eff-4a7e-8c83-31dc473c5978"]}],"mendeley":{"formattedCitation":"(Chen, 2009; Pourjavad &amp; Shahin, 2018)","plainTextFormattedCitation":"(Chen, 2009; Pourjavad &amp; Shahin, 2018)","previouslyFormattedCitation":"(Chen, 2009; Pourjavad &amp; Shahin,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(Chen, 2009; Pourjavad &amp; Shahin, 2018)</w:t>
      </w:r>
      <w:r>
        <w:rPr>
          <w:rFonts w:ascii="Times New Roman" w:hAnsi="Times New Roman" w:cs="Times New Roman"/>
          <w:sz w:val="24"/>
          <w:szCs w:val="24"/>
        </w:rPr>
        <w:fldChar w:fldCharType="end"/>
      </w:r>
      <w:r>
        <w:rPr>
          <w:rFonts w:ascii="Times New Roman" w:hAnsi="Times New Roman" w:cs="Times New Roman"/>
          <w:sz w:val="24"/>
          <w:szCs w:val="24"/>
        </w:rPr>
        <w:t>.</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determinar las funciones de membresía se utilizan métodos de elicitación y posteriormente el grupo de expertos establece para las variables sus valores lingüísticos, parámetros y el universo del discurso. </w:t>
      </w:r>
    </w:p>
    <w:p w:rsidR="009078FD" w:rsidRDefault="00FC1F11">
      <w:pPr>
        <w:pStyle w:val="Heading3"/>
        <w:spacing w:before="120" w:after="120" w:line="360" w:lineRule="auto"/>
        <w:jc w:val="both"/>
        <w:rPr>
          <w:rFonts w:ascii="Times New Roman" w:eastAsia="MS Mincho" w:hAnsi="Times New Roman" w:cs="Times New Roman"/>
          <w:b/>
          <w:iCs/>
          <w:color w:val="auto"/>
        </w:rPr>
      </w:pPr>
      <w:r>
        <w:rPr>
          <w:rFonts w:ascii="Times New Roman" w:eastAsia="MS Mincho" w:hAnsi="Times New Roman" w:cs="Times New Roman"/>
          <w:b/>
          <w:iCs/>
          <w:color w:val="auto"/>
        </w:rPr>
        <w:t xml:space="preserve">    Elicitación de las funciones de membresía</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la posición de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{"citationItems":[{"id":"ITEM-1","itemData":{"DOI":"https://doi.org/10.1016/j.ecoinf.2016.04.005","author":[{"dropping-particle":"","family":"Olvera","given":"Miguel Ángel","non-dropping-particle":"","parse-names":false,"suffix":""},{"dropping-particle":"","family":"Hernández","given":"José Carbajal","non-dropping-particle":"","parse-names":false,"suffix":""},{"dropping-particle":"","family":"Fernández","given":"Luis Sánchez","non-dropping-particle":"","parse-names":false,"suffix":""},{"dropping-particle":"","family":"Bautista","given":"Ignacio Hernández","non-dropping-particle":"","parse-names":false,"suffix":""}],"container-title":"Ecological Informatics","id":"ITEM-1","issued":{"date-parts":[["2016"]]},"page":"57-74","title":"Air quality assessment using a weighted Fuzzy Inference System","type":"article-journal","volume":"33"},"uris":["http://www.mendeley.com/documents/?uuid=4d43cf80-6036-429b-951e-ed03b00f1531"]},{"id":"ITEM-2","itemData":{"DOI":"https://doi.org/10.1007/s10845-017-1307-5","author":[{"dropping-particle":"","family":"Pourjavad","given":"Ehsan","non-dropping-particle":"","parse-names":false,"suffix":""},{"dropping-particle":"V.","family":"Mayorga","given":"Rene","non-dropping-particle":"","parse-names":false,"suffix":""}],"container-title":"Journal of Intelligent Manufacturing","id":"ITEM-2","issued":{"date-parts":[["2019"]]},"page":"1085–1097","title":"A comparative study and measuring performance of manufacturing systems with Mamdani fuzzy inference system","type":"article-journal","volume":"30"},"uris":["http://www.mendeley.com/documents/?uuid=175eff00-fa01-4864-bf80-49b9503befe3"]}],"mendeley":{"formattedCitation":"(Olvera, Hernández, Fernández, &amp; Bautista, 2016; Pourjavad &amp; Mayorga, 2019)","manualFormatting":"Olvera, Hernández, Fernández, &amp; Bautista (2016); Pourjavad &amp; Mayorga (2019)","plainTextFormattedCitation":"(Olvera, Hernández, Fernández, &amp; Bautista, 2016; Pourjavad &amp; Mayorga, 2019)","previouslyFormattedCitation":"(Olvera, Hernández, Fernández, &amp; Bautista, 2016; Pourjavad &amp; Mayorga,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Olvera, Hernández, Fernández, &amp; Bautista (2016); Pourjavad &amp; Mayorga (2019)</w:t>
      </w:r>
      <w:r>
        <w:rPr>
          <w:rFonts w:ascii="Times New Roman" w:hAnsi="Times New Roman" w:cs="Times New Roman"/>
          <w:sz w:val="24"/>
          <w:szCs w:val="24"/>
        </w:rPr>
        <w:fldChar w:fldCharType="end"/>
      </w:r>
      <w:r>
        <w:rPr>
          <w:rFonts w:ascii="Times New Roman" w:hAnsi="Times New Roman" w:cs="Times New Roman"/>
          <w:sz w:val="24"/>
          <w:szCs w:val="24"/>
        </w:rPr>
        <w:t xml:space="preserve"> no existen reglas para definir las funciones de pertenencia y se establecen basado en conocimientos de expertos, así como en datos e información extraído de evaluaciones anteriores y documentación existente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https://doi.org/10.1016/j.asoc.2016.05.004","author":[{"dropping-particle":"","family":"Bai","given":"Xiangzhi","non-dropping-particle":"","parse-names":false,"suffix":""},{"dropping-particle":"","family":"Liu","given":"Miaoming","non-dropping-particle":"","parse-names":false,"suffix":""},{"dropping-particle":"","family":"Wang","given":"Tao","non-dropping-particle":"","parse-names":false,"suffix":""},{"dropping-particle":"","family":"Chen","given":"Zhiguo","non-dropping-particle":"","parse-names":false,"suffix":""},{"dropping-particle":"","family":"Wang","given":"Peng","non-dropping-particle":"","parse-names":false,"suffix":""},{"dropping-particle":"","family":"Zhang","given":"Yu","non-dropping-particle":"","parse-names":false,"suffix":""}],"container-title":"Applied Soft Computing","id":"ITEM-1","issued":{"date-parts":[["2016"]]},"page":"128-142","title":"Feature based fuzzy inference system for segmentation of low-contrast infrared ship images","type":"article-journal","volume":"46"},"uris":["http://www.mendeley.com/documents/?uuid=76f1b331-8786-4773-9c90-d5f88b78eb3a"]},{"id":"ITEM-2","itemData":{"DOI":"https://doi.org/10.1016/j.jlp.2014.03.002","author":[{"dropping-particle":"","family":"Chandima Ratnayake","given":"R.M.","non-dropping-particle":"","parse-names":false,"suffix":""}],"container-title":"Journal of Loss Prevention in the Process Industries","id":"ITEM-2","issued":{"date-parts":[["2014"]]},"page":"216-224","title":"Application of a fuzzy inference system for functional failure risk rank estimation: RBM of rotating equipment and instrumentation","type":"article-journal","volume":"29"},"uris":["http://www.mendeley.com/documents/?uuid=677a53df-a0ea-445a-9028-c7cfd51542c7"]}],"mendeley":{"formattedCitation":"(Bai et al., 2016; Chandima Ratnayake, 2014)","plainTextFormattedCitation":"(Bai et al., 2016; Chandima Ratnayake, 2014)","previouslyFormattedCitation":"(Bai et al., 2016; Chandima Ratnayake,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(Bai </w:t>
      </w:r>
      <w:r>
        <w:rPr>
          <w:rFonts w:ascii="Times New Roman" w:hAnsi="Times New Roman" w:cs="Times New Roman"/>
          <w:noProof/>
          <w:sz w:val="24"/>
          <w:szCs w:val="24"/>
          <w:u w:val="single"/>
        </w:rPr>
        <w:t>et al.</w:t>
      </w:r>
      <w:r>
        <w:rPr>
          <w:rFonts w:ascii="Times New Roman" w:hAnsi="Times New Roman" w:cs="Times New Roman"/>
          <w:noProof/>
          <w:sz w:val="24"/>
          <w:szCs w:val="24"/>
        </w:rPr>
        <w:t>, 2016; Chandima Ratnayake, 2014)</w:t>
      </w:r>
      <w:r>
        <w:rPr>
          <w:rFonts w:ascii="Times New Roman" w:hAnsi="Times New Roman" w:cs="Times New Roman"/>
          <w:sz w:val="24"/>
          <w:szCs w:val="24"/>
        </w:rPr>
        <w:fldChar w:fldCharType="end"/>
      </w:r>
      <w:r>
        <w:rPr>
          <w:rFonts w:ascii="Times New Roman" w:hAnsi="Times New Roman" w:cs="Times New Roman"/>
          <w:sz w:val="24"/>
          <w:szCs w:val="24"/>
        </w:rPr>
        <w:t>. Sin embargo, existen métodos que se utilizan para guiar a los expertos a encontrar las funciones de pertenencia más adecuadas.</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Determinar el valor de la función de pertenencia, no es una ciencia exacta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Cunningham","given":"Joanne","non-dropping-particle":"","parse-names":false,"suffix":""},{"dropping-particle":"","family":"Parker","given":"Lorraine","non-dropping-particle":"","parse-names":false,"suffix":""}],"container-title":"Proceedings of the 2006 ACM SE Conference","id":"ITEM-1","issued":{"date-parts":[["2006"]]},"page":"632-637","title":"Determining the Best Way to Process Community Opinions to Construct an Optimal Membership Function in a Fuzzy Database System.","type":"paper-conference"},"uris":["http://www.mendeley.com/documents/?uuid=04f50df0-0c6b-4c42-bc03-c5aa53c8c259"]}],"mendeley":{"formattedCitation":"(Cunningham &amp; Parker, 2006)","plainTextFormattedCitation":"(Cunningham &amp; Parker, 2006)","previouslyFormattedCitation":"(Cunningham &amp; Parker, 2006)"},"properties":{"noteIndex":0},"schema":"https://github.com/citation-style-language/schema/raw/master/csl-citation.json"}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(Cunningham &amp; Parker, 2006)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noProof/>
          <w:sz w:val="24"/>
          <w:szCs w:val="24"/>
        </w:rPr>
        <w:t xml:space="preserve">Las funciones de pertenencia según la forma en que se hayan construido se clasifican en dos grupos: métodos directos e indirectos. </w:t>
      </w:r>
      <w:r>
        <w:rPr>
          <w:rFonts w:ascii="Times New Roman" w:hAnsi="Times New Roman" w:cs="Times New Roman"/>
          <w:sz w:val="24"/>
          <w:szCs w:val="24"/>
        </w:rPr>
        <w:t xml:space="preserve">Autores como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https://doi.org/10.1007/978-1-4615-4429-6_4","ISBN":"978-1-4613-6994-3","author":[{"dropping-particle":"","family":"Bilgiç","given":"Taner","non-dropping-particle":"","parse-names":false,"suffix":""},{"dropping-particle":"","family":"Türkşen","given":"I. Burhan","non-dropping-particle":"","parse-names":false,"suffix":""}],"container-title":"Fundamentals of Fuzzy Sets","id":"ITEM-1","issued":{"date-parts":[["2000"]]},"number-of-pages":"195-227","publisher":"Springer, Boston, MA","title":"Measurement of Membership Functions: Theoretical and Empirical Work","type":"book","volume":"7"},"uris":["http://www.mendeley.com/documents/?uuid=f71296d2-ee1a-449a-a98c-329a46f20fcd"]}],"mendeley":{"formattedCitation":"(Bilgiç &amp; Türkşen, 2000)","manualFormatting":"Bilgiç &amp; Türkşen, (2000)","plainTextFormattedCitation":"(Bilgiç &amp; Türkşen, 2000)","previouslyFormattedCitation":"(Bilgiç &amp; Türkşen, 2000)"},"properties":{"noteIndex":0},"schema":"https://github.com/citation-style-language/schema/raw/master/csl-citation.json"}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Bilgiç &amp; Türkşen, (2000)</w:t>
      </w:r>
      <w:r>
        <w:rPr>
          <w:rFonts w:ascii="Times New Roman" w:hAnsi="Times New Roman" w:cs="Times New Roman"/>
          <w:sz w:val="24"/>
          <w:szCs w:val="24"/>
        </w:rPr>
        <w:fldChar w:fldCharType="end"/>
      </w:r>
      <w:r>
        <w:rPr>
          <w:rFonts w:ascii="Times New Roman" w:hAnsi="Times New Roman" w:cs="Times New Roman"/>
          <w:sz w:val="24"/>
          <w:szCs w:val="24"/>
        </w:rPr>
        <w:t xml:space="preserve"> identifican dentro seis métodos directos. Dentro de los métodos directos se encuentran: estimación puntual, calificación directa, estimación de intervalo, ejemplificación de la función de pertenencia, calificación inversa y estimación por pares.</w:t>
      </w:r>
    </w:p>
    <w:p w:rsidR="009078FD" w:rsidRDefault="00FC1F11">
      <w:pPr>
        <w:tabs>
          <w:tab w:val="left" w:pos="1539"/>
        </w:tabs>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w:t xml:space="preserve">Para la presente investigación se utiliza el método de clasificación directa. Este </w:t>
      </w:r>
      <w:r>
        <w:rPr>
          <w:rFonts w:ascii="Times New Roman" w:hAnsi="Times New Roman" w:cs="Times New Roman"/>
          <w:sz w:val="24"/>
          <w:szCs w:val="24"/>
        </w:rPr>
        <w:t xml:space="preserve">se basa en la idea de que la falta de claridad resulta de la incapacidad de un individuo para asignar definitivamente un elemento a una categoría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{"citationItems":[{"id":"ITEM-1","itemData":{"author":[{"dropping-particle":"","family":"Sanghi","given":"Shweta","non-dropping-particle":"","parse-names":false,"suffix":""}],"container-title":"Proceedings of the 44th annual Southeast regional conference","id":"ITEM-1","issued":{"date-parts":[["2006"]]},"page":"537-542","title":"Determining the Membership Values to Optimize Retrieval in a Fuzzy Relational Database","type":"paper-conference"},"uris":["http://www.mendeley.com/documents/?uuid=6a370a5b-5ddd-4157-b47d-fa3bedbd4634"]}],"mendeley":{"formattedCitation":"(Sanghi, 2006)","plainTextFormattedCitation":"(Sanghi, 2006)","previouslyFormattedCitation":"(Sanghi, 2006)"},"properties":{"noteIndex":0},"schema":"https://github.com/citation-style-language/schema/raw/master/csl-citation.json"}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(Sanghi, 2006)</w:t>
      </w:r>
      <w:r>
        <w:rPr>
          <w:rFonts w:ascii="Times New Roman" w:hAnsi="Times New Roman" w:cs="Times New Roman"/>
          <w:sz w:val="24"/>
          <w:szCs w:val="24"/>
        </w:rPr>
        <w:fldChar w:fldCharType="end"/>
      </w:r>
      <w:r>
        <w:rPr>
          <w:rFonts w:ascii="Times New Roman" w:hAnsi="Times New Roman" w:cs="Times New Roman"/>
          <w:sz w:val="24"/>
          <w:szCs w:val="24"/>
        </w:rPr>
        <w:t xml:space="preserve">. Este método se puede mejorar haciendo las preguntas a varios usuarios, en lugar de al mismo usuario varias veces. La función de pertenencia se construye en base a la frecuencia de respuestas particulares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{"citationItems":[{"id":"ITEM-1","itemData":{"DOI":"https://doi.org/10.1016/S0888-613X(87)80003-8","author":[{"dropping-particle":"","family":"Chameau","given":"J. L","non-dropping-particle":"","parse-names":false,"suffix":""},{"dropping-particle":"","family":"Santamarina","given":"J. C","non-dropping-particle":"","parse-names":false,"suffix":""}],"container-title":"International Journal of Approximate Reasoning","id":"ITEM-1","issue":"3","issued":{"date-parts":[["1987"]]},"page":"287-301","title":"Membership functions I: Comparing methods of measurement","type":"article-journal","volume":"1"},"uris":["http://www.mendeley.com/documents/?uuid=e62b7d57-0ef9-4dad-9f0a-a120fef6a4a8"]}],"mendeley":{"formattedCitation":"(Chameau &amp; Santamarina, 1987)","plainTextFormattedCitation":"(Chameau &amp; Santamarina, 1987)","previouslyFormattedCitation":"(Chameau &amp; Santamarina, 1987)"},"properties":{"noteIndex":0},"schema":"https://github.com/citation-style-language/schema/raw/master/csl-citation.json"}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(Chameau &amp; Santamarina, 1987)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9078FD" w:rsidRDefault="00FC1F11">
      <w:pPr>
        <w:tabs>
          <w:tab w:val="left" w:pos="1539"/>
        </w:tabs>
        <w:spacing w:after="120" w:line="360" w:lineRule="auto"/>
        <w:jc w:val="both"/>
        <w:rPr>
          <w:rFonts w:ascii="Times New Roman" w:hAnsi="Times New Roman" w:cs="Times New Roman"/>
          <w:noProof/>
          <w:sz w:val="24"/>
          <w:szCs w:val="24"/>
        </w:rPr>
      </w:pPr>
      <w:r>
        <w:rPr>
          <w:rFonts w:ascii="Times New Roman" w:hAnsi="Times New Roman" w:cs="Times New Roman"/>
          <w:sz w:val="24"/>
          <w:szCs w:val="24"/>
        </w:rPr>
        <w:lastRenderedPageBreak/>
        <w:t xml:space="preserve">La aplicación del método revela que los gráficos obtenidos presentan similitud con la función triangular y trapezoidal, por lo que </w:t>
      </w:r>
      <w:r>
        <w:rPr>
          <w:rFonts w:ascii="Times New Roman" w:hAnsi="Times New Roman" w:cs="Times New Roman"/>
          <w:noProof/>
          <w:sz w:val="24"/>
          <w:szCs w:val="24"/>
        </w:rPr>
        <w:t>las funciones de pertenencia de las variables para cada conjunto difuso quedan construidas (ver Figura 3) como se muestra a contunuación: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3990"/>
      </w:tblGrid>
      <w:tr w:rsidR="009078FD">
        <w:tc>
          <w:tcPr>
            <w:tcW w:w="4512" w:type="dxa"/>
          </w:tcPr>
          <w:p w:rsidR="009078FD" w:rsidRDefault="00FC1F11">
            <w:pPr>
              <w:tabs>
                <w:tab w:val="left" w:pos="1539"/>
              </w:tabs>
              <w:spacing w:after="120"/>
              <w:jc w:val="both"/>
              <w:rPr>
                <w:rFonts w:ascii="Arial" w:hAnsi="Arial" w:cs="Arial"/>
              </w:rPr>
            </w:pPr>
            <w:r>
              <w:rPr>
                <w:noProof/>
              </w:rPr>
              <w:drawing>
                <wp:inline distT="0" distB="0" distL="114300" distR="114300">
                  <wp:extent cx="2669540" cy="1784909"/>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078FD" w:rsidRDefault="00FC1F11">
            <w:pPr>
              <w:tabs>
                <w:tab w:val="left" w:pos="1539"/>
              </w:tabs>
              <w:spacing w:after="120"/>
              <w:jc w:val="both"/>
              <w:rPr>
                <w:rFonts w:ascii="Arial" w:hAnsi="Arial" w:cs="Arial"/>
              </w:rPr>
            </w:pPr>
            <w:r>
              <w:rPr>
                <w:rFonts w:ascii="Arial" w:hAnsi="Arial" w:cs="Arial"/>
              </w:rPr>
              <w:t>a</w:t>
            </w:r>
          </w:p>
        </w:tc>
        <w:tc>
          <w:tcPr>
            <w:tcW w:w="3982" w:type="dxa"/>
          </w:tcPr>
          <w:p w:rsidR="009078FD" w:rsidRDefault="00FC1F11">
            <w:pPr>
              <w:tabs>
                <w:tab w:val="left" w:pos="1539"/>
              </w:tabs>
              <w:spacing w:after="120"/>
              <w:jc w:val="both"/>
              <w:rPr>
                <w:rFonts w:ascii="Arial" w:hAnsi="Arial" w:cs="Arial"/>
              </w:rPr>
            </w:pPr>
            <w:r>
              <w:rPr>
                <w:noProof/>
              </w:rPr>
              <w:drawing>
                <wp:inline distT="0" distB="0" distL="114300" distR="114300">
                  <wp:extent cx="2384755" cy="1777364"/>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078FD" w:rsidRDefault="00FC1F11">
            <w:pPr>
              <w:tabs>
                <w:tab w:val="left" w:pos="1539"/>
              </w:tabs>
              <w:spacing w:after="120"/>
              <w:jc w:val="both"/>
              <w:rPr>
                <w:rFonts w:ascii="Arial" w:hAnsi="Arial" w:cs="Arial"/>
              </w:rPr>
            </w:pPr>
            <w:r>
              <w:rPr>
                <w:rFonts w:ascii="Arial" w:hAnsi="Arial" w:cs="Arial"/>
              </w:rPr>
              <w:t>b</w:t>
            </w:r>
          </w:p>
        </w:tc>
      </w:tr>
      <w:tr w:rsidR="009078FD">
        <w:tc>
          <w:tcPr>
            <w:tcW w:w="4512" w:type="dxa"/>
          </w:tcPr>
          <w:p w:rsidR="009078FD" w:rsidRDefault="00FC1F11">
            <w:pPr>
              <w:tabs>
                <w:tab w:val="left" w:pos="1539"/>
              </w:tabs>
              <w:spacing w:after="120"/>
              <w:jc w:val="both"/>
              <w:rPr>
                <w:noProof/>
              </w:rPr>
            </w:pPr>
            <w:r>
              <w:rPr>
                <w:noProof/>
              </w:rPr>
              <w:drawing>
                <wp:inline distT="0" distB="0" distL="114300" distR="114300">
                  <wp:extent cx="2765146" cy="1777364"/>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078FD" w:rsidRDefault="00FC1F11">
            <w:pPr>
              <w:tabs>
                <w:tab w:val="left" w:pos="1539"/>
              </w:tabs>
              <w:spacing w:after="120"/>
              <w:jc w:val="both"/>
              <w:rPr>
                <w:noProof/>
              </w:rPr>
            </w:pPr>
            <w:r>
              <w:rPr>
                <w:noProof/>
              </w:rPr>
              <w:t>c</w:t>
            </w:r>
          </w:p>
        </w:tc>
        <w:tc>
          <w:tcPr>
            <w:tcW w:w="3982" w:type="dxa"/>
          </w:tcPr>
          <w:p w:rsidR="009078FD" w:rsidRDefault="00FC1F11">
            <w:pPr>
              <w:tabs>
                <w:tab w:val="left" w:pos="1539"/>
              </w:tabs>
              <w:spacing w:after="120"/>
              <w:jc w:val="both"/>
              <w:rPr>
                <w:noProof/>
              </w:rPr>
            </w:pPr>
            <w:r>
              <w:rPr>
                <w:noProof/>
              </w:rPr>
              <w:drawing>
                <wp:inline distT="0" distB="0" distL="114300" distR="114300">
                  <wp:extent cx="2428647" cy="1777364"/>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078FD" w:rsidRDefault="00FC1F11">
            <w:pPr>
              <w:tabs>
                <w:tab w:val="left" w:pos="1539"/>
              </w:tabs>
              <w:spacing w:after="120"/>
              <w:jc w:val="both"/>
              <w:rPr>
                <w:noProof/>
              </w:rPr>
            </w:pPr>
            <w:r>
              <w:rPr>
                <w:noProof/>
              </w:rPr>
              <w:t>d</w:t>
            </w:r>
          </w:p>
        </w:tc>
      </w:tr>
    </w:tbl>
    <w:p w:rsidR="009078FD" w:rsidRDefault="00FC1F11">
      <w:pPr>
        <w:widowControl w:val="0"/>
        <w:autoSpaceDE w:val="0"/>
        <w:autoSpaceDN w:val="0"/>
        <w:adjustRightInd w:val="0"/>
        <w:spacing w:after="120" w:line="240" w:lineRule="auto"/>
        <w:jc w:val="both"/>
        <w:rPr>
          <w:rFonts w:ascii="Times New Roman" w:hAnsi="Times New Roman" w:cs="Times New Roman"/>
          <w:spacing w:val="-1"/>
          <w:sz w:val="20"/>
          <w:szCs w:val="20"/>
        </w:rPr>
      </w:pPr>
      <w:r>
        <w:rPr>
          <w:rFonts w:ascii="Times New Roman" w:hAnsi="Times New Roman" w:cs="Times New Roman"/>
          <w:b/>
          <w:bCs/>
          <w:spacing w:val="-1"/>
          <w:sz w:val="20"/>
          <w:szCs w:val="20"/>
        </w:rPr>
        <w:t>Figura 3.</w:t>
      </w:r>
      <w:r>
        <w:rPr>
          <w:rFonts w:ascii="Times New Roman" w:hAnsi="Times New Roman" w:cs="Times New Roman"/>
          <w:spacing w:val="-1"/>
          <w:sz w:val="20"/>
          <w:szCs w:val="20"/>
        </w:rPr>
        <w:t xml:space="preserve"> Gráficos de la elicitación de las variables a) Crecimiento poblacional, b) Estado del fondo habitacional, c) Efecto de desastres naturales para acciones constructivas, d) Efecto de desastres naturales para nuevas viviendas. Fuente: Elaboración propia</w:t>
      </w:r>
    </w:p>
    <w:p w:rsidR="009078FD" w:rsidRDefault="00FC1F11">
      <w:pPr>
        <w:pStyle w:val="Heading3"/>
        <w:spacing w:before="120" w:after="120" w:line="360" w:lineRule="auto"/>
        <w:jc w:val="both"/>
        <w:rPr>
          <w:rFonts w:ascii="Times New Roman" w:eastAsia="MS Mincho" w:hAnsi="Times New Roman" w:cs="Times New Roman"/>
          <w:b/>
          <w:iCs/>
          <w:color w:val="auto"/>
        </w:rPr>
      </w:pPr>
      <w:r>
        <w:rPr>
          <w:rFonts w:ascii="Times New Roman" w:eastAsia="MS Mincho" w:hAnsi="Times New Roman" w:cs="Times New Roman"/>
          <w:b/>
          <w:iCs/>
          <w:color w:val="auto"/>
        </w:rPr>
        <w:t>Parametrización de las variables</w:t>
      </w:r>
    </w:p>
    <w:p w:rsidR="009078FD" w:rsidRDefault="00FC1F11">
      <w:pPr>
        <w:tabs>
          <w:tab w:val="left" w:pos="1539"/>
        </w:tabs>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t>Los valores mínimos y máximos de las variables se determinan a partir de los valores actuales según el comportamiento de las variables de entrada y la demanda. Sobre la base de esta información se contruyen las funciones de membrecía para cada conjunto difuso (ver Tabla 1).</w:t>
      </w:r>
    </w:p>
    <w:p w:rsidR="009078FD" w:rsidRDefault="00FC1F11">
      <w:pPr>
        <w:tabs>
          <w:tab w:val="left" w:pos="1539"/>
        </w:tabs>
        <w:spacing w:after="120" w:line="240" w:lineRule="auto"/>
        <w:jc w:val="both"/>
        <w:rPr>
          <w:rFonts w:ascii="Times New Roman" w:hAnsi="Times New Roman" w:cs="Times New Roman"/>
          <w:noProof/>
          <w:sz w:val="20"/>
          <w:szCs w:val="20"/>
        </w:rPr>
      </w:pPr>
      <w:r>
        <w:rPr>
          <w:rFonts w:ascii="Times New Roman" w:hAnsi="Times New Roman" w:cs="Times New Roman"/>
          <w:b/>
          <w:bCs/>
          <w:noProof/>
          <w:sz w:val="20"/>
          <w:szCs w:val="20"/>
        </w:rPr>
        <w:t>Tabla 1.</w:t>
      </w:r>
      <w:r>
        <w:rPr>
          <w:rFonts w:ascii="Times New Roman" w:hAnsi="Times New Roman" w:cs="Times New Roman"/>
          <w:noProof/>
          <w:sz w:val="20"/>
          <w:szCs w:val="20"/>
        </w:rPr>
        <w:t xml:space="preserve"> Información de la variables de los modelos difusos. </w:t>
      </w:r>
    </w:p>
    <w:tbl>
      <w:tblPr>
        <w:tblStyle w:val="TableGrid"/>
        <w:tblW w:w="0" w:type="auto"/>
        <w:tblLook w:val="04A0" w:firstRow="1" w:lastRow="0" w:firstColumn="1" w:lastColumn="0" w:noHBand="0" w:noVBand="1"/>
      </w:tblPr>
      <w:tblGrid>
        <w:gridCol w:w="1362"/>
        <w:gridCol w:w="971"/>
        <w:gridCol w:w="1099"/>
        <w:gridCol w:w="1285"/>
        <w:gridCol w:w="2434"/>
        <w:gridCol w:w="1343"/>
      </w:tblGrid>
      <w:tr w:rsidR="009078FD">
        <w:tc>
          <w:tcPr>
            <w:tcW w:w="1362" w:type="dxa"/>
            <w:shd w:val="clear" w:color="auto" w:fill="DDD9C3"/>
            <w:vAlign w:val="center"/>
          </w:tcPr>
          <w:p w:rsidR="009078FD" w:rsidRDefault="00FC1F11">
            <w:pPr>
              <w:widowControl w:val="0"/>
              <w:autoSpaceDE w:val="0"/>
              <w:autoSpaceDN w:val="0"/>
              <w:adjustRightInd w:val="0"/>
              <w:ind w:right="79"/>
              <w:jc w:val="center"/>
              <w:rPr>
                <w:rFonts w:ascii="Times New Roman" w:hAnsi="Times New Roman" w:cs="Times New Roman"/>
                <w:b/>
                <w:bCs/>
                <w:sz w:val="16"/>
                <w:szCs w:val="16"/>
              </w:rPr>
            </w:pPr>
            <w:r>
              <w:rPr>
                <w:rFonts w:ascii="Times New Roman" w:hAnsi="Times New Roman" w:cs="Times New Roman"/>
                <w:b/>
                <w:bCs/>
                <w:sz w:val="16"/>
                <w:szCs w:val="16"/>
              </w:rPr>
              <w:t>Variables</w:t>
            </w:r>
          </w:p>
        </w:tc>
        <w:tc>
          <w:tcPr>
            <w:tcW w:w="971" w:type="dxa"/>
            <w:shd w:val="clear" w:color="auto" w:fill="DDD9C3"/>
            <w:vAlign w:val="center"/>
          </w:tcPr>
          <w:p w:rsidR="009078FD" w:rsidRDefault="00FC1F11">
            <w:pPr>
              <w:widowControl w:val="0"/>
              <w:autoSpaceDE w:val="0"/>
              <w:autoSpaceDN w:val="0"/>
              <w:adjustRightInd w:val="0"/>
              <w:ind w:right="79"/>
              <w:jc w:val="center"/>
              <w:rPr>
                <w:rFonts w:ascii="Times New Roman" w:hAnsi="Times New Roman" w:cs="Times New Roman"/>
                <w:b/>
                <w:bCs/>
                <w:sz w:val="16"/>
                <w:szCs w:val="16"/>
              </w:rPr>
            </w:pPr>
            <w:r>
              <w:rPr>
                <w:rFonts w:ascii="Times New Roman" w:hAnsi="Times New Roman" w:cs="Times New Roman"/>
                <w:b/>
                <w:bCs/>
                <w:sz w:val="16"/>
                <w:szCs w:val="16"/>
              </w:rPr>
              <w:t>Tipo de Variable</w:t>
            </w:r>
          </w:p>
        </w:tc>
        <w:tc>
          <w:tcPr>
            <w:tcW w:w="1099" w:type="dxa"/>
            <w:shd w:val="clear" w:color="auto" w:fill="DDD9C3"/>
            <w:vAlign w:val="center"/>
          </w:tcPr>
          <w:p w:rsidR="009078FD" w:rsidRDefault="00FC1F11">
            <w:pPr>
              <w:widowControl w:val="0"/>
              <w:autoSpaceDE w:val="0"/>
              <w:autoSpaceDN w:val="0"/>
              <w:adjustRightInd w:val="0"/>
              <w:ind w:right="79"/>
              <w:jc w:val="center"/>
              <w:rPr>
                <w:rFonts w:ascii="Times New Roman" w:hAnsi="Times New Roman" w:cs="Times New Roman"/>
                <w:b/>
                <w:bCs/>
                <w:sz w:val="16"/>
                <w:szCs w:val="16"/>
              </w:rPr>
            </w:pPr>
            <w:r>
              <w:rPr>
                <w:rFonts w:ascii="Times New Roman" w:hAnsi="Times New Roman" w:cs="Times New Roman"/>
                <w:b/>
                <w:bCs/>
                <w:sz w:val="16"/>
                <w:szCs w:val="16"/>
              </w:rPr>
              <w:t>Función</w:t>
            </w:r>
          </w:p>
        </w:tc>
        <w:tc>
          <w:tcPr>
            <w:tcW w:w="1285" w:type="dxa"/>
            <w:shd w:val="clear" w:color="auto" w:fill="DDD9C3"/>
            <w:vAlign w:val="center"/>
          </w:tcPr>
          <w:p w:rsidR="009078FD" w:rsidRDefault="00FC1F11">
            <w:pPr>
              <w:widowControl w:val="0"/>
              <w:autoSpaceDE w:val="0"/>
              <w:autoSpaceDN w:val="0"/>
              <w:adjustRightInd w:val="0"/>
              <w:ind w:right="79"/>
              <w:jc w:val="center"/>
              <w:rPr>
                <w:rFonts w:ascii="Times New Roman" w:hAnsi="Times New Roman" w:cs="Times New Roman"/>
                <w:b/>
                <w:bCs/>
                <w:sz w:val="16"/>
                <w:szCs w:val="16"/>
              </w:rPr>
            </w:pPr>
            <w:r>
              <w:rPr>
                <w:rFonts w:ascii="Times New Roman" w:hAnsi="Times New Roman" w:cs="Times New Roman"/>
                <w:b/>
                <w:bCs/>
                <w:sz w:val="16"/>
                <w:szCs w:val="16"/>
              </w:rPr>
              <w:t>Valores Lingüísticos</w:t>
            </w:r>
          </w:p>
        </w:tc>
        <w:tc>
          <w:tcPr>
            <w:tcW w:w="2434" w:type="dxa"/>
            <w:shd w:val="clear" w:color="auto" w:fill="DDD9C3"/>
            <w:vAlign w:val="center"/>
          </w:tcPr>
          <w:p w:rsidR="009078FD" w:rsidRDefault="00FC1F11">
            <w:pPr>
              <w:widowControl w:val="0"/>
              <w:autoSpaceDE w:val="0"/>
              <w:autoSpaceDN w:val="0"/>
              <w:adjustRightInd w:val="0"/>
              <w:ind w:right="79"/>
              <w:jc w:val="center"/>
              <w:rPr>
                <w:rFonts w:ascii="Times New Roman" w:hAnsi="Times New Roman" w:cs="Times New Roman"/>
                <w:b/>
                <w:bCs/>
                <w:sz w:val="16"/>
                <w:szCs w:val="16"/>
              </w:rPr>
            </w:pPr>
            <w:r>
              <w:rPr>
                <w:rFonts w:ascii="Times New Roman" w:hAnsi="Times New Roman" w:cs="Times New Roman"/>
                <w:b/>
                <w:bCs/>
                <w:sz w:val="16"/>
                <w:szCs w:val="16"/>
              </w:rPr>
              <w:t>Parámetros de los Valores</w:t>
            </w:r>
          </w:p>
        </w:tc>
        <w:tc>
          <w:tcPr>
            <w:tcW w:w="1343" w:type="dxa"/>
            <w:shd w:val="clear" w:color="auto" w:fill="DDD9C3"/>
            <w:vAlign w:val="center"/>
          </w:tcPr>
          <w:p w:rsidR="009078FD" w:rsidRDefault="00FC1F11">
            <w:pPr>
              <w:widowControl w:val="0"/>
              <w:autoSpaceDE w:val="0"/>
              <w:autoSpaceDN w:val="0"/>
              <w:adjustRightInd w:val="0"/>
              <w:ind w:right="79"/>
              <w:jc w:val="center"/>
              <w:rPr>
                <w:rFonts w:ascii="Times New Roman" w:hAnsi="Times New Roman" w:cs="Times New Roman"/>
                <w:b/>
                <w:bCs/>
                <w:sz w:val="16"/>
                <w:szCs w:val="16"/>
              </w:rPr>
            </w:pPr>
            <w:r>
              <w:rPr>
                <w:rFonts w:ascii="Times New Roman" w:hAnsi="Times New Roman" w:cs="Times New Roman"/>
                <w:b/>
                <w:bCs/>
                <w:sz w:val="16"/>
                <w:szCs w:val="16"/>
              </w:rPr>
              <w:t>Universo del discurso</w:t>
            </w:r>
          </w:p>
        </w:tc>
      </w:tr>
      <w:tr w:rsidR="009078FD">
        <w:trPr>
          <w:trHeight w:val="194"/>
        </w:trPr>
        <w:tc>
          <w:tcPr>
            <w:tcW w:w="1362" w:type="dxa"/>
            <w:vMerge w:val="restart"/>
            <w:shd w:val="clear" w:color="auto" w:fill="EEECE1"/>
            <w:vAlign w:val="center"/>
          </w:tcPr>
          <w:p w:rsidR="009078FD" w:rsidRDefault="00FC1F11">
            <w:pPr>
              <w:widowControl w:val="0"/>
              <w:autoSpaceDE w:val="0"/>
              <w:autoSpaceDN w:val="0"/>
              <w:adjustRightInd w:val="0"/>
              <w:ind w:right="79"/>
              <w:jc w:val="center"/>
              <w:rPr>
                <w:rFonts w:ascii="Times New Roman" w:hAnsi="Times New Roman" w:cs="Times New Roman"/>
                <w:b/>
                <w:bCs/>
                <w:sz w:val="16"/>
                <w:szCs w:val="16"/>
              </w:rPr>
            </w:pPr>
            <w:r>
              <w:rPr>
                <w:rFonts w:ascii="Times New Roman" w:hAnsi="Times New Roman" w:cs="Times New Roman"/>
                <w:b/>
                <w:bCs/>
                <w:sz w:val="16"/>
                <w:szCs w:val="16"/>
              </w:rPr>
              <w:t>Crecimiento Poblacional</w:t>
            </w:r>
          </w:p>
        </w:tc>
        <w:tc>
          <w:tcPr>
            <w:tcW w:w="971"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Entrada</w:t>
            </w:r>
          </w:p>
        </w:tc>
        <w:tc>
          <w:tcPr>
            <w:tcW w:w="1099"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Triangular</w:t>
            </w: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Bajo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 mín.; mín+3*(máx.-mín.) /8]</w:t>
            </w:r>
          </w:p>
        </w:tc>
        <w:tc>
          <w:tcPr>
            <w:tcW w:w="1343"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 máx.]</w:t>
            </w:r>
          </w:p>
        </w:tc>
      </w:tr>
      <w:tr w:rsidR="009078FD">
        <w:trPr>
          <w:trHeight w:val="193"/>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b/>
                <w:bCs/>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Medio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[mín.+(máx.-mín.) /8; mín.+4*(máx.-mín.) /8; máx.-(máx.-mín.) /8]</w:t>
            </w:r>
          </w:p>
        </w:tc>
        <w:tc>
          <w:tcPr>
            <w:tcW w:w="1343"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r>
      <w:tr w:rsidR="009078FD">
        <w:trPr>
          <w:trHeight w:val="193"/>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b/>
                <w:bCs/>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Alto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[máx.-3*(máx.-mín.) /8; máx.; máx.]</w:t>
            </w:r>
          </w:p>
        </w:tc>
        <w:tc>
          <w:tcPr>
            <w:tcW w:w="1343"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r>
      <w:tr w:rsidR="009078FD">
        <w:trPr>
          <w:trHeight w:val="119"/>
        </w:trPr>
        <w:tc>
          <w:tcPr>
            <w:tcW w:w="1362" w:type="dxa"/>
            <w:vMerge w:val="restart"/>
            <w:shd w:val="clear" w:color="auto" w:fill="EEECE1"/>
            <w:vAlign w:val="center"/>
          </w:tcPr>
          <w:p w:rsidR="009078FD" w:rsidRDefault="00FC1F11">
            <w:pPr>
              <w:widowControl w:val="0"/>
              <w:autoSpaceDE w:val="0"/>
              <w:autoSpaceDN w:val="0"/>
              <w:adjustRightInd w:val="0"/>
              <w:ind w:right="79"/>
              <w:jc w:val="center"/>
              <w:rPr>
                <w:rFonts w:ascii="Times New Roman" w:hAnsi="Times New Roman" w:cs="Times New Roman"/>
                <w:b/>
                <w:bCs/>
                <w:sz w:val="16"/>
                <w:szCs w:val="16"/>
              </w:rPr>
            </w:pPr>
            <w:r>
              <w:rPr>
                <w:rFonts w:ascii="Times New Roman" w:hAnsi="Times New Roman" w:cs="Times New Roman"/>
                <w:b/>
                <w:bCs/>
                <w:sz w:val="16"/>
                <w:szCs w:val="16"/>
              </w:rPr>
              <w:t>Ingresos</w:t>
            </w:r>
          </w:p>
        </w:tc>
        <w:tc>
          <w:tcPr>
            <w:tcW w:w="971"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Entrada</w:t>
            </w:r>
          </w:p>
        </w:tc>
        <w:tc>
          <w:tcPr>
            <w:tcW w:w="1099"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Triangular</w:t>
            </w: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Bajo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[mín./2; mín./2; mín./2+3*(máx.-mín./2) /8]</w:t>
            </w:r>
          </w:p>
        </w:tc>
        <w:tc>
          <w:tcPr>
            <w:tcW w:w="1343"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[mín./2; máx.]</w:t>
            </w:r>
          </w:p>
        </w:tc>
      </w:tr>
      <w:tr w:rsidR="009078FD">
        <w:trPr>
          <w:trHeight w:val="118"/>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b/>
                <w:bCs/>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Medio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[mín./2+(máx.-mín./2) /8; mín./2+4*(máx.-mín./2) /8; máx.-(máx.-mín./2) /8]</w:t>
            </w:r>
          </w:p>
        </w:tc>
        <w:tc>
          <w:tcPr>
            <w:tcW w:w="1343"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r>
      <w:tr w:rsidR="009078FD">
        <w:trPr>
          <w:trHeight w:val="118"/>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b/>
                <w:bCs/>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Alto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[máx.-3*(máx.-mín./2) /8; máx.; máx.]</w:t>
            </w:r>
          </w:p>
        </w:tc>
        <w:tc>
          <w:tcPr>
            <w:tcW w:w="1343"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r>
      <w:tr w:rsidR="009078FD">
        <w:trPr>
          <w:trHeight w:val="194"/>
        </w:trPr>
        <w:tc>
          <w:tcPr>
            <w:tcW w:w="1362" w:type="dxa"/>
            <w:vMerge w:val="restart"/>
            <w:shd w:val="clear" w:color="auto" w:fill="EEECE1"/>
            <w:vAlign w:val="center"/>
          </w:tcPr>
          <w:p w:rsidR="009078FD" w:rsidRDefault="00FC1F11">
            <w:pPr>
              <w:widowControl w:val="0"/>
              <w:autoSpaceDE w:val="0"/>
              <w:autoSpaceDN w:val="0"/>
              <w:adjustRightInd w:val="0"/>
              <w:ind w:right="79"/>
              <w:jc w:val="center"/>
              <w:rPr>
                <w:rFonts w:ascii="Times New Roman" w:hAnsi="Times New Roman" w:cs="Times New Roman"/>
                <w:b/>
                <w:bCs/>
                <w:sz w:val="16"/>
                <w:szCs w:val="16"/>
              </w:rPr>
            </w:pPr>
            <w:r>
              <w:rPr>
                <w:rFonts w:ascii="Times New Roman" w:hAnsi="Times New Roman" w:cs="Times New Roman"/>
                <w:b/>
                <w:bCs/>
                <w:sz w:val="16"/>
                <w:szCs w:val="16"/>
              </w:rPr>
              <w:t>Políticas Públicas</w:t>
            </w:r>
          </w:p>
        </w:tc>
        <w:tc>
          <w:tcPr>
            <w:tcW w:w="971"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Entrada</w:t>
            </w:r>
          </w:p>
        </w:tc>
        <w:tc>
          <w:tcPr>
            <w:tcW w:w="1099"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Triangular</w:t>
            </w: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Insuficiente</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[0; 0; 3*máx./8]</w:t>
            </w:r>
          </w:p>
        </w:tc>
        <w:tc>
          <w:tcPr>
            <w:tcW w:w="1343"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[0; máx.]</w:t>
            </w:r>
          </w:p>
        </w:tc>
      </w:tr>
      <w:tr w:rsidR="009078FD">
        <w:trPr>
          <w:trHeight w:val="193"/>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b/>
                <w:bCs/>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Adecuado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[máx./8; máx./2; máx.-máx./8]</w:t>
            </w:r>
          </w:p>
        </w:tc>
        <w:tc>
          <w:tcPr>
            <w:tcW w:w="1343"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r>
      <w:tr w:rsidR="009078FD">
        <w:trPr>
          <w:trHeight w:val="193"/>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b/>
                <w:bCs/>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Suficiente</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[máx.-3*máx./8; máx.; máx.]</w:t>
            </w:r>
          </w:p>
        </w:tc>
        <w:tc>
          <w:tcPr>
            <w:tcW w:w="1343"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r>
      <w:tr w:rsidR="009078FD">
        <w:trPr>
          <w:trHeight w:val="119"/>
        </w:trPr>
        <w:tc>
          <w:tcPr>
            <w:tcW w:w="1362" w:type="dxa"/>
            <w:vMerge w:val="restart"/>
            <w:shd w:val="clear" w:color="auto" w:fill="EEECE1"/>
            <w:vAlign w:val="center"/>
          </w:tcPr>
          <w:p w:rsidR="009078FD" w:rsidRDefault="00FC1F11">
            <w:pPr>
              <w:widowControl w:val="0"/>
              <w:autoSpaceDE w:val="0"/>
              <w:autoSpaceDN w:val="0"/>
              <w:adjustRightInd w:val="0"/>
              <w:ind w:right="79"/>
              <w:jc w:val="center"/>
              <w:rPr>
                <w:rFonts w:ascii="Times New Roman" w:hAnsi="Times New Roman" w:cs="Times New Roman"/>
                <w:b/>
                <w:bCs/>
                <w:sz w:val="16"/>
                <w:szCs w:val="16"/>
              </w:rPr>
            </w:pPr>
            <w:r>
              <w:rPr>
                <w:rFonts w:ascii="Times New Roman" w:hAnsi="Times New Roman" w:cs="Times New Roman"/>
                <w:b/>
                <w:bCs/>
                <w:sz w:val="16"/>
                <w:szCs w:val="16"/>
              </w:rPr>
              <w:t>Crecimiento del Turismo</w:t>
            </w:r>
          </w:p>
        </w:tc>
        <w:tc>
          <w:tcPr>
            <w:tcW w:w="971"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Entrada</w:t>
            </w:r>
          </w:p>
        </w:tc>
        <w:tc>
          <w:tcPr>
            <w:tcW w:w="1099"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Triangular</w:t>
            </w: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Bajo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 mín.; mín.+3*(máx.-mín.) /8]</w:t>
            </w:r>
          </w:p>
        </w:tc>
        <w:tc>
          <w:tcPr>
            <w:tcW w:w="1343"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[0; máx.]</w:t>
            </w:r>
          </w:p>
        </w:tc>
      </w:tr>
      <w:tr w:rsidR="009078FD">
        <w:trPr>
          <w:trHeight w:val="118"/>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b/>
                <w:bCs/>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Medio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[mín.+(máx.-mín.) /8; mín.+4*(máx.-mín.) /8; máx.-(máx.-mín.) /8]</w:t>
            </w:r>
          </w:p>
        </w:tc>
        <w:tc>
          <w:tcPr>
            <w:tcW w:w="1343"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r>
      <w:tr w:rsidR="009078FD">
        <w:trPr>
          <w:trHeight w:val="118"/>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b/>
                <w:bCs/>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Alto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[máx.-3*(máx.-mín.) /8; máx.; máx.]</w:t>
            </w:r>
          </w:p>
        </w:tc>
        <w:tc>
          <w:tcPr>
            <w:tcW w:w="1343"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r>
      <w:tr w:rsidR="009078FD">
        <w:trPr>
          <w:trHeight w:val="119"/>
        </w:trPr>
        <w:tc>
          <w:tcPr>
            <w:tcW w:w="1362" w:type="dxa"/>
            <w:vMerge w:val="restart"/>
            <w:shd w:val="clear" w:color="auto" w:fill="EEECE1"/>
            <w:vAlign w:val="center"/>
          </w:tcPr>
          <w:p w:rsidR="009078FD" w:rsidRDefault="00FC1F11">
            <w:pPr>
              <w:widowControl w:val="0"/>
              <w:autoSpaceDE w:val="0"/>
              <w:autoSpaceDN w:val="0"/>
              <w:adjustRightInd w:val="0"/>
              <w:ind w:right="79"/>
              <w:jc w:val="center"/>
              <w:rPr>
                <w:rFonts w:ascii="Times New Roman" w:hAnsi="Times New Roman" w:cs="Times New Roman"/>
                <w:b/>
                <w:bCs/>
                <w:sz w:val="16"/>
                <w:szCs w:val="16"/>
              </w:rPr>
            </w:pPr>
            <w:r>
              <w:rPr>
                <w:rFonts w:ascii="Times New Roman" w:hAnsi="Times New Roman" w:cs="Times New Roman"/>
                <w:b/>
                <w:bCs/>
                <w:sz w:val="16"/>
                <w:szCs w:val="16"/>
              </w:rPr>
              <w:t>Fondo Habitacional</w:t>
            </w:r>
          </w:p>
        </w:tc>
        <w:tc>
          <w:tcPr>
            <w:tcW w:w="971"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Entrada</w:t>
            </w:r>
          </w:p>
        </w:tc>
        <w:tc>
          <w:tcPr>
            <w:tcW w:w="1099"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Triangular</w:t>
            </w: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Malo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 mín.; mín.+3*(máx.-mín.) /8]</w:t>
            </w:r>
          </w:p>
        </w:tc>
        <w:tc>
          <w:tcPr>
            <w:tcW w:w="1343"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 máx.]</w:t>
            </w:r>
          </w:p>
        </w:tc>
      </w:tr>
      <w:tr w:rsidR="009078FD">
        <w:trPr>
          <w:trHeight w:val="118"/>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b/>
                <w:bCs/>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Regular</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[mín.+(máx.-mín.) /8; mín.+4*(máx.-mín.) /8; máx.-(máx.-mín.) /8]</w:t>
            </w:r>
          </w:p>
        </w:tc>
        <w:tc>
          <w:tcPr>
            <w:tcW w:w="1343"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r>
      <w:tr w:rsidR="009078FD">
        <w:trPr>
          <w:trHeight w:val="118"/>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b/>
                <w:bCs/>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Bueno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[máx.-3*(máx.-mín.) /8; máx.; máx.]</w:t>
            </w:r>
          </w:p>
        </w:tc>
        <w:tc>
          <w:tcPr>
            <w:tcW w:w="1343"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r>
      <w:tr w:rsidR="009078FD">
        <w:trPr>
          <w:trHeight w:val="119"/>
        </w:trPr>
        <w:tc>
          <w:tcPr>
            <w:tcW w:w="1362" w:type="dxa"/>
            <w:vMerge w:val="restart"/>
            <w:shd w:val="clear" w:color="auto" w:fill="EEECE1"/>
            <w:vAlign w:val="center"/>
          </w:tcPr>
          <w:p w:rsidR="009078FD" w:rsidRDefault="00FC1F11">
            <w:pPr>
              <w:widowControl w:val="0"/>
              <w:autoSpaceDE w:val="0"/>
              <w:autoSpaceDN w:val="0"/>
              <w:adjustRightInd w:val="0"/>
              <w:ind w:right="79"/>
              <w:jc w:val="center"/>
              <w:rPr>
                <w:rFonts w:ascii="Times New Roman" w:hAnsi="Times New Roman" w:cs="Times New Roman"/>
                <w:b/>
                <w:bCs/>
                <w:sz w:val="16"/>
                <w:szCs w:val="16"/>
              </w:rPr>
            </w:pPr>
            <w:r>
              <w:rPr>
                <w:rFonts w:ascii="Times New Roman" w:hAnsi="Times New Roman" w:cs="Times New Roman"/>
                <w:b/>
                <w:bCs/>
                <w:sz w:val="16"/>
                <w:szCs w:val="16"/>
              </w:rPr>
              <w:t>Viviendas Afectadas por Desastres Naturales</w:t>
            </w:r>
          </w:p>
        </w:tc>
        <w:tc>
          <w:tcPr>
            <w:tcW w:w="971"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Entrada</w:t>
            </w:r>
          </w:p>
        </w:tc>
        <w:tc>
          <w:tcPr>
            <w:tcW w:w="1099"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Triangular</w:t>
            </w: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Bajo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[0; 0; 3*máx./8]</w:t>
            </w:r>
          </w:p>
        </w:tc>
        <w:tc>
          <w:tcPr>
            <w:tcW w:w="1343"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[0; máx.]</w:t>
            </w:r>
          </w:p>
        </w:tc>
      </w:tr>
      <w:tr w:rsidR="009078FD">
        <w:trPr>
          <w:trHeight w:val="118"/>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b/>
                <w:bCs/>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Medio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[máx./8; máx./2; máx.-máx./8]</w:t>
            </w:r>
          </w:p>
        </w:tc>
        <w:tc>
          <w:tcPr>
            <w:tcW w:w="1343"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r>
      <w:tr w:rsidR="009078FD">
        <w:trPr>
          <w:trHeight w:val="118"/>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b/>
                <w:bCs/>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Alto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[máx.-3*máx./8; máx.; máx.]</w:t>
            </w:r>
          </w:p>
        </w:tc>
        <w:tc>
          <w:tcPr>
            <w:tcW w:w="1343"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r>
      <w:tr w:rsidR="009078FD">
        <w:trPr>
          <w:trHeight w:val="194"/>
        </w:trPr>
        <w:tc>
          <w:tcPr>
            <w:tcW w:w="1362" w:type="dxa"/>
            <w:vMerge w:val="restart"/>
            <w:shd w:val="clear" w:color="auto" w:fill="EEECE1"/>
            <w:vAlign w:val="center"/>
          </w:tcPr>
          <w:p w:rsidR="009078FD" w:rsidRDefault="00FC1F11">
            <w:pPr>
              <w:widowControl w:val="0"/>
              <w:autoSpaceDE w:val="0"/>
              <w:autoSpaceDN w:val="0"/>
              <w:adjustRightInd w:val="0"/>
              <w:ind w:right="79"/>
              <w:jc w:val="center"/>
              <w:rPr>
                <w:rFonts w:ascii="Times New Roman" w:hAnsi="Times New Roman" w:cs="Times New Roman"/>
                <w:b/>
                <w:bCs/>
                <w:sz w:val="16"/>
                <w:szCs w:val="16"/>
              </w:rPr>
            </w:pPr>
            <w:r>
              <w:rPr>
                <w:rFonts w:ascii="Times New Roman" w:hAnsi="Times New Roman" w:cs="Times New Roman"/>
                <w:b/>
                <w:bCs/>
                <w:sz w:val="16"/>
                <w:szCs w:val="16"/>
              </w:rPr>
              <w:t>Acciones Constructivas</w:t>
            </w:r>
          </w:p>
        </w:tc>
        <w:tc>
          <w:tcPr>
            <w:tcW w:w="971"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Salida</w:t>
            </w:r>
          </w:p>
        </w:tc>
        <w:tc>
          <w:tcPr>
            <w:tcW w:w="1099"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Triangular</w:t>
            </w: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Bajo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 mín.; mín.+3*(máx./2-mín.) /8]</w:t>
            </w:r>
          </w:p>
        </w:tc>
        <w:tc>
          <w:tcPr>
            <w:tcW w:w="1343"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 máx.]</w:t>
            </w:r>
          </w:p>
        </w:tc>
      </w:tr>
      <w:tr w:rsidR="009078FD">
        <w:trPr>
          <w:trHeight w:val="193"/>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b/>
                <w:bCs/>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Medio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[mín.+(máx./2-mín.) /8; mín.+4*(máx./2-mín.) /8; mín.+7*(máx./2-mín.) /8]</w:t>
            </w:r>
          </w:p>
        </w:tc>
        <w:tc>
          <w:tcPr>
            <w:tcW w:w="1343"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r>
      <w:tr w:rsidR="009078FD">
        <w:trPr>
          <w:trHeight w:val="290"/>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b/>
                <w:bCs/>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Alto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[mín.+5*(máx./2-mín.) /8; máx./2; máx./2]</w:t>
            </w:r>
          </w:p>
        </w:tc>
        <w:tc>
          <w:tcPr>
            <w:tcW w:w="1343"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r>
      <w:tr w:rsidR="009078FD">
        <w:trPr>
          <w:trHeight w:val="290"/>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b/>
                <w:bCs/>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Excepcional</w:t>
            </w:r>
          </w:p>
        </w:tc>
        <w:tc>
          <w:tcPr>
            <w:tcW w:w="2434" w:type="dxa"/>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[máx./2+ (máx./2-mín); máx.; máx.]</w:t>
            </w:r>
          </w:p>
        </w:tc>
        <w:tc>
          <w:tcPr>
            <w:tcW w:w="1343"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r>
      <w:tr w:rsidR="009078FD">
        <w:trPr>
          <w:trHeight w:val="111"/>
        </w:trPr>
        <w:tc>
          <w:tcPr>
            <w:tcW w:w="1362" w:type="dxa"/>
            <w:vMerge w:val="restart"/>
            <w:shd w:val="clear" w:color="auto" w:fill="EEECE1"/>
            <w:vAlign w:val="center"/>
          </w:tcPr>
          <w:p w:rsidR="009078FD" w:rsidRDefault="00FC1F11">
            <w:pPr>
              <w:widowControl w:val="0"/>
              <w:autoSpaceDE w:val="0"/>
              <w:autoSpaceDN w:val="0"/>
              <w:adjustRightInd w:val="0"/>
              <w:ind w:right="79"/>
              <w:jc w:val="center"/>
              <w:rPr>
                <w:rFonts w:ascii="Times New Roman" w:hAnsi="Times New Roman" w:cs="Times New Roman"/>
                <w:b/>
                <w:bCs/>
                <w:sz w:val="16"/>
                <w:szCs w:val="16"/>
              </w:rPr>
            </w:pPr>
            <w:r>
              <w:rPr>
                <w:rFonts w:ascii="Times New Roman" w:hAnsi="Times New Roman" w:cs="Times New Roman"/>
                <w:b/>
                <w:bCs/>
                <w:sz w:val="16"/>
                <w:szCs w:val="16"/>
              </w:rPr>
              <w:t>Nuevas Viviendas</w:t>
            </w:r>
          </w:p>
        </w:tc>
        <w:tc>
          <w:tcPr>
            <w:tcW w:w="971"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Salida</w:t>
            </w:r>
          </w:p>
        </w:tc>
        <w:tc>
          <w:tcPr>
            <w:tcW w:w="1099"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Triangular</w:t>
            </w: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Bajo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 mín.; mín.+3*(máx./2-mín.) /8]</w:t>
            </w:r>
          </w:p>
        </w:tc>
        <w:tc>
          <w:tcPr>
            <w:tcW w:w="1343" w:type="dxa"/>
            <w:vMerge w:val="restart"/>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 máx.]</w:t>
            </w:r>
          </w:p>
        </w:tc>
      </w:tr>
      <w:tr w:rsidR="009078FD">
        <w:trPr>
          <w:trHeight w:val="111"/>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Medio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[mín.+(máx./2-mín.) /8; mín.+4*(máx./2-mín.) /8; mín.+7*(máx./2-mín.) /8]</w:t>
            </w:r>
          </w:p>
        </w:tc>
        <w:tc>
          <w:tcPr>
            <w:tcW w:w="1343" w:type="dxa"/>
            <w:vMerge/>
            <w:vAlign w:val="center"/>
          </w:tcPr>
          <w:p w:rsidR="009078FD" w:rsidRDefault="009078FD">
            <w:pPr>
              <w:spacing w:after="120"/>
              <w:jc w:val="center"/>
              <w:rPr>
                <w:rFonts w:ascii="Times New Roman" w:eastAsia="Times New Roman" w:hAnsi="Times New Roman" w:cs="Times New Roman"/>
                <w:color w:val="000000"/>
                <w:sz w:val="20"/>
                <w:szCs w:val="20"/>
                <w:lang w:eastAsia="es-ES"/>
              </w:rPr>
            </w:pPr>
          </w:p>
        </w:tc>
      </w:tr>
      <w:tr w:rsidR="009078FD">
        <w:trPr>
          <w:trHeight w:val="290"/>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Alto</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[mín.+5*(máx./2-mín.) /8; máx./2; máx./2]</w:t>
            </w:r>
          </w:p>
        </w:tc>
        <w:tc>
          <w:tcPr>
            <w:tcW w:w="1343" w:type="dxa"/>
            <w:vMerge/>
            <w:vAlign w:val="center"/>
          </w:tcPr>
          <w:p w:rsidR="009078FD" w:rsidRDefault="009078FD">
            <w:pPr>
              <w:spacing w:after="120"/>
              <w:jc w:val="center"/>
              <w:rPr>
                <w:rFonts w:ascii="Times New Roman" w:eastAsia="Times New Roman" w:hAnsi="Times New Roman" w:cs="Times New Roman"/>
                <w:color w:val="000000"/>
                <w:sz w:val="20"/>
                <w:szCs w:val="20"/>
                <w:lang w:eastAsia="es-ES"/>
              </w:rPr>
            </w:pPr>
          </w:p>
        </w:tc>
      </w:tr>
      <w:tr w:rsidR="009078FD">
        <w:trPr>
          <w:trHeight w:val="290"/>
        </w:trPr>
        <w:tc>
          <w:tcPr>
            <w:tcW w:w="1362" w:type="dxa"/>
            <w:vMerge/>
            <w:shd w:val="clear" w:color="auto" w:fill="EEECE1"/>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971"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099" w:type="dxa"/>
            <w:vMerge/>
            <w:vAlign w:val="center"/>
          </w:tcPr>
          <w:p w:rsidR="009078FD" w:rsidRDefault="009078FD">
            <w:pPr>
              <w:widowControl w:val="0"/>
              <w:autoSpaceDE w:val="0"/>
              <w:autoSpaceDN w:val="0"/>
              <w:adjustRightInd w:val="0"/>
              <w:ind w:right="79"/>
              <w:jc w:val="center"/>
              <w:rPr>
                <w:rFonts w:ascii="Times New Roman" w:hAnsi="Times New Roman" w:cs="Times New Roman"/>
                <w:sz w:val="16"/>
                <w:szCs w:val="16"/>
              </w:rPr>
            </w:pPr>
          </w:p>
        </w:tc>
        <w:tc>
          <w:tcPr>
            <w:tcW w:w="1285"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Excepcional</w:t>
            </w:r>
          </w:p>
        </w:tc>
        <w:tc>
          <w:tcPr>
            <w:tcW w:w="2434" w:type="dxa"/>
            <w:vAlign w:val="center"/>
          </w:tcPr>
          <w:p w:rsidR="009078FD" w:rsidRDefault="00FC1F11">
            <w:pPr>
              <w:widowControl w:val="0"/>
              <w:autoSpaceDE w:val="0"/>
              <w:autoSpaceDN w:val="0"/>
              <w:adjustRightInd w:val="0"/>
              <w:ind w:right="79"/>
              <w:jc w:val="center"/>
              <w:rPr>
                <w:rFonts w:ascii="Times New Roman" w:hAnsi="Times New Roman" w:cs="Times New Roman"/>
                <w:sz w:val="16"/>
                <w:szCs w:val="16"/>
              </w:rPr>
            </w:pPr>
            <w:r>
              <w:rPr>
                <w:rFonts w:ascii="Times New Roman" w:hAnsi="Times New Roman" w:cs="Times New Roman"/>
                <w:sz w:val="16"/>
                <w:szCs w:val="16"/>
              </w:rPr>
              <w:t>[máx./2+ (máx./2-mín.); máx.; máx.]</w:t>
            </w:r>
          </w:p>
        </w:tc>
        <w:tc>
          <w:tcPr>
            <w:tcW w:w="1343" w:type="dxa"/>
            <w:vMerge/>
            <w:vAlign w:val="center"/>
          </w:tcPr>
          <w:p w:rsidR="009078FD" w:rsidRDefault="009078FD">
            <w:pPr>
              <w:spacing w:after="120"/>
              <w:jc w:val="center"/>
              <w:rPr>
                <w:rFonts w:ascii="Times New Roman" w:eastAsia="Times New Roman" w:hAnsi="Times New Roman" w:cs="Times New Roman"/>
                <w:color w:val="000000"/>
                <w:sz w:val="20"/>
                <w:szCs w:val="20"/>
                <w:lang w:eastAsia="es-ES"/>
              </w:rPr>
            </w:pPr>
          </w:p>
        </w:tc>
      </w:tr>
    </w:tbl>
    <w:p w:rsidR="009078FD" w:rsidRDefault="00FC1F11">
      <w:pPr>
        <w:tabs>
          <w:tab w:val="left" w:pos="1539"/>
        </w:tabs>
        <w:spacing w:after="120" w:line="240" w:lineRule="auto"/>
        <w:jc w:val="both"/>
        <w:rPr>
          <w:rFonts w:ascii="Times New Roman" w:hAnsi="Times New Roman" w:cs="Times New Roman"/>
          <w:noProof/>
          <w:sz w:val="20"/>
          <w:szCs w:val="20"/>
        </w:rPr>
      </w:pPr>
      <w:r>
        <w:rPr>
          <w:rFonts w:ascii="Times New Roman" w:hAnsi="Times New Roman" w:cs="Times New Roman"/>
          <w:b/>
          <w:bCs/>
          <w:noProof/>
          <w:sz w:val="20"/>
          <w:szCs w:val="20"/>
        </w:rPr>
        <w:t>Fuente:</w:t>
      </w:r>
      <w:r>
        <w:rPr>
          <w:rFonts w:ascii="Times New Roman" w:hAnsi="Times New Roman" w:cs="Times New Roman"/>
          <w:noProof/>
          <w:sz w:val="20"/>
          <w:szCs w:val="20"/>
        </w:rPr>
        <w:t xml:space="preserve"> Elaboración propia</w:t>
      </w:r>
    </w:p>
    <w:p w:rsidR="009078FD" w:rsidRDefault="00FC1F11">
      <w:pPr>
        <w:spacing w:after="120"/>
        <w:jc w:val="both"/>
        <w:rPr>
          <w:rFonts w:ascii="Times New Roman" w:hAnsi="Times New Roman" w:cs="Times New Roman"/>
          <w:sz w:val="24"/>
          <w:szCs w:val="24"/>
        </w:rPr>
      </w:pPr>
      <w:r>
        <w:rPr>
          <w:rFonts w:ascii="Times New Roman" w:hAnsi="Times New Roman" w:cs="Times New Roman"/>
          <w:sz w:val="24"/>
          <w:szCs w:val="24"/>
        </w:rPr>
        <w:t>Para el caso donde se involucra la variable Desastres naturales se crea un valor lingüístico excepcional a las variables Acciones constructivas y nuevas viviendas, dado que esta variable de entrada provoca que exista en determinados años o períodos un pico en la demanda de viviendas.</w:t>
      </w:r>
    </w:p>
    <w:p w:rsidR="009078FD" w:rsidRDefault="00FC1F11">
      <w:pPr>
        <w:spacing w:after="120"/>
        <w:jc w:val="both"/>
        <w:rPr>
          <w:rFonts w:ascii="Times New Roman" w:hAnsi="Times New Roman" w:cs="Times New Roman"/>
          <w:b/>
          <w:bCs/>
          <w:sz w:val="24"/>
          <w:szCs w:val="24"/>
        </w:rPr>
      </w:pPr>
      <w:r>
        <w:rPr>
          <w:rFonts w:ascii="Times New Roman" w:hAnsi="Times New Roman" w:cs="Times New Roman"/>
          <w:b/>
          <w:bCs/>
          <w:sz w:val="24"/>
          <w:szCs w:val="24"/>
        </w:rPr>
        <w:t xml:space="preserve">2.2.8 Demanda de vivienda </w:t>
      </w:r>
    </w:p>
    <w:p w:rsidR="009078FD" w:rsidRDefault="00FC1F11">
      <w:pPr>
        <w:spacing w:after="120"/>
        <w:jc w:val="both"/>
        <w:rPr>
          <w:rFonts w:ascii="Times New Roman" w:hAnsi="Times New Roman" w:cs="Times New Roman"/>
          <w:sz w:val="24"/>
          <w:szCs w:val="24"/>
        </w:rPr>
      </w:pPr>
      <w:r>
        <w:rPr>
          <w:rFonts w:ascii="Times New Roman" w:hAnsi="Times New Roman" w:cs="Times New Roman"/>
          <w:sz w:val="24"/>
          <w:szCs w:val="24"/>
        </w:rPr>
        <w:t>Puesto que todos los conductores no ejercen la misma influencia en la demanda de la provincia mediante el desarrollo del Proceso de Jerarquía Analítica (AHP)</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{"citationItems":[{"id":"ITEM-1","itemData":{"author":[{"dropping-particle":"","family":"Saaty","given":"T. L.","non-dropping-particle":"","parse-names":false,"suffix":""}],"editor":[{"dropping-particle":"","family":"Ed.","given":"McGraw-Hill","non-dropping-particle":"","parse-names":false,"suffix":""}],"id":"ITEM-1","issued":{"date-parts":[["1980"]]},"title":"The Analytic Hierarchy Process: Planning, Priority Setting, Resource Allocation","type":"book"},"uris":["http://www.mendeley.com/documents/?uuid=77251323-a259-494a-bd9b-9d30d74ee63e"]}],"mendeley":{"formattedCitation":"(Saaty, 1980)","plainTextFormattedCitation":"(Saaty, 1980)","previouslyFormattedCitation":"(Saaty, 1980)"},"properties":{"noteIndex":0},"schema":"https://github.com/citation-style-language/schema/raw/master/csl-citation.json"}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(Saaty, 1980)</w:t>
      </w:r>
      <w:r>
        <w:rPr>
          <w:rFonts w:ascii="Times New Roman" w:hAnsi="Times New Roman" w:cs="Times New Roman"/>
          <w:sz w:val="24"/>
          <w:szCs w:val="24"/>
        </w:rPr>
        <w:fldChar w:fldCharType="end"/>
      </w:r>
      <w:r>
        <w:rPr>
          <w:rFonts w:ascii="Times New Roman" w:hAnsi="Times New Roman" w:cs="Times New Roman"/>
          <w:sz w:val="24"/>
          <w:szCs w:val="24"/>
        </w:rPr>
        <w:t xml:space="preserve"> se determinan las demandas provinciales y municipales (ver figura de 2.8). Para ello se le pide a la dirección del grupo provincial del programa hacer la evaluación en la misma escala de Saaty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{"citationItems":[{"id":"ITEM-1","itemData":{"author":[{"dropping-particle":"","family":"Saaty","given":"T. L","non-dropping-particle":"","parse-names":false,"suffix":""},{"dropping-particle":"","family":"Rogers","given":"P","non-dropping-particle":"","parse-names":false,"suffix":""},{"dropping-particle":"","family":"Pell","given":"R","non-dropping-particle":"","parse-names":false,"suffix":""}],"container-title":"Journal of Porfolio Management","id":"ITEM-1","issued":{"date-parts":[["1988"]]},"page":"16-21","title":"Portfolio selection through hierarchies","type":"article-journal"},"uris":["http://www.mendeley.com/documents/?uuid=64a644e2-5917-494e-8edd-381684126e19"]}],"mendeley":{"formattedCitation":"(Saaty et al., 1988)","plainTextFormattedCitation":"(Saaty et al., 1988)","previouslyFormattedCitation":"(Saaty et al., 1988)"},"properties":{"noteIndex":0},"schema":"https://github.com/citation-style-language/schema/raw/master/csl-citation.json"}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(Saaty et al., 1988)</w:t>
      </w:r>
      <w:r>
        <w:rPr>
          <w:rFonts w:ascii="Times New Roman" w:hAnsi="Times New Roman" w:cs="Times New Roman"/>
          <w:sz w:val="24"/>
          <w:szCs w:val="24"/>
        </w:rPr>
        <w:fldChar w:fldCharType="end"/>
      </w:r>
      <w:r>
        <w:rPr>
          <w:rFonts w:ascii="Times New Roman" w:hAnsi="Times New Roman" w:cs="Times New Roman"/>
          <w:sz w:val="24"/>
          <w:szCs w:val="24"/>
        </w:rPr>
        <w:t xml:space="preserve"> y establecer así el peso de cada conductor para el pronóstico provincial (ver ecuación 1). </w:t>
      </w:r>
    </w:p>
    <w:p w:rsidR="009078FD" w:rsidRDefault="007E315E">
      <w:pPr>
        <w:spacing w:after="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p</m:t>
            </m:r>
          </m:sub>
        </m:sSub>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ci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ci</m:t>
                </m:r>
              </m:sub>
            </m:sSub>
          </m:e>
        </m:nary>
      </m:oMath>
      <w:r w:rsidR="00FC1F11">
        <w:rPr>
          <w:rFonts w:ascii="Times New Roman" w:hAnsi="Times New Roman" w:cs="Times New Roman"/>
          <w:sz w:val="24"/>
          <w:szCs w:val="24"/>
        </w:rPr>
        <w:t xml:space="preserve">                                                                                          Ecuación 1 Donde:</w:t>
      </w:r>
    </w:p>
    <w:p w:rsidR="009078FD" w:rsidRDefault="007E315E">
      <w:pPr>
        <w:spacing w:after="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p</m:t>
            </m:r>
          </m:sub>
        </m:sSub>
      </m:oMath>
      <w:r w:rsidR="00FC1F11">
        <w:rPr>
          <w:rFonts w:ascii="Times New Roman" w:hAnsi="Times New Roman" w:cs="Times New Roman"/>
          <w:sz w:val="24"/>
          <w:szCs w:val="24"/>
        </w:rPr>
        <w:t>: Demanda provincial</w:t>
      </w:r>
    </w:p>
    <w:p w:rsidR="009078FD" w:rsidRDefault="007E315E">
      <w:pPr>
        <w:spacing w:after="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ci</m:t>
            </m:r>
          </m:sub>
        </m:sSub>
      </m:oMath>
      <w:r w:rsidR="00FC1F11">
        <w:rPr>
          <w:rFonts w:ascii="Times New Roman" w:hAnsi="Times New Roman" w:cs="Times New Roman"/>
          <w:sz w:val="24"/>
          <w:szCs w:val="24"/>
        </w:rPr>
        <w:t>: Ponderación de los i conductores en la influencia de la demanda.</w:t>
      </w:r>
    </w:p>
    <w:p w:rsidR="009078FD" w:rsidRDefault="007E315E">
      <w:pPr>
        <w:spacing w:after="12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ci</m:t>
            </m:r>
          </m:sub>
        </m:sSub>
      </m:oMath>
      <w:r w:rsidR="00FC1F11">
        <w:rPr>
          <w:rFonts w:ascii="Times New Roman" w:hAnsi="Times New Roman" w:cs="Times New Roman"/>
          <w:sz w:val="24"/>
          <w:szCs w:val="24"/>
        </w:rPr>
        <w:t>: Demandas provinciales de los i conductores</w:t>
      </w:r>
    </w:p>
    <w:p w:rsidR="009078FD" w:rsidRDefault="00FC1F11">
      <w:pPr>
        <w:spacing w:after="120" w:line="360" w:lineRule="auto"/>
        <w:jc w:val="both"/>
        <w:rPr>
          <w:rFonts w:ascii="Arial" w:hAnsi="Arial" w:cs="Arial"/>
        </w:rPr>
      </w:pPr>
      <w:r>
        <w:rPr>
          <w:rFonts w:ascii="Arial" w:hAnsi="Arial" w:cs="Arial"/>
          <w:noProof/>
        </w:rPr>
        <w:drawing>
          <wp:inline distT="0" distB="0" distL="0" distR="0">
            <wp:extent cx="5391150" cy="2695575"/>
            <wp:effectExtent l="0" t="0" r="0" b="0"/>
            <wp:docPr id="104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9" cstate="print"/>
                    <a:srcRect/>
                    <a:stretch/>
                  </pic:blipFill>
                  <pic:spPr>
                    <a:xfrm>
                      <a:off x="0" y="0"/>
                      <a:ext cx="5391150" cy="2695575"/>
                    </a:xfrm>
                    <a:prstGeom prst="rect">
                      <a:avLst/>
                    </a:prstGeom>
                    <a:ln>
                      <a:noFill/>
                    </a:ln>
                  </pic:spPr>
                </pic:pic>
              </a:graphicData>
            </a:graphic>
          </wp:inline>
        </w:drawing>
      </w:r>
      <w:r>
        <w:rPr>
          <w:rFonts w:ascii="Times New Roman" w:hAnsi="Times New Roman" w:cs="Times New Roman"/>
          <w:b/>
          <w:bCs/>
          <w:sz w:val="20"/>
          <w:szCs w:val="20"/>
        </w:rPr>
        <w:t xml:space="preserve">Figura 4. </w:t>
      </w:r>
      <w:r>
        <w:rPr>
          <w:rFonts w:ascii="Times New Roman" w:hAnsi="Times New Roman" w:cs="Times New Roman"/>
          <w:sz w:val="20"/>
          <w:szCs w:val="20"/>
        </w:rPr>
        <w:t xml:space="preserve">Determinación de los diferentes niveles de la demanda para un FIS. </w:t>
      </w:r>
      <w:r>
        <w:rPr>
          <w:rFonts w:ascii="Times New Roman" w:hAnsi="Times New Roman" w:cs="Times New Roman"/>
          <w:b/>
          <w:bCs/>
          <w:sz w:val="20"/>
          <w:szCs w:val="20"/>
        </w:rPr>
        <w:t>Fuente:</w:t>
      </w:r>
      <w:r>
        <w:rPr>
          <w:rFonts w:ascii="Times New Roman" w:hAnsi="Times New Roman" w:cs="Times New Roman"/>
          <w:sz w:val="20"/>
          <w:szCs w:val="20"/>
        </w:rPr>
        <w:t xml:space="preserve"> Elaboración propia</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Con la demanda de los municipios se procede de forma similar debido a que los municipios presentan diferentes características del fondo habitacional e influencia del turismo. El análisis se basa en ponderar los municipios a partir de su incidencia en el comportamiento de la demanda provincial. Otro nivel de ponderación está dado por la</w:t>
      </w:r>
      <w:r>
        <w:rPr>
          <w:rFonts w:ascii="Times New Roman" w:hAnsi="Times New Roman" w:cs="Times New Roman"/>
          <w:sz w:val="24"/>
          <w:szCs w:val="24"/>
          <w:highlight w:val="yellow"/>
        </w:rPr>
        <w:t xml:space="preserve"> </w:t>
      </w:r>
      <w:r>
        <w:rPr>
          <w:rFonts w:ascii="Times New Roman" w:hAnsi="Times New Roman" w:cs="Times New Roman"/>
          <w:sz w:val="24"/>
          <w:szCs w:val="24"/>
        </w:rPr>
        <w:t>relevancia de los conductores, obteniéndose así la demanda de cada uno de ellos (ver Ecuación 2). Vale destacar que el comportamiento de los FIS no es el mismo todos los años, de ahí que impere la necesidad de realizar todos los años las ponderaciones correspondientes en función del comportamiento de los conductores.</w:t>
      </w:r>
    </w:p>
    <w:p w:rsidR="009078FD" w:rsidRDefault="00FC1F11">
      <w:pPr>
        <w:spacing w:after="120" w:line="360" w:lineRule="auto"/>
        <w:jc w:val="both"/>
        <w:rPr>
          <w:rFonts w:ascii="Times New Roman" w:hAnsi="Times New Roman" w:cs="Times New Roman"/>
          <w:sz w:val="24"/>
          <w:szCs w:val="24"/>
        </w:rPr>
      </w:pPr>
      <m:oMath>
        <m:r>
          <w:rPr>
            <w:rFonts w:ascii="Cambria Math" w:hAnsi="Cambria Math" w:cs="Times New Roman"/>
            <w:sz w:val="24"/>
            <w:szCs w:val="24"/>
          </w:rPr>
          <m:t>Dj</m:t>
        </m:r>
        <m:r>
          <m:rPr>
            <m:sty m:val="p"/>
          </m:rPr>
          <w:rPr>
            <w:rFonts w:ascii="Cambria Math" w:hAnsi="Cambria Math" w:cs="Times New Roman"/>
            <w:sz w:val="24"/>
            <w:szCs w:val="24"/>
          </w:rPr>
          <m:t>=</m:t>
        </m:r>
        <m:r>
          <w:rPr>
            <w:rFonts w:ascii="Cambria Math" w:hAnsi="Cambria Math" w:cs="Times New Roman"/>
            <w:sz w:val="24"/>
            <w:szCs w:val="24"/>
          </w:rPr>
          <m:t>PMj</m:t>
        </m:r>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r>
              <w:rPr>
                <w:rFonts w:ascii="Cambria Math" w:hAnsi="Cambria Math" w:cs="Times New Roman"/>
                <w:sz w:val="24"/>
                <w:szCs w:val="24"/>
              </w:rPr>
              <m:t>Qij</m:t>
            </m:r>
            <m:r>
              <m:rPr>
                <m:sty m:val="p"/>
              </m:rPr>
              <w:rPr>
                <w:rFonts w:ascii="Cambria Math" w:hAnsi="Cambria Math" w:cs="Times New Roman"/>
                <w:sz w:val="24"/>
                <w:szCs w:val="24"/>
              </w:rPr>
              <m:t>*</m:t>
            </m:r>
            <m:r>
              <w:rPr>
                <w:rFonts w:ascii="Cambria Math" w:hAnsi="Cambria Math" w:cs="Times New Roman"/>
                <w:sz w:val="24"/>
                <w:szCs w:val="24"/>
              </w:rPr>
              <m:t>Wci</m:t>
            </m:r>
            <m:r>
              <m:rPr>
                <m:sty m:val="p"/>
              </m:rPr>
              <w:rPr>
                <w:rFonts w:ascii="Cambria Math" w:hAnsi="Cambria Math" w:cs="Times New Roman"/>
                <w:sz w:val="24"/>
                <w:szCs w:val="24"/>
              </w:rPr>
              <m:t>*</m:t>
            </m:r>
            <m:r>
              <w:rPr>
                <w:rFonts w:ascii="Cambria Math" w:hAnsi="Cambria Math" w:cs="Times New Roman"/>
                <w:sz w:val="24"/>
                <w:szCs w:val="24"/>
              </w:rPr>
              <m:t>Dci</m:t>
            </m:r>
            <m:r>
              <m:rPr>
                <m:sty m:val="p"/>
              </m:rPr>
              <w:rPr>
                <w:rFonts w:ascii="Cambria Math" w:hAnsi="Cambria Math" w:cs="Times New Roman"/>
                <w:sz w:val="24"/>
                <w:szCs w:val="24"/>
              </w:rPr>
              <m:t xml:space="preserve">               ∀</m:t>
            </m:r>
            <m:r>
              <w:rPr>
                <w:rFonts w:ascii="Cambria Math" w:hAnsi="Cambria Math" w:cs="Times New Roman"/>
                <w:sz w:val="24"/>
                <w:szCs w:val="24"/>
              </w:rPr>
              <m:t>j</m:t>
            </m:r>
          </m:e>
        </m:nary>
      </m:oMath>
      <w:r>
        <w:rPr>
          <w:rFonts w:ascii="Times New Roman" w:hAnsi="Times New Roman" w:cs="Times New Roman"/>
          <w:sz w:val="24"/>
          <w:szCs w:val="24"/>
        </w:rPr>
        <w:t xml:space="preserve">                                                Ecuación 2</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Donde: </w:t>
      </w:r>
    </w:p>
    <w:p w:rsidR="009078FD" w:rsidRDefault="00FC1F11">
      <w:pPr>
        <w:spacing w:after="120" w:line="360" w:lineRule="auto"/>
        <w:jc w:val="both"/>
        <w:rPr>
          <w:rFonts w:ascii="Times New Roman" w:hAnsi="Times New Roman" w:cs="Times New Roman"/>
          <w:sz w:val="24"/>
          <w:szCs w:val="24"/>
        </w:rPr>
      </w:pPr>
      <m:oMath>
        <m:r>
          <w:rPr>
            <w:rFonts w:ascii="Cambria Math" w:hAnsi="Cambria Math" w:cs="Times New Roman"/>
            <w:sz w:val="24"/>
            <w:szCs w:val="24"/>
          </w:rPr>
          <m:t>Dj</m:t>
        </m:r>
      </m:oMath>
      <w:r>
        <w:rPr>
          <w:rFonts w:ascii="Times New Roman" w:hAnsi="Times New Roman" w:cs="Times New Roman"/>
          <w:sz w:val="24"/>
          <w:szCs w:val="24"/>
        </w:rPr>
        <w:t>: Demanda del municipio j</w:t>
      </w:r>
    </w:p>
    <w:p w:rsidR="009078FD" w:rsidRDefault="00FC1F11">
      <w:pPr>
        <w:spacing w:after="120" w:line="360" w:lineRule="auto"/>
        <w:jc w:val="both"/>
        <w:rPr>
          <w:rFonts w:ascii="Times New Roman" w:hAnsi="Times New Roman" w:cs="Times New Roman"/>
          <w:sz w:val="24"/>
          <w:szCs w:val="24"/>
        </w:rPr>
      </w:pPr>
      <m:oMath>
        <m:r>
          <w:rPr>
            <w:rFonts w:ascii="Cambria Math" w:hAnsi="Cambria Math" w:cs="Times New Roman"/>
            <w:sz w:val="24"/>
            <w:szCs w:val="24"/>
          </w:rPr>
          <m:t>PMj</m:t>
        </m:r>
      </m:oMath>
      <w:r>
        <w:rPr>
          <w:rFonts w:ascii="Times New Roman" w:hAnsi="Times New Roman" w:cs="Times New Roman"/>
          <w:sz w:val="24"/>
          <w:szCs w:val="24"/>
        </w:rPr>
        <w:t>: Ponderación de los j municipios según su comportamiento en la demanda, j va desde 1 hasta m.</w:t>
      </w:r>
    </w:p>
    <w:p w:rsidR="009078FD" w:rsidRDefault="00FC1F11">
      <w:pPr>
        <w:spacing w:after="120" w:line="360" w:lineRule="auto"/>
        <w:jc w:val="both"/>
        <w:rPr>
          <w:rFonts w:ascii="Times New Roman" w:hAnsi="Times New Roman" w:cs="Times New Roman"/>
          <w:sz w:val="24"/>
          <w:szCs w:val="24"/>
        </w:rPr>
      </w:pPr>
      <m:oMath>
        <m:r>
          <w:rPr>
            <w:rFonts w:ascii="Cambria Math" w:hAnsi="Cambria Math" w:cs="Times New Roman"/>
            <w:sz w:val="24"/>
            <w:szCs w:val="24"/>
          </w:rPr>
          <m:t>Qij</m:t>
        </m:r>
      </m:oMath>
      <w:r>
        <w:rPr>
          <w:rFonts w:ascii="Times New Roman" w:hAnsi="Times New Roman" w:cs="Times New Roman"/>
          <w:sz w:val="24"/>
          <w:szCs w:val="24"/>
        </w:rPr>
        <w:t>: Ponderación de los j municipios según la incidencia de los i conductores.</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Las ponderaciones para cada uno de los cálculos de demanda se obtienen del trabajo con expertos a partir de comparaciones pareadas utilizando la escala de</w:t>
      </w:r>
      <w:r>
        <w:rPr>
          <w:rFonts w:ascii="Times New Roman" w:hAnsi="Times New Roman" w:cs="Times New Roman"/>
          <w:sz w:val="24"/>
          <w:szCs w:val="24"/>
          <w:lang w:val="en-US"/>
        </w:rPr>
        <w:t xml:space="preserve"> Saaty. Los </w:t>
      </w:r>
      <w:r>
        <w:rPr>
          <w:rFonts w:ascii="Times New Roman" w:hAnsi="Times New Roman" w:cs="Times New Roman"/>
          <w:sz w:val="24"/>
          <w:szCs w:val="24"/>
        </w:rPr>
        <w:t>análisis se realizan para establecer las demandas de acciones constructivas y nuevas viviendas.</w:t>
      </w:r>
    </w:p>
    <w:p w:rsidR="009078FD" w:rsidRDefault="00FC1F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Resultados y discusión</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investigación diseña un modelo para el pronóstico de la demanda de construcción y reparación de viviendas del Programa Local de Producción y Ventas de Materiales de Construcción, para su aplicación se toma la provincia de Cienfuegos como caso de estudio. </w:t>
      </w:r>
    </w:p>
    <w:p w:rsidR="009078FD" w:rsidRDefault="00FC1F11">
      <w:pPr>
        <w:widowControl w:val="0"/>
        <w:autoSpaceDE w:val="0"/>
        <w:autoSpaceDN w:val="0"/>
        <w:adjustRightInd w:val="0"/>
        <w:spacing w:after="120" w:line="360" w:lineRule="auto"/>
        <w:ind w:right="81"/>
        <w:jc w:val="both"/>
        <w:rPr>
          <w:rFonts w:ascii="Times New Roman" w:hAnsi="Times New Roman" w:cs="Times New Roman"/>
          <w:b/>
          <w:bCs/>
          <w:sz w:val="24"/>
          <w:szCs w:val="24"/>
        </w:rPr>
      </w:pPr>
      <w:r>
        <w:rPr>
          <w:rFonts w:ascii="Times New Roman" w:hAnsi="Times New Roman" w:cs="Times New Roman"/>
          <w:b/>
          <w:bCs/>
          <w:sz w:val="24"/>
          <w:szCs w:val="24"/>
        </w:rPr>
        <w:t>Entrada de datos del modelo</w:t>
      </w:r>
    </w:p>
    <w:p w:rsidR="009078FD" w:rsidRDefault="00FC1F11">
      <w:pPr>
        <w:widowControl w:val="0"/>
        <w:autoSpaceDE w:val="0"/>
        <w:autoSpaceDN w:val="0"/>
        <w:adjustRightInd w:val="0"/>
        <w:spacing w:after="120" w:line="36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Los valores de las variables identificadas en el sistema se buscan en diferentes bases de datos consultadas en el desarrollo de la investigación. El crecimiento poblacional se determina a través de la diferencia de los valores anuales de la densidad poblacional, teniendo en cuenta las variaciones positivas o negativas publicadas por la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{"citationItems":[{"id":"ITEM-1","itemData":{"author":[{"dropping-particle":"","family":"Oficina Nacional de Estadística e Información","given":"(ONEI)","non-dropping-particle":"","parse-names":false,"suffix":""}],"id":"ITEM-1","issued":{"date-parts":[["2020"]]},"number-of-pages":"222","publisher-place":"Cienfuegos","title":"Anuario Estadístico 2019. Cienfuegos","type":"report"},"uris":["http://www.mendeley.com/documents/?uuid=0f32f448-6b11-49be-9e44-c9ff9006eb17"]}],"mendeley":{"formattedCitation":"(Oficina Nacional de Estadística e Información, 2020)","manualFormatting":"Oficina Nacional de Estadística e Información (ONEI) (2020)","plainTextFormattedCitation":"(Oficina Nacional de Estadística e Información, 2020)","previouslyFormattedCitation":"(Oficina Nacional de Estadística e Información,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Oficina Nacional de Estadística e Información (ONEI) (2020)</w:t>
      </w:r>
      <w:r>
        <w:rPr>
          <w:rFonts w:ascii="Times New Roman" w:hAnsi="Times New Roman" w:cs="Times New Roman"/>
          <w:sz w:val="24"/>
          <w:szCs w:val="24"/>
        </w:rPr>
        <w:fldChar w:fldCharType="end"/>
      </w:r>
      <w:r>
        <w:rPr>
          <w:rFonts w:ascii="Times New Roman" w:hAnsi="Times New Roman" w:cs="Times New Roman"/>
          <w:sz w:val="24"/>
          <w:szCs w:val="24"/>
        </w:rPr>
        <w:t xml:space="preserve"> de los últimos 15 años. </w:t>
      </w:r>
      <w:r>
        <w:rPr>
          <w:rFonts w:ascii="Times New Roman" w:hAnsi="Times New Roman" w:cs="Times New Roman"/>
          <w:spacing w:val="-1"/>
          <w:sz w:val="24"/>
          <w:szCs w:val="24"/>
        </w:rPr>
        <w:t>E</w:t>
      </w:r>
      <w:r>
        <w:rPr>
          <w:rFonts w:ascii="Times New Roman" w:hAnsi="Times New Roman" w:cs="Times New Roman"/>
          <w:sz w:val="24"/>
          <w:szCs w:val="24"/>
        </w:rPr>
        <w:t>l</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2"/>
          <w:sz w:val="24"/>
          <w:szCs w:val="24"/>
        </w:rPr>
        <w:t>g</w:t>
      </w:r>
      <w:r>
        <w:rPr>
          <w:rFonts w:ascii="Times New Roman" w:hAnsi="Times New Roman" w:cs="Times New Roman"/>
          <w:spacing w:val="1"/>
          <w:sz w:val="24"/>
          <w:szCs w:val="24"/>
        </w:rPr>
        <w:t>r</w:t>
      </w:r>
      <w:r>
        <w:rPr>
          <w:rFonts w:ascii="Times New Roman" w:hAnsi="Times New Roman" w:cs="Times New Roman"/>
          <w:sz w:val="24"/>
          <w:szCs w:val="24"/>
        </w:rPr>
        <w:t>eso</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z w:val="24"/>
          <w:szCs w:val="24"/>
        </w:rPr>
        <w:t xml:space="preserve">l se determina a través la ecuación siguiente: </w:t>
      </w:r>
    </w:p>
    <w:p w:rsidR="009078FD" w:rsidRDefault="007E315E">
      <w:pPr>
        <w:widowControl w:val="0"/>
        <w:autoSpaceDE w:val="0"/>
        <w:autoSpaceDN w:val="0"/>
        <w:adjustRightInd w:val="0"/>
        <w:spacing w:after="0" w:line="360" w:lineRule="auto"/>
        <w:ind w:left="102" w:right="79"/>
        <w:jc w:val="both"/>
        <w:rPr>
          <w:rFonts w:ascii="Times New Roman" w:eastAsia="SimSun" w:hAnsi="Times New Roman" w:cs="Times New Roman"/>
          <w:sz w:val="24"/>
          <w:szCs w:val="24"/>
        </w:rPr>
      </w:pPr>
      <m:oMath>
        <m:f>
          <m:fPr>
            <m:ctrlPr>
              <w:rPr>
                <w:rFonts w:ascii="Cambria Math" w:hAnsi="Cambria Math" w:cs="Times New Roman"/>
                <w:i/>
                <w:sz w:val="24"/>
                <w:szCs w:val="24"/>
              </w:rPr>
            </m:ctrlPr>
          </m:fPr>
          <m:num>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m:t>
                    </m:r>
                  </m:sub>
                </m:sSub>
                <m:r>
                  <w:rPr>
                    <w:rFonts w:ascii="Cambria Math" w:hAnsi="Cambria Math" w:cs="Times New Roman"/>
                    <w:sz w:val="24"/>
                    <w:szCs w:val="24"/>
                  </w:rPr>
                  <m:t>*12 meses+</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r>
                  <w:rPr>
                    <w:rFonts w:ascii="Cambria Math" w:hAnsi="Cambria Math" w:cs="Times New Roman"/>
                    <w:sz w:val="24"/>
                    <w:szCs w:val="24"/>
                  </w:rPr>
                  <m:t>ONAT</m:t>
                </m:r>
              </m:e>
            </m:eqArr>
          </m:num>
          <m:den>
            <m:r>
              <w:rPr>
                <w:rFonts w:ascii="Cambria Math" w:hAnsi="Cambria Math" w:cs="Times New Roman"/>
                <w:sz w:val="24"/>
                <w:szCs w:val="24"/>
              </w:rPr>
              <m:t>PR</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 xml:space="preserve">VAR </m:t>
            </m:r>
          </m:num>
          <m:den>
            <m:r>
              <w:rPr>
                <w:rFonts w:ascii="Cambria Math" w:hAnsi="Cambria Math" w:cs="Times New Roman"/>
                <w:sz w:val="24"/>
                <w:szCs w:val="24"/>
              </w:rPr>
              <m:t>PR</m:t>
            </m:r>
          </m:den>
        </m:f>
      </m:oMath>
      <w:r w:rsidR="00FC1F11">
        <w:rPr>
          <w:rFonts w:ascii="Times New Roman" w:eastAsia="SimSun" w:hAnsi="Times New Roman" w:cs="Times New Roman"/>
          <w:sz w:val="24"/>
          <w:szCs w:val="24"/>
        </w:rPr>
        <w:t xml:space="preserve">                                                                             </w:t>
      </w:r>
      <w:r w:rsidR="00FC1F11">
        <w:rPr>
          <w:rFonts w:ascii="Times New Roman" w:hAnsi="Times New Roman" w:cs="Times New Roman"/>
          <w:sz w:val="24"/>
          <w:szCs w:val="24"/>
        </w:rPr>
        <w:t>Ecuación 3</w:t>
      </w:r>
    </w:p>
    <w:p w:rsidR="009078FD" w:rsidRDefault="00FC1F11">
      <w:pPr>
        <w:widowControl w:val="0"/>
        <w:autoSpaceDE w:val="0"/>
        <w:autoSpaceDN w:val="0"/>
        <w:adjustRightInd w:val="0"/>
        <w:spacing w:after="120" w:line="360" w:lineRule="auto"/>
        <w:ind w:right="81"/>
        <w:jc w:val="both"/>
        <w:rPr>
          <w:rFonts w:ascii="Times New Roman" w:hAnsi="Times New Roman" w:cs="Times New Roman"/>
          <w:sz w:val="24"/>
          <w:szCs w:val="24"/>
        </w:rPr>
      </w:pPr>
      <w:r>
        <w:rPr>
          <w:rFonts w:ascii="Times New Roman" w:hAnsi="Times New Roman" w:cs="Times New Roman"/>
          <w:sz w:val="24"/>
          <w:szCs w:val="24"/>
        </w:rPr>
        <w:t>Dónde:</w:t>
      </w:r>
    </w:p>
    <w:p w:rsidR="009078FD" w:rsidRDefault="00FC1F11">
      <w:pPr>
        <w:widowControl w:val="0"/>
        <w:autoSpaceDE w:val="0"/>
        <w:autoSpaceDN w:val="0"/>
        <w:adjustRightInd w:val="0"/>
        <w:spacing w:after="120" w:line="360" w:lineRule="auto"/>
        <w:ind w:right="81"/>
        <w:jc w:val="both"/>
        <w:rPr>
          <w:rFonts w:ascii="Times New Roman" w:hAnsi="Times New Roman" w:cs="Times New Roman"/>
          <w:sz w:val="24"/>
          <w:szCs w:val="24"/>
        </w:rPr>
      </w:pPr>
      <w:r>
        <w:rPr>
          <w:rFonts w:ascii="Times New Roman" w:hAnsi="Times New Roman" w:cs="Times New Roman"/>
          <w:sz w:val="24"/>
          <w:szCs w:val="24"/>
        </w:rPr>
        <w:t>SPM: salario promedio mensual declarado en los Censo de Población y Vivienda y los anuarios publicados por la Oficina Nacional de Estadística e Información (ONEI)</w:t>
      </w:r>
    </w:p>
    <w:p w:rsidR="009078FD" w:rsidRDefault="00FC1F11">
      <w:pPr>
        <w:widowControl w:val="0"/>
        <w:autoSpaceDE w:val="0"/>
        <w:autoSpaceDN w:val="0"/>
        <w:adjustRightInd w:val="0"/>
        <w:spacing w:after="120" w:line="360" w:lineRule="auto"/>
        <w:ind w:right="81"/>
        <w:jc w:val="both"/>
        <w:rPr>
          <w:rFonts w:ascii="Times New Roman" w:hAnsi="Times New Roman" w:cs="Times New Roman"/>
          <w:sz w:val="24"/>
          <w:szCs w:val="24"/>
        </w:rPr>
      </w:pPr>
      <w:r>
        <w:rPr>
          <w:rFonts w:ascii="Times New Roman" w:hAnsi="Times New Roman" w:cs="Times New Roman"/>
          <w:sz w:val="24"/>
          <w:szCs w:val="24"/>
        </w:rPr>
        <w:t>ICONAT: ingresos de los contribuyentes a la Oficina Nacional Administración Tributaria (ONAT)</w:t>
      </w:r>
    </w:p>
    <w:p w:rsidR="009078FD" w:rsidRDefault="00FC1F11">
      <w:pPr>
        <w:widowControl w:val="0"/>
        <w:autoSpaceDE w:val="0"/>
        <w:autoSpaceDN w:val="0"/>
        <w:adjustRightInd w:val="0"/>
        <w:spacing w:after="120" w:line="360" w:lineRule="auto"/>
        <w:ind w:right="81"/>
        <w:jc w:val="both"/>
        <w:rPr>
          <w:rFonts w:ascii="Times New Roman" w:hAnsi="Times New Roman" w:cs="Times New Roman"/>
          <w:sz w:val="24"/>
          <w:szCs w:val="24"/>
        </w:rPr>
      </w:pPr>
      <w:r>
        <w:rPr>
          <w:rFonts w:ascii="Times New Roman" w:hAnsi="Times New Roman" w:cs="Times New Roman"/>
          <w:sz w:val="24"/>
          <w:szCs w:val="24"/>
        </w:rPr>
        <w:t>VAR: valor anual de las remesas obtenido a partir de un estimado según valores publicados por el banco.</w:t>
      </w:r>
    </w:p>
    <w:p w:rsidR="009078FD" w:rsidRDefault="00FC1F11">
      <w:pPr>
        <w:widowControl w:val="0"/>
        <w:autoSpaceDE w:val="0"/>
        <w:autoSpaceDN w:val="0"/>
        <w:adjustRightInd w:val="0"/>
        <w:spacing w:after="120" w:line="360" w:lineRule="auto"/>
        <w:ind w:right="81"/>
        <w:jc w:val="both"/>
        <w:rPr>
          <w:rFonts w:ascii="Times New Roman" w:hAnsi="Times New Roman" w:cs="Times New Roman"/>
          <w:sz w:val="24"/>
          <w:szCs w:val="24"/>
        </w:rPr>
      </w:pPr>
      <w:r>
        <w:rPr>
          <w:rFonts w:ascii="Times New Roman" w:hAnsi="Times New Roman" w:cs="Times New Roman"/>
          <w:sz w:val="24"/>
          <w:szCs w:val="24"/>
        </w:rPr>
        <w:t>PR: población residente en la provincia correspondiente al período obtenidos de las publicaciones anuales de la ONEI.</w:t>
      </w:r>
    </w:p>
    <w:p w:rsidR="009078FD" w:rsidRDefault="00FC1F11">
      <w:pPr>
        <w:widowControl w:val="0"/>
        <w:autoSpaceDE w:val="0"/>
        <w:autoSpaceDN w:val="0"/>
        <w:adjustRightInd w:val="0"/>
        <w:spacing w:after="120" w:line="360" w:lineRule="auto"/>
        <w:ind w:right="81"/>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Las Políticas Públicas, se componen por los créditos que ofrecen los bancos y los subsidios, que en el caso de Cuba son las propuestas de ayuda social impulsadas por el gobierno cubano para la construcción, rehabilitación y remodelación de viviendas. En ambos datos las cifras se obtienen a partir de valores proporcionados por el Banco </w:t>
      </w:r>
      <w:r>
        <w:rPr>
          <w:rFonts w:ascii="Times New Roman" w:hAnsi="Times New Roman" w:cs="Times New Roman"/>
          <w:color w:val="000000"/>
          <w:spacing w:val="1"/>
          <w:sz w:val="24"/>
          <w:szCs w:val="24"/>
        </w:rPr>
        <w:lastRenderedPageBreak/>
        <w:t xml:space="preserve">Popular de Ahorro (BPA) y el Banco de Crédito (BANDEC). </w:t>
      </w:r>
      <w:r>
        <w:rPr>
          <w:rFonts w:ascii="Times New Roman" w:hAnsi="Times New Roman" w:cs="Times New Roman"/>
          <w:sz w:val="24"/>
          <w:szCs w:val="24"/>
        </w:rPr>
        <w:t>Las cifras comienzan a partir del 2012 porque desde este año es que se establece esta nueva modalidad de política. Por ello el valor más bajo es cero, representando los años en los que no se aplican estas políticas y el más alto corresponde a la mayor cantidad de políticas otorgadas.</w:t>
      </w:r>
    </w:p>
    <w:p w:rsidR="009078FD" w:rsidRDefault="00FC1F11">
      <w:pPr>
        <w:widowControl w:val="0"/>
        <w:autoSpaceDE w:val="0"/>
        <w:autoSpaceDN w:val="0"/>
        <w:adjustRightInd w:val="0"/>
        <w:spacing w:after="120" w:line="36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El crecimiento del turismo responde a la cantidad de habitaciones destinadas al arrendamiento para el sector proporcionada por la ONAT. En la investigación este conductor toma el máximo valor en la cantidad de casa en arrendamiento al cierre del 2016, mientras que el mínimo es cero debido a la carencia de un registro de datos antes del año 2014. </w:t>
      </w:r>
    </w:p>
    <w:p w:rsidR="009078FD" w:rsidRDefault="00FC1F11">
      <w:pPr>
        <w:widowControl w:val="0"/>
        <w:autoSpaceDE w:val="0"/>
        <w:autoSpaceDN w:val="0"/>
        <w:adjustRightInd w:val="0"/>
        <w:spacing w:after="120" w:line="360" w:lineRule="auto"/>
        <w:ind w:right="81"/>
        <w:jc w:val="both"/>
        <w:rPr>
          <w:rFonts w:ascii="Times New Roman" w:hAnsi="Times New Roman" w:cs="Times New Roman"/>
          <w:sz w:val="24"/>
          <w:szCs w:val="24"/>
        </w:rPr>
      </w:pPr>
      <w:r>
        <w:rPr>
          <w:rFonts w:ascii="Times New Roman" w:hAnsi="Times New Roman" w:cs="Times New Roman"/>
          <w:sz w:val="24"/>
          <w:szCs w:val="24"/>
        </w:rPr>
        <w:t>El fondo habitacional está clasificado por tipologías según los materiales predominantes empleados en las paredes, techos y cubiertas. Por lo que a partir de estas clasificaciones se toman los valores del conductor. Las viviendas en mal estado se toman de la suma de todas las viviendas en mal estado de las cuatro tipologías, las clasificadas de regular en las tipologías tres y las restantes del grupo cuatro, mientras que para la obtención de los valores de estado técnico bueno se suman las viviendas de las tipologías uno, dos y tres en buen estado técnico constructivo. Esta información la proporciona la Dirección provincial de vivienda (DPV).</w:t>
      </w:r>
    </w:p>
    <w:p w:rsidR="009078FD" w:rsidRDefault="00FC1F11">
      <w:pPr>
        <w:widowControl w:val="0"/>
        <w:autoSpaceDE w:val="0"/>
        <w:autoSpaceDN w:val="0"/>
        <w:adjustRightInd w:val="0"/>
        <w:spacing w:after="120" w:line="36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Las viviendas afectadas por desastres naturales es otro conductor de la demanda, su valor mínimo se toma como cero, o sea, se valora la inexistencia de desastres naturales y el máximo representa la cantidad máxima de afectaciones provocadas. En el caso de la provincia corresponde el mayor valor al ciclón Dennis en julio de 2005, tormenta más devastadora en el periodo 2000-2017 según datos emitidos por DPV. </w:t>
      </w:r>
    </w:p>
    <w:p w:rsidR="009078FD" w:rsidRDefault="00FC1F11">
      <w:pPr>
        <w:widowControl w:val="0"/>
        <w:autoSpaceDE w:val="0"/>
        <w:autoSpaceDN w:val="0"/>
        <w:adjustRightInd w:val="0"/>
        <w:spacing w:after="120" w:line="36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Las viviendas nuevas (NV) corresponden a la terminación de nuevas construcciones; y las acciones constructivas (AC), contienen la rehabilitación, conservación y ampliación.  Ambas se determinan a partir de la cantidad de proyectos aprobados para la construcción en el período de 2015-2017, para el que existe una base de datos. A estas variables se les agrega una categoría que le es otorgada cuando interviene la variable lingüística de entrada viviendas afectadas por desastres naturales que provoca que exista en determinados años o períodos un auge en la construcción de NV y la realización de AC. Para el caso se seleccionan valores de 900 proyectos aprobados para NV y 5 000 para </w:t>
      </w:r>
      <w:r>
        <w:rPr>
          <w:rFonts w:ascii="Times New Roman" w:hAnsi="Times New Roman" w:cs="Times New Roman"/>
          <w:sz w:val="24"/>
          <w:szCs w:val="24"/>
        </w:rPr>
        <w:lastRenderedPageBreak/>
        <w:t>AC que corresponde al doble del rango de las variables cuando no ocurre ninguna eventualidad climatológica de alto impacto. Los parámetros de las variables expresadas a través de los conjuntos difusos se muestran en la Tabla 2 a continuación:</w:t>
      </w:r>
    </w:p>
    <w:p w:rsidR="009078FD" w:rsidRDefault="00FC1F11">
      <w:pPr>
        <w:widowControl w:val="0"/>
        <w:autoSpaceDE w:val="0"/>
        <w:autoSpaceDN w:val="0"/>
        <w:adjustRightInd w:val="0"/>
        <w:spacing w:after="120" w:line="240" w:lineRule="auto"/>
        <w:ind w:right="81"/>
        <w:jc w:val="both"/>
        <w:rPr>
          <w:rFonts w:ascii="Times New Roman" w:hAnsi="Times New Roman" w:cs="Times New Roman"/>
          <w:sz w:val="20"/>
          <w:szCs w:val="20"/>
        </w:rPr>
      </w:pPr>
      <w:r>
        <w:rPr>
          <w:rFonts w:ascii="Times New Roman" w:hAnsi="Times New Roman" w:cs="Times New Roman"/>
          <w:b/>
          <w:bCs/>
          <w:sz w:val="20"/>
          <w:szCs w:val="20"/>
        </w:rPr>
        <w:t>Tabla 2.</w:t>
      </w:r>
      <w:r>
        <w:rPr>
          <w:rFonts w:ascii="Times New Roman" w:hAnsi="Times New Roman" w:cs="Times New Roman"/>
          <w:sz w:val="20"/>
          <w:szCs w:val="20"/>
        </w:rPr>
        <w:t xml:space="preserve"> Variables lingüísticas de entrada del sistema</w:t>
      </w:r>
    </w:p>
    <w:tbl>
      <w:tblPr>
        <w:tblStyle w:val="TableGrid"/>
        <w:tblW w:w="8897" w:type="dxa"/>
        <w:tblLook w:val="04A0" w:firstRow="1" w:lastRow="0" w:firstColumn="1" w:lastColumn="0" w:noHBand="0" w:noVBand="1"/>
      </w:tblPr>
      <w:tblGrid>
        <w:gridCol w:w="3224"/>
        <w:gridCol w:w="1496"/>
        <w:gridCol w:w="1831"/>
        <w:gridCol w:w="2346"/>
      </w:tblGrid>
      <w:tr w:rsidR="009078FD">
        <w:tc>
          <w:tcPr>
            <w:tcW w:w="3224" w:type="dxa"/>
            <w:shd w:val="clear" w:color="auto" w:fill="EEECE1"/>
          </w:tcPr>
          <w:p w:rsidR="009078FD" w:rsidRDefault="00FC1F11">
            <w:pPr>
              <w:widowControl w:val="0"/>
              <w:autoSpaceDE w:val="0"/>
              <w:autoSpaceDN w:val="0"/>
              <w:adjustRightInd w:val="0"/>
              <w:spacing w:line="359" w:lineRule="auto"/>
              <w:ind w:right="79"/>
              <w:jc w:val="center"/>
              <w:rPr>
                <w:rFonts w:ascii="Arial" w:hAnsi="Arial" w:cs="Arial"/>
                <w:b/>
                <w:bCs/>
                <w:sz w:val="16"/>
                <w:szCs w:val="16"/>
              </w:rPr>
            </w:pPr>
            <w:r>
              <w:rPr>
                <w:rFonts w:ascii="Arial" w:hAnsi="Arial" w:cs="Arial"/>
                <w:b/>
                <w:bCs/>
                <w:sz w:val="16"/>
                <w:szCs w:val="16"/>
              </w:rPr>
              <w:t>Variables lingüísticas de entrada</w:t>
            </w:r>
          </w:p>
        </w:tc>
        <w:tc>
          <w:tcPr>
            <w:tcW w:w="1496" w:type="dxa"/>
            <w:shd w:val="clear" w:color="auto" w:fill="EEECE1"/>
          </w:tcPr>
          <w:p w:rsidR="009078FD" w:rsidRDefault="00FC1F11">
            <w:pPr>
              <w:widowControl w:val="0"/>
              <w:autoSpaceDE w:val="0"/>
              <w:autoSpaceDN w:val="0"/>
              <w:adjustRightInd w:val="0"/>
              <w:spacing w:line="359" w:lineRule="auto"/>
              <w:ind w:right="79"/>
              <w:jc w:val="center"/>
              <w:rPr>
                <w:rFonts w:ascii="Arial" w:hAnsi="Arial" w:cs="Arial"/>
                <w:b/>
                <w:bCs/>
                <w:sz w:val="16"/>
                <w:szCs w:val="16"/>
              </w:rPr>
            </w:pPr>
            <w:r>
              <w:rPr>
                <w:rFonts w:ascii="Arial" w:hAnsi="Arial" w:cs="Arial"/>
                <w:b/>
                <w:bCs/>
                <w:sz w:val="16"/>
                <w:szCs w:val="16"/>
              </w:rPr>
              <w:t>Universo del discurso</w:t>
            </w:r>
          </w:p>
        </w:tc>
        <w:tc>
          <w:tcPr>
            <w:tcW w:w="1831" w:type="dxa"/>
            <w:shd w:val="clear" w:color="auto" w:fill="EEECE1"/>
          </w:tcPr>
          <w:p w:rsidR="009078FD" w:rsidRDefault="00FC1F11">
            <w:pPr>
              <w:widowControl w:val="0"/>
              <w:autoSpaceDE w:val="0"/>
              <w:autoSpaceDN w:val="0"/>
              <w:adjustRightInd w:val="0"/>
              <w:spacing w:line="359" w:lineRule="auto"/>
              <w:ind w:right="79"/>
              <w:jc w:val="center"/>
              <w:rPr>
                <w:rFonts w:ascii="Arial" w:hAnsi="Arial" w:cs="Arial"/>
                <w:b/>
                <w:bCs/>
                <w:sz w:val="16"/>
                <w:szCs w:val="16"/>
              </w:rPr>
            </w:pPr>
            <w:r>
              <w:rPr>
                <w:rFonts w:ascii="Arial" w:hAnsi="Arial" w:cs="Arial"/>
                <w:b/>
                <w:bCs/>
                <w:sz w:val="16"/>
                <w:szCs w:val="16"/>
              </w:rPr>
              <w:t>Variable Base</w:t>
            </w:r>
          </w:p>
        </w:tc>
        <w:tc>
          <w:tcPr>
            <w:tcW w:w="2346" w:type="dxa"/>
            <w:shd w:val="clear" w:color="auto" w:fill="EEECE1"/>
          </w:tcPr>
          <w:p w:rsidR="009078FD" w:rsidRDefault="00FC1F11">
            <w:pPr>
              <w:widowControl w:val="0"/>
              <w:autoSpaceDE w:val="0"/>
              <w:autoSpaceDN w:val="0"/>
              <w:adjustRightInd w:val="0"/>
              <w:spacing w:line="359" w:lineRule="auto"/>
              <w:ind w:right="79"/>
              <w:jc w:val="center"/>
              <w:rPr>
                <w:rFonts w:ascii="Arial" w:hAnsi="Arial" w:cs="Arial"/>
                <w:b/>
                <w:bCs/>
                <w:sz w:val="16"/>
                <w:szCs w:val="16"/>
              </w:rPr>
            </w:pPr>
            <w:r>
              <w:rPr>
                <w:rFonts w:ascii="Arial" w:hAnsi="Arial" w:cs="Arial"/>
                <w:b/>
                <w:bCs/>
                <w:sz w:val="16"/>
                <w:szCs w:val="16"/>
              </w:rPr>
              <w:t>Valores lingüísticos</w:t>
            </w:r>
          </w:p>
        </w:tc>
      </w:tr>
      <w:tr w:rsidR="009078FD">
        <w:tc>
          <w:tcPr>
            <w:tcW w:w="3224" w:type="dxa"/>
            <w:shd w:val="clear" w:color="auto" w:fill="EEECE1"/>
          </w:tcPr>
          <w:p w:rsidR="009078FD" w:rsidRDefault="00FC1F11">
            <w:pPr>
              <w:widowControl w:val="0"/>
              <w:autoSpaceDE w:val="0"/>
              <w:autoSpaceDN w:val="0"/>
              <w:adjustRightInd w:val="0"/>
              <w:spacing w:line="359" w:lineRule="auto"/>
              <w:ind w:right="79"/>
              <w:jc w:val="center"/>
              <w:rPr>
                <w:rFonts w:ascii="Arial" w:hAnsi="Arial" w:cs="Arial"/>
                <w:b/>
                <w:bCs/>
                <w:sz w:val="16"/>
                <w:szCs w:val="16"/>
              </w:rPr>
            </w:pPr>
            <w:r>
              <w:rPr>
                <w:rFonts w:ascii="Arial" w:hAnsi="Arial" w:cs="Arial"/>
                <w:b/>
                <w:bCs/>
                <w:sz w:val="16"/>
                <w:szCs w:val="16"/>
              </w:rPr>
              <w:t>Crecimiento poblacional</w:t>
            </w:r>
          </w:p>
        </w:tc>
        <w:tc>
          <w:tcPr>
            <w:tcW w:w="149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[-2342 2562]</w:t>
            </w:r>
          </w:p>
        </w:tc>
        <w:tc>
          <w:tcPr>
            <w:tcW w:w="1831"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Diferencia de densidad poblacional (habitantes/km2)</w:t>
            </w:r>
          </w:p>
        </w:tc>
        <w:tc>
          <w:tcPr>
            <w:tcW w:w="234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Alto [723 2562 2562]</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Medio [-1729 110 1949]</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Bajo [-2342 -2342 -503]</w:t>
            </w:r>
          </w:p>
        </w:tc>
      </w:tr>
      <w:tr w:rsidR="009078FD">
        <w:tc>
          <w:tcPr>
            <w:tcW w:w="3224" w:type="dxa"/>
            <w:shd w:val="clear" w:color="auto" w:fill="EEECE1"/>
          </w:tcPr>
          <w:p w:rsidR="009078FD" w:rsidRDefault="00FC1F11">
            <w:pPr>
              <w:widowControl w:val="0"/>
              <w:autoSpaceDE w:val="0"/>
              <w:autoSpaceDN w:val="0"/>
              <w:adjustRightInd w:val="0"/>
              <w:spacing w:line="359" w:lineRule="auto"/>
              <w:ind w:right="79"/>
              <w:jc w:val="center"/>
              <w:rPr>
                <w:rFonts w:ascii="Arial" w:hAnsi="Arial" w:cs="Arial"/>
                <w:b/>
                <w:bCs/>
                <w:sz w:val="16"/>
                <w:szCs w:val="16"/>
              </w:rPr>
            </w:pPr>
            <w:r>
              <w:rPr>
                <w:rFonts w:ascii="Arial" w:hAnsi="Arial" w:cs="Arial"/>
                <w:b/>
                <w:bCs/>
                <w:sz w:val="16"/>
                <w:szCs w:val="16"/>
              </w:rPr>
              <w:t>Ingresos</w:t>
            </w:r>
          </w:p>
        </w:tc>
        <w:tc>
          <w:tcPr>
            <w:tcW w:w="149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[439.3 1859]</w:t>
            </w:r>
          </w:p>
          <w:p w:rsidR="009078FD" w:rsidRDefault="009078FD">
            <w:pPr>
              <w:widowControl w:val="0"/>
              <w:autoSpaceDE w:val="0"/>
              <w:autoSpaceDN w:val="0"/>
              <w:adjustRightInd w:val="0"/>
              <w:spacing w:line="359" w:lineRule="auto"/>
              <w:ind w:right="79"/>
              <w:jc w:val="center"/>
              <w:rPr>
                <w:rFonts w:ascii="Arial" w:hAnsi="Arial" w:cs="Arial"/>
                <w:sz w:val="16"/>
                <w:szCs w:val="16"/>
              </w:rPr>
            </w:pPr>
          </w:p>
        </w:tc>
        <w:tc>
          <w:tcPr>
            <w:tcW w:w="1831"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Ingresos en pesos</w:t>
            </w:r>
          </w:p>
        </w:tc>
        <w:tc>
          <w:tcPr>
            <w:tcW w:w="234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Bajo [439.3 439.3 971.5]</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 xml:space="preserve">Medio [616.7 1149 1681] </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Alto [1326 1859 1859]</w:t>
            </w:r>
          </w:p>
        </w:tc>
      </w:tr>
      <w:tr w:rsidR="009078FD">
        <w:tc>
          <w:tcPr>
            <w:tcW w:w="3224" w:type="dxa"/>
            <w:shd w:val="clear" w:color="auto" w:fill="EEECE1"/>
          </w:tcPr>
          <w:p w:rsidR="009078FD" w:rsidRDefault="00FC1F11">
            <w:pPr>
              <w:widowControl w:val="0"/>
              <w:autoSpaceDE w:val="0"/>
              <w:autoSpaceDN w:val="0"/>
              <w:adjustRightInd w:val="0"/>
              <w:spacing w:line="359" w:lineRule="auto"/>
              <w:ind w:right="79"/>
              <w:jc w:val="center"/>
              <w:rPr>
                <w:rFonts w:ascii="Arial" w:hAnsi="Arial" w:cs="Arial"/>
                <w:b/>
                <w:bCs/>
                <w:sz w:val="16"/>
                <w:szCs w:val="16"/>
              </w:rPr>
            </w:pPr>
            <w:r>
              <w:rPr>
                <w:rFonts w:ascii="Arial" w:hAnsi="Arial" w:cs="Arial"/>
                <w:b/>
                <w:bCs/>
                <w:sz w:val="16"/>
                <w:szCs w:val="16"/>
              </w:rPr>
              <w:t>Políticas públicas</w:t>
            </w:r>
          </w:p>
        </w:tc>
        <w:tc>
          <w:tcPr>
            <w:tcW w:w="149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[0 2189807.4]</w:t>
            </w:r>
          </w:p>
        </w:tc>
        <w:tc>
          <w:tcPr>
            <w:tcW w:w="1831"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Representan subsidios y los créditos otorgados por el banco en pesos</w:t>
            </w:r>
          </w:p>
        </w:tc>
        <w:tc>
          <w:tcPr>
            <w:tcW w:w="234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Insuficiente [0 0 821177.8]</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Adecuado [273725.9 1094903.7 1916081.4]</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Suficiente [1368629.594 2189807.4 2189807.4]</w:t>
            </w:r>
          </w:p>
        </w:tc>
      </w:tr>
      <w:tr w:rsidR="009078FD">
        <w:tc>
          <w:tcPr>
            <w:tcW w:w="3224" w:type="dxa"/>
            <w:shd w:val="clear" w:color="auto" w:fill="EEECE1"/>
          </w:tcPr>
          <w:p w:rsidR="009078FD" w:rsidRDefault="00FC1F11">
            <w:pPr>
              <w:widowControl w:val="0"/>
              <w:autoSpaceDE w:val="0"/>
              <w:autoSpaceDN w:val="0"/>
              <w:adjustRightInd w:val="0"/>
              <w:spacing w:line="359" w:lineRule="auto"/>
              <w:ind w:right="79"/>
              <w:jc w:val="center"/>
              <w:rPr>
                <w:rFonts w:ascii="Arial" w:hAnsi="Arial" w:cs="Arial"/>
                <w:b/>
                <w:bCs/>
                <w:sz w:val="16"/>
                <w:szCs w:val="16"/>
              </w:rPr>
            </w:pPr>
            <w:r>
              <w:rPr>
                <w:rFonts w:ascii="Arial" w:hAnsi="Arial" w:cs="Arial"/>
                <w:b/>
                <w:bCs/>
                <w:sz w:val="16"/>
                <w:szCs w:val="16"/>
              </w:rPr>
              <w:t>Crecimiento turismo</w:t>
            </w:r>
          </w:p>
        </w:tc>
        <w:tc>
          <w:tcPr>
            <w:tcW w:w="149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[0, 268]</w:t>
            </w:r>
          </w:p>
        </w:tc>
        <w:tc>
          <w:tcPr>
            <w:tcW w:w="1831"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Cantidad de casa en arrendamiento</w:t>
            </w:r>
          </w:p>
        </w:tc>
        <w:tc>
          <w:tcPr>
            <w:tcW w:w="234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Bajo [0 0 100.5]</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Medio [33.5 134 234.5]</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Alto [167.5 268 268]</w:t>
            </w:r>
          </w:p>
        </w:tc>
      </w:tr>
      <w:tr w:rsidR="009078FD">
        <w:tc>
          <w:tcPr>
            <w:tcW w:w="3224" w:type="dxa"/>
            <w:shd w:val="clear" w:color="auto" w:fill="EEECE1"/>
          </w:tcPr>
          <w:p w:rsidR="009078FD" w:rsidRDefault="00FC1F11">
            <w:pPr>
              <w:widowControl w:val="0"/>
              <w:autoSpaceDE w:val="0"/>
              <w:autoSpaceDN w:val="0"/>
              <w:adjustRightInd w:val="0"/>
              <w:spacing w:line="359" w:lineRule="auto"/>
              <w:ind w:right="79"/>
              <w:jc w:val="center"/>
              <w:rPr>
                <w:rFonts w:ascii="Arial" w:hAnsi="Arial" w:cs="Arial"/>
                <w:b/>
                <w:bCs/>
                <w:sz w:val="16"/>
                <w:szCs w:val="16"/>
              </w:rPr>
            </w:pPr>
            <w:r>
              <w:rPr>
                <w:rFonts w:ascii="Arial" w:hAnsi="Arial" w:cs="Arial"/>
                <w:b/>
                <w:bCs/>
                <w:sz w:val="16"/>
                <w:szCs w:val="16"/>
              </w:rPr>
              <w:t>Estado del fondo habitacional</w:t>
            </w:r>
          </w:p>
          <w:p w:rsidR="009078FD" w:rsidRDefault="009078FD">
            <w:pPr>
              <w:widowControl w:val="0"/>
              <w:autoSpaceDE w:val="0"/>
              <w:autoSpaceDN w:val="0"/>
              <w:adjustRightInd w:val="0"/>
              <w:spacing w:line="359" w:lineRule="auto"/>
              <w:ind w:right="79"/>
              <w:jc w:val="center"/>
              <w:rPr>
                <w:rFonts w:ascii="Arial" w:hAnsi="Arial" w:cs="Arial"/>
                <w:b/>
                <w:bCs/>
                <w:sz w:val="16"/>
                <w:szCs w:val="16"/>
              </w:rPr>
            </w:pPr>
          </w:p>
        </w:tc>
        <w:tc>
          <w:tcPr>
            <w:tcW w:w="149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[25275 42741]</w:t>
            </w:r>
          </w:p>
        </w:tc>
        <w:tc>
          <w:tcPr>
            <w:tcW w:w="1831"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Estado del fondo habitacional</w:t>
            </w:r>
          </w:p>
        </w:tc>
        <w:tc>
          <w:tcPr>
            <w:tcW w:w="234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Bueno [25275 25275 31824.75]</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Regular [27458.25 34008 40557.75]</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Malo [36191.25 42741 42741]</w:t>
            </w:r>
          </w:p>
        </w:tc>
      </w:tr>
      <w:tr w:rsidR="009078FD">
        <w:tc>
          <w:tcPr>
            <w:tcW w:w="3224" w:type="dxa"/>
            <w:shd w:val="clear" w:color="auto" w:fill="EEECE1"/>
          </w:tcPr>
          <w:p w:rsidR="009078FD" w:rsidRDefault="00FC1F11">
            <w:pPr>
              <w:widowControl w:val="0"/>
              <w:autoSpaceDE w:val="0"/>
              <w:autoSpaceDN w:val="0"/>
              <w:adjustRightInd w:val="0"/>
              <w:spacing w:line="359" w:lineRule="auto"/>
              <w:ind w:right="79"/>
              <w:jc w:val="center"/>
              <w:rPr>
                <w:rFonts w:ascii="Arial" w:hAnsi="Arial" w:cs="Arial"/>
                <w:b/>
                <w:bCs/>
                <w:sz w:val="16"/>
                <w:szCs w:val="16"/>
              </w:rPr>
            </w:pPr>
            <w:r>
              <w:rPr>
                <w:rFonts w:ascii="Arial" w:hAnsi="Arial" w:cs="Arial"/>
                <w:b/>
                <w:bCs/>
                <w:sz w:val="16"/>
                <w:szCs w:val="16"/>
              </w:rPr>
              <w:t>Viviendas afectadas por desastres naturales</w:t>
            </w:r>
          </w:p>
        </w:tc>
        <w:tc>
          <w:tcPr>
            <w:tcW w:w="149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[0 15556]</w:t>
            </w:r>
          </w:p>
        </w:tc>
        <w:tc>
          <w:tcPr>
            <w:tcW w:w="1831"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Se tiene en cuenta la cantidad de afectaciones por ocurrencia de eventos meteorológicos</w:t>
            </w:r>
          </w:p>
        </w:tc>
        <w:tc>
          <w:tcPr>
            <w:tcW w:w="234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Bajo [0 0 5834]</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Medio [1944.5 7778 13611.5]</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Alto [9723 15556 15556]</w:t>
            </w:r>
          </w:p>
        </w:tc>
      </w:tr>
      <w:tr w:rsidR="009078FD">
        <w:tc>
          <w:tcPr>
            <w:tcW w:w="3224" w:type="dxa"/>
            <w:shd w:val="clear" w:color="auto" w:fill="EEECE1"/>
          </w:tcPr>
          <w:p w:rsidR="009078FD" w:rsidRDefault="00FC1F11">
            <w:pPr>
              <w:widowControl w:val="0"/>
              <w:autoSpaceDE w:val="0"/>
              <w:autoSpaceDN w:val="0"/>
              <w:adjustRightInd w:val="0"/>
              <w:spacing w:line="359" w:lineRule="auto"/>
              <w:ind w:right="79"/>
              <w:jc w:val="center"/>
              <w:rPr>
                <w:rFonts w:ascii="Arial" w:hAnsi="Arial" w:cs="Arial"/>
                <w:b/>
                <w:bCs/>
                <w:sz w:val="16"/>
                <w:szCs w:val="16"/>
              </w:rPr>
            </w:pPr>
            <w:r>
              <w:rPr>
                <w:rFonts w:ascii="Arial" w:hAnsi="Arial" w:cs="Arial"/>
                <w:b/>
                <w:bCs/>
                <w:sz w:val="16"/>
                <w:szCs w:val="16"/>
              </w:rPr>
              <w:t>Acciones Constructivas</w:t>
            </w:r>
          </w:p>
          <w:p w:rsidR="009078FD" w:rsidRDefault="009078FD">
            <w:pPr>
              <w:widowControl w:val="0"/>
              <w:autoSpaceDE w:val="0"/>
              <w:autoSpaceDN w:val="0"/>
              <w:adjustRightInd w:val="0"/>
              <w:spacing w:line="359" w:lineRule="auto"/>
              <w:ind w:right="79"/>
              <w:jc w:val="center"/>
              <w:rPr>
                <w:rFonts w:ascii="Arial" w:hAnsi="Arial" w:cs="Arial"/>
                <w:b/>
                <w:bCs/>
                <w:sz w:val="16"/>
                <w:szCs w:val="16"/>
              </w:rPr>
            </w:pPr>
          </w:p>
        </w:tc>
        <w:tc>
          <w:tcPr>
            <w:tcW w:w="149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 [1586 2500] </w:t>
            </w:r>
          </w:p>
        </w:tc>
        <w:tc>
          <w:tcPr>
            <w:tcW w:w="1831"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Se contabilizan a partir de las licencias de construcción otorgadas para la rehabilitación, remodelación y ampliación de viviendas.</w:t>
            </w:r>
          </w:p>
        </w:tc>
        <w:tc>
          <w:tcPr>
            <w:tcW w:w="2346" w:type="dxa"/>
          </w:tcPr>
          <w:p w:rsidR="009078FD" w:rsidRDefault="009078FD">
            <w:pPr>
              <w:widowControl w:val="0"/>
              <w:autoSpaceDE w:val="0"/>
              <w:autoSpaceDN w:val="0"/>
              <w:adjustRightInd w:val="0"/>
              <w:spacing w:line="359" w:lineRule="auto"/>
              <w:ind w:right="79"/>
              <w:jc w:val="center"/>
              <w:rPr>
                <w:rFonts w:ascii="Arial" w:hAnsi="Arial" w:cs="Arial"/>
                <w:sz w:val="16"/>
                <w:szCs w:val="16"/>
              </w:rPr>
            </w:pP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Bajo [1586 1586 1928.75]</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Medio [1700.25 2043 2385.75]</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Alto [2157.25 2500 2500]</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 xml:space="preserve">  </w:t>
            </w:r>
          </w:p>
          <w:p w:rsidR="009078FD" w:rsidRDefault="009078FD">
            <w:pPr>
              <w:widowControl w:val="0"/>
              <w:autoSpaceDE w:val="0"/>
              <w:autoSpaceDN w:val="0"/>
              <w:adjustRightInd w:val="0"/>
              <w:spacing w:line="359" w:lineRule="auto"/>
              <w:ind w:right="79"/>
              <w:jc w:val="center"/>
              <w:rPr>
                <w:rFonts w:ascii="Arial" w:hAnsi="Arial" w:cs="Arial"/>
                <w:sz w:val="16"/>
                <w:szCs w:val="16"/>
              </w:rPr>
            </w:pPr>
          </w:p>
        </w:tc>
      </w:tr>
      <w:tr w:rsidR="009078FD">
        <w:tc>
          <w:tcPr>
            <w:tcW w:w="3224" w:type="dxa"/>
            <w:shd w:val="clear" w:color="auto" w:fill="EEECE1"/>
          </w:tcPr>
          <w:p w:rsidR="009078FD" w:rsidRDefault="00FC1F11">
            <w:pPr>
              <w:widowControl w:val="0"/>
              <w:autoSpaceDE w:val="0"/>
              <w:autoSpaceDN w:val="0"/>
              <w:adjustRightInd w:val="0"/>
              <w:spacing w:line="359" w:lineRule="auto"/>
              <w:ind w:right="79"/>
              <w:jc w:val="center"/>
              <w:rPr>
                <w:rFonts w:ascii="Arial" w:hAnsi="Arial" w:cs="Arial"/>
                <w:b/>
                <w:bCs/>
                <w:sz w:val="16"/>
                <w:szCs w:val="16"/>
              </w:rPr>
            </w:pPr>
            <w:r>
              <w:rPr>
                <w:rFonts w:ascii="Arial" w:hAnsi="Arial" w:cs="Arial"/>
                <w:b/>
                <w:bCs/>
                <w:sz w:val="16"/>
                <w:szCs w:val="16"/>
              </w:rPr>
              <w:t>Nuevas viviendas</w:t>
            </w:r>
          </w:p>
          <w:p w:rsidR="009078FD" w:rsidRDefault="009078FD">
            <w:pPr>
              <w:widowControl w:val="0"/>
              <w:autoSpaceDE w:val="0"/>
              <w:autoSpaceDN w:val="0"/>
              <w:adjustRightInd w:val="0"/>
              <w:spacing w:line="359" w:lineRule="auto"/>
              <w:ind w:right="79"/>
              <w:jc w:val="center"/>
              <w:rPr>
                <w:rFonts w:ascii="Arial" w:hAnsi="Arial" w:cs="Arial"/>
                <w:b/>
                <w:bCs/>
                <w:sz w:val="16"/>
                <w:szCs w:val="16"/>
              </w:rPr>
            </w:pPr>
          </w:p>
        </w:tc>
        <w:tc>
          <w:tcPr>
            <w:tcW w:w="149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[306 450]</w:t>
            </w:r>
          </w:p>
        </w:tc>
        <w:tc>
          <w:tcPr>
            <w:tcW w:w="1831"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 xml:space="preserve">Se contabilizan a partir de las licencias de construcción otorgadas para la construcción de </w:t>
            </w:r>
            <w:r>
              <w:rPr>
                <w:rFonts w:ascii="Arial" w:hAnsi="Arial" w:cs="Arial"/>
                <w:sz w:val="16"/>
                <w:szCs w:val="16"/>
              </w:rPr>
              <w:lastRenderedPageBreak/>
              <w:t>viviendas nuevas</w:t>
            </w:r>
          </w:p>
        </w:tc>
        <w:tc>
          <w:tcPr>
            <w:tcW w:w="234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lastRenderedPageBreak/>
              <w:t>Bajo [306 306 360]</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Medio [324 378 432]</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Alto [396 450 450]</w:t>
            </w:r>
          </w:p>
          <w:p w:rsidR="009078FD" w:rsidRDefault="009078FD">
            <w:pPr>
              <w:widowControl w:val="0"/>
              <w:autoSpaceDE w:val="0"/>
              <w:autoSpaceDN w:val="0"/>
              <w:adjustRightInd w:val="0"/>
              <w:spacing w:line="359" w:lineRule="auto"/>
              <w:ind w:right="79"/>
              <w:jc w:val="center"/>
              <w:rPr>
                <w:rFonts w:ascii="Arial" w:hAnsi="Arial" w:cs="Arial"/>
                <w:sz w:val="16"/>
                <w:szCs w:val="16"/>
              </w:rPr>
            </w:pPr>
          </w:p>
        </w:tc>
      </w:tr>
      <w:tr w:rsidR="009078FD">
        <w:tc>
          <w:tcPr>
            <w:tcW w:w="3224" w:type="dxa"/>
            <w:shd w:val="clear" w:color="auto" w:fill="EEECE1"/>
          </w:tcPr>
          <w:p w:rsidR="009078FD" w:rsidRDefault="00FC1F11">
            <w:pPr>
              <w:widowControl w:val="0"/>
              <w:autoSpaceDE w:val="0"/>
              <w:autoSpaceDN w:val="0"/>
              <w:adjustRightInd w:val="0"/>
              <w:spacing w:line="359" w:lineRule="auto"/>
              <w:ind w:right="79"/>
              <w:jc w:val="center"/>
              <w:rPr>
                <w:rFonts w:ascii="Arial" w:hAnsi="Arial" w:cs="Arial"/>
                <w:b/>
                <w:bCs/>
                <w:sz w:val="16"/>
                <w:szCs w:val="16"/>
              </w:rPr>
            </w:pPr>
            <w:r>
              <w:rPr>
                <w:rFonts w:ascii="Arial" w:hAnsi="Arial" w:cs="Arial"/>
                <w:b/>
                <w:bCs/>
                <w:sz w:val="16"/>
                <w:szCs w:val="16"/>
              </w:rPr>
              <w:t>Acciones Constructivas</w:t>
            </w:r>
          </w:p>
          <w:p w:rsidR="009078FD" w:rsidRDefault="00FC1F11">
            <w:pPr>
              <w:widowControl w:val="0"/>
              <w:autoSpaceDE w:val="0"/>
              <w:autoSpaceDN w:val="0"/>
              <w:adjustRightInd w:val="0"/>
              <w:spacing w:line="359" w:lineRule="auto"/>
              <w:ind w:right="79"/>
              <w:jc w:val="center"/>
              <w:rPr>
                <w:rFonts w:ascii="Arial" w:hAnsi="Arial" w:cs="Arial"/>
                <w:b/>
                <w:bCs/>
                <w:sz w:val="16"/>
                <w:szCs w:val="16"/>
              </w:rPr>
            </w:pPr>
            <w:r>
              <w:rPr>
                <w:rFonts w:ascii="Arial" w:hAnsi="Arial" w:cs="Arial"/>
                <w:b/>
                <w:bCs/>
                <w:sz w:val="16"/>
                <w:szCs w:val="16"/>
              </w:rPr>
              <w:t>(cuando se combinan con los desastres naturales)</w:t>
            </w:r>
          </w:p>
        </w:tc>
        <w:tc>
          <w:tcPr>
            <w:tcW w:w="149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 [1586 5000]</w:t>
            </w:r>
          </w:p>
        </w:tc>
        <w:tc>
          <w:tcPr>
            <w:tcW w:w="1831"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Se contabilizan a partir de las licencias de construcción otorgadas para la rehabilitación, remodelación y ampliación de viviendas.</w:t>
            </w:r>
          </w:p>
        </w:tc>
        <w:tc>
          <w:tcPr>
            <w:tcW w:w="234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Bajo [1586 1586 1928.75]</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Medio [1700.25 2043 2385.75]</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Alto [2157.25 2500 2842.75]</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Excepcional [2614.25 5000 5000]</w:t>
            </w:r>
          </w:p>
        </w:tc>
      </w:tr>
      <w:tr w:rsidR="009078FD">
        <w:tc>
          <w:tcPr>
            <w:tcW w:w="3224" w:type="dxa"/>
            <w:shd w:val="clear" w:color="auto" w:fill="EEECE1"/>
          </w:tcPr>
          <w:p w:rsidR="009078FD" w:rsidRDefault="00FC1F11">
            <w:pPr>
              <w:widowControl w:val="0"/>
              <w:autoSpaceDE w:val="0"/>
              <w:autoSpaceDN w:val="0"/>
              <w:adjustRightInd w:val="0"/>
              <w:spacing w:line="359" w:lineRule="auto"/>
              <w:ind w:right="79"/>
              <w:jc w:val="center"/>
              <w:rPr>
                <w:rFonts w:ascii="Arial" w:hAnsi="Arial" w:cs="Arial"/>
                <w:b/>
                <w:bCs/>
                <w:sz w:val="16"/>
                <w:szCs w:val="16"/>
              </w:rPr>
            </w:pPr>
            <w:r>
              <w:rPr>
                <w:rFonts w:ascii="Arial" w:hAnsi="Arial" w:cs="Arial"/>
                <w:b/>
                <w:bCs/>
                <w:sz w:val="16"/>
                <w:szCs w:val="16"/>
              </w:rPr>
              <w:t>Nuevas viviendas</w:t>
            </w:r>
          </w:p>
          <w:p w:rsidR="009078FD" w:rsidRDefault="00FC1F11">
            <w:pPr>
              <w:widowControl w:val="0"/>
              <w:autoSpaceDE w:val="0"/>
              <w:autoSpaceDN w:val="0"/>
              <w:adjustRightInd w:val="0"/>
              <w:spacing w:line="359" w:lineRule="auto"/>
              <w:ind w:right="79"/>
              <w:jc w:val="center"/>
              <w:rPr>
                <w:rFonts w:ascii="Arial" w:hAnsi="Arial" w:cs="Arial"/>
                <w:b/>
                <w:bCs/>
                <w:sz w:val="16"/>
                <w:szCs w:val="16"/>
              </w:rPr>
            </w:pPr>
            <w:r>
              <w:rPr>
                <w:rFonts w:ascii="Arial" w:hAnsi="Arial" w:cs="Arial"/>
                <w:b/>
                <w:bCs/>
                <w:sz w:val="16"/>
                <w:szCs w:val="16"/>
              </w:rPr>
              <w:t>(cuando se combinan con los desastres naturales)</w:t>
            </w:r>
          </w:p>
        </w:tc>
        <w:tc>
          <w:tcPr>
            <w:tcW w:w="149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[306 900]</w:t>
            </w:r>
          </w:p>
        </w:tc>
        <w:tc>
          <w:tcPr>
            <w:tcW w:w="1831"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Se contabilizan a partir de las licencias de construcción otorgadas para la construcción de viviendas nuevas</w:t>
            </w:r>
          </w:p>
        </w:tc>
        <w:tc>
          <w:tcPr>
            <w:tcW w:w="2346" w:type="dxa"/>
          </w:tcPr>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Bajo [306 306 360]</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Medio [324 378 432]</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Alto [396 450 504]</w:t>
            </w:r>
          </w:p>
          <w:p w:rsidR="009078FD" w:rsidRDefault="00FC1F11">
            <w:pPr>
              <w:widowControl w:val="0"/>
              <w:autoSpaceDE w:val="0"/>
              <w:autoSpaceDN w:val="0"/>
              <w:adjustRightInd w:val="0"/>
              <w:spacing w:line="359" w:lineRule="auto"/>
              <w:ind w:right="79"/>
              <w:jc w:val="center"/>
              <w:rPr>
                <w:rFonts w:ascii="Arial" w:hAnsi="Arial" w:cs="Arial"/>
                <w:sz w:val="16"/>
                <w:szCs w:val="16"/>
              </w:rPr>
            </w:pPr>
            <w:r>
              <w:rPr>
                <w:rFonts w:ascii="Arial" w:hAnsi="Arial" w:cs="Arial"/>
                <w:sz w:val="16"/>
                <w:szCs w:val="16"/>
              </w:rPr>
              <w:t>Excepcional [468 900 900]</w:t>
            </w:r>
          </w:p>
        </w:tc>
      </w:tr>
    </w:tbl>
    <w:p w:rsidR="009078FD" w:rsidRDefault="00FC1F11">
      <w:pPr>
        <w:widowControl w:val="0"/>
        <w:autoSpaceDE w:val="0"/>
        <w:autoSpaceDN w:val="0"/>
        <w:adjustRightInd w:val="0"/>
        <w:spacing w:after="120" w:line="360" w:lineRule="auto"/>
        <w:ind w:right="81"/>
        <w:jc w:val="both"/>
        <w:rPr>
          <w:rFonts w:ascii="Times New Roman" w:hAnsi="Times New Roman" w:cs="Times New Roman"/>
          <w:sz w:val="20"/>
          <w:szCs w:val="20"/>
        </w:rPr>
      </w:pPr>
      <w:r>
        <w:rPr>
          <w:rFonts w:ascii="Times New Roman" w:hAnsi="Times New Roman" w:cs="Times New Roman"/>
          <w:b/>
          <w:bCs/>
          <w:sz w:val="20"/>
          <w:szCs w:val="20"/>
        </w:rPr>
        <w:t>Fuente:</w:t>
      </w:r>
      <w:r>
        <w:rPr>
          <w:rFonts w:ascii="Times New Roman" w:hAnsi="Times New Roman" w:cs="Times New Roman"/>
          <w:sz w:val="20"/>
          <w:szCs w:val="20"/>
        </w:rPr>
        <w:t xml:space="preserve"> Elaboración propia</w:t>
      </w:r>
    </w:p>
    <w:p w:rsidR="009078FD" w:rsidRDefault="00FC1F11">
      <w:pPr>
        <w:widowControl w:val="0"/>
        <w:autoSpaceDE w:val="0"/>
        <w:autoSpaceDN w:val="0"/>
        <w:adjustRightInd w:val="0"/>
        <w:spacing w:after="120" w:line="360" w:lineRule="auto"/>
        <w:ind w:right="81"/>
        <w:jc w:val="both"/>
        <w:rPr>
          <w:rFonts w:ascii="Times New Roman" w:hAnsi="Times New Roman" w:cs="Times New Roman"/>
          <w:b/>
          <w:bCs/>
          <w:sz w:val="24"/>
          <w:szCs w:val="24"/>
        </w:rPr>
      </w:pPr>
      <w:r>
        <w:rPr>
          <w:rFonts w:ascii="Times New Roman" w:hAnsi="Times New Roman" w:cs="Times New Roman"/>
          <w:b/>
          <w:bCs/>
          <w:sz w:val="24"/>
          <w:szCs w:val="24"/>
        </w:rPr>
        <w:t>Obtención de la demanda provincial</w:t>
      </w:r>
    </w:p>
    <w:p w:rsidR="009078FD" w:rsidRDefault="00FC1F11">
      <w:pPr>
        <w:widowControl w:val="0"/>
        <w:autoSpaceDE w:val="0"/>
        <w:autoSpaceDN w:val="0"/>
        <w:adjustRightInd w:val="0"/>
        <w:spacing w:after="120" w:line="360" w:lineRule="auto"/>
        <w:ind w:right="81"/>
        <w:jc w:val="both"/>
        <w:rPr>
          <w:rFonts w:ascii="Times New Roman" w:hAnsi="Times New Roman" w:cs="Times New Roman"/>
          <w:sz w:val="24"/>
          <w:szCs w:val="24"/>
        </w:rPr>
      </w:pPr>
      <w:r>
        <w:rPr>
          <w:rFonts w:ascii="Times New Roman" w:hAnsi="Times New Roman" w:cs="Times New Roman"/>
          <w:sz w:val="24"/>
          <w:szCs w:val="24"/>
        </w:rPr>
        <w:t>Para relacionar el comportamiento de las variables de entrada y las de salida en cada uno de los sistemas se utilizan las reglas que describen el comportamiento de sus posibles combinaciones. Con el método de defuzzificación del Centroide se transforma la salida difusa en un número real. Este paso se desarrolla dentro de la ejecución del modelo en el software MatLab por lo que no es visible dentro del proceso. Los resultados de la defuzzificación arrojan los valores de demanda estimados (ver Tabla 6) para cada sistema.</w:t>
      </w:r>
    </w:p>
    <w:p w:rsidR="009078FD" w:rsidRDefault="00FC1F11">
      <w:pPr>
        <w:widowControl w:val="0"/>
        <w:autoSpaceDE w:val="0"/>
        <w:autoSpaceDN w:val="0"/>
        <w:adjustRightInd w:val="0"/>
        <w:spacing w:after="120"/>
        <w:ind w:right="81"/>
        <w:jc w:val="both"/>
        <w:rPr>
          <w:rFonts w:ascii="Times New Roman" w:hAnsi="Times New Roman" w:cs="Times New Roman"/>
          <w:sz w:val="20"/>
          <w:szCs w:val="20"/>
        </w:rPr>
      </w:pPr>
      <w:r>
        <w:rPr>
          <w:rFonts w:ascii="Times New Roman" w:hAnsi="Times New Roman" w:cs="Times New Roman"/>
          <w:b/>
          <w:bCs/>
          <w:sz w:val="20"/>
          <w:szCs w:val="20"/>
        </w:rPr>
        <w:t>Tabla 3:</w:t>
      </w:r>
      <w:r>
        <w:rPr>
          <w:rFonts w:ascii="Times New Roman" w:hAnsi="Times New Roman" w:cs="Times New Roman"/>
          <w:sz w:val="20"/>
          <w:szCs w:val="20"/>
        </w:rPr>
        <w:t xml:space="preserve"> Valores estimados arrojados para la demanda de cada sistema.</w:t>
      </w:r>
    </w:p>
    <w:tbl>
      <w:tblPr>
        <w:tblStyle w:val="TableGrid"/>
        <w:tblW w:w="0" w:type="auto"/>
        <w:tblLook w:val="04A0" w:firstRow="1" w:lastRow="0" w:firstColumn="1" w:lastColumn="0" w:noHBand="0" w:noVBand="1"/>
      </w:tblPr>
      <w:tblGrid>
        <w:gridCol w:w="1492"/>
        <w:gridCol w:w="903"/>
        <w:gridCol w:w="853"/>
        <w:gridCol w:w="903"/>
        <w:gridCol w:w="853"/>
        <w:gridCol w:w="909"/>
        <w:gridCol w:w="857"/>
        <w:gridCol w:w="883"/>
        <w:gridCol w:w="841"/>
      </w:tblGrid>
      <w:tr w:rsidR="009078FD">
        <w:tc>
          <w:tcPr>
            <w:tcW w:w="1638" w:type="dxa"/>
            <w:vMerge w:val="restart"/>
            <w:shd w:val="clear" w:color="auto" w:fill="EEECE1"/>
            <w:vAlign w:val="center"/>
          </w:tcPr>
          <w:p w:rsidR="009078FD" w:rsidRDefault="00FC1F11">
            <w:pPr>
              <w:widowControl w:val="0"/>
              <w:autoSpaceDE w:val="0"/>
              <w:autoSpaceDN w:val="0"/>
              <w:adjustRightInd w:val="0"/>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Años</w:t>
            </w:r>
          </w:p>
        </w:tc>
        <w:tc>
          <w:tcPr>
            <w:tcW w:w="1861" w:type="dxa"/>
            <w:gridSpan w:val="2"/>
            <w:shd w:val="clear" w:color="auto" w:fill="EEECE1"/>
            <w:vAlign w:val="center"/>
          </w:tcPr>
          <w:p w:rsidR="009078FD" w:rsidRDefault="00FC1F11">
            <w:pPr>
              <w:widowControl w:val="0"/>
              <w:autoSpaceDE w:val="0"/>
              <w:autoSpaceDN w:val="0"/>
              <w:adjustRightInd w:val="0"/>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FIS 1. Demanda del crecimiento poblacional</w:t>
            </w:r>
          </w:p>
        </w:tc>
        <w:tc>
          <w:tcPr>
            <w:tcW w:w="1861" w:type="dxa"/>
            <w:gridSpan w:val="2"/>
            <w:shd w:val="clear" w:color="auto" w:fill="EEECE1"/>
            <w:vAlign w:val="center"/>
          </w:tcPr>
          <w:p w:rsidR="009078FD" w:rsidRDefault="00FC1F11">
            <w:pPr>
              <w:widowControl w:val="0"/>
              <w:autoSpaceDE w:val="0"/>
              <w:autoSpaceDN w:val="0"/>
              <w:adjustRightInd w:val="0"/>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FIS 2. Demanda del crecimiento del turismo</w:t>
            </w:r>
          </w:p>
        </w:tc>
        <w:tc>
          <w:tcPr>
            <w:tcW w:w="1871" w:type="dxa"/>
            <w:gridSpan w:val="2"/>
            <w:shd w:val="clear" w:color="auto" w:fill="EEECE1"/>
            <w:vAlign w:val="center"/>
          </w:tcPr>
          <w:p w:rsidR="009078FD" w:rsidRDefault="00FC1F11">
            <w:pPr>
              <w:widowControl w:val="0"/>
              <w:autoSpaceDE w:val="0"/>
              <w:autoSpaceDN w:val="0"/>
              <w:adjustRightInd w:val="0"/>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FIS 3. Demanda del fondo habitacional</w:t>
            </w:r>
          </w:p>
        </w:tc>
        <w:tc>
          <w:tcPr>
            <w:tcW w:w="1823" w:type="dxa"/>
            <w:gridSpan w:val="2"/>
            <w:shd w:val="clear" w:color="auto" w:fill="EEECE1"/>
            <w:vAlign w:val="center"/>
          </w:tcPr>
          <w:p w:rsidR="009078FD" w:rsidRDefault="00FC1F11">
            <w:pPr>
              <w:widowControl w:val="0"/>
              <w:autoSpaceDE w:val="0"/>
              <w:autoSpaceDN w:val="0"/>
              <w:adjustRightInd w:val="0"/>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FIS 4. Demanda de las viviendas afectadas por desastres naturales</w:t>
            </w:r>
          </w:p>
        </w:tc>
      </w:tr>
      <w:tr w:rsidR="009078FD">
        <w:tc>
          <w:tcPr>
            <w:tcW w:w="1638" w:type="dxa"/>
            <w:vMerge/>
          </w:tcPr>
          <w:p w:rsidR="009078FD" w:rsidRDefault="009078FD">
            <w:pPr>
              <w:widowControl w:val="0"/>
              <w:autoSpaceDE w:val="0"/>
              <w:autoSpaceDN w:val="0"/>
              <w:adjustRightInd w:val="0"/>
              <w:spacing w:line="359" w:lineRule="auto"/>
              <w:ind w:right="79"/>
              <w:jc w:val="center"/>
              <w:rPr>
                <w:rFonts w:ascii="Times New Roman" w:hAnsi="Times New Roman" w:cs="Times New Roman"/>
                <w:sz w:val="16"/>
                <w:szCs w:val="16"/>
              </w:rPr>
            </w:pPr>
          </w:p>
        </w:tc>
        <w:tc>
          <w:tcPr>
            <w:tcW w:w="953" w:type="dxa"/>
            <w:shd w:val="clear" w:color="auto" w:fill="EEECE1"/>
            <w:vAlign w:val="center"/>
          </w:tcPr>
          <w:p w:rsidR="009078FD" w:rsidRDefault="00FC1F11">
            <w:pPr>
              <w:widowControl w:val="0"/>
              <w:autoSpaceDE w:val="0"/>
              <w:autoSpaceDN w:val="0"/>
              <w:adjustRightInd w:val="0"/>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AC</w:t>
            </w:r>
          </w:p>
        </w:tc>
        <w:tc>
          <w:tcPr>
            <w:tcW w:w="908" w:type="dxa"/>
            <w:shd w:val="clear" w:color="auto" w:fill="EEECE1"/>
            <w:vAlign w:val="center"/>
          </w:tcPr>
          <w:p w:rsidR="009078FD" w:rsidRDefault="00FC1F11">
            <w:pPr>
              <w:widowControl w:val="0"/>
              <w:autoSpaceDE w:val="0"/>
              <w:autoSpaceDN w:val="0"/>
              <w:adjustRightInd w:val="0"/>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VN</w:t>
            </w:r>
          </w:p>
        </w:tc>
        <w:tc>
          <w:tcPr>
            <w:tcW w:w="953" w:type="dxa"/>
            <w:shd w:val="clear" w:color="auto" w:fill="EEECE1"/>
            <w:vAlign w:val="center"/>
          </w:tcPr>
          <w:p w:rsidR="009078FD" w:rsidRDefault="00FC1F11">
            <w:pPr>
              <w:widowControl w:val="0"/>
              <w:autoSpaceDE w:val="0"/>
              <w:autoSpaceDN w:val="0"/>
              <w:adjustRightInd w:val="0"/>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AC</w:t>
            </w:r>
          </w:p>
        </w:tc>
        <w:tc>
          <w:tcPr>
            <w:tcW w:w="908" w:type="dxa"/>
            <w:shd w:val="clear" w:color="auto" w:fill="EEECE1"/>
            <w:vAlign w:val="center"/>
          </w:tcPr>
          <w:p w:rsidR="009078FD" w:rsidRDefault="00FC1F11">
            <w:pPr>
              <w:widowControl w:val="0"/>
              <w:autoSpaceDE w:val="0"/>
              <w:autoSpaceDN w:val="0"/>
              <w:adjustRightInd w:val="0"/>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VN</w:t>
            </w:r>
          </w:p>
        </w:tc>
        <w:tc>
          <w:tcPr>
            <w:tcW w:w="959" w:type="dxa"/>
            <w:shd w:val="clear" w:color="auto" w:fill="EEECE1"/>
            <w:vAlign w:val="center"/>
          </w:tcPr>
          <w:p w:rsidR="009078FD" w:rsidRDefault="00FC1F11">
            <w:pPr>
              <w:widowControl w:val="0"/>
              <w:autoSpaceDE w:val="0"/>
              <w:autoSpaceDN w:val="0"/>
              <w:adjustRightInd w:val="0"/>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AC</w:t>
            </w:r>
          </w:p>
        </w:tc>
        <w:tc>
          <w:tcPr>
            <w:tcW w:w="912" w:type="dxa"/>
            <w:shd w:val="clear" w:color="auto" w:fill="EEECE1"/>
            <w:vAlign w:val="center"/>
          </w:tcPr>
          <w:p w:rsidR="009078FD" w:rsidRDefault="00FC1F11">
            <w:pPr>
              <w:widowControl w:val="0"/>
              <w:autoSpaceDE w:val="0"/>
              <w:autoSpaceDN w:val="0"/>
              <w:adjustRightInd w:val="0"/>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VN</w:t>
            </w:r>
          </w:p>
        </w:tc>
        <w:tc>
          <w:tcPr>
            <w:tcW w:w="929" w:type="dxa"/>
            <w:shd w:val="clear" w:color="auto" w:fill="EEECE1"/>
            <w:vAlign w:val="center"/>
          </w:tcPr>
          <w:p w:rsidR="009078FD" w:rsidRDefault="00FC1F11">
            <w:pPr>
              <w:widowControl w:val="0"/>
              <w:autoSpaceDE w:val="0"/>
              <w:autoSpaceDN w:val="0"/>
              <w:adjustRightInd w:val="0"/>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AC</w:t>
            </w:r>
          </w:p>
        </w:tc>
        <w:tc>
          <w:tcPr>
            <w:tcW w:w="894" w:type="dxa"/>
            <w:shd w:val="clear" w:color="auto" w:fill="EEECE1"/>
            <w:vAlign w:val="center"/>
          </w:tcPr>
          <w:p w:rsidR="009078FD" w:rsidRDefault="00FC1F11">
            <w:pPr>
              <w:widowControl w:val="0"/>
              <w:autoSpaceDE w:val="0"/>
              <w:autoSpaceDN w:val="0"/>
              <w:adjustRightInd w:val="0"/>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VN</w:t>
            </w:r>
          </w:p>
        </w:tc>
      </w:tr>
      <w:tr w:rsidR="009078FD">
        <w:tc>
          <w:tcPr>
            <w:tcW w:w="1638" w:type="dxa"/>
            <w:shd w:val="clear" w:color="auto" w:fill="EEECE1"/>
          </w:tcPr>
          <w:p w:rsidR="009078FD" w:rsidRDefault="00FC1F11">
            <w:pPr>
              <w:widowControl w:val="0"/>
              <w:autoSpaceDE w:val="0"/>
              <w:autoSpaceDN w:val="0"/>
              <w:adjustRightInd w:val="0"/>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2016</w:t>
            </w:r>
          </w:p>
        </w:tc>
        <w:tc>
          <w:tcPr>
            <w:tcW w:w="953"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2201</w:t>
            </w:r>
          </w:p>
        </w:tc>
        <w:tc>
          <w:tcPr>
            <w:tcW w:w="908"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372</w:t>
            </w:r>
          </w:p>
        </w:tc>
        <w:tc>
          <w:tcPr>
            <w:tcW w:w="953"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2117</w:t>
            </w:r>
          </w:p>
        </w:tc>
        <w:tc>
          <w:tcPr>
            <w:tcW w:w="908"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327</w:t>
            </w:r>
          </w:p>
        </w:tc>
        <w:tc>
          <w:tcPr>
            <w:tcW w:w="959"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2201</w:t>
            </w:r>
          </w:p>
        </w:tc>
        <w:tc>
          <w:tcPr>
            <w:tcW w:w="912"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372</w:t>
            </w:r>
          </w:p>
        </w:tc>
        <w:tc>
          <w:tcPr>
            <w:tcW w:w="929"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2360</w:t>
            </w:r>
          </w:p>
        </w:tc>
        <w:tc>
          <w:tcPr>
            <w:tcW w:w="894"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426</w:t>
            </w:r>
          </w:p>
        </w:tc>
      </w:tr>
      <w:tr w:rsidR="009078FD">
        <w:tc>
          <w:tcPr>
            <w:tcW w:w="1638" w:type="dxa"/>
            <w:shd w:val="clear" w:color="auto" w:fill="EEECE1"/>
          </w:tcPr>
          <w:p w:rsidR="009078FD" w:rsidRDefault="00FC1F11">
            <w:pPr>
              <w:widowControl w:val="0"/>
              <w:autoSpaceDE w:val="0"/>
              <w:autoSpaceDN w:val="0"/>
              <w:adjustRightInd w:val="0"/>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2017</w:t>
            </w:r>
          </w:p>
        </w:tc>
        <w:tc>
          <w:tcPr>
            <w:tcW w:w="953"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2183</w:t>
            </w:r>
          </w:p>
        </w:tc>
        <w:tc>
          <w:tcPr>
            <w:tcW w:w="908"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373</w:t>
            </w:r>
          </w:p>
        </w:tc>
        <w:tc>
          <w:tcPr>
            <w:tcW w:w="953"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2365</w:t>
            </w:r>
          </w:p>
        </w:tc>
        <w:tc>
          <w:tcPr>
            <w:tcW w:w="908"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345</w:t>
            </w:r>
          </w:p>
        </w:tc>
        <w:tc>
          <w:tcPr>
            <w:tcW w:w="959"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2183</w:t>
            </w:r>
          </w:p>
        </w:tc>
        <w:tc>
          <w:tcPr>
            <w:tcW w:w="912"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370</w:t>
            </w:r>
          </w:p>
        </w:tc>
        <w:tc>
          <w:tcPr>
            <w:tcW w:w="929"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56</w:t>
            </w:r>
          </w:p>
        </w:tc>
        <w:tc>
          <w:tcPr>
            <w:tcW w:w="894"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383</w:t>
            </w:r>
          </w:p>
        </w:tc>
      </w:tr>
      <w:tr w:rsidR="009078FD">
        <w:tc>
          <w:tcPr>
            <w:tcW w:w="1638" w:type="dxa"/>
            <w:shd w:val="clear" w:color="auto" w:fill="EEECE1"/>
          </w:tcPr>
          <w:p w:rsidR="009078FD" w:rsidRDefault="00FC1F11">
            <w:pPr>
              <w:widowControl w:val="0"/>
              <w:autoSpaceDE w:val="0"/>
              <w:autoSpaceDN w:val="0"/>
              <w:adjustRightInd w:val="0"/>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2018</w:t>
            </w:r>
          </w:p>
        </w:tc>
        <w:tc>
          <w:tcPr>
            <w:tcW w:w="953"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2367</w:t>
            </w:r>
          </w:p>
        </w:tc>
        <w:tc>
          <w:tcPr>
            <w:tcW w:w="908"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378</w:t>
            </w:r>
          </w:p>
        </w:tc>
        <w:tc>
          <w:tcPr>
            <w:tcW w:w="953"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2367</w:t>
            </w:r>
          </w:p>
        </w:tc>
        <w:tc>
          <w:tcPr>
            <w:tcW w:w="908"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372</w:t>
            </w:r>
          </w:p>
        </w:tc>
        <w:tc>
          <w:tcPr>
            <w:tcW w:w="959"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2043</w:t>
            </w:r>
          </w:p>
        </w:tc>
        <w:tc>
          <w:tcPr>
            <w:tcW w:w="912"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378</w:t>
            </w:r>
          </w:p>
        </w:tc>
        <w:tc>
          <w:tcPr>
            <w:tcW w:w="929"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3293</w:t>
            </w:r>
          </w:p>
        </w:tc>
        <w:tc>
          <w:tcPr>
            <w:tcW w:w="894" w:type="dxa"/>
          </w:tcPr>
          <w:p w:rsidR="009078FD" w:rsidRDefault="00FC1F11">
            <w:pPr>
              <w:spacing w:line="359" w:lineRule="auto"/>
              <w:ind w:right="79"/>
              <w:jc w:val="center"/>
              <w:rPr>
                <w:rFonts w:ascii="Times New Roman" w:hAnsi="Times New Roman" w:cs="Times New Roman"/>
                <w:sz w:val="16"/>
                <w:szCs w:val="16"/>
              </w:rPr>
            </w:pPr>
            <w:r>
              <w:rPr>
                <w:rFonts w:ascii="Times New Roman" w:hAnsi="Times New Roman" w:cs="Times New Roman"/>
                <w:sz w:val="16"/>
                <w:szCs w:val="16"/>
              </w:rPr>
              <w:t>603</w:t>
            </w:r>
          </w:p>
        </w:tc>
      </w:tr>
    </w:tbl>
    <w:p w:rsidR="009078FD" w:rsidRDefault="009078FD">
      <w:pPr>
        <w:spacing w:after="120" w:line="240" w:lineRule="auto"/>
        <w:jc w:val="both"/>
        <w:rPr>
          <w:rFonts w:ascii="Arial" w:hAnsi="Arial" w:cs="Arial"/>
        </w:rPr>
      </w:pP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Con la aplicación de las ecuaciones 1 y 2 con las que se determinan las demandas provinciales y sus desagregaciones en los municipios se obtienen los pronósticos para los años 2016, 2017 y 2018. A partir del trabajo con expertos se determinan los pesos que son utilizado en las ecuaciones. De forma similar se procede con los municipios, pero se </w:t>
      </w:r>
      <w:r>
        <w:rPr>
          <w:rFonts w:ascii="Times New Roman" w:hAnsi="Times New Roman" w:cs="Times New Roman"/>
          <w:sz w:val="24"/>
          <w:szCs w:val="24"/>
        </w:rPr>
        <w:lastRenderedPageBreak/>
        <w:t xml:space="preserve">le agrega la ponderación de cada uno según su influencia en la demanda </w:t>
      </w:r>
      <m:oMath>
        <m:r>
          <w:rPr>
            <w:rFonts w:ascii="Cambria Math" w:hAnsi="Cambria Math" w:cs="Times New Roman"/>
            <w:sz w:val="24"/>
            <w:szCs w:val="24"/>
          </w:rPr>
          <m:t>PMj</m:t>
        </m:r>
      </m:oMath>
      <w:r>
        <w:rPr>
          <w:rFonts w:ascii="Times New Roman" w:eastAsia="SimSun" w:hAnsi="Times New Roman" w:cs="Times New Roman"/>
          <w:sz w:val="24"/>
          <w:szCs w:val="24"/>
        </w:rPr>
        <w:t xml:space="preserve"> (ver tablas de las ponderaciones)</w:t>
      </w:r>
      <w:r>
        <w:rPr>
          <w:rFonts w:ascii="Times New Roman" w:hAnsi="Times New Roman" w:cs="Times New Roman"/>
          <w:sz w:val="24"/>
          <w:szCs w:val="24"/>
        </w:rPr>
        <w:t xml:space="preserve">.  </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La demanda provincial se desagrega a los municipios al no poder utilizar los valores de los conductores a nivel municipal o ante la falta de la información. Tal es el caso de las remesas cuyos valores municipales se desconocen; y los aportes de los Trabajadores por Cuenta Propia (TCP) no refleja con sus contribuciones a la ONAT los verdaderos aportes al municipio cuando se trabaja fuera del mismo.</w:t>
      </w:r>
    </w:p>
    <w:p w:rsidR="009078FD" w:rsidRDefault="00FC1F11">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sz w:val="20"/>
          <w:szCs w:val="20"/>
        </w:rPr>
        <w:t>Tabla 4.</w:t>
      </w:r>
      <w:r>
        <w:rPr>
          <w:rFonts w:ascii="Times New Roman" w:hAnsi="Times New Roman" w:cs="Times New Roman"/>
          <w:sz w:val="20"/>
          <w:szCs w:val="20"/>
        </w:rPr>
        <w:t xml:space="preserve"> Resultados de la demanda provincial</w:t>
      </w:r>
    </w:p>
    <w:p w:rsidR="009078FD" w:rsidRDefault="009078FD">
      <w:pPr>
        <w:autoSpaceDE w:val="0"/>
        <w:autoSpaceDN w:val="0"/>
        <w:adjustRightInd w:val="0"/>
        <w:spacing w:after="0" w:line="240" w:lineRule="auto"/>
        <w:rPr>
          <w:rFonts w:ascii="Times New Roman" w:hAnsi="Times New Roman"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078FD">
        <w:tc>
          <w:tcPr>
            <w:tcW w:w="4247" w:type="dxa"/>
          </w:tcPr>
          <w:p w:rsidR="009078FD" w:rsidRDefault="00FC1F11">
            <w:pPr>
              <w:spacing w:after="120"/>
              <w:jc w:val="center"/>
              <w:rPr>
                <w:rFonts w:ascii="Times New Roman" w:eastAsia="Times New Roman" w:hAnsi="Times New Roman" w:cs="Times New Roman"/>
                <w:sz w:val="24"/>
                <w:szCs w:val="24"/>
                <w:lang w:eastAsia="es-419"/>
              </w:rPr>
            </w:pPr>
            <w:r>
              <w:rPr>
                <w:rFonts w:ascii="Arial" w:hAnsi="Arial" w:cs="Arial"/>
              </w:rPr>
              <w:t xml:space="preserve"> Demanda Provincial AC</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57"/>
              <w:gridCol w:w="1487"/>
              <w:gridCol w:w="1077"/>
            </w:tblGrid>
            <w:tr w:rsidR="009078FD">
              <w:tc>
                <w:tcPr>
                  <w:tcW w:w="1696" w:type="dxa"/>
                  <w:tcBorders>
                    <w:bottom w:val="single" w:sz="12" w:space="0" w:color="666666"/>
                  </w:tcBorders>
                  <w:shd w:val="clear" w:color="auto" w:fill="D9D9D9"/>
                </w:tcPr>
                <w:p w:rsidR="009078FD" w:rsidRDefault="00FC1F11">
                  <w:pPr>
                    <w:pStyle w:val="keywords"/>
                    <w:ind w:firstLine="0"/>
                    <w:rPr>
                      <w:rFonts w:ascii="Verdana" w:eastAsia="MS Mincho" w:hAnsi="Verdana" w:cs="Arial"/>
                      <w:b w:val="0"/>
                      <w:bCs w:val="0"/>
                      <w:i w:val="0"/>
                      <w:noProof w:val="0"/>
                      <w:sz w:val="20"/>
                      <w:szCs w:val="20"/>
                      <w:lang w:val="es-419"/>
                    </w:rPr>
                  </w:pPr>
                  <w:r>
                    <w:rPr>
                      <w:rFonts w:ascii="Verdana" w:eastAsia="MS Mincho" w:hAnsi="Verdana" w:cs="Arial"/>
                      <w:b w:val="0"/>
                      <w:bCs w:val="0"/>
                      <w:i w:val="0"/>
                      <w:noProof w:val="0"/>
                      <w:sz w:val="20"/>
                      <w:szCs w:val="20"/>
                      <w:lang w:val="es-419"/>
                    </w:rPr>
                    <w:t>Categorías</w:t>
                  </w:r>
                </w:p>
              </w:tc>
              <w:tc>
                <w:tcPr>
                  <w:tcW w:w="1701" w:type="dxa"/>
                  <w:tcBorders>
                    <w:bottom w:val="single" w:sz="12" w:space="0" w:color="666666"/>
                  </w:tcBorders>
                  <w:shd w:val="clear" w:color="auto" w:fill="D9D9D9"/>
                </w:tcPr>
                <w:p w:rsidR="009078FD" w:rsidRDefault="00FC1F11">
                  <w:pPr>
                    <w:pStyle w:val="keywords"/>
                    <w:ind w:firstLine="0"/>
                    <w:rPr>
                      <w:rFonts w:ascii="Verdana" w:eastAsia="MS Mincho" w:hAnsi="Verdana" w:cs="Arial"/>
                      <w:b w:val="0"/>
                      <w:bCs w:val="0"/>
                      <w:i w:val="0"/>
                      <w:noProof w:val="0"/>
                      <w:sz w:val="20"/>
                      <w:szCs w:val="20"/>
                      <w:lang w:val="es-419"/>
                    </w:rPr>
                  </w:pPr>
                  <w:r>
                    <w:rPr>
                      <w:rFonts w:ascii="Verdana" w:eastAsia="MS Mincho" w:hAnsi="Verdana" w:cs="Arial"/>
                      <w:b w:val="0"/>
                      <w:i w:val="0"/>
                      <w:noProof w:val="0"/>
                      <w:sz w:val="20"/>
                      <w:szCs w:val="20"/>
                      <w:lang w:val="es-419"/>
                    </w:rPr>
                    <w:t>Prioridades</w:t>
                  </w:r>
                </w:p>
              </w:tc>
              <w:tc>
                <w:tcPr>
                  <w:tcW w:w="1418" w:type="dxa"/>
                  <w:tcBorders>
                    <w:bottom w:val="single" w:sz="12" w:space="0" w:color="666666"/>
                  </w:tcBorders>
                  <w:shd w:val="clear" w:color="auto" w:fill="D9D9D9"/>
                </w:tcPr>
                <w:p w:rsidR="009078FD" w:rsidRDefault="00FC1F11">
                  <w:pPr>
                    <w:pStyle w:val="keywords"/>
                    <w:ind w:firstLine="0"/>
                    <w:rPr>
                      <w:rFonts w:ascii="Verdana" w:eastAsia="MS Mincho" w:hAnsi="Verdana" w:cs="Arial"/>
                      <w:b w:val="0"/>
                      <w:bCs w:val="0"/>
                      <w:i w:val="0"/>
                      <w:noProof w:val="0"/>
                      <w:sz w:val="20"/>
                      <w:szCs w:val="20"/>
                      <w:lang w:val="es-419"/>
                    </w:rPr>
                  </w:pPr>
                  <w:r>
                    <w:rPr>
                      <w:rFonts w:ascii="Verdana" w:eastAsia="MS Mincho" w:hAnsi="Verdana" w:cs="Arial"/>
                      <w:b w:val="0"/>
                      <w:i w:val="0"/>
                      <w:noProof w:val="0"/>
                      <w:sz w:val="20"/>
                      <w:szCs w:val="20"/>
                      <w:lang w:val="es-419"/>
                    </w:rPr>
                    <w:t>Orden</w:t>
                  </w:r>
                </w:p>
              </w:tc>
            </w:tr>
            <w:tr w:rsidR="009078FD">
              <w:tc>
                <w:tcPr>
                  <w:tcW w:w="1696" w:type="dxa"/>
                  <w:shd w:val="clear" w:color="auto" w:fill="auto"/>
                </w:tcPr>
                <w:p w:rsidR="009078FD" w:rsidRDefault="00FC1F11">
                  <w:pPr>
                    <w:pStyle w:val="keywords"/>
                    <w:ind w:firstLine="0"/>
                    <w:rPr>
                      <w:rFonts w:ascii="Verdana" w:eastAsia="MS Mincho" w:hAnsi="Verdana" w:cs="Arial"/>
                      <w:b w:val="0"/>
                      <w:bCs w:val="0"/>
                      <w:i w:val="0"/>
                      <w:noProof w:val="0"/>
                      <w:sz w:val="20"/>
                      <w:szCs w:val="20"/>
                      <w:lang w:val="es-419"/>
                    </w:rPr>
                  </w:pPr>
                  <w:r>
                    <w:rPr>
                      <w:rFonts w:ascii="Verdana" w:eastAsia="MS Mincho" w:hAnsi="Verdana" w:cs="Arial"/>
                      <w:b w:val="0"/>
                      <w:i w:val="0"/>
                      <w:noProof w:val="0"/>
                      <w:sz w:val="20"/>
                      <w:szCs w:val="20"/>
                      <w:lang w:val="es-419"/>
                    </w:rPr>
                    <w:t>FIS -1</w:t>
                  </w:r>
                </w:p>
              </w:tc>
              <w:tc>
                <w:tcPr>
                  <w:tcW w:w="1701" w:type="dxa"/>
                  <w:shd w:val="clear" w:color="auto" w:fill="auto"/>
                </w:tcPr>
                <w:p w:rsidR="009078FD" w:rsidRDefault="00FC1F11">
                  <w:pPr>
                    <w:pStyle w:val="keywords"/>
                    <w:ind w:firstLine="0"/>
                    <w:jc w:val="center"/>
                    <w:rPr>
                      <w:rFonts w:ascii="Verdana" w:eastAsia="MS Mincho" w:hAnsi="Verdana" w:cs="Arial"/>
                      <w:b w:val="0"/>
                      <w:i w:val="0"/>
                      <w:noProof w:val="0"/>
                      <w:sz w:val="20"/>
                      <w:szCs w:val="20"/>
                      <w:lang w:val="es-419"/>
                    </w:rPr>
                  </w:pPr>
                  <w:r>
                    <w:rPr>
                      <w:rFonts w:ascii="Verdana" w:eastAsia="MS Mincho" w:hAnsi="Verdana"/>
                      <w:b w:val="0"/>
                      <w:i w:val="0"/>
                      <w:noProof w:val="0"/>
                      <w:sz w:val="20"/>
                      <w:szCs w:val="20"/>
                      <w:lang w:val="es-419"/>
                    </w:rPr>
                    <w:t>6.9 %</w:t>
                  </w:r>
                </w:p>
              </w:tc>
              <w:tc>
                <w:tcPr>
                  <w:tcW w:w="1418" w:type="dxa"/>
                  <w:shd w:val="clear" w:color="auto" w:fill="auto"/>
                </w:tcPr>
                <w:p w:rsidR="009078FD" w:rsidRDefault="00FC1F11">
                  <w:pPr>
                    <w:pStyle w:val="keywords"/>
                    <w:ind w:firstLine="0"/>
                    <w:jc w:val="center"/>
                    <w:rPr>
                      <w:rFonts w:ascii="Verdana" w:eastAsia="MS Mincho" w:hAnsi="Verdana" w:cs="Arial"/>
                      <w:b w:val="0"/>
                      <w:i w:val="0"/>
                      <w:noProof w:val="0"/>
                      <w:sz w:val="20"/>
                      <w:szCs w:val="20"/>
                      <w:lang w:val="es-419"/>
                    </w:rPr>
                  </w:pPr>
                  <w:r>
                    <w:rPr>
                      <w:rFonts w:ascii="Verdana" w:eastAsia="MS Mincho" w:hAnsi="Verdana" w:cs="Arial"/>
                      <w:b w:val="0"/>
                      <w:i w:val="0"/>
                      <w:noProof w:val="0"/>
                      <w:sz w:val="20"/>
                      <w:szCs w:val="20"/>
                      <w:lang w:val="es-419"/>
                    </w:rPr>
                    <w:t>4</w:t>
                  </w:r>
                </w:p>
              </w:tc>
            </w:tr>
            <w:tr w:rsidR="009078FD">
              <w:tc>
                <w:tcPr>
                  <w:tcW w:w="1696" w:type="dxa"/>
                  <w:shd w:val="clear" w:color="auto" w:fill="auto"/>
                </w:tcPr>
                <w:p w:rsidR="009078FD" w:rsidRDefault="00FC1F11">
                  <w:pPr>
                    <w:pStyle w:val="keywords"/>
                    <w:ind w:firstLine="0"/>
                    <w:rPr>
                      <w:rFonts w:ascii="Verdana" w:eastAsia="MS Mincho" w:hAnsi="Verdana" w:cs="Arial"/>
                      <w:b w:val="0"/>
                      <w:bCs w:val="0"/>
                      <w:i w:val="0"/>
                      <w:noProof w:val="0"/>
                      <w:sz w:val="20"/>
                      <w:szCs w:val="20"/>
                      <w:lang w:val="es-419"/>
                    </w:rPr>
                  </w:pPr>
                  <w:r>
                    <w:rPr>
                      <w:rFonts w:ascii="Verdana" w:eastAsia="MS Mincho" w:hAnsi="Verdana" w:cs="Arial"/>
                      <w:b w:val="0"/>
                      <w:i w:val="0"/>
                      <w:noProof w:val="0"/>
                      <w:sz w:val="20"/>
                      <w:szCs w:val="20"/>
                      <w:lang w:val="es-419"/>
                    </w:rPr>
                    <w:t>FIS -2</w:t>
                  </w:r>
                </w:p>
              </w:tc>
              <w:tc>
                <w:tcPr>
                  <w:tcW w:w="1701" w:type="dxa"/>
                  <w:shd w:val="clear" w:color="auto" w:fill="auto"/>
                </w:tcPr>
                <w:p w:rsidR="009078FD" w:rsidRDefault="00FC1F11">
                  <w:pPr>
                    <w:pStyle w:val="keywords"/>
                    <w:ind w:firstLine="0"/>
                    <w:rPr>
                      <w:rFonts w:ascii="Verdana" w:eastAsia="MS Mincho" w:hAnsi="Verdana" w:cs="Arial"/>
                      <w:b w:val="0"/>
                      <w:i w:val="0"/>
                      <w:noProof w:val="0"/>
                      <w:sz w:val="20"/>
                      <w:szCs w:val="20"/>
                      <w:lang w:val="es-419"/>
                    </w:rPr>
                  </w:pPr>
                  <w:r>
                    <w:rPr>
                      <w:rFonts w:ascii="Verdana" w:eastAsia="MS Mincho" w:hAnsi="Verdana"/>
                      <w:b w:val="0"/>
                      <w:i w:val="0"/>
                      <w:noProof w:val="0"/>
                      <w:sz w:val="20"/>
                      <w:szCs w:val="20"/>
                      <w:lang w:val="es-419"/>
                    </w:rPr>
                    <w:t xml:space="preserve">    25.8 %</w:t>
                  </w:r>
                </w:p>
              </w:tc>
              <w:tc>
                <w:tcPr>
                  <w:tcW w:w="1418" w:type="dxa"/>
                  <w:shd w:val="clear" w:color="auto" w:fill="auto"/>
                </w:tcPr>
                <w:p w:rsidR="009078FD" w:rsidRDefault="00FC1F11">
                  <w:pPr>
                    <w:pStyle w:val="keywords"/>
                    <w:ind w:firstLine="0"/>
                    <w:jc w:val="center"/>
                    <w:rPr>
                      <w:rFonts w:ascii="Verdana" w:eastAsia="MS Mincho" w:hAnsi="Verdana"/>
                      <w:b w:val="0"/>
                      <w:sz w:val="20"/>
                      <w:szCs w:val="20"/>
                      <w:lang w:val="es-419"/>
                    </w:rPr>
                  </w:pPr>
                  <w:r>
                    <w:rPr>
                      <w:rFonts w:ascii="Verdana" w:eastAsia="MS Mincho" w:hAnsi="Verdana" w:cs="Arial"/>
                      <w:b w:val="0"/>
                      <w:i w:val="0"/>
                      <w:noProof w:val="0"/>
                      <w:sz w:val="20"/>
                      <w:szCs w:val="20"/>
                      <w:lang w:val="es-419"/>
                    </w:rPr>
                    <w:t>2</w:t>
                  </w:r>
                </w:p>
              </w:tc>
            </w:tr>
            <w:tr w:rsidR="009078FD">
              <w:tc>
                <w:tcPr>
                  <w:tcW w:w="1696" w:type="dxa"/>
                  <w:shd w:val="clear" w:color="auto" w:fill="auto"/>
                </w:tcPr>
                <w:p w:rsidR="009078FD" w:rsidRDefault="00FC1F11">
                  <w:pPr>
                    <w:pStyle w:val="keywords"/>
                    <w:ind w:firstLine="0"/>
                    <w:rPr>
                      <w:rFonts w:ascii="Verdana" w:eastAsia="MS Mincho" w:hAnsi="Verdana" w:cs="Arial"/>
                      <w:b w:val="0"/>
                      <w:bCs w:val="0"/>
                      <w:i w:val="0"/>
                      <w:noProof w:val="0"/>
                      <w:sz w:val="20"/>
                      <w:szCs w:val="20"/>
                      <w:lang w:val="es-419"/>
                    </w:rPr>
                  </w:pPr>
                  <w:r>
                    <w:rPr>
                      <w:rFonts w:ascii="Verdana" w:eastAsia="MS Mincho" w:hAnsi="Verdana" w:cs="Arial"/>
                      <w:b w:val="0"/>
                      <w:i w:val="0"/>
                      <w:noProof w:val="0"/>
                      <w:sz w:val="20"/>
                      <w:szCs w:val="20"/>
                      <w:lang w:val="es-419"/>
                    </w:rPr>
                    <w:t>FIS -3</w:t>
                  </w:r>
                </w:p>
              </w:tc>
              <w:tc>
                <w:tcPr>
                  <w:tcW w:w="1701" w:type="dxa"/>
                  <w:shd w:val="clear" w:color="auto" w:fill="auto"/>
                </w:tcPr>
                <w:p w:rsidR="009078FD" w:rsidRDefault="00FC1F11">
                  <w:pPr>
                    <w:pStyle w:val="keywords"/>
                    <w:ind w:firstLine="0"/>
                    <w:rPr>
                      <w:rFonts w:ascii="Verdana" w:eastAsia="MS Mincho" w:hAnsi="Verdana" w:cs="Arial"/>
                      <w:b w:val="0"/>
                      <w:i w:val="0"/>
                      <w:noProof w:val="0"/>
                      <w:sz w:val="20"/>
                      <w:szCs w:val="20"/>
                      <w:lang w:val="es-419"/>
                    </w:rPr>
                  </w:pPr>
                  <w:r>
                    <w:rPr>
                      <w:rFonts w:ascii="Verdana" w:eastAsia="MS Mincho" w:hAnsi="Verdana" w:cs="Arial"/>
                      <w:b w:val="0"/>
                      <w:i w:val="0"/>
                      <w:noProof w:val="0"/>
                      <w:sz w:val="20"/>
                      <w:szCs w:val="20"/>
                      <w:lang w:val="es-419"/>
                    </w:rPr>
                    <w:t xml:space="preserve">    56.4 %</w:t>
                  </w:r>
                </w:p>
              </w:tc>
              <w:tc>
                <w:tcPr>
                  <w:tcW w:w="1418" w:type="dxa"/>
                  <w:shd w:val="clear" w:color="auto" w:fill="auto"/>
                </w:tcPr>
                <w:p w:rsidR="009078FD" w:rsidRDefault="00FC1F11">
                  <w:pPr>
                    <w:pStyle w:val="keywords"/>
                    <w:ind w:firstLine="0"/>
                    <w:jc w:val="center"/>
                    <w:rPr>
                      <w:rFonts w:ascii="Verdana" w:eastAsia="MS Mincho" w:hAnsi="Verdana" w:cs="Arial"/>
                      <w:b w:val="0"/>
                      <w:i w:val="0"/>
                      <w:noProof w:val="0"/>
                      <w:sz w:val="20"/>
                      <w:szCs w:val="20"/>
                      <w:lang w:val="es-419"/>
                    </w:rPr>
                  </w:pPr>
                  <w:r>
                    <w:rPr>
                      <w:rFonts w:ascii="Verdana" w:eastAsia="MS Mincho" w:hAnsi="Verdana" w:cs="Arial"/>
                      <w:b w:val="0"/>
                      <w:i w:val="0"/>
                      <w:noProof w:val="0"/>
                      <w:sz w:val="20"/>
                      <w:szCs w:val="20"/>
                      <w:lang w:val="es-419"/>
                    </w:rPr>
                    <w:t>1</w:t>
                  </w:r>
                </w:p>
              </w:tc>
            </w:tr>
            <w:tr w:rsidR="009078FD">
              <w:tc>
                <w:tcPr>
                  <w:tcW w:w="1696" w:type="dxa"/>
                  <w:shd w:val="clear" w:color="auto" w:fill="auto"/>
                </w:tcPr>
                <w:p w:rsidR="009078FD" w:rsidRDefault="00FC1F11">
                  <w:pPr>
                    <w:pStyle w:val="keywords"/>
                    <w:ind w:firstLine="0"/>
                    <w:rPr>
                      <w:rFonts w:ascii="Verdana" w:eastAsia="MS Mincho" w:hAnsi="Verdana" w:cs="Arial"/>
                      <w:b w:val="0"/>
                      <w:bCs w:val="0"/>
                      <w:i w:val="0"/>
                      <w:noProof w:val="0"/>
                      <w:sz w:val="20"/>
                      <w:szCs w:val="20"/>
                      <w:lang w:val="es-419"/>
                    </w:rPr>
                  </w:pPr>
                  <w:r>
                    <w:rPr>
                      <w:rFonts w:ascii="Verdana" w:eastAsia="MS Mincho" w:hAnsi="Verdana" w:cs="Arial"/>
                      <w:b w:val="0"/>
                      <w:i w:val="0"/>
                      <w:noProof w:val="0"/>
                      <w:sz w:val="20"/>
                      <w:szCs w:val="20"/>
                      <w:lang w:val="es-419"/>
                    </w:rPr>
                    <w:t xml:space="preserve">FIS- 4 </w:t>
                  </w:r>
                </w:p>
              </w:tc>
              <w:tc>
                <w:tcPr>
                  <w:tcW w:w="1701" w:type="dxa"/>
                  <w:shd w:val="clear" w:color="auto" w:fill="auto"/>
                </w:tcPr>
                <w:p w:rsidR="009078FD" w:rsidRDefault="00FC1F11">
                  <w:pPr>
                    <w:pStyle w:val="keywords"/>
                    <w:ind w:firstLine="0"/>
                    <w:rPr>
                      <w:rFonts w:ascii="Verdana" w:eastAsia="MS Mincho" w:hAnsi="Verdana" w:cs="Arial"/>
                      <w:b w:val="0"/>
                      <w:i w:val="0"/>
                      <w:noProof w:val="0"/>
                      <w:sz w:val="20"/>
                      <w:szCs w:val="20"/>
                      <w:lang w:val="es-419"/>
                    </w:rPr>
                  </w:pPr>
                  <w:r>
                    <w:rPr>
                      <w:rFonts w:ascii="Verdana" w:eastAsia="MS Mincho" w:hAnsi="Verdana" w:cs="Arial"/>
                      <w:b w:val="0"/>
                      <w:i w:val="0"/>
                      <w:noProof w:val="0"/>
                      <w:sz w:val="20"/>
                      <w:szCs w:val="20"/>
                      <w:lang w:val="es-419"/>
                    </w:rPr>
                    <w:t xml:space="preserve">    10.9 %</w:t>
                  </w:r>
                </w:p>
              </w:tc>
              <w:tc>
                <w:tcPr>
                  <w:tcW w:w="1418" w:type="dxa"/>
                  <w:shd w:val="clear" w:color="auto" w:fill="auto"/>
                </w:tcPr>
                <w:p w:rsidR="009078FD" w:rsidRDefault="00FC1F11">
                  <w:pPr>
                    <w:pStyle w:val="keywords"/>
                    <w:ind w:firstLine="0"/>
                    <w:jc w:val="center"/>
                    <w:rPr>
                      <w:rFonts w:ascii="Verdana" w:eastAsia="MS Mincho" w:hAnsi="Verdana" w:cs="Arial"/>
                      <w:b w:val="0"/>
                      <w:i w:val="0"/>
                      <w:noProof w:val="0"/>
                      <w:sz w:val="20"/>
                      <w:szCs w:val="20"/>
                      <w:lang w:val="es-419"/>
                    </w:rPr>
                  </w:pPr>
                  <w:r>
                    <w:rPr>
                      <w:rFonts w:ascii="Verdana" w:eastAsia="MS Mincho" w:hAnsi="Verdana" w:cs="Arial"/>
                      <w:b w:val="0"/>
                      <w:i w:val="0"/>
                      <w:noProof w:val="0"/>
                      <w:sz w:val="20"/>
                      <w:szCs w:val="20"/>
                      <w:lang w:val="es-419"/>
                    </w:rPr>
                    <w:t>3</w:t>
                  </w:r>
                </w:p>
              </w:tc>
            </w:tr>
          </w:tbl>
          <w:p w:rsidR="009078FD" w:rsidRDefault="00FC1F11">
            <w:pPr>
              <w:spacing w:after="120"/>
              <w:jc w:val="both"/>
              <w:rPr>
                <w:rFonts w:ascii="Arial" w:hAnsi="Arial" w:cs="Arial"/>
              </w:rPr>
            </w:pPr>
            <w:r>
              <w:rPr>
                <w:rFonts w:ascii="Arial" w:hAnsi="Arial" w:cs="Arial"/>
              </w:rPr>
              <w:t>a</w:t>
            </w:r>
          </w:p>
        </w:tc>
        <w:tc>
          <w:tcPr>
            <w:tcW w:w="4247" w:type="dxa"/>
          </w:tcPr>
          <w:p w:rsidR="009078FD" w:rsidRDefault="00FC1F11">
            <w:pPr>
              <w:spacing w:after="120"/>
              <w:jc w:val="center"/>
              <w:rPr>
                <w:rFonts w:ascii="Times New Roman" w:eastAsia="Times New Roman" w:hAnsi="Times New Roman" w:cs="Times New Roman"/>
                <w:sz w:val="24"/>
                <w:szCs w:val="24"/>
                <w:lang w:eastAsia="es-419"/>
              </w:rPr>
            </w:pPr>
            <w:r>
              <w:rPr>
                <w:rFonts w:ascii="Arial" w:hAnsi="Arial" w:cs="Arial"/>
              </w:rPr>
              <w:t>Ponderación de Demanda Provincial NV</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31"/>
              <w:gridCol w:w="1442"/>
              <w:gridCol w:w="1148"/>
            </w:tblGrid>
            <w:tr w:rsidR="009078FD">
              <w:tc>
                <w:tcPr>
                  <w:tcW w:w="1431" w:type="dxa"/>
                  <w:tcBorders>
                    <w:bottom w:val="single" w:sz="12" w:space="0" w:color="666666"/>
                  </w:tcBorders>
                  <w:shd w:val="clear" w:color="auto" w:fill="D9D9D9"/>
                </w:tcPr>
                <w:p w:rsidR="009078FD" w:rsidRDefault="00FC1F11">
                  <w:pPr>
                    <w:pStyle w:val="keywords"/>
                    <w:ind w:firstLine="0"/>
                    <w:rPr>
                      <w:rFonts w:ascii="Verdana" w:eastAsia="MS Mincho" w:hAnsi="Verdana" w:cs="Arial"/>
                      <w:b w:val="0"/>
                      <w:bCs w:val="0"/>
                      <w:i w:val="0"/>
                      <w:noProof w:val="0"/>
                      <w:sz w:val="20"/>
                      <w:szCs w:val="20"/>
                      <w:lang w:val="es-419"/>
                    </w:rPr>
                  </w:pPr>
                  <w:r>
                    <w:rPr>
                      <w:rFonts w:ascii="Verdana" w:eastAsia="MS Mincho" w:hAnsi="Verdana" w:cs="Arial"/>
                      <w:b w:val="0"/>
                      <w:bCs w:val="0"/>
                      <w:i w:val="0"/>
                      <w:noProof w:val="0"/>
                      <w:sz w:val="20"/>
                      <w:szCs w:val="20"/>
                      <w:lang w:val="es-419"/>
                    </w:rPr>
                    <w:t>Categorías</w:t>
                  </w:r>
                </w:p>
              </w:tc>
              <w:tc>
                <w:tcPr>
                  <w:tcW w:w="1442" w:type="dxa"/>
                  <w:tcBorders>
                    <w:bottom w:val="single" w:sz="12" w:space="0" w:color="666666"/>
                  </w:tcBorders>
                  <w:shd w:val="clear" w:color="auto" w:fill="D9D9D9"/>
                </w:tcPr>
                <w:p w:rsidR="009078FD" w:rsidRDefault="00FC1F11">
                  <w:pPr>
                    <w:pStyle w:val="keywords"/>
                    <w:ind w:firstLine="0"/>
                    <w:rPr>
                      <w:rFonts w:ascii="Verdana" w:eastAsia="MS Mincho" w:hAnsi="Verdana" w:cs="Arial"/>
                      <w:b w:val="0"/>
                      <w:bCs w:val="0"/>
                      <w:i w:val="0"/>
                      <w:noProof w:val="0"/>
                      <w:sz w:val="20"/>
                      <w:szCs w:val="20"/>
                      <w:lang w:val="es-419"/>
                    </w:rPr>
                  </w:pPr>
                  <w:r>
                    <w:rPr>
                      <w:rFonts w:ascii="Verdana" w:eastAsia="MS Mincho" w:hAnsi="Verdana" w:cs="Arial"/>
                      <w:b w:val="0"/>
                      <w:i w:val="0"/>
                      <w:noProof w:val="0"/>
                      <w:sz w:val="20"/>
                      <w:szCs w:val="20"/>
                      <w:lang w:val="es-419"/>
                    </w:rPr>
                    <w:t>Prioridades</w:t>
                  </w:r>
                </w:p>
              </w:tc>
              <w:tc>
                <w:tcPr>
                  <w:tcW w:w="1148" w:type="dxa"/>
                  <w:tcBorders>
                    <w:bottom w:val="single" w:sz="12" w:space="0" w:color="666666"/>
                  </w:tcBorders>
                  <w:shd w:val="clear" w:color="auto" w:fill="D9D9D9"/>
                </w:tcPr>
                <w:p w:rsidR="009078FD" w:rsidRDefault="00FC1F11">
                  <w:pPr>
                    <w:pStyle w:val="keywords"/>
                    <w:ind w:firstLine="0"/>
                    <w:rPr>
                      <w:rFonts w:ascii="Verdana" w:eastAsia="MS Mincho" w:hAnsi="Verdana" w:cs="Arial"/>
                      <w:b w:val="0"/>
                      <w:bCs w:val="0"/>
                      <w:i w:val="0"/>
                      <w:noProof w:val="0"/>
                      <w:sz w:val="20"/>
                      <w:szCs w:val="20"/>
                      <w:lang w:val="es-419"/>
                    </w:rPr>
                  </w:pPr>
                  <w:r>
                    <w:rPr>
                      <w:rFonts w:ascii="Verdana" w:eastAsia="MS Mincho" w:hAnsi="Verdana" w:cs="Arial"/>
                      <w:b w:val="0"/>
                      <w:i w:val="0"/>
                      <w:noProof w:val="0"/>
                      <w:sz w:val="20"/>
                      <w:szCs w:val="20"/>
                      <w:lang w:val="es-419"/>
                    </w:rPr>
                    <w:t>Orden</w:t>
                  </w:r>
                </w:p>
              </w:tc>
            </w:tr>
            <w:tr w:rsidR="009078FD">
              <w:tc>
                <w:tcPr>
                  <w:tcW w:w="1431" w:type="dxa"/>
                  <w:shd w:val="clear" w:color="auto" w:fill="auto"/>
                </w:tcPr>
                <w:p w:rsidR="009078FD" w:rsidRDefault="00FC1F11">
                  <w:pPr>
                    <w:pStyle w:val="keywords"/>
                    <w:ind w:firstLine="0"/>
                    <w:rPr>
                      <w:rFonts w:ascii="Verdana" w:eastAsia="MS Mincho" w:hAnsi="Verdana" w:cs="Arial"/>
                      <w:b w:val="0"/>
                      <w:bCs w:val="0"/>
                      <w:i w:val="0"/>
                      <w:noProof w:val="0"/>
                      <w:sz w:val="20"/>
                      <w:szCs w:val="20"/>
                      <w:lang w:val="es-419"/>
                    </w:rPr>
                  </w:pPr>
                  <w:r>
                    <w:rPr>
                      <w:rFonts w:ascii="Verdana" w:eastAsia="MS Mincho" w:hAnsi="Verdana" w:cs="Arial"/>
                      <w:b w:val="0"/>
                      <w:i w:val="0"/>
                      <w:noProof w:val="0"/>
                      <w:sz w:val="20"/>
                      <w:szCs w:val="20"/>
                      <w:lang w:val="es-419"/>
                    </w:rPr>
                    <w:t>FIS -1</w:t>
                  </w:r>
                </w:p>
              </w:tc>
              <w:tc>
                <w:tcPr>
                  <w:tcW w:w="1442" w:type="dxa"/>
                  <w:shd w:val="clear" w:color="auto" w:fill="auto"/>
                </w:tcPr>
                <w:p w:rsidR="009078FD" w:rsidRDefault="00FC1F11">
                  <w:pPr>
                    <w:pStyle w:val="keywords"/>
                    <w:ind w:firstLine="0"/>
                    <w:jc w:val="center"/>
                    <w:rPr>
                      <w:rFonts w:ascii="Verdana" w:eastAsia="MS Mincho" w:hAnsi="Verdana" w:cs="Arial"/>
                      <w:b w:val="0"/>
                      <w:i w:val="0"/>
                      <w:noProof w:val="0"/>
                      <w:sz w:val="20"/>
                      <w:szCs w:val="20"/>
                      <w:lang w:val="es-419"/>
                    </w:rPr>
                  </w:pPr>
                  <w:r>
                    <w:rPr>
                      <w:rFonts w:ascii="Verdana" w:eastAsia="MS Mincho" w:hAnsi="Verdana"/>
                      <w:b w:val="0"/>
                      <w:i w:val="0"/>
                      <w:noProof w:val="0"/>
                      <w:sz w:val="20"/>
                      <w:szCs w:val="20"/>
                      <w:lang w:val="es-419"/>
                    </w:rPr>
                    <w:t>5.9 %</w:t>
                  </w:r>
                </w:p>
              </w:tc>
              <w:tc>
                <w:tcPr>
                  <w:tcW w:w="1148" w:type="dxa"/>
                  <w:shd w:val="clear" w:color="auto" w:fill="auto"/>
                </w:tcPr>
                <w:p w:rsidR="009078FD" w:rsidRDefault="00FC1F11">
                  <w:pPr>
                    <w:pStyle w:val="keywords"/>
                    <w:ind w:firstLine="0"/>
                    <w:jc w:val="center"/>
                    <w:rPr>
                      <w:rFonts w:ascii="Verdana" w:eastAsia="MS Mincho" w:hAnsi="Verdana" w:cs="Arial"/>
                      <w:b w:val="0"/>
                      <w:i w:val="0"/>
                      <w:noProof w:val="0"/>
                      <w:sz w:val="20"/>
                      <w:szCs w:val="20"/>
                      <w:lang w:val="es-419"/>
                    </w:rPr>
                  </w:pPr>
                  <w:r>
                    <w:rPr>
                      <w:rFonts w:ascii="Verdana" w:eastAsia="MS Mincho" w:hAnsi="Verdana" w:cs="Arial"/>
                      <w:b w:val="0"/>
                      <w:i w:val="0"/>
                      <w:noProof w:val="0"/>
                      <w:sz w:val="20"/>
                      <w:szCs w:val="20"/>
                      <w:lang w:val="es-419"/>
                    </w:rPr>
                    <w:t>4</w:t>
                  </w:r>
                </w:p>
              </w:tc>
            </w:tr>
            <w:tr w:rsidR="009078FD">
              <w:tc>
                <w:tcPr>
                  <w:tcW w:w="1431" w:type="dxa"/>
                  <w:shd w:val="clear" w:color="auto" w:fill="auto"/>
                </w:tcPr>
                <w:p w:rsidR="009078FD" w:rsidRDefault="00FC1F11">
                  <w:pPr>
                    <w:pStyle w:val="keywords"/>
                    <w:ind w:firstLine="0"/>
                    <w:rPr>
                      <w:rFonts w:ascii="Verdana" w:eastAsia="MS Mincho" w:hAnsi="Verdana" w:cs="Arial"/>
                      <w:b w:val="0"/>
                      <w:bCs w:val="0"/>
                      <w:i w:val="0"/>
                      <w:noProof w:val="0"/>
                      <w:sz w:val="20"/>
                      <w:szCs w:val="20"/>
                      <w:lang w:val="es-419"/>
                    </w:rPr>
                  </w:pPr>
                  <w:r>
                    <w:rPr>
                      <w:rFonts w:ascii="Verdana" w:eastAsia="MS Mincho" w:hAnsi="Verdana" w:cs="Arial"/>
                      <w:b w:val="0"/>
                      <w:i w:val="0"/>
                      <w:noProof w:val="0"/>
                      <w:sz w:val="20"/>
                      <w:szCs w:val="20"/>
                      <w:lang w:val="es-419"/>
                    </w:rPr>
                    <w:t>FIS -2</w:t>
                  </w:r>
                </w:p>
              </w:tc>
              <w:tc>
                <w:tcPr>
                  <w:tcW w:w="1442" w:type="dxa"/>
                  <w:shd w:val="clear" w:color="auto" w:fill="auto"/>
                </w:tcPr>
                <w:p w:rsidR="009078FD" w:rsidRDefault="00FC1F11">
                  <w:pPr>
                    <w:pStyle w:val="keywords"/>
                    <w:ind w:firstLine="0"/>
                    <w:rPr>
                      <w:rFonts w:ascii="Verdana" w:eastAsia="MS Mincho" w:hAnsi="Verdana" w:cs="Arial"/>
                      <w:b w:val="0"/>
                      <w:i w:val="0"/>
                      <w:noProof w:val="0"/>
                      <w:sz w:val="20"/>
                      <w:szCs w:val="20"/>
                      <w:lang w:val="es-419"/>
                    </w:rPr>
                  </w:pPr>
                  <w:r>
                    <w:rPr>
                      <w:rFonts w:ascii="Verdana" w:eastAsia="MS Mincho" w:hAnsi="Verdana"/>
                      <w:b w:val="0"/>
                      <w:i w:val="0"/>
                      <w:noProof w:val="0"/>
                      <w:sz w:val="20"/>
                      <w:szCs w:val="20"/>
                      <w:lang w:val="es-419"/>
                    </w:rPr>
                    <w:t xml:space="preserve">    53.1 %</w:t>
                  </w:r>
                </w:p>
              </w:tc>
              <w:tc>
                <w:tcPr>
                  <w:tcW w:w="1148" w:type="dxa"/>
                  <w:shd w:val="clear" w:color="auto" w:fill="auto"/>
                </w:tcPr>
                <w:p w:rsidR="009078FD" w:rsidRDefault="00FC1F11">
                  <w:pPr>
                    <w:pStyle w:val="keywords"/>
                    <w:ind w:firstLine="0"/>
                    <w:jc w:val="center"/>
                    <w:rPr>
                      <w:rFonts w:ascii="Verdana" w:eastAsia="MS Mincho" w:hAnsi="Verdana"/>
                      <w:b w:val="0"/>
                      <w:sz w:val="20"/>
                      <w:szCs w:val="20"/>
                      <w:lang w:val="es-419"/>
                    </w:rPr>
                  </w:pPr>
                  <w:r>
                    <w:rPr>
                      <w:rFonts w:ascii="Verdana" w:eastAsia="MS Mincho" w:hAnsi="Verdana" w:cs="Arial"/>
                      <w:b w:val="0"/>
                      <w:i w:val="0"/>
                      <w:noProof w:val="0"/>
                      <w:sz w:val="20"/>
                      <w:szCs w:val="20"/>
                      <w:lang w:val="es-419"/>
                    </w:rPr>
                    <w:t>1</w:t>
                  </w:r>
                </w:p>
              </w:tc>
            </w:tr>
            <w:tr w:rsidR="009078FD">
              <w:tc>
                <w:tcPr>
                  <w:tcW w:w="1431" w:type="dxa"/>
                  <w:shd w:val="clear" w:color="auto" w:fill="auto"/>
                </w:tcPr>
                <w:p w:rsidR="009078FD" w:rsidRDefault="00FC1F11">
                  <w:pPr>
                    <w:pStyle w:val="keywords"/>
                    <w:ind w:firstLine="0"/>
                    <w:rPr>
                      <w:rFonts w:ascii="Verdana" w:eastAsia="MS Mincho" w:hAnsi="Verdana" w:cs="Arial"/>
                      <w:b w:val="0"/>
                      <w:bCs w:val="0"/>
                      <w:i w:val="0"/>
                      <w:noProof w:val="0"/>
                      <w:sz w:val="20"/>
                      <w:szCs w:val="20"/>
                      <w:lang w:val="es-419"/>
                    </w:rPr>
                  </w:pPr>
                  <w:r>
                    <w:rPr>
                      <w:rFonts w:ascii="Verdana" w:eastAsia="MS Mincho" w:hAnsi="Verdana" w:cs="Arial"/>
                      <w:b w:val="0"/>
                      <w:i w:val="0"/>
                      <w:noProof w:val="0"/>
                      <w:sz w:val="20"/>
                      <w:szCs w:val="20"/>
                      <w:lang w:val="es-419"/>
                    </w:rPr>
                    <w:t>FIS -3</w:t>
                  </w:r>
                </w:p>
              </w:tc>
              <w:tc>
                <w:tcPr>
                  <w:tcW w:w="1442" w:type="dxa"/>
                  <w:shd w:val="clear" w:color="auto" w:fill="auto"/>
                </w:tcPr>
                <w:p w:rsidR="009078FD" w:rsidRDefault="00FC1F11">
                  <w:pPr>
                    <w:pStyle w:val="keywords"/>
                    <w:ind w:firstLine="0"/>
                    <w:rPr>
                      <w:rFonts w:ascii="Verdana" w:eastAsia="MS Mincho" w:hAnsi="Verdana" w:cs="Arial"/>
                      <w:b w:val="0"/>
                      <w:i w:val="0"/>
                      <w:noProof w:val="0"/>
                      <w:sz w:val="20"/>
                      <w:szCs w:val="20"/>
                      <w:lang w:val="es-419"/>
                    </w:rPr>
                  </w:pPr>
                  <w:r>
                    <w:rPr>
                      <w:rFonts w:ascii="Verdana" w:eastAsia="MS Mincho" w:hAnsi="Verdana" w:cs="Arial"/>
                      <w:b w:val="0"/>
                      <w:i w:val="0"/>
                      <w:noProof w:val="0"/>
                      <w:sz w:val="20"/>
                      <w:szCs w:val="20"/>
                      <w:lang w:val="es-419"/>
                    </w:rPr>
                    <w:t xml:space="preserve">    28.2 %</w:t>
                  </w:r>
                </w:p>
              </w:tc>
              <w:tc>
                <w:tcPr>
                  <w:tcW w:w="1148" w:type="dxa"/>
                  <w:shd w:val="clear" w:color="auto" w:fill="auto"/>
                </w:tcPr>
                <w:p w:rsidR="009078FD" w:rsidRDefault="00FC1F11">
                  <w:pPr>
                    <w:pStyle w:val="keywords"/>
                    <w:ind w:firstLine="0"/>
                    <w:jc w:val="center"/>
                    <w:rPr>
                      <w:rFonts w:ascii="Verdana" w:eastAsia="MS Mincho" w:hAnsi="Verdana" w:cs="Arial"/>
                      <w:b w:val="0"/>
                      <w:i w:val="0"/>
                      <w:noProof w:val="0"/>
                      <w:sz w:val="20"/>
                      <w:szCs w:val="20"/>
                      <w:lang w:val="es-419"/>
                    </w:rPr>
                  </w:pPr>
                  <w:r>
                    <w:rPr>
                      <w:rFonts w:ascii="Verdana" w:eastAsia="MS Mincho" w:hAnsi="Verdana" w:cs="Arial"/>
                      <w:b w:val="0"/>
                      <w:i w:val="0"/>
                      <w:noProof w:val="0"/>
                      <w:sz w:val="20"/>
                      <w:szCs w:val="20"/>
                      <w:lang w:val="es-419"/>
                    </w:rPr>
                    <w:t>2</w:t>
                  </w:r>
                </w:p>
              </w:tc>
            </w:tr>
            <w:tr w:rsidR="009078FD">
              <w:tc>
                <w:tcPr>
                  <w:tcW w:w="1431" w:type="dxa"/>
                  <w:shd w:val="clear" w:color="auto" w:fill="auto"/>
                </w:tcPr>
                <w:p w:rsidR="009078FD" w:rsidRDefault="00FC1F11">
                  <w:pPr>
                    <w:pStyle w:val="keywords"/>
                    <w:ind w:firstLine="0"/>
                    <w:rPr>
                      <w:rFonts w:ascii="Verdana" w:eastAsia="MS Mincho" w:hAnsi="Verdana" w:cs="Arial"/>
                      <w:b w:val="0"/>
                      <w:bCs w:val="0"/>
                      <w:i w:val="0"/>
                      <w:noProof w:val="0"/>
                      <w:sz w:val="20"/>
                      <w:szCs w:val="20"/>
                      <w:lang w:val="es-419"/>
                    </w:rPr>
                  </w:pPr>
                  <w:r>
                    <w:rPr>
                      <w:rFonts w:ascii="Verdana" w:eastAsia="MS Mincho" w:hAnsi="Verdana" w:cs="Arial"/>
                      <w:b w:val="0"/>
                      <w:i w:val="0"/>
                      <w:noProof w:val="0"/>
                      <w:sz w:val="20"/>
                      <w:szCs w:val="20"/>
                      <w:lang w:val="es-419"/>
                    </w:rPr>
                    <w:t xml:space="preserve">FIS- 4 </w:t>
                  </w:r>
                </w:p>
              </w:tc>
              <w:tc>
                <w:tcPr>
                  <w:tcW w:w="1442" w:type="dxa"/>
                  <w:shd w:val="clear" w:color="auto" w:fill="auto"/>
                </w:tcPr>
                <w:p w:rsidR="009078FD" w:rsidRDefault="00FC1F11">
                  <w:pPr>
                    <w:pStyle w:val="keywords"/>
                    <w:ind w:firstLine="0"/>
                    <w:rPr>
                      <w:rFonts w:ascii="Verdana" w:eastAsia="MS Mincho" w:hAnsi="Verdana" w:cs="Arial"/>
                      <w:b w:val="0"/>
                      <w:i w:val="0"/>
                      <w:noProof w:val="0"/>
                      <w:sz w:val="20"/>
                      <w:szCs w:val="20"/>
                      <w:lang w:val="es-419"/>
                    </w:rPr>
                  </w:pPr>
                  <w:r>
                    <w:rPr>
                      <w:rFonts w:ascii="Verdana" w:eastAsia="MS Mincho" w:hAnsi="Verdana" w:cs="Arial"/>
                      <w:b w:val="0"/>
                      <w:i w:val="0"/>
                      <w:noProof w:val="0"/>
                      <w:sz w:val="20"/>
                      <w:szCs w:val="20"/>
                      <w:lang w:val="es-419"/>
                    </w:rPr>
                    <w:t xml:space="preserve">    12.8 %</w:t>
                  </w:r>
                </w:p>
              </w:tc>
              <w:tc>
                <w:tcPr>
                  <w:tcW w:w="1148" w:type="dxa"/>
                  <w:shd w:val="clear" w:color="auto" w:fill="auto"/>
                </w:tcPr>
                <w:p w:rsidR="009078FD" w:rsidRDefault="00FC1F11">
                  <w:pPr>
                    <w:pStyle w:val="keywords"/>
                    <w:ind w:firstLine="0"/>
                    <w:jc w:val="center"/>
                    <w:rPr>
                      <w:rFonts w:ascii="Verdana" w:eastAsia="MS Mincho" w:hAnsi="Verdana" w:cs="Arial"/>
                      <w:b w:val="0"/>
                      <w:i w:val="0"/>
                      <w:noProof w:val="0"/>
                      <w:sz w:val="20"/>
                      <w:szCs w:val="20"/>
                      <w:lang w:val="es-419"/>
                    </w:rPr>
                  </w:pPr>
                  <w:r>
                    <w:rPr>
                      <w:rFonts w:ascii="Verdana" w:eastAsia="MS Mincho" w:hAnsi="Verdana" w:cs="Arial"/>
                      <w:b w:val="0"/>
                      <w:i w:val="0"/>
                      <w:noProof w:val="0"/>
                      <w:sz w:val="20"/>
                      <w:szCs w:val="20"/>
                      <w:lang w:val="es-419"/>
                    </w:rPr>
                    <w:t>3</w:t>
                  </w:r>
                </w:p>
              </w:tc>
            </w:tr>
          </w:tbl>
          <w:p w:rsidR="009078FD" w:rsidRDefault="00FC1F11">
            <w:pPr>
              <w:spacing w:after="120"/>
              <w:jc w:val="both"/>
              <w:rPr>
                <w:rFonts w:ascii="Arial" w:hAnsi="Arial" w:cs="Arial"/>
              </w:rPr>
            </w:pPr>
            <w:r>
              <w:rPr>
                <w:rFonts w:ascii="Arial" w:hAnsi="Arial" w:cs="Arial"/>
              </w:rPr>
              <w:t>b</w:t>
            </w:r>
          </w:p>
        </w:tc>
      </w:tr>
    </w:tbl>
    <w:p w:rsidR="009078FD" w:rsidRDefault="00FC1F11">
      <w:pPr>
        <w:autoSpaceDE w:val="0"/>
        <w:autoSpaceDN w:val="0"/>
        <w:adjustRightInd w:val="0"/>
        <w:spacing w:after="120" w:line="240" w:lineRule="auto"/>
        <w:jc w:val="both"/>
        <w:rPr>
          <w:rFonts w:ascii="Times New Roman" w:hAnsi="Times New Roman" w:cs="Times New Roman"/>
          <w:sz w:val="20"/>
          <w:szCs w:val="20"/>
        </w:rPr>
      </w:pPr>
      <w:r>
        <w:rPr>
          <w:rFonts w:ascii="Times New Roman" w:hAnsi="Times New Roman" w:cs="Times New Roman"/>
          <w:b/>
          <w:bCs/>
          <w:sz w:val="20"/>
          <w:szCs w:val="20"/>
        </w:rPr>
        <w:t>Fuente:</w:t>
      </w:r>
      <w:r>
        <w:rPr>
          <w:rFonts w:ascii="Times New Roman" w:hAnsi="Times New Roman" w:cs="Times New Roman"/>
          <w:sz w:val="20"/>
          <w:szCs w:val="20"/>
        </w:rPr>
        <w:t xml:space="preserve"> Elaboración propia a partir de Goepel (2018)</w:t>
      </w:r>
    </w:p>
    <w:p w:rsidR="009078FD" w:rsidRDefault="00FC1F1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Al analizar los resultados obtenidos en ponderación de la demanda provincial se evidencia que para el caso de las acciones constructivas el conductor que más influye es el crecimiento del turismo, esto se debe fundamentalmente a que un alto arribo de turistas estimula las acciones constructivas para el arriendo de viviendas con tales fines. En segundo lugar, se encuentra el estado del fondo habitacional; Cienfuegos se caracteriza por un fondo habitacional renovado en algunos lugares por el paso de eventos climatológicos, mientras que otros por su estado demandan de acciones constructivas. Por último, se encuentran la influencia de los desastres naturales y el fondo habitacional. La primera tiene una marcada influencia, del total de eventos registrados en el país, la mayoría han tenido cierto nivel de afectación en el territorio que van desde mínimas producto de lluvias no tan intensas, pero atípicas, hasta grandes eventos destructivos por fuertes vientos, lluvias intensas y aumento de marea. El crecimiento poblacional es un elemento que, aunque se mantiene con una tendencia leve a su disminución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{"citationItems":[{"id":"ITEM-1","itemData":{"author":[{"dropping-particle":"","family":"Oficina Nacional de Estadística e Información","given":"(ONEI)","non-dropping-particle":"","parse-names":false,"suffix":""}],"id":"ITEM-1","issued":{"date-parts":[["2020"]]},"number-of-pages":"222","publisher-place":"Cienfuegos","title":"Anuario Estadístico 2019. Cienfuegos","type":"report"},"uris":["http://www.mendeley.com/documents/?uuid=0f32f448-6b11-49be-9e44-c9ff9006eb17"]}],"mendeley":{"formattedCitation":"(Oficina Nacional de Estadística e Información, 2020)","plainTextFormattedCitation":"(Oficina Nacional de Estadística e Información, 2020)","previouslyFormattedCitation":"(Oficina Nacional de Estadística e Información,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(Oficina Nacional de Estadística e Información, 2020)</w:t>
      </w:r>
      <w:r>
        <w:rPr>
          <w:rFonts w:ascii="Times New Roman" w:hAnsi="Times New Roman" w:cs="Times New Roman"/>
          <w:sz w:val="24"/>
          <w:szCs w:val="24"/>
        </w:rPr>
        <w:fldChar w:fldCharType="end"/>
      </w:r>
      <w:r>
        <w:rPr>
          <w:rFonts w:ascii="Times New Roman" w:hAnsi="Times New Roman" w:cs="Times New Roman"/>
          <w:sz w:val="24"/>
          <w:szCs w:val="24"/>
        </w:rPr>
        <w:t xml:space="preserve"> también genera cambios en las viviendas ante la inexistencia de nuevas construcciones.</w:t>
      </w:r>
    </w:p>
    <w:p w:rsidR="009078FD" w:rsidRDefault="00FC1F1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Las nuevas viviendas arrojan resultados semejantes. Los dos primeros conductores se invierten con ponderaciones similares. El estado del fondo habitacional genera más nuevas viviendas, las viviendas en muy mal estado llevan demolición y la construcción de una nueva, siendo más frecuente construir una casa nueva por este motivo que para arrendarla. Los desastres naturales provocan daños graves al fondo habitacional, llevando en la mayoría de los casos a afectaciones totales de las viviendas, por lo que para este caso su peso aumenta con respecto al crecimiento poblacional.</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Los pronósticos de demanda provincial obtenidos a partir del análisis anterior para los años 2016, 2017 y 2018, resultados de la aplicación de la ecuación 1 se muestra en las Figura 5 siguientes:</w:t>
      </w:r>
    </w:p>
    <w:p w:rsidR="009078FD" w:rsidRDefault="009078FD">
      <w:pPr>
        <w:pStyle w:val="keywords"/>
        <w:ind w:firstLine="0"/>
        <w:rPr>
          <w:rFonts w:ascii="Verdana" w:eastAsia="MS Mincho" w:hAnsi="Verdana" w:cs="Arial"/>
          <w:b w:val="0"/>
          <w:i w:val="0"/>
          <w:sz w:val="20"/>
          <w:szCs w:val="20"/>
          <w:lang w:val="es-4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244"/>
        <w:gridCol w:w="4250"/>
      </w:tblGrid>
      <w:tr w:rsidR="009078FD">
        <w:tc>
          <w:tcPr>
            <w:tcW w:w="4244" w:type="dxa"/>
          </w:tcPr>
          <w:p w:rsidR="009078FD" w:rsidRDefault="00FC1F11">
            <w:pPr>
              <w:spacing w:after="120"/>
              <w:jc w:val="both"/>
              <w:rPr>
                <w:rFonts w:ascii="Arial" w:hAnsi="Arial" w:cs="Arial"/>
              </w:rPr>
            </w:pPr>
            <w:r>
              <w:rPr>
                <w:noProof/>
              </w:rPr>
              <w:drawing>
                <wp:inline distT="0" distB="0" distL="114300" distR="114300">
                  <wp:extent cx="2571750" cy="2352675"/>
                  <wp:effectExtent l="0" t="0" r="0" b="0"/>
                  <wp:docPr id="104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078FD" w:rsidRDefault="00FC1F11">
            <w:pPr>
              <w:spacing w:after="120"/>
              <w:jc w:val="both"/>
              <w:rPr>
                <w:rFonts w:ascii="Arial" w:hAnsi="Arial" w:cs="Arial"/>
              </w:rPr>
            </w:pPr>
            <w:r>
              <w:rPr>
                <w:rFonts w:ascii="Arial" w:hAnsi="Arial" w:cs="Arial"/>
              </w:rPr>
              <w:t>a</w:t>
            </w:r>
          </w:p>
        </w:tc>
        <w:tc>
          <w:tcPr>
            <w:tcW w:w="4250" w:type="dxa"/>
          </w:tcPr>
          <w:p w:rsidR="009078FD" w:rsidRDefault="00FC1F11">
            <w:pPr>
              <w:spacing w:after="120"/>
              <w:jc w:val="both"/>
              <w:rPr>
                <w:rFonts w:ascii="Arial" w:hAnsi="Arial" w:cs="Arial"/>
              </w:rPr>
            </w:pPr>
            <w:r>
              <w:rPr>
                <w:noProof/>
              </w:rPr>
              <w:drawing>
                <wp:inline distT="0" distB="0" distL="114300" distR="114300">
                  <wp:extent cx="2603500" cy="2352675"/>
                  <wp:effectExtent l="0" t="0" r="0" b="0"/>
                  <wp:docPr id="104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078FD" w:rsidRDefault="00FC1F11">
            <w:pPr>
              <w:spacing w:after="120"/>
              <w:jc w:val="both"/>
              <w:rPr>
                <w:rFonts w:ascii="Arial" w:hAnsi="Arial" w:cs="Arial"/>
              </w:rPr>
            </w:pPr>
            <w:r>
              <w:rPr>
                <w:rFonts w:ascii="Arial" w:hAnsi="Arial" w:cs="Arial"/>
              </w:rPr>
              <w:t>b</w:t>
            </w:r>
          </w:p>
        </w:tc>
      </w:tr>
    </w:tbl>
    <w:p w:rsidR="009078FD" w:rsidRDefault="00FC1F11">
      <w:pPr>
        <w:spacing w:after="120" w:line="240" w:lineRule="auto"/>
        <w:jc w:val="both"/>
        <w:rPr>
          <w:rFonts w:ascii="Times New Roman" w:hAnsi="Times New Roman" w:cs="Times New Roman"/>
          <w:sz w:val="20"/>
          <w:szCs w:val="20"/>
        </w:rPr>
      </w:pPr>
      <w:r>
        <w:rPr>
          <w:rFonts w:ascii="Times New Roman" w:hAnsi="Times New Roman" w:cs="Times New Roman"/>
          <w:b/>
          <w:bCs/>
          <w:sz w:val="20"/>
          <w:szCs w:val="20"/>
        </w:rPr>
        <w:t>Figura 5.</w:t>
      </w:r>
      <w:r>
        <w:rPr>
          <w:rFonts w:ascii="Times New Roman" w:hAnsi="Times New Roman" w:cs="Times New Roman"/>
          <w:sz w:val="20"/>
          <w:szCs w:val="20"/>
        </w:rPr>
        <w:t xml:space="preserve"> Valores de demanda de vivienda para los años 2015, 2016 y 2017.  a) Demanda para nuevas viviendas; b) Demanda para acciones constructivas</w:t>
      </w:r>
    </w:p>
    <w:p w:rsidR="009078FD" w:rsidRDefault="00FC1F1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Las demandas municipales se obtienen de forma similar a la provincial. Se establecen tres grupos de municipios teniendo en cuenta sus características.  El primer grupo corresponde al municipio de Cienfuegos, por ser municipio cabecera, presenta un mayor número de población residente que alcanza los 177 958 personas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{"citationItems":[{"id":"ITEM-1","itemData":{"author":[{"dropping-particle":"","family":"Oficina Nacional de Estadística e Información","given":"(ONEI)","non-dropping-particle":"","parse-names":false,"suffix":""}],"id":"ITEM-1","issued":{"date-parts":[["2020"]]},"number-of-pages":"222","publisher-place":"Cienfuegos","title":"Anuario Estadístico 2019. Cienfuegos","type":"report"},"uris":["http://www.mendeley.com/documents/?uuid=0f32f448-6b11-49be-9e44-c9ff9006eb17"]}],"mendeley":{"formattedCitation":"(Oficina Nacional de Estadística e Información, 2020)","manualFormatting":"(Oficina Nacional de Estadística e Información (ONEI), 2020)","plainTextFormattedCitation":"(Oficina Nacional de Estadística e Información, 2020)","previouslyFormattedCitation":"(Oficina Nacional de Estadística e Información,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(Oficina Nacional de Estadística e Información (ONEI), 2020)</w:t>
      </w:r>
      <w:r>
        <w:rPr>
          <w:rFonts w:ascii="Times New Roman" w:hAnsi="Times New Roman" w:cs="Times New Roman"/>
          <w:sz w:val="24"/>
          <w:szCs w:val="24"/>
        </w:rPr>
        <w:fldChar w:fldCharType="end"/>
      </w:r>
      <w:r>
        <w:rPr>
          <w:rFonts w:ascii="Times New Roman" w:hAnsi="Times New Roman" w:cs="Times New Roman"/>
          <w:sz w:val="24"/>
          <w:szCs w:val="24"/>
        </w:rPr>
        <w:t xml:space="preserve">, la influencia del turismo es superior al resto por concentrase los principales atractivos en esta zona y posee además mayor desarrollo económico. Cumanayagua es el segundo grupo, este municipio posee el segundo mayor número de habitantes en la provincia 48 301 personas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{"citationItems":[{"id":"ITEM-1","itemData":{"author":[{"dropping-particle":"","family":"Oficina Nacional de Estadística e Información","given":"(ONEI)","non-dropping-particle":"","parse-names":false,"suffix":""}],"id":"ITEM-1","issued":{"date-parts":[["2020"]]},"number-of-pages":"222","publisher-place":"Cienfuegos","title":"Anuario Estadístico 2019. Cienfuegos","type":"report"},"uris":["http://www.mendeley.com/documents/?uuid=0f32f448-6b11-49be-9e44-c9ff9006eb17"]}],"mendeley":{"formattedCitation":"(Oficina Nacional de Estadística e Información, 2020)","manualFormatting":"(ONEI 2020)","plainTextFormattedCitation":"(Oficina Nacional de Estadística e Información, 2020)","previouslyFormattedCitation":"(Oficina Nacional de Estadística e Información,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(ONEI 2020)</w:t>
      </w:r>
      <w:r>
        <w:rPr>
          <w:rFonts w:ascii="Times New Roman" w:hAnsi="Times New Roman" w:cs="Times New Roman"/>
          <w:sz w:val="24"/>
          <w:szCs w:val="24"/>
        </w:rPr>
        <w:fldChar w:fldCharType="end"/>
      </w:r>
      <w:r>
        <w:rPr>
          <w:rFonts w:ascii="Times New Roman" w:hAnsi="Times New Roman" w:cs="Times New Roman"/>
          <w:sz w:val="24"/>
          <w:szCs w:val="24"/>
        </w:rPr>
        <w:t xml:space="preserve">, sus características geográficas lo diferencian del resto al presentar mayor extensión y zonas montañosas que provoca </w:t>
      </w:r>
      <w:r>
        <w:rPr>
          <w:rFonts w:ascii="Times New Roman" w:hAnsi="Times New Roman" w:cs="Times New Roman"/>
          <w:sz w:val="24"/>
          <w:szCs w:val="24"/>
        </w:rPr>
        <w:lastRenderedPageBreak/>
        <w:t xml:space="preserve">una mayor incidencia de los efectos climatológicos, este municipio posee además un desarrollo industrial elevado y a él pertenecen las demás atracciones turísticas de la provincia. El tercer grupo lo componen el resto de los municipios, los que, presentan densidad poblacional similar, estado del fondo habitacional sin grandes diferencias y cuya incidencia del turismo no es directa. </w:t>
      </w:r>
    </w:p>
    <w:p w:rsidR="009078FD" w:rsidRDefault="00FC1F1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En el caso de los municipios se analizan el peso de cada uno en la demanda y la influencia de cada conductor en el territorio (ver tabla 5 y 6). En este caso se puede apreciar cómo por grupo de municipios las influencias de los conductores y los pesos que representan en la demanda provincial cambian según sea el caso.</w:t>
      </w:r>
    </w:p>
    <w:p w:rsidR="009078FD" w:rsidRDefault="00FC1F11">
      <w:pPr>
        <w:spacing w:after="120" w:line="240" w:lineRule="auto"/>
        <w:jc w:val="both"/>
        <w:rPr>
          <w:rFonts w:ascii="Times New Roman" w:hAnsi="Times New Roman" w:cs="Times New Roman"/>
          <w:sz w:val="20"/>
          <w:szCs w:val="20"/>
        </w:rPr>
      </w:pPr>
      <w:r>
        <w:rPr>
          <w:rFonts w:ascii="Times New Roman" w:hAnsi="Times New Roman" w:cs="Times New Roman"/>
          <w:b/>
          <w:bCs/>
          <w:sz w:val="20"/>
          <w:szCs w:val="20"/>
        </w:rPr>
        <w:t>Tabla 5.</w:t>
      </w:r>
      <w:r>
        <w:rPr>
          <w:rFonts w:ascii="Times New Roman" w:hAnsi="Times New Roman" w:cs="Times New Roman"/>
          <w:sz w:val="20"/>
          <w:szCs w:val="20"/>
        </w:rPr>
        <w:t xml:space="preserve">  Ponderación de Demanda municipal para AC</w:t>
      </w:r>
    </w:p>
    <w:tbl>
      <w:tblPr>
        <w:tblW w:w="86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2534"/>
        <w:gridCol w:w="1572"/>
        <w:gridCol w:w="1134"/>
        <w:gridCol w:w="1134"/>
        <w:gridCol w:w="1134"/>
        <w:gridCol w:w="1134"/>
      </w:tblGrid>
      <w:tr w:rsidR="009078FD">
        <w:tc>
          <w:tcPr>
            <w:tcW w:w="2534" w:type="dxa"/>
            <w:vMerge w:val="restart"/>
            <w:shd w:val="clear" w:color="auto" w:fill="D9D9D9"/>
          </w:tcPr>
          <w:p w:rsidR="009078FD" w:rsidRDefault="009078FD">
            <w:pPr>
              <w:pStyle w:val="keywords"/>
              <w:jc w:val="center"/>
              <w:rPr>
                <w:rFonts w:eastAsia="MS Mincho"/>
                <w:b w:val="0"/>
                <w:i w:val="0"/>
                <w:noProof w:val="0"/>
                <w:sz w:val="20"/>
                <w:szCs w:val="20"/>
                <w:lang w:val="es-ES"/>
              </w:rPr>
            </w:pPr>
          </w:p>
          <w:p w:rsidR="009078FD" w:rsidRDefault="00FC1F11">
            <w:pPr>
              <w:pStyle w:val="keywords"/>
              <w:ind w:firstLine="22"/>
              <w:jc w:val="center"/>
              <w:rPr>
                <w:rFonts w:eastAsia="MS Mincho"/>
                <w:b w:val="0"/>
                <w:i w:val="0"/>
                <w:noProof w:val="0"/>
                <w:sz w:val="20"/>
                <w:szCs w:val="20"/>
                <w:lang w:val="es-ES"/>
              </w:rPr>
            </w:pPr>
            <w:r>
              <w:rPr>
                <w:rFonts w:eastAsia="MS Mincho"/>
                <w:b w:val="0"/>
                <w:i w:val="0"/>
                <w:noProof w:val="0"/>
                <w:sz w:val="20"/>
                <w:szCs w:val="20"/>
                <w:lang w:val="es-ES"/>
              </w:rPr>
              <w:t>Grupos de municipios</w:t>
            </w:r>
          </w:p>
        </w:tc>
        <w:tc>
          <w:tcPr>
            <w:tcW w:w="1572" w:type="dxa"/>
            <w:vMerge w:val="restart"/>
            <w:shd w:val="clear" w:color="auto" w:fill="D9D9D9"/>
          </w:tcPr>
          <w:p w:rsidR="009078FD" w:rsidRDefault="00FC1F11">
            <w:pPr>
              <w:pStyle w:val="keywords"/>
              <w:ind w:firstLine="29"/>
              <w:jc w:val="center"/>
              <w:rPr>
                <w:rFonts w:eastAsia="MS Mincho"/>
                <w:b w:val="0"/>
                <w:i w:val="0"/>
                <w:noProof w:val="0"/>
                <w:sz w:val="20"/>
                <w:szCs w:val="20"/>
                <w:lang w:val="es-ES"/>
              </w:rPr>
            </w:pPr>
            <w:r>
              <w:rPr>
                <w:rFonts w:eastAsia="MS Mincho"/>
                <w:b w:val="0"/>
                <w:i w:val="0"/>
                <w:noProof w:val="0"/>
                <w:sz w:val="20"/>
                <w:szCs w:val="20"/>
                <w:lang w:val="es-ES"/>
              </w:rPr>
              <w:t>Pesos de los municipios</w:t>
            </w:r>
          </w:p>
        </w:tc>
        <w:tc>
          <w:tcPr>
            <w:tcW w:w="4536" w:type="dxa"/>
            <w:gridSpan w:val="4"/>
            <w:tcBorders>
              <w:bottom w:val="single" w:sz="12" w:space="0" w:color="666666"/>
            </w:tcBorders>
            <w:shd w:val="clear" w:color="auto" w:fill="D9D9D9"/>
          </w:tcPr>
          <w:p w:rsidR="009078FD" w:rsidRDefault="00FC1F11">
            <w:pPr>
              <w:pStyle w:val="keywords"/>
              <w:ind w:firstLine="0"/>
              <w:jc w:val="center"/>
              <w:rPr>
                <w:rFonts w:eastAsia="MS Mincho"/>
                <w:b w:val="0"/>
                <w:i w:val="0"/>
                <w:noProof w:val="0"/>
                <w:sz w:val="20"/>
                <w:szCs w:val="20"/>
                <w:lang w:val="es-ES"/>
              </w:rPr>
            </w:pPr>
            <w:r>
              <w:rPr>
                <w:rFonts w:eastAsia="MS Mincho"/>
                <w:b w:val="0"/>
                <w:i w:val="0"/>
                <w:noProof w:val="0"/>
                <w:sz w:val="20"/>
                <w:szCs w:val="20"/>
                <w:lang w:val="es-ES"/>
              </w:rPr>
              <w:t>Pesos de los conductores en los municipios</w:t>
            </w:r>
          </w:p>
        </w:tc>
      </w:tr>
      <w:tr w:rsidR="009078FD">
        <w:tc>
          <w:tcPr>
            <w:tcW w:w="2534" w:type="dxa"/>
            <w:vMerge/>
            <w:tcBorders>
              <w:bottom w:val="single" w:sz="12" w:space="0" w:color="666666"/>
            </w:tcBorders>
            <w:shd w:val="clear" w:color="auto" w:fill="D9D9D9"/>
          </w:tcPr>
          <w:p w:rsidR="009078FD" w:rsidRDefault="009078FD">
            <w:pPr>
              <w:pStyle w:val="keywords"/>
              <w:ind w:firstLine="0"/>
              <w:jc w:val="center"/>
              <w:rPr>
                <w:rFonts w:eastAsia="MS Mincho"/>
                <w:b w:val="0"/>
                <w:bCs w:val="0"/>
                <w:i w:val="0"/>
                <w:noProof w:val="0"/>
                <w:sz w:val="20"/>
                <w:szCs w:val="20"/>
              </w:rPr>
            </w:pPr>
          </w:p>
        </w:tc>
        <w:tc>
          <w:tcPr>
            <w:tcW w:w="1572" w:type="dxa"/>
            <w:vMerge/>
            <w:tcBorders>
              <w:bottom w:val="single" w:sz="12" w:space="0" w:color="666666"/>
            </w:tcBorders>
            <w:shd w:val="clear" w:color="auto" w:fill="D9D9D9"/>
          </w:tcPr>
          <w:p w:rsidR="009078FD" w:rsidRDefault="009078FD">
            <w:pPr>
              <w:pStyle w:val="keywords"/>
              <w:ind w:firstLine="0"/>
              <w:jc w:val="center"/>
              <w:rPr>
                <w:rFonts w:eastAsia="MS Mincho"/>
                <w:b w:val="0"/>
                <w:bCs w:val="0"/>
                <w:i w:val="0"/>
                <w:noProof w:val="0"/>
                <w:sz w:val="20"/>
                <w:szCs w:val="20"/>
              </w:rPr>
            </w:pPr>
          </w:p>
        </w:tc>
        <w:tc>
          <w:tcPr>
            <w:tcW w:w="1134" w:type="dxa"/>
            <w:tcBorders>
              <w:bottom w:val="single" w:sz="12" w:space="0" w:color="666666"/>
            </w:tcBorders>
            <w:shd w:val="clear" w:color="auto" w:fill="D9D9D9"/>
          </w:tcPr>
          <w:p w:rsidR="009078FD" w:rsidRDefault="00FC1F11">
            <w:pPr>
              <w:pStyle w:val="keywords"/>
              <w:ind w:firstLine="0"/>
              <w:jc w:val="center"/>
              <w:rPr>
                <w:rFonts w:eastAsia="MS Mincho"/>
                <w:b w:val="0"/>
                <w:bCs w:val="0"/>
                <w:i w:val="0"/>
                <w:noProof w:val="0"/>
                <w:sz w:val="20"/>
                <w:szCs w:val="20"/>
              </w:rPr>
            </w:pPr>
            <w:r>
              <w:rPr>
                <w:rFonts w:eastAsia="MS Mincho"/>
                <w:b w:val="0"/>
                <w:i w:val="0"/>
                <w:noProof w:val="0"/>
                <w:sz w:val="20"/>
                <w:szCs w:val="20"/>
              </w:rPr>
              <w:t>FIS-1</w:t>
            </w:r>
          </w:p>
        </w:tc>
        <w:tc>
          <w:tcPr>
            <w:tcW w:w="1134" w:type="dxa"/>
            <w:tcBorders>
              <w:bottom w:val="single" w:sz="12" w:space="0" w:color="666666"/>
            </w:tcBorders>
            <w:shd w:val="clear" w:color="auto" w:fill="D9D9D9"/>
          </w:tcPr>
          <w:p w:rsidR="009078FD" w:rsidRDefault="00FC1F11">
            <w:pPr>
              <w:pStyle w:val="keywords"/>
              <w:ind w:firstLine="0"/>
              <w:jc w:val="center"/>
              <w:rPr>
                <w:rFonts w:eastAsia="MS Mincho"/>
                <w:b w:val="0"/>
                <w:i w:val="0"/>
                <w:noProof w:val="0"/>
                <w:sz w:val="20"/>
                <w:szCs w:val="20"/>
              </w:rPr>
            </w:pPr>
            <w:r>
              <w:rPr>
                <w:rFonts w:eastAsia="MS Mincho"/>
                <w:b w:val="0"/>
                <w:i w:val="0"/>
                <w:noProof w:val="0"/>
                <w:sz w:val="20"/>
                <w:szCs w:val="20"/>
              </w:rPr>
              <w:t>FIS-2</w:t>
            </w:r>
          </w:p>
        </w:tc>
        <w:tc>
          <w:tcPr>
            <w:tcW w:w="1134" w:type="dxa"/>
            <w:tcBorders>
              <w:bottom w:val="single" w:sz="12" w:space="0" w:color="666666"/>
            </w:tcBorders>
            <w:shd w:val="clear" w:color="auto" w:fill="D9D9D9"/>
          </w:tcPr>
          <w:p w:rsidR="009078FD" w:rsidRDefault="00FC1F11">
            <w:pPr>
              <w:pStyle w:val="keywords"/>
              <w:ind w:firstLine="0"/>
              <w:jc w:val="center"/>
              <w:rPr>
                <w:rFonts w:eastAsia="MS Mincho"/>
                <w:b w:val="0"/>
                <w:i w:val="0"/>
                <w:noProof w:val="0"/>
                <w:sz w:val="20"/>
                <w:szCs w:val="20"/>
              </w:rPr>
            </w:pPr>
            <w:r>
              <w:rPr>
                <w:rFonts w:eastAsia="MS Mincho"/>
                <w:b w:val="0"/>
                <w:i w:val="0"/>
                <w:noProof w:val="0"/>
                <w:sz w:val="20"/>
                <w:szCs w:val="20"/>
              </w:rPr>
              <w:t>FIS-3</w:t>
            </w:r>
          </w:p>
        </w:tc>
        <w:tc>
          <w:tcPr>
            <w:tcW w:w="1134" w:type="dxa"/>
            <w:tcBorders>
              <w:bottom w:val="single" w:sz="12" w:space="0" w:color="666666"/>
            </w:tcBorders>
            <w:shd w:val="clear" w:color="auto" w:fill="D9D9D9"/>
          </w:tcPr>
          <w:p w:rsidR="009078FD" w:rsidRDefault="00FC1F11">
            <w:pPr>
              <w:pStyle w:val="keywords"/>
              <w:ind w:firstLine="0"/>
              <w:jc w:val="center"/>
              <w:rPr>
                <w:rFonts w:eastAsia="MS Mincho"/>
                <w:b w:val="0"/>
                <w:i w:val="0"/>
                <w:noProof w:val="0"/>
                <w:sz w:val="20"/>
                <w:szCs w:val="20"/>
              </w:rPr>
            </w:pPr>
            <w:r>
              <w:rPr>
                <w:rFonts w:eastAsia="MS Mincho"/>
                <w:b w:val="0"/>
                <w:i w:val="0"/>
                <w:noProof w:val="0"/>
                <w:sz w:val="20"/>
                <w:szCs w:val="20"/>
              </w:rPr>
              <w:t>FIS-4</w:t>
            </w:r>
          </w:p>
        </w:tc>
      </w:tr>
      <w:tr w:rsidR="009078FD">
        <w:tc>
          <w:tcPr>
            <w:tcW w:w="2534" w:type="dxa"/>
            <w:shd w:val="clear" w:color="auto" w:fill="auto"/>
          </w:tcPr>
          <w:p w:rsidR="009078FD" w:rsidRDefault="00FC1F11">
            <w:pPr>
              <w:pStyle w:val="keywords"/>
              <w:ind w:firstLine="0"/>
              <w:rPr>
                <w:rFonts w:eastAsia="MS Mincho"/>
                <w:b w:val="0"/>
                <w:bCs w:val="0"/>
                <w:i w:val="0"/>
                <w:noProof w:val="0"/>
                <w:sz w:val="20"/>
                <w:szCs w:val="20"/>
                <w:lang w:val="es-419"/>
              </w:rPr>
            </w:pPr>
            <w:r>
              <w:rPr>
                <w:rFonts w:eastAsia="MS Mincho"/>
                <w:b w:val="0"/>
                <w:i w:val="0"/>
                <w:noProof w:val="0"/>
                <w:sz w:val="20"/>
                <w:szCs w:val="20"/>
                <w:lang w:val="es-419"/>
              </w:rPr>
              <w:t>Grupo-1</w:t>
            </w:r>
          </w:p>
        </w:tc>
        <w:tc>
          <w:tcPr>
            <w:tcW w:w="1572" w:type="dxa"/>
            <w:shd w:val="clear" w:color="auto" w:fill="auto"/>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50.1 %</w:t>
            </w:r>
          </w:p>
        </w:tc>
        <w:tc>
          <w:tcPr>
            <w:tcW w:w="1134" w:type="dxa"/>
            <w:shd w:val="clear" w:color="auto" w:fill="auto"/>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9.5 %</w:t>
            </w:r>
          </w:p>
        </w:tc>
        <w:tc>
          <w:tcPr>
            <w:tcW w:w="1134" w:type="dxa"/>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56.5 %</w:t>
            </w:r>
          </w:p>
        </w:tc>
        <w:tc>
          <w:tcPr>
            <w:tcW w:w="1134" w:type="dxa"/>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35.4 %</w:t>
            </w:r>
          </w:p>
        </w:tc>
        <w:tc>
          <w:tcPr>
            <w:tcW w:w="1134" w:type="dxa"/>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8.8 %</w:t>
            </w:r>
          </w:p>
        </w:tc>
      </w:tr>
      <w:tr w:rsidR="009078FD">
        <w:tc>
          <w:tcPr>
            <w:tcW w:w="2534" w:type="dxa"/>
            <w:shd w:val="clear" w:color="auto" w:fill="auto"/>
          </w:tcPr>
          <w:p w:rsidR="009078FD" w:rsidRDefault="00FC1F11">
            <w:pPr>
              <w:pStyle w:val="keywords"/>
              <w:ind w:firstLine="0"/>
              <w:rPr>
                <w:rFonts w:eastAsia="MS Mincho"/>
                <w:b w:val="0"/>
                <w:bCs w:val="0"/>
                <w:i w:val="0"/>
                <w:noProof w:val="0"/>
                <w:sz w:val="20"/>
                <w:szCs w:val="20"/>
                <w:lang w:val="es-419"/>
              </w:rPr>
            </w:pPr>
            <w:r>
              <w:rPr>
                <w:rFonts w:eastAsia="MS Mincho"/>
                <w:b w:val="0"/>
                <w:i w:val="0"/>
                <w:noProof w:val="0"/>
                <w:sz w:val="20"/>
                <w:szCs w:val="20"/>
                <w:lang w:val="es-419"/>
              </w:rPr>
              <w:t>Grupo-2</w:t>
            </w:r>
          </w:p>
        </w:tc>
        <w:tc>
          <w:tcPr>
            <w:tcW w:w="1572" w:type="dxa"/>
            <w:shd w:val="clear" w:color="auto" w:fill="auto"/>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29.6 %</w:t>
            </w:r>
          </w:p>
        </w:tc>
        <w:tc>
          <w:tcPr>
            <w:tcW w:w="1134" w:type="dxa"/>
            <w:shd w:val="clear" w:color="auto" w:fill="auto"/>
          </w:tcPr>
          <w:p w:rsidR="009078FD" w:rsidRDefault="00FC1F11">
            <w:pPr>
              <w:pStyle w:val="keywords"/>
              <w:ind w:firstLine="0"/>
              <w:jc w:val="center"/>
              <w:rPr>
                <w:rFonts w:eastAsia="MS Mincho"/>
                <w:b w:val="0"/>
                <w:i w:val="0"/>
                <w:iCs w:val="0"/>
                <w:sz w:val="20"/>
                <w:szCs w:val="20"/>
              </w:rPr>
            </w:pPr>
            <w:r>
              <w:rPr>
                <w:rFonts w:eastAsia="MS Mincho"/>
                <w:b w:val="0"/>
                <w:i w:val="0"/>
                <w:iCs w:val="0"/>
                <w:sz w:val="20"/>
                <w:szCs w:val="20"/>
              </w:rPr>
              <w:t xml:space="preserve">5.7 </w:t>
            </w:r>
            <w:r>
              <w:rPr>
                <w:rFonts w:eastAsia="MS Mincho"/>
                <w:b w:val="0"/>
                <w:i w:val="0"/>
                <w:noProof w:val="0"/>
                <w:sz w:val="20"/>
                <w:szCs w:val="20"/>
                <w:lang w:val="es-419"/>
              </w:rPr>
              <w:t>%</w:t>
            </w:r>
          </w:p>
        </w:tc>
        <w:tc>
          <w:tcPr>
            <w:tcW w:w="1134" w:type="dxa"/>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41.6 %</w:t>
            </w:r>
          </w:p>
        </w:tc>
        <w:tc>
          <w:tcPr>
            <w:tcW w:w="1134" w:type="dxa"/>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44.6 %</w:t>
            </w:r>
          </w:p>
        </w:tc>
        <w:tc>
          <w:tcPr>
            <w:tcW w:w="1134" w:type="dxa"/>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8.1 %</w:t>
            </w:r>
          </w:p>
        </w:tc>
      </w:tr>
      <w:tr w:rsidR="009078FD">
        <w:tc>
          <w:tcPr>
            <w:tcW w:w="2534" w:type="dxa"/>
            <w:shd w:val="clear" w:color="auto" w:fill="auto"/>
          </w:tcPr>
          <w:p w:rsidR="009078FD" w:rsidRDefault="00FC1F11">
            <w:pPr>
              <w:pStyle w:val="keywords"/>
              <w:ind w:firstLine="0"/>
              <w:rPr>
                <w:rFonts w:eastAsia="MS Mincho"/>
                <w:b w:val="0"/>
                <w:bCs w:val="0"/>
                <w:i w:val="0"/>
                <w:noProof w:val="0"/>
                <w:sz w:val="20"/>
                <w:szCs w:val="20"/>
                <w:lang w:val="es-419"/>
              </w:rPr>
            </w:pPr>
            <w:r>
              <w:rPr>
                <w:rFonts w:eastAsia="MS Mincho"/>
                <w:b w:val="0"/>
                <w:i w:val="0"/>
                <w:noProof w:val="0"/>
                <w:sz w:val="20"/>
                <w:szCs w:val="20"/>
                <w:lang w:val="es-419"/>
              </w:rPr>
              <w:t>Grupo-3</w:t>
            </w:r>
          </w:p>
        </w:tc>
        <w:tc>
          <w:tcPr>
            <w:tcW w:w="1572" w:type="dxa"/>
            <w:shd w:val="clear" w:color="auto" w:fill="auto"/>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20.3 %</w:t>
            </w:r>
          </w:p>
        </w:tc>
        <w:tc>
          <w:tcPr>
            <w:tcW w:w="1134" w:type="dxa"/>
            <w:shd w:val="clear" w:color="auto" w:fill="auto"/>
          </w:tcPr>
          <w:p w:rsidR="009078FD" w:rsidRDefault="00FC1F11">
            <w:pPr>
              <w:pStyle w:val="keywords"/>
              <w:ind w:firstLine="0"/>
              <w:jc w:val="center"/>
              <w:rPr>
                <w:rFonts w:eastAsia="MS Mincho"/>
                <w:b w:val="0"/>
                <w:i w:val="0"/>
                <w:noProof w:val="0"/>
                <w:sz w:val="20"/>
                <w:szCs w:val="20"/>
                <w:highlight w:val="yellow"/>
                <w:lang w:val="es-419"/>
              </w:rPr>
            </w:pPr>
            <w:r>
              <w:rPr>
                <w:rFonts w:eastAsia="MS Mincho"/>
                <w:b w:val="0"/>
                <w:i w:val="0"/>
                <w:noProof w:val="0"/>
                <w:sz w:val="20"/>
                <w:szCs w:val="20"/>
                <w:lang w:val="es-419"/>
              </w:rPr>
              <w:t>8.2 %</w:t>
            </w:r>
          </w:p>
        </w:tc>
        <w:tc>
          <w:tcPr>
            <w:tcW w:w="1134" w:type="dxa"/>
            <w:shd w:val="clear" w:color="auto" w:fill="auto"/>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21.6 %</w:t>
            </w:r>
          </w:p>
        </w:tc>
        <w:tc>
          <w:tcPr>
            <w:tcW w:w="1134" w:type="dxa"/>
            <w:shd w:val="clear" w:color="auto" w:fill="auto"/>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62.8 %</w:t>
            </w:r>
          </w:p>
        </w:tc>
        <w:tc>
          <w:tcPr>
            <w:tcW w:w="1134" w:type="dxa"/>
            <w:shd w:val="clear" w:color="auto" w:fill="auto"/>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7.4 %</w:t>
            </w:r>
          </w:p>
        </w:tc>
      </w:tr>
    </w:tbl>
    <w:p w:rsidR="009078FD" w:rsidRDefault="00FC1F11">
      <w:pPr>
        <w:pStyle w:val="keywords"/>
        <w:ind w:firstLine="0"/>
        <w:rPr>
          <w:rFonts w:eastAsia="MS Mincho"/>
          <w:b w:val="0"/>
          <w:i w:val="0"/>
          <w:sz w:val="20"/>
          <w:szCs w:val="20"/>
          <w:lang w:val="es-419"/>
        </w:rPr>
      </w:pPr>
      <w:r>
        <w:rPr>
          <w:rFonts w:eastAsia="MS Mincho"/>
          <w:bCs w:val="0"/>
          <w:i w:val="0"/>
          <w:noProof w:val="0"/>
          <w:sz w:val="20"/>
          <w:szCs w:val="20"/>
          <w:lang w:val="es-419"/>
        </w:rPr>
        <w:t>Fuente:</w:t>
      </w:r>
      <w:r>
        <w:rPr>
          <w:rFonts w:eastAsia="MS Mincho"/>
          <w:b w:val="0"/>
          <w:i w:val="0"/>
          <w:noProof w:val="0"/>
          <w:sz w:val="20"/>
          <w:szCs w:val="20"/>
          <w:lang w:val="es-419"/>
        </w:rPr>
        <w:t xml:space="preserve"> Elaboración propia a partir de </w:t>
      </w:r>
      <w:r>
        <w:rPr>
          <w:rFonts w:eastAsia="MS Mincho"/>
          <w:b w:val="0"/>
          <w:i w:val="0"/>
          <w:sz w:val="20"/>
          <w:szCs w:val="20"/>
          <w:lang w:val="es-419"/>
        </w:rPr>
        <w:t>Goepel (2018)</w:t>
      </w:r>
    </w:p>
    <w:p w:rsidR="009078FD" w:rsidRDefault="009078FD">
      <w:pPr>
        <w:spacing w:after="120" w:line="240" w:lineRule="auto"/>
        <w:jc w:val="both"/>
        <w:rPr>
          <w:rFonts w:ascii="Arial" w:hAnsi="Arial" w:cs="Arial"/>
        </w:rPr>
      </w:pPr>
    </w:p>
    <w:p w:rsidR="009078FD" w:rsidRDefault="00FC1F11">
      <w:pPr>
        <w:spacing w:after="120" w:line="240" w:lineRule="auto"/>
        <w:jc w:val="both"/>
        <w:rPr>
          <w:rFonts w:ascii="Times New Roman" w:hAnsi="Times New Roman" w:cs="Times New Roman"/>
          <w:sz w:val="20"/>
          <w:szCs w:val="20"/>
        </w:rPr>
      </w:pPr>
      <w:r>
        <w:rPr>
          <w:rFonts w:ascii="Times New Roman" w:hAnsi="Times New Roman" w:cs="Times New Roman"/>
          <w:b/>
          <w:bCs/>
          <w:sz w:val="20"/>
          <w:szCs w:val="20"/>
        </w:rPr>
        <w:t>Tabla 6.</w:t>
      </w:r>
      <w:r>
        <w:rPr>
          <w:rFonts w:ascii="Times New Roman" w:hAnsi="Times New Roman" w:cs="Times New Roman"/>
          <w:sz w:val="20"/>
          <w:szCs w:val="20"/>
        </w:rPr>
        <w:t xml:space="preserve"> Ponderación de Demanda municipal para NV</w:t>
      </w:r>
    </w:p>
    <w:tbl>
      <w:tblPr>
        <w:tblW w:w="86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2547"/>
        <w:gridCol w:w="1559"/>
        <w:gridCol w:w="1134"/>
        <w:gridCol w:w="1134"/>
        <w:gridCol w:w="1134"/>
        <w:gridCol w:w="1134"/>
      </w:tblGrid>
      <w:tr w:rsidR="009078FD">
        <w:tc>
          <w:tcPr>
            <w:tcW w:w="2547" w:type="dxa"/>
            <w:vMerge w:val="restart"/>
            <w:shd w:val="clear" w:color="auto" w:fill="D9D9D9"/>
          </w:tcPr>
          <w:p w:rsidR="009078FD" w:rsidRDefault="009078FD">
            <w:pPr>
              <w:pStyle w:val="keywords"/>
              <w:jc w:val="center"/>
              <w:rPr>
                <w:rFonts w:eastAsia="MS Mincho"/>
                <w:b w:val="0"/>
                <w:i w:val="0"/>
                <w:noProof w:val="0"/>
                <w:sz w:val="20"/>
                <w:szCs w:val="20"/>
                <w:lang w:val="es-ES"/>
              </w:rPr>
            </w:pPr>
          </w:p>
          <w:p w:rsidR="009078FD" w:rsidRDefault="00FC1F11">
            <w:pPr>
              <w:pStyle w:val="keywords"/>
              <w:ind w:firstLine="22"/>
              <w:jc w:val="center"/>
              <w:rPr>
                <w:rFonts w:eastAsia="MS Mincho"/>
                <w:b w:val="0"/>
                <w:i w:val="0"/>
                <w:noProof w:val="0"/>
                <w:sz w:val="20"/>
                <w:szCs w:val="20"/>
                <w:lang w:val="es-ES"/>
              </w:rPr>
            </w:pPr>
            <w:r>
              <w:rPr>
                <w:rFonts w:eastAsia="MS Mincho"/>
                <w:b w:val="0"/>
                <w:i w:val="0"/>
                <w:noProof w:val="0"/>
                <w:sz w:val="20"/>
                <w:szCs w:val="20"/>
                <w:lang w:val="es-ES"/>
              </w:rPr>
              <w:t>Grupos de municipios</w:t>
            </w:r>
          </w:p>
        </w:tc>
        <w:tc>
          <w:tcPr>
            <w:tcW w:w="1559" w:type="dxa"/>
            <w:vMerge w:val="restart"/>
            <w:shd w:val="clear" w:color="auto" w:fill="D9D9D9"/>
          </w:tcPr>
          <w:p w:rsidR="009078FD" w:rsidRDefault="009078FD">
            <w:pPr>
              <w:pStyle w:val="keywords"/>
              <w:ind w:firstLine="29"/>
              <w:jc w:val="center"/>
              <w:rPr>
                <w:rFonts w:eastAsia="MS Mincho"/>
                <w:b w:val="0"/>
                <w:i w:val="0"/>
                <w:noProof w:val="0"/>
                <w:sz w:val="20"/>
                <w:szCs w:val="20"/>
                <w:lang w:val="es-ES"/>
              </w:rPr>
            </w:pPr>
          </w:p>
          <w:p w:rsidR="009078FD" w:rsidRDefault="00FC1F11">
            <w:pPr>
              <w:pStyle w:val="keywords"/>
              <w:ind w:firstLine="29"/>
              <w:jc w:val="center"/>
              <w:rPr>
                <w:rFonts w:eastAsia="MS Mincho"/>
                <w:b w:val="0"/>
                <w:i w:val="0"/>
                <w:noProof w:val="0"/>
                <w:sz w:val="20"/>
                <w:szCs w:val="20"/>
                <w:lang w:val="es-ES"/>
              </w:rPr>
            </w:pPr>
            <w:r>
              <w:rPr>
                <w:rFonts w:eastAsia="MS Mincho"/>
                <w:b w:val="0"/>
                <w:i w:val="0"/>
                <w:noProof w:val="0"/>
                <w:sz w:val="20"/>
                <w:szCs w:val="20"/>
                <w:lang w:val="es-ES"/>
              </w:rPr>
              <w:t>Pesos de los municipios</w:t>
            </w:r>
          </w:p>
        </w:tc>
        <w:tc>
          <w:tcPr>
            <w:tcW w:w="4536" w:type="dxa"/>
            <w:gridSpan w:val="4"/>
            <w:tcBorders>
              <w:bottom w:val="single" w:sz="12" w:space="0" w:color="666666"/>
            </w:tcBorders>
            <w:shd w:val="clear" w:color="auto" w:fill="D9D9D9"/>
          </w:tcPr>
          <w:p w:rsidR="009078FD" w:rsidRDefault="00FC1F11">
            <w:pPr>
              <w:pStyle w:val="keywords"/>
              <w:ind w:firstLine="0"/>
              <w:jc w:val="center"/>
              <w:rPr>
                <w:rFonts w:eastAsia="MS Mincho"/>
                <w:b w:val="0"/>
                <w:i w:val="0"/>
                <w:noProof w:val="0"/>
                <w:sz w:val="20"/>
                <w:szCs w:val="20"/>
                <w:lang w:val="es-ES"/>
              </w:rPr>
            </w:pPr>
            <w:r>
              <w:rPr>
                <w:rFonts w:eastAsia="MS Mincho"/>
                <w:b w:val="0"/>
                <w:i w:val="0"/>
                <w:noProof w:val="0"/>
                <w:sz w:val="20"/>
                <w:szCs w:val="20"/>
                <w:lang w:val="es-ES"/>
              </w:rPr>
              <w:t>Pesos de los conductores en los municipios</w:t>
            </w:r>
          </w:p>
        </w:tc>
      </w:tr>
      <w:tr w:rsidR="009078FD">
        <w:tc>
          <w:tcPr>
            <w:tcW w:w="2547" w:type="dxa"/>
            <w:vMerge/>
            <w:tcBorders>
              <w:bottom w:val="single" w:sz="12" w:space="0" w:color="666666"/>
            </w:tcBorders>
            <w:shd w:val="clear" w:color="auto" w:fill="D9D9D9"/>
          </w:tcPr>
          <w:p w:rsidR="009078FD" w:rsidRDefault="009078FD">
            <w:pPr>
              <w:pStyle w:val="keywords"/>
              <w:ind w:firstLine="0"/>
              <w:rPr>
                <w:rFonts w:eastAsia="MS Mincho"/>
                <w:b w:val="0"/>
                <w:bCs w:val="0"/>
                <w:i w:val="0"/>
                <w:noProof w:val="0"/>
                <w:sz w:val="20"/>
                <w:szCs w:val="20"/>
              </w:rPr>
            </w:pPr>
          </w:p>
        </w:tc>
        <w:tc>
          <w:tcPr>
            <w:tcW w:w="1559" w:type="dxa"/>
            <w:vMerge/>
            <w:tcBorders>
              <w:bottom w:val="single" w:sz="12" w:space="0" w:color="666666"/>
            </w:tcBorders>
            <w:shd w:val="clear" w:color="auto" w:fill="D9D9D9"/>
          </w:tcPr>
          <w:p w:rsidR="009078FD" w:rsidRDefault="009078FD">
            <w:pPr>
              <w:pStyle w:val="keywords"/>
              <w:ind w:firstLine="0"/>
              <w:rPr>
                <w:rFonts w:eastAsia="MS Mincho"/>
                <w:b w:val="0"/>
                <w:bCs w:val="0"/>
                <w:i w:val="0"/>
                <w:noProof w:val="0"/>
                <w:sz w:val="20"/>
                <w:szCs w:val="20"/>
              </w:rPr>
            </w:pPr>
          </w:p>
        </w:tc>
        <w:tc>
          <w:tcPr>
            <w:tcW w:w="1134" w:type="dxa"/>
            <w:tcBorders>
              <w:bottom w:val="single" w:sz="12" w:space="0" w:color="666666"/>
            </w:tcBorders>
            <w:shd w:val="clear" w:color="auto" w:fill="D9D9D9"/>
          </w:tcPr>
          <w:p w:rsidR="009078FD" w:rsidRDefault="00FC1F11">
            <w:pPr>
              <w:pStyle w:val="keywords"/>
              <w:ind w:firstLine="0"/>
              <w:jc w:val="center"/>
              <w:rPr>
                <w:rFonts w:eastAsia="MS Mincho"/>
                <w:b w:val="0"/>
                <w:bCs w:val="0"/>
                <w:i w:val="0"/>
                <w:noProof w:val="0"/>
                <w:sz w:val="20"/>
                <w:szCs w:val="20"/>
              </w:rPr>
            </w:pPr>
            <w:r>
              <w:rPr>
                <w:rFonts w:eastAsia="MS Mincho"/>
                <w:b w:val="0"/>
                <w:i w:val="0"/>
                <w:noProof w:val="0"/>
                <w:sz w:val="20"/>
                <w:szCs w:val="20"/>
              </w:rPr>
              <w:t>FIS-1</w:t>
            </w:r>
          </w:p>
        </w:tc>
        <w:tc>
          <w:tcPr>
            <w:tcW w:w="1134" w:type="dxa"/>
            <w:tcBorders>
              <w:bottom w:val="single" w:sz="12" w:space="0" w:color="666666"/>
            </w:tcBorders>
            <w:shd w:val="clear" w:color="auto" w:fill="D9D9D9"/>
          </w:tcPr>
          <w:p w:rsidR="009078FD" w:rsidRDefault="00FC1F11">
            <w:pPr>
              <w:pStyle w:val="keywords"/>
              <w:ind w:firstLine="0"/>
              <w:jc w:val="center"/>
              <w:rPr>
                <w:rFonts w:eastAsia="MS Mincho"/>
                <w:b w:val="0"/>
                <w:i w:val="0"/>
                <w:noProof w:val="0"/>
                <w:sz w:val="20"/>
                <w:szCs w:val="20"/>
              </w:rPr>
            </w:pPr>
            <w:r>
              <w:rPr>
                <w:rFonts w:eastAsia="MS Mincho"/>
                <w:b w:val="0"/>
                <w:i w:val="0"/>
                <w:noProof w:val="0"/>
                <w:sz w:val="20"/>
                <w:szCs w:val="20"/>
              </w:rPr>
              <w:t>FIS-2</w:t>
            </w:r>
          </w:p>
        </w:tc>
        <w:tc>
          <w:tcPr>
            <w:tcW w:w="1134" w:type="dxa"/>
            <w:tcBorders>
              <w:bottom w:val="single" w:sz="12" w:space="0" w:color="666666"/>
            </w:tcBorders>
            <w:shd w:val="clear" w:color="auto" w:fill="D9D9D9"/>
          </w:tcPr>
          <w:p w:rsidR="009078FD" w:rsidRDefault="00FC1F11">
            <w:pPr>
              <w:pStyle w:val="keywords"/>
              <w:ind w:firstLine="0"/>
              <w:jc w:val="center"/>
              <w:rPr>
                <w:rFonts w:eastAsia="MS Mincho"/>
                <w:b w:val="0"/>
                <w:i w:val="0"/>
                <w:noProof w:val="0"/>
                <w:sz w:val="20"/>
                <w:szCs w:val="20"/>
              </w:rPr>
            </w:pPr>
            <w:r>
              <w:rPr>
                <w:rFonts w:eastAsia="MS Mincho"/>
                <w:b w:val="0"/>
                <w:i w:val="0"/>
                <w:noProof w:val="0"/>
                <w:sz w:val="20"/>
                <w:szCs w:val="20"/>
              </w:rPr>
              <w:t>FIS-3</w:t>
            </w:r>
          </w:p>
        </w:tc>
        <w:tc>
          <w:tcPr>
            <w:tcW w:w="1134" w:type="dxa"/>
            <w:tcBorders>
              <w:bottom w:val="single" w:sz="12" w:space="0" w:color="666666"/>
            </w:tcBorders>
            <w:shd w:val="clear" w:color="auto" w:fill="D9D9D9"/>
          </w:tcPr>
          <w:p w:rsidR="009078FD" w:rsidRDefault="00FC1F11">
            <w:pPr>
              <w:pStyle w:val="keywords"/>
              <w:ind w:firstLine="0"/>
              <w:jc w:val="center"/>
              <w:rPr>
                <w:rFonts w:eastAsia="MS Mincho"/>
                <w:b w:val="0"/>
                <w:i w:val="0"/>
                <w:noProof w:val="0"/>
                <w:sz w:val="20"/>
                <w:szCs w:val="20"/>
              </w:rPr>
            </w:pPr>
            <w:r>
              <w:rPr>
                <w:rFonts w:eastAsia="MS Mincho"/>
                <w:b w:val="0"/>
                <w:i w:val="0"/>
                <w:noProof w:val="0"/>
                <w:sz w:val="20"/>
                <w:szCs w:val="20"/>
              </w:rPr>
              <w:t>FIS-4</w:t>
            </w:r>
          </w:p>
        </w:tc>
      </w:tr>
      <w:tr w:rsidR="009078FD">
        <w:tc>
          <w:tcPr>
            <w:tcW w:w="2547" w:type="dxa"/>
            <w:shd w:val="clear" w:color="auto" w:fill="auto"/>
          </w:tcPr>
          <w:p w:rsidR="009078FD" w:rsidRDefault="00FC1F11">
            <w:pPr>
              <w:pStyle w:val="keywords"/>
              <w:ind w:firstLine="0"/>
              <w:rPr>
                <w:rFonts w:eastAsia="MS Mincho"/>
                <w:b w:val="0"/>
                <w:bCs w:val="0"/>
                <w:i w:val="0"/>
                <w:noProof w:val="0"/>
                <w:sz w:val="20"/>
                <w:szCs w:val="20"/>
                <w:lang w:val="es-419"/>
              </w:rPr>
            </w:pPr>
            <w:r>
              <w:rPr>
                <w:rFonts w:eastAsia="MS Mincho"/>
                <w:b w:val="0"/>
                <w:i w:val="0"/>
                <w:noProof w:val="0"/>
                <w:sz w:val="20"/>
                <w:szCs w:val="20"/>
                <w:lang w:val="es-419"/>
              </w:rPr>
              <w:t>Grupo-1</w:t>
            </w:r>
          </w:p>
        </w:tc>
        <w:tc>
          <w:tcPr>
            <w:tcW w:w="1559" w:type="dxa"/>
            <w:shd w:val="clear" w:color="auto" w:fill="auto"/>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50.1 %</w:t>
            </w:r>
          </w:p>
        </w:tc>
        <w:tc>
          <w:tcPr>
            <w:tcW w:w="1134" w:type="dxa"/>
            <w:shd w:val="clear" w:color="auto" w:fill="auto"/>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8.8 %</w:t>
            </w:r>
          </w:p>
        </w:tc>
        <w:tc>
          <w:tcPr>
            <w:tcW w:w="1134" w:type="dxa"/>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30.4 %</w:t>
            </w:r>
          </w:p>
        </w:tc>
        <w:tc>
          <w:tcPr>
            <w:tcW w:w="1134" w:type="dxa"/>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50.6 %</w:t>
            </w:r>
          </w:p>
        </w:tc>
        <w:tc>
          <w:tcPr>
            <w:tcW w:w="1134" w:type="dxa"/>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10.2 %</w:t>
            </w:r>
          </w:p>
        </w:tc>
      </w:tr>
      <w:tr w:rsidR="009078FD">
        <w:tc>
          <w:tcPr>
            <w:tcW w:w="2547" w:type="dxa"/>
            <w:shd w:val="clear" w:color="auto" w:fill="auto"/>
          </w:tcPr>
          <w:p w:rsidR="009078FD" w:rsidRDefault="00FC1F11">
            <w:pPr>
              <w:pStyle w:val="keywords"/>
              <w:ind w:firstLine="0"/>
              <w:rPr>
                <w:rFonts w:eastAsia="MS Mincho"/>
                <w:b w:val="0"/>
                <w:bCs w:val="0"/>
                <w:i w:val="0"/>
                <w:noProof w:val="0"/>
                <w:sz w:val="20"/>
                <w:szCs w:val="20"/>
                <w:lang w:val="es-419"/>
              </w:rPr>
            </w:pPr>
            <w:r>
              <w:rPr>
                <w:rFonts w:eastAsia="MS Mincho"/>
                <w:b w:val="0"/>
                <w:i w:val="0"/>
                <w:noProof w:val="0"/>
                <w:sz w:val="20"/>
                <w:szCs w:val="20"/>
                <w:lang w:val="es-419"/>
              </w:rPr>
              <w:t>Grupo-2</w:t>
            </w:r>
          </w:p>
        </w:tc>
        <w:tc>
          <w:tcPr>
            <w:tcW w:w="1559" w:type="dxa"/>
            <w:shd w:val="clear" w:color="auto" w:fill="auto"/>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29.6 %</w:t>
            </w:r>
          </w:p>
        </w:tc>
        <w:tc>
          <w:tcPr>
            <w:tcW w:w="1134" w:type="dxa"/>
            <w:shd w:val="clear" w:color="auto" w:fill="auto"/>
          </w:tcPr>
          <w:p w:rsidR="009078FD" w:rsidRDefault="00FC1F11">
            <w:pPr>
              <w:pStyle w:val="keywords"/>
              <w:ind w:firstLine="0"/>
              <w:jc w:val="center"/>
              <w:rPr>
                <w:rFonts w:eastAsia="MS Mincho"/>
                <w:b w:val="0"/>
                <w:i w:val="0"/>
                <w:iCs w:val="0"/>
                <w:sz w:val="20"/>
                <w:szCs w:val="20"/>
              </w:rPr>
            </w:pPr>
            <w:r>
              <w:rPr>
                <w:rFonts w:eastAsia="MS Mincho"/>
                <w:b w:val="0"/>
                <w:i w:val="0"/>
                <w:iCs w:val="0"/>
                <w:sz w:val="20"/>
                <w:szCs w:val="20"/>
              </w:rPr>
              <w:t xml:space="preserve">7.3 </w:t>
            </w:r>
            <w:r>
              <w:rPr>
                <w:rFonts w:eastAsia="MS Mincho"/>
                <w:b w:val="0"/>
                <w:i w:val="0"/>
                <w:noProof w:val="0"/>
                <w:sz w:val="20"/>
                <w:szCs w:val="20"/>
                <w:lang w:val="es-419"/>
              </w:rPr>
              <w:t>%</w:t>
            </w:r>
          </w:p>
        </w:tc>
        <w:tc>
          <w:tcPr>
            <w:tcW w:w="1134" w:type="dxa"/>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21.3 %</w:t>
            </w:r>
          </w:p>
        </w:tc>
        <w:tc>
          <w:tcPr>
            <w:tcW w:w="1134" w:type="dxa"/>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55.1 %</w:t>
            </w:r>
          </w:p>
        </w:tc>
        <w:tc>
          <w:tcPr>
            <w:tcW w:w="1134" w:type="dxa"/>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16.3 %</w:t>
            </w:r>
          </w:p>
        </w:tc>
      </w:tr>
      <w:tr w:rsidR="009078FD">
        <w:tc>
          <w:tcPr>
            <w:tcW w:w="2547" w:type="dxa"/>
            <w:shd w:val="clear" w:color="auto" w:fill="auto"/>
          </w:tcPr>
          <w:p w:rsidR="009078FD" w:rsidRDefault="00FC1F11">
            <w:pPr>
              <w:pStyle w:val="keywords"/>
              <w:ind w:firstLine="0"/>
              <w:rPr>
                <w:rFonts w:eastAsia="MS Mincho"/>
                <w:b w:val="0"/>
                <w:bCs w:val="0"/>
                <w:i w:val="0"/>
                <w:noProof w:val="0"/>
                <w:sz w:val="20"/>
                <w:szCs w:val="20"/>
                <w:lang w:val="es-419"/>
              </w:rPr>
            </w:pPr>
            <w:r>
              <w:rPr>
                <w:rFonts w:eastAsia="MS Mincho"/>
                <w:b w:val="0"/>
                <w:i w:val="0"/>
                <w:noProof w:val="0"/>
                <w:sz w:val="20"/>
                <w:szCs w:val="20"/>
                <w:lang w:val="es-419"/>
              </w:rPr>
              <w:t>Grupo-3</w:t>
            </w:r>
          </w:p>
        </w:tc>
        <w:tc>
          <w:tcPr>
            <w:tcW w:w="1559" w:type="dxa"/>
            <w:shd w:val="clear" w:color="auto" w:fill="auto"/>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20.3 %</w:t>
            </w:r>
          </w:p>
        </w:tc>
        <w:tc>
          <w:tcPr>
            <w:tcW w:w="1134" w:type="dxa"/>
            <w:shd w:val="clear" w:color="auto" w:fill="auto"/>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11.4 %</w:t>
            </w:r>
          </w:p>
        </w:tc>
        <w:tc>
          <w:tcPr>
            <w:tcW w:w="1134" w:type="dxa"/>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12 %</w:t>
            </w:r>
          </w:p>
        </w:tc>
        <w:tc>
          <w:tcPr>
            <w:tcW w:w="1134" w:type="dxa"/>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61.2 %</w:t>
            </w:r>
          </w:p>
        </w:tc>
        <w:tc>
          <w:tcPr>
            <w:tcW w:w="1134" w:type="dxa"/>
          </w:tcPr>
          <w:p w:rsidR="009078FD" w:rsidRDefault="00FC1F11">
            <w:pPr>
              <w:pStyle w:val="keywords"/>
              <w:ind w:firstLine="0"/>
              <w:jc w:val="center"/>
              <w:rPr>
                <w:rFonts w:eastAsia="MS Mincho"/>
                <w:b w:val="0"/>
                <w:i w:val="0"/>
                <w:noProof w:val="0"/>
                <w:sz w:val="20"/>
                <w:szCs w:val="20"/>
                <w:lang w:val="es-419"/>
              </w:rPr>
            </w:pPr>
            <w:r>
              <w:rPr>
                <w:rFonts w:eastAsia="MS Mincho"/>
                <w:b w:val="0"/>
                <w:i w:val="0"/>
                <w:noProof w:val="0"/>
                <w:sz w:val="20"/>
                <w:szCs w:val="20"/>
                <w:lang w:val="es-419"/>
              </w:rPr>
              <w:t>15.4 %</w:t>
            </w:r>
          </w:p>
        </w:tc>
      </w:tr>
    </w:tbl>
    <w:p w:rsidR="009078FD" w:rsidRDefault="00FC1F11">
      <w:pPr>
        <w:pStyle w:val="keywords"/>
        <w:spacing w:line="360" w:lineRule="auto"/>
        <w:ind w:firstLine="0"/>
        <w:rPr>
          <w:rFonts w:eastAsia="MS Mincho"/>
          <w:b w:val="0"/>
          <w:i w:val="0"/>
          <w:sz w:val="20"/>
          <w:szCs w:val="20"/>
          <w:lang w:val="es-419"/>
        </w:rPr>
      </w:pPr>
      <w:r>
        <w:rPr>
          <w:rFonts w:eastAsia="MS Mincho"/>
          <w:bCs w:val="0"/>
          <w:i w:val="0"/>
          <w:noProof w:val="0"/>
          <w:sz w:val="20"/>
          <w:szCs w:val="20"/>
          <w:lang w:val="es-419"/>
        </w:rPr>
        <w:t>Fuente:</w:t>
      </w:r>
      <w:r>
        <w:rPr>
          <w:rFonts w:eastAsia="MS Mincho"/>
          <w:b w:val="0"/>
          <w:i w:val="0"/>
          <w:noProof w:val="0"/>
          <w:sz w:val="20"/>
          <w:szCs w:val="20"/>
          <w:lang w:val="es-419"/>
        </w:rPr>
        <w:t xml:space="preserve"> Elaboración propia a partir de </w:t>
      </w:r>
      <w:r>
        <w:rPr>
          <w:rFonts w:eastAsia="MS Mincho"/>
          <w:b w:val="0"/>
          <w:i w:val="0"/>
          <w:sz w:val="20"/>
          <w:szCs w:val="20"/>
          <w:lang w:val="es-419"/>
        </w:rPr>
        <w:t>Goepel (2018)</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 partir de la desagregación de la demanda y la determinación de los respectivos pesos se obtienen los estimados municipales para los años 2016, 2017 y 2018, los resultados se muestran en la tabla 7 que se muestra a continuación:</w:t>
      </w:r>
    </w:p>
    <w:p w:rsidR="009078FD" w:rsidRDefault="00FC1F11">
      <w:pPr>
        <w:spacing w:after="120" w:line="360" w:lineRule="auto"/>
        <w:jc w:val="both"/>
        <w:rPr>
          <w:rFonts w:ascii="Times New Roman" w:hAnsi="Times New Roman" w:cs="Times New Roman"/>
          <w:sz w:val="20"/>
          <w:szCs w:val="20"/>
        </w:rPr>
      </w:pPr>
      <w:r>
        <w:rPr>
          <w:rFonts w:ascii="Times New Roman" w:hAnsi="Times New Roman" w:cs="Times New Roman"/>
          <w:b/>
          <w:bCs/>
          <w:sz w:val="20"/>
          <w:szCs w:val="20"/>
        </w:rPr>
        <w:t>Tabla 7.</w:t>
      </w:r>
      <w:r>
        <w:rPr>
          <w:rFonts w:ascii="Times New Roman" w:hAnsi="Times New Roman" w:cs="Times New Roman"/>
          <w:sz w:val="20"/>
          <w:szCs w:val="20"/>
        </w:rPr>
        <w:t xml:space="preserve"> Resultado de los estimados municipales.</w:t>
      </w:r>
    </w:p>
    <w:tbl>
      <w:tblPr>
        <w:tblW w:w="5000" w:type="pct"/>
        <w:tblCellMar>
          <w:left w:w="70" w:type="dxa"/>
          <w:right w:w="70" w:type="dxa"/>
        </w:tblCellMar>
        <w:tblLook w:val="04A0" w:firstRow="1" w:lastRow="0" w:firstColumn="1" w:lastColumn="0" w:noHBand="0" w:noVBand="1"/>
      </w:tblPr>
      <w:tblGrid>
        <w:gridCol w:w="775"/>
        <w:gridCol w:w="1435"/>
        <w:gridCol w:w="1305"/>
        <w:gridCol w:w="1352"/>
        <w:gridCol w:w="1074"/>
        <w:gridCol w:w="1350"/>
        <w:gridCol w:w="1203"/>
      </w:tblGrid>
      <w:tr w:rsidR="009078FD">
        <w:trPr>
          <w:trHeight w:val="315"/>
        </w:trPr>
        <w:tc>
          <w:tcPr>
            <w:tcW w:w="457" w:type="pct"/>
            <w:tcBorders>
              <w:top w:val="nil"/>
              <w:left w:val="nil"/>
              <w:bottom w:val="nil"/>
              <w:right w:val="nil"/>
            </w:tcBorders>
            <w:shd w:val="clear" w:color="auto" w:fill="auto"/>
            <w:noWrap/>
            <w:vAlign w:val="bottom"/>
            <w:hideMark/>
          </w:tcPr>
          <w:p w:rsidR="009078FD" w:rsidRDefault="009078FD">
            <w:pPr>
              <w:spacing w:after="0" w:line="240" w:lineRule="auto"/>
              <w:rPr>
                <w:rFonts w:ascii="Times New Roman" w:eastAsia="Times New Roman" w:hAnsi="Times New Roman" w:cs="Times New Roman"/>
                <w:sz w:val="24"/>
                <w:szCs w:val="24"/>
                <w:lang w:eastAsia="es-419"/>
              </w:rPr>
            </w:pPr>
          </w:p>
        </w:tc>
        <w:tc>
          <w:tcPr>
            <w:tcW w:w="1613" w:type="pct"/>
            <w:gridSpan w:val="2"/>
            <w:tcBorders>
              <w:top w:val="single" w:sz="8" w:space="0" w:color="auto"/>
              <w:left w:val="single" w:sz="8" w:space="0" w:color="auto"/>
              <w:bottom w:val="single" w:sz="8" w:space="0" w:color="auto"/>
              <w:right w:val="single" w:sz="8" w:space="0" w:color="000000"/>
            </w:tcBorders>
            <w:shd w:val="clear" w:color="000000" w:fill="D0CECE"/>
            <w:noWrap/>
            <w:vAlign w:val="bottom"/>
            <w:hideMark/>
          </w:tcPr>
          <w:p w:rsidR="009078FD" w:rsidRDefault="00FC1F11">
            <w:pPr>
              <w:spacing w:after="0" w:line="240" w:lineRule="auto"/>
              <w:jc w:val="center"/>
              <w:rPr>
                <w:rFonts w:ascii="Times New Roman" w:eastAsia="Times New Roman" w:hAnsi="Times New Roman" w:cs="Times New Roman"/>
                <w:b/>
                <w:bCs/>
                <w:color w:val="000000"/>
                <w:lang w:eastAsia="es-419"/>
              </w:rPr>
            </w:pPr>
            <w:r>
              <w:rPr>
                <w:rFonts w:ascii="Times New Roman" w:eastAsia="Times New Roman" w:hAnsi="Times New Roman" w:cs="Times New Roman"/>
                <w:b/>
                <w:bCs/>
                <w:color w:val="000000"/>
                <w:lang w:eastAsia="es-419"/>
              </w:rPr>
              <w:t>Grupo 1</w:t>
            </w:r>
          </w:p>
        </w:tc>
        <w:tc>
          <w:tcPr>
            <w:tcW w:w="1428" w:type="pct"/>
            <w:gridSpan w:val="2"/>
            <w:tcBorders>
              <w:top w:val="single" w:sz="8" w:space="0" w:color="auto"/>
              <w:left w:val="nil"/>
              <w:bottom w:val="single" w:sz="8" w:space="0" w:color="auto"/>
              <w:right w:val="single" w:sz="8" w:space="0" w:color="000000"/>
            </w:tcBorders>
            <w:shd w:val="clear" w:color="000000" w:fill="D0CECE"/>
            <w:noWrap/>
            <w:vAlign w:val="bottom"/>
            <w:hideMark/>
          </w:tcPr>
          <w:p w:rsidR="009078FD" w:rsidRDefault="00FC1F11">
            <w:pPr>
              <w:spacing w:after="0" w:line="240" w:lineRule="auto"/>
              <w:jc w:val="center"/>
              <w:rPr>
                <w:rFonts w:ascii="Times New Roman" w:eastAsia="Times New Roman" w:hAnsi="Times New Roman" w:cs="Times New Roman"/>
                <w:b/>
                <w:bCs/>
                <w:color w:val="000000"/>
                <w:lang w:eastAsia="es-419"/>
              </w:rPr>
            </w:pPr>
            <w:r>
              <w:rPr>
                <w:rFonts w:ascii="Times New Roman" w:eastAsia="Times New Roman" w:hAnsi="Times New Roman" w:cs="Times New Roman"/>
                <w:b/>
                <w:bCs/>
                <w:color w:val="000000"/>
                <w:lang w:eastAsia="es-419"/>
              </w:rPr>
              <w:t>Grupo 2</w:t>
            </w:r>
          </w:p>
        </w:tc>
        <w:tc>
          <w:tcPr>
            <w:tcW w:w="1502" w:type="pct"/>
            <w:gridSpan w:val="2"/>
            <w:tcBorders>
              <w:top w:val="single" w:sz="8" w:space="0" w:color="auto"/>
              <w:left w:val="nil"/>
              <w:bottom w:val="single" w:sz="8" w:space="0" w:color="auto"/>
              <w:right w:val="single" w:sz="8" w:space="0" w:color="000000"/>
            </w:tcBorders>
            <w:shd w:val="clear" w:color="000000" w:fill="D0CECE"/>
            <w:noWrap/>
            <w:vAlign w:val="bottom"/>
            <w:hideMark/>
          </w:tcPr>
          <w:p w:rsidR="009078FD" w:rsidRDefault="00FC1F11">
            <w:pPr>
              <w:spacing w:after="0" w:line="240" w:lineRule="auto"/>
              <w:jc w:val="center"/>
              <w:rPr>
                <w:rFonts w:ascii="Times New Roman" w:eastAsia="Times New Roman" w:hAnsi="Times New Roman" w:cs="Times New Roman"/>
                <w:b/>
                <w:bCs/>
                <w:color w:val="000000"/>
                <w:lang w:eastAsia="es-419"/>
              </w:rPr>
            </w:pPr>
            <w:r>
              <w:rPr>
                <w:rFonts w:ascii="Times New Roman" w:eastAsia="Times New Roman" w:hAnsi="Times New Roman" w:cs="Times New Roman"/>
                <w:b/>
                <w:bCs/>
                <w:color w:val="000000"/>
                <w:lang w:eastAsia="es-419"/>
              </w:rPr>
              <w:t>Grupo 3</w:t>
            </w:r>
          </w:p>
        </w:tc>
      </w:tr>
      <w:tr w:rsidR="009078FD">
        <w:trPr>
          <w:trHeight w:val="660"/>
        </w:trPr>
        <w:tc>
          <w:tcPr>
            <w:tcW w:w="457" w:type="pct"/>
            <w:tcBorders>
              <w:top w:val="nil"/>
              <w:left w:val="nil"/>
              <w:bottom w:val="nil"/>
              <w:right w:val="nil"/>
            </w:tcBorders>
            <w:shd w:val="clear" w:color="auto" w:fill="auto"/>
            <w:noWrap/>
            <w:vAlign w:val="bottom"/>
            <w:hideMark/>
          </w:tcPr>
          <w:p w:rsidR="009078FD" w:rsidRDefault="009078FD">
            <w:pPr>
              <w:spacing w:after="0" w:line="240" w:lineRule="auto"/>
              <w:jc w:val="center"/>
              <w:rPr>
                <w:rFonts w:ascii="Times New Roman" w:eastAsia="Times New Roman" w:hAnsi="Times New Roman" w:cs="Times New Roman"/>
                <w:color w:val="000000"/>
                <w:lang w:eastAsia="es-419"/>
              </w:rPr>
            </w:pPr>
          </w:p>
        </w:tc>
        <w:tc>
          <w:tcPr>
            <w:tcW w:w="845" w:type="pct"/>
            <w:tcBorders>
              <w:top w:val="nil"/>
              <w:left w:val="single" w:sz="8" w:space="0" w:color="auto"/>
              <w:bottom w:val="single" w:sz="4" w:space="0" w:color="auto"/>
              <w:right w:val="nil"/>
            </w:tcBorders>
            <w:shd w:val="clear" w:color="000000" w:fill="E7E6E6"/>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Acciones Constructivas</w:t>
            </w:r>
          </w:p>
        </w:tc>
        <w:tc>
          <w:tcPr>
            <w:tcW w:w="768" w:type="pct"/>
            <w:tcBorders>
              <w:top w:val="nil"/>
              <w:left w:val="nil"/>
              <w:bottom w:val="single" w:sz="4" w:space="0" w:color="auto"/>
              <w:right w:val="single" w:sz="8" w:space="0" w:color="auto"/>
            </w:tcBorders>
            <w:shd w:val="clear" w:color="000000" w:fill="E7E6E6"/>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Nuevas viviendas</w:t>
            </w:r>
          </w:p>
        </w:tc>
        <w:tc>
          <w:tcPr>
            <w:tcW w:w="796" w:type="pct"/>
            <w:tcBorders>
              <w:top w:val="nil"/>
              <w:left w:val="nil"/>
              <w:bottom w:val="single" w:sz="4" w:space="0" w:color="auto"/>
              <w:right w:val="nil"/>
            </w:tcBorders>
            <w:shd w:val="clear" w:color="000000" w:fill="E7E6E6"/>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Acciones Constructivas</w:t>
            </w:r>
          </w:p>
        </w:tc>
        <w:tc>
          <w:tcPr>
            <w:tcW w:w="632" w:type="pct"/>
            <w:tcBorders>
              <w:top w:val="nil"/>
              <w:left w:val="nil"/>
              <w:bottom w:val="single" w:sz="4" w:space="0" w:color="auto"/>
              <w:right w:val="single" w:sz="8" w:space="0" w:color="auto"/>
            </w:tcBorders>
            <w:shd w:val="clear" w:color="000000" w:fill="E7E6E6"/>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Nuevas viviendas</w:t>
            </w:r>
          </w:p>
        </w:tc>
        <w:tc>
          <w:tcPr>
            <w:tcW w:w="794" w:type="pct"/>
            <w:tcBorders>
              <w:top w:val="nil"/>
              <w:left w:val="nil"/>
              <w:bottom w:val="single" w:sz="4" w:space="0" w:color="auto"/>
              <w:right w:val="nil"/>
            </w:tcBorders>
            <w:shd w:val="clear" w:color="000000" w:fill="E7E6E6"/>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Acciones Constructivas</w:t>
            </w:r>
          </w:p>
        </w:tc>
        <w:tc>
          <w:tcPr>
            <w:tcW w:w="708" w:type="pct"/>
            <w:tcBorders>
              <w:top w:val="nil"/>
              <w:left w:val="nil"/>
              <w:bottom w:val="single" w:sz="4" w:space="0" w:color="auto"/>
              <w:right w:val="single" w:sz="8" w:space="0" w:color="auto"/>
            </w:tcBorders>
            <w:shd w:val="clear" w:color="000000" w:fill="E7E6E6"/>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Nuevas viviendas</w:t>
            </w:r>
          </w:p>
        </w:tc>
      </w:tr>
      <w:tr w:rsidR="009078FD">
        <w:trPr>
          <w:trHeight w:val="300"/>
        </w:trPr>
        <w:tc>
          <w:tcPr>
            <w:tcW w:w="457" w:type="pct"/>
            <w:tcBorders>
              <w:top w:val="single" w:sz="8" w:space="0" w:color="auto"/>
              <w:left w:val="single" w:sz="8" w:space="0" w:color="auto"/>
              <w:bottom w:val="nil"/>
              <w:right w:val="single" w:sz="4" w:space="0" w:color="auto"/>
            </w:tcBorders>
            <w:shd w:val="clear" w:color="000000" w:fill="E7E6E6"/>
            <w:noWrap/>
            <w:vAlign w:val="bottom"/>
            <w:hideMark/>
          </w:tcPr>
          <w:p w:rsidR="009078FD" w:rsidRDefault="00FC1F11">
            <w:pPr>
              <w:spacing w:after="0" w:line="240" w:lineRule="auto"/>
              <w:jc w:val="center"/>
              <w:rPr>
                <w:rFonts w:ascii="Times New Roman" w:eastAsia="Times New Roman" w:hAnsi="Times New Roman" w:cs="Times New Roman"/>
                <w:b/>
                <w:bCs/>
                <w:color w:val="000000"/>
                <w:lang w:eastAsia="es-419"/>
              </w:rPr>
            </w:pPr>
            <w:r>
              <w:rPr>
                <w:rFonts w:ascii="Times New Roman" w:eastAsia="Times New Roman" w:hAnsi="Times New Roman" w:cs="Times New Roman"/>
                <w:b/>
                <w:bCs/>
                <w:color w:val="000000"/>
                <w:lang w:eastAsia="es-419"/>
              </w:rPr>
              <w:t>2016</w:t>
            </w:r>
          </w:p>
        </w:tc>
        <w:tc>
          <w:tcPr>
            <w:tcW w:w="8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307</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53</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208</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29</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162</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18</w:t>
            </w:r>
          </w:p>
        </w:tc>
      </w:tr>
      <w:tr w:rsidR="009078FD">
        <w:trPr>
          <w:trHeight w:val="300"/>
        </w:trPr>
        <w:tc>
          <w:tcPr>
            <w:tcW w:w="457" w:type="pct"/>
            <w:tcBorders>
              <w:top w:val="nil"/>
              <w:left w:val="single" w:sz="8" w:space="0" w:color="auto"/>
              <w:bottom w:val="nil"/>
              <w:right w:val="single" w:sz="4" w:space="0" w:color="auto"/>
            </w:tcBorders>
            <w:shd w:val="clear" w:color="000000" w:fill="E7E6E6"/>
            <w:noWrap/>
            <w:vAlign w:val="bottom"/>
            <w:hideMark/>
          </w:tcPr>
          <w:p w:rsidR="009078FD" w:rsidRDefault="00FC1F11">
            <w:pPr>
              <w:spacing w:after="0" w:line="240" w:lineRule="auto"/>
              <w:jc w:val="center"/>
              <w:rPr>
                <w:rFonts w:ascii="Times New Roman" w:eastAsia="Times New Roman" w:hAnsi="Times New Roman" w:cs="Times New Roman"/>
                <w:b/>
                <w:bCs/>
                <w:color w:val="000000"/>
                <w:lang w:eastAsia="es-419"/>
              </w:rPr>
            </w:pPr>
            <w:r>
              <w:rPr>
                <w:rFonts w:ascii="Times New Roman" w:eastAsia="Times New Roman" w:hAnsi="Times New Roman" w:cs="Times New Roman"/>
                <w:b/>
                <w:bCs/>
                <w:color w:val="000000"/>
                <w:lang w:eastAsia="es-419"/>
              </w:rPr>
              <w:t>2017</w:t>
            </w:r>
          </w:p>
        </w:tc>
        <w:tc>
          <w:tcPr>
            <w:tcW w:w="8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337</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54</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224</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29</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171</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18</w:t>
            </w:r>
          </w:p>
        </w:tc>
      </w:tr>
      <w:tr w:rsidR="009078FD">
        <w:trPr>
          <w:trHeight w:val="315"/>
        </w:trPr>
        <w:tc>
          <w:tcPr>
            <w:tcW w:w="457" w:type="pct"/>
            <w:tcBorders>
              <w:top w:val="nil"/>
              <w:left w:val="single" w:sz="8" w:space="0" w:color="auto"/>
              <w:bottom w:val="single" w:sz="8" w:space="0" w:color="auto"/>
              <w:right w:val="single" w:sz="4" w:space="0" w:color="auto"/>
            </w:tcBorders>
            <w:shd w:val="clear" w:color="000000" w:fill="E7E6E6"/>
            <w:noWrap/>
            <w:vAlign w:val="bottom"/>
            <w:hideMark/>
          </w:tcPr>
          <w:p w:rsidR="009078FD" w:rsidRDefault="00FC1F11">
            <w:pPr>
              <w:spacing w:after="0" w:line="240" w:lineRule="auto"/>
              <w:jc w:val="center"/>
              <w:rPr>
                <w:rFonts w:ascii="Times New Roman" w:eastAsia="Times New Roman" w:hAnsi="Times New Roman" w:cs="Times New Roman"/>
                <w:b/>
                <w:bCs/>
                <w:color w:val="000000"/>
                <w:lang w:eastAsia="es-419"/>
              </w:rPr>
            </w:pPr>
            <w:r>
              <w:rPr>
                <w:rFonts w:ascii="Times New Roman" w:eastAsia="Times New Roman" w:hAnsi="Times New Roman" w:cs="Times New Roman"/>
                <w:b/>
                <w:bCs/>
                <w:color w:val="000000"/>
                <w:lang w:eastAsia="es-419"/>
              </w:rPr>
              <w:lastRenderedPageBreak/>
              <w:t>2018</w:t>
            </w:r>
          </w:p>
        </w:tc>
        <w:tc>
          <w:tcPr>
            <w:tcW w:w="8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374</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54</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243</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29</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182</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8FD" w:rsidRDefault="00FC1F11">
            <w:pPr>
              <w:spacing w:after="0" w:line="240" w:lineRule="auto"/>
              <w:jc w:val="center"/>
              <w:rPr>
                <w:rFonts w:ascii="Times New Roman" w:eastAsia="Times New Roman" w:hAnsi="Times New Roman" w:cs="Times New Roman"/>
                <w:color w:val="000000"/>
                <w:lang w:eastAsia="es-419"/>
              </w:rPr>
            </w:pPr>
            <w:r>
              <w:rPr>
                <w:rFonts w:ascii="Times New Roman" w:eastAsia="Times New Roman" w:hAnsi="Times New Roman" w:cs="Times New Roman"/>
                <w:color w:val="000000"/>
                <w:lang w:eastAsia="es-419"/>
              </w:rPr>
              <w:t>18</w:t>
            </w:r>
          </w:p>
        </w:tc>
      </w:tr>
    </w:tbl>
    <w:p w:rsidR="009078FD" w:rsidRDefault="00FC1F11">
      <w:pPr>
        <w:spacing w:after="120" w:line="240" w:lineRule="auto"/>
        <w:jc w:val="both"/>
        <w:rPr>
          <w:iCs/>
          <w:noProof/>
        </w:rPr>
      </w:pPr>
      <w:r>
        <w:rPr>
          <w:rFonts w:eastAsia="MS Mincho"/>
          <w:bCs/>
          <w:iCs/>
          <w:sz w:val="20"/>
          <w:szCs w:val="20"/>
          <w:lang w:val="es-419"/>
        </w:rPr>
        <w:t>Fuente:</w:t>
      </w:r>
      <w:r>
        <w:rPr>
          <w:rFonts w:eastAsia="MS Mincho"/>
          <w:b/>
          <w:iCs/>
          <w:sz w:val="20"/>
          <w:szCs w:val="20"/>
          <w:lang w:val="es-419"/>
        </w:rPr>
        <w:t xml:space="preserve"> Elaboración propia</w:t>
      </w:r>
    </w:p>
    <w:p w:rsidR="009078FD" w:rsidRDefault="00FC1F11">
      <w:pPr>
        <w:widowControl w:val="0"/>
        <w:autoSpaceDE w:val="0"/>
        <w:autoSpaceDN w:val="0"/>
        <w:adjustRightInd w:val="0"/>
        <w:spacing w:after="120" w:line="360" w:lineRule="auto"/>
        <w:ind w:right="81"/>
        <w:jc w:val="both"/>
        <w:rPr>
          <w:rFonts w:ascii="Times New Roman" w:hAnsi="Times New Roman" w:cs="Times New Roman"/>
          <w:b/>
          <w:bCs/>
          <w:sz w:val="24"/>
          <w:szCs w:val="24"/>
        </w:rPr>
      </w:pPr>
      <w:r>
        <w:rPr>
          <w:rFonts w:ascii="Times New Roman" w:hAnsi="Times New Roman" w:cs="Times New Roman"/>
          <w:b/>
          <w:bCs/>
          <w:sz w:val="24"/>
          <w:szCs w:val="24"/>
        </w:rPr>
        <w:t>Discusión</w:t>
      </w:r>
    </w:p>
    <w:p w:rsidR="009078FD" w:rsidRDefault="00FC1F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revisión bibliográfica de los modelos que estudian el pronóstico de la demanda de viviendas permite establecer que ninguno se ajusta a las características del caso de estudio. Los modelos que usualmente estudian esta variable son econométricos que utilizan métodos cuantitativos basados en estadística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{"citationItems":[{"id":"ITEM-1","itemData":{"abstract":"El presente estudio inicia con una descripción acerca del entorno de la actividad de la construcción residencial en el cantón Cuenca, así como un análisis sobre el comportamiento evolutivo que han presentado los montos de inversión en edificaciones residenciales y sus principales determinantes. Posteriormente, para comprobar si la inversión en la construcción de viviendas genera efectos económicos positivos en la tasa de desempleo del cantón, y con el objetivo de medir dicho impacto, se desarrollará un modelo econométrico de regresión que relacione estas variables. El periodo a ser analizado, tanto para el análisis descriptivo como para la elaboración del modelo es el comprendido entre los años 2001 y 2012; utilizando fuentes de datos provenientes de la Encuesta de Edificaciones del INEC, del Censo Nacional de Población y Vivienda, así como de los portales electrónicos del Banco Central, Superintendencia de Bancos, Cámara de la Construcción, entre otras fuentes.","author":[{"dropping-particle":"","family":"Reyes Vintimilla","given":"Pablo Andrés","non-dropping-particle":"","parse-names":false,"suffix":""}],"container-title":"Economista","id":"ITEM-1","issued":{"date-parts":[["2015"]]},"publisher":"Universidad del Azuay","title":"Análisis económico de la industria de la construcción residencial y su impacto en la generación de empleo en el Cantón Cuenca, periodo: 2001 - 2012","type":"article-journal"},"uris":["http://www.mendeley.com/documents/?uuid=109c3481-e42b-35cb-9d8f-1ee0cdb28f0c"]}],"mendeley":{"formattedCitation":"(Reyes Vintimilla, 2015)","plainTextFormattedCitation":"(Reyes Vintimilla, 2015)","previouslyFormattedCitation":"(Reyes Vintimilla,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(Reyes Vintimilla, 2015)</w:t>
      </w:r>
      <w:r>
        <w:rPr>
          <w:rFonts w:ascii="Times New Roman" w:hAnsi="Times New Roman" w:cs="Times New Roman"/>
          <w:sz w:val="24"/>
          <w:szCs w:val="24"/>
        </w:rPr>
        <w:fldChar w:fldCharType="end"/>
      </w:r>
      <w:r>
        <w:rPr>
          <w:rFonts w:ascii="Times New Roman" w:hAnsi="Times New Roman" w:cs="Times New Roman"/>
          <w:sz w:val="24"/>
          <w:szCs w:val="24"/>
        </w:rPr>
        <w:t xml:space="preserve">, programación dinámica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{"citationItems":[{"id":"ITEM-1","itemData":{"DOI":"https://doi.org/10.3982/ECTA10170","abstract":"This paper develops a dynamic model of neighborhood choice along with a computationally light multi-step estimator. The proposed empirical framework captures observed and unobserved preference heterogeneity across households and locations in a flexible way. The model is estimated using a newly assembled data set that matches demographic information from mortgage applications to the universe of housing transactions in the San Francisco Bay Area from 1994-2004. The results provide the first estimates of the marginal willingness to pay for several non-marketed amenities-neighborhood air pollution, violent crime and racial composition-in a dynamic framework. Comparing these estimates with those from a static version of the model highlights several important biases that arise when dynamic considerations are ignored.","author":[{"dropping-particle":"","family":"Bayer","given":"Patrick","non-dropping-particle":"","parse-names":false,"suffix":""},{"dropping-particle":"","family":"Mcmillan","given":"Robert","non-dropping-particle":"","parse-names":false,"suffix":""},{"dropping-particle":"","family":"Murphy","given":"Alvin","non-dropping-particle":"","parse-names":false,"suffix":""},{"dropping-particle":"","family":"Timmins","given":"Christopher","non-dropping-particle":"","parse-names":false,"suffix":""}],"container-title":"Econométrica","id":"ITEM-1","issue":"3","issued":{"date-parts":[["2016"]]},"page":"893-942","title":"A Dynamic model of demand for houses and neighborhoods","type":"article-journal","volume":"84"},"uris":["http://www.mendeley.com/documents/?uuid=02be4934-2c45-3976-917a-aaf27f05950a"]}],"mendeley":{"formattedCitation":"(Bayer et al., 2016)","plainTextFormattedCitation":"(Bayer et al., 2016)","previouslyFormattedCitation":"(Bayer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(Bayer et al., 2016)</w:t>
      </w:r>
      <w:r>
        <w:rPr>
          <w:rFonts w:ascii="Times New Roman" w:hAnsi="Times New Roman" w:cs="Times New Roman"/>
          <w:sz w:val="24"/>
          <w:szCs w:val="24"/>
        </w:rPr>
        <w:fldChar w:fldCharType="end"/>
      </w:r>
      <w:r>
        <w:rPr>
          <w:rFonts w:ascii="Times New Roman" w:hAnsi="Times New Roman" w:cs="Times New Roman"/>
          <w:sz w:val="24"/>
          <w:szCs w:val="24"/>
        </w:rPr>
        <w:t xml:space="preserve">, así como la inteligencia artificial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{"citationItems":[{"id":"ITEM-1","itemData":{"DOI":"10.1016/J.BUILDENV.2007.02.017","ISSN":"0360-1323","abstract":"An accurate prediction of prospective construction supply and demand, especially the private residential market, is paramount important to policy makers, as it could help formulate strategies to cultivate/stabilize the economy and satisfy the social needs (at macro level). Despite that, a realistic prediction of future private residential demand is never an easy task, as it is governed by a number of social and economic factors. In this paper, four leading indicator models are developed and compared for directly forecasting Hong Kong private sector residential demand. These comprise a (i) Linear Regression Analysis (LRA) model, (ii) Genetic Algorithms (GA) model, (iii) GA-LRA model, where LRA is used to select the indicator variables; and (iv) GA-LRA model with Adaptive Mutation Rate (AMR) to reduce the likelihood of local optima. The findings indicate that the GA-LRA model with AMR provides the most accurate forecasts and over a longer time horizon. In providing a range of possible forecasts, the model also provides an opportunity for the decision-maker to exercise judgment in selecting the most appropriate forecasts.","author":[{"dropping-particle":"","family":"Ng","given":"Thomas","non-dropping-particle":"","parse-names":false,"suffix":""},{"dropping-particle":"","family":"Skitmore","given":"Martin","non-dropping-particle":"","parse-names":false,"suffix":""},{"dropping-particle":"","family":"Wong","given":"Keung Fai","non-dropping-particle":"","parse-names":false,"suffix":""}],"container-title":"Building and Environment","id":"ITEM-1","issue":"6","issued":{"date-parts":[["2008","6","1"]]},"page":"1171-1184","publisher":"Pergamon","title":"Using genetic algorithms and linear regression analysis for private housing demand forecast","type":"article-journal","volume":"43"},"uris":["http://www.mendeley.com/documents/?uuid=70243ff2-0b47-3fe0-a5d8-cc7d24641b08"]}],"mendeley":{"formattedCitation":"(Ng et al., 2008)","plainTextFormattedCitation":"(Ng et al., 2008)"},"properties":{"noteIndex":0},"schema":"https://github.com/citation-style-language/schema/raw/master/csl-citation.json"}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(Ng et al., 2008)</w:t>
      </w:r>
      <w:r>
        <w:rPr>
          <w:rFonts w:ascii="Times New Roman" w:hAnsi="Times New Roman" w:cs="Times New Roman"/>
          <w:sz w:val="24"/>
          <w:szCs w:val="24"/>
        </w:rPr>
        <w:fldChar w:fldCharType="end"/>
      </w:r>
      <w:r>
        <w:rPr>
          <w:rFonts w:ascii="Times New Roman" w:hAnsi="Times New Roman" w:cs="Times New Roman"/>
          <w:sz w:val="24"/>
          <w:szCs w:val="24"/>
        </w:rPr>
        <w:t xml:space="preserve">. Estos métodos a partir de una amplia y precisa información determinan fundamentalmente la dinámica de los individuos encontrados ante las decisiones de movilidad residencial y elección de tenencia de vivienda.   Solamente en dos investigaciones se hace un análisis de la demanda a partir de las variables que fundamentalmente intervienen en temas relacionados con la vivienda. </w:t>
      </w:r>
    </w:p>
    <w:p w:rsidR="009078FD" w:rsidRDefault="00FC1F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se encuentran estudios de modelos híbridos con algoritmos difusos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{"citationItems":[{"id":"ITEM-1","itemData":{"DOI":"https://doi.org/10.1016/j.eswa.2011.07.020","ISSN":"0957-4174","abstract":"This paper presents a hybrid algorithm based on fuzzy linear regression (FLR) and fuzzy cognitive map (FCM) to deal with the problem of forecasting and optimization of housing market fluctuations. Due to the uncertainty and severe noise associated with the housing market, the application of crisp data for forecasting and optimization purposes is insufficient. Hence, in order to enable the decision-makers to make decisions with respect to imprecise/fuzzy data, FLR is used in the proposed hybrid algorithm. The best-fitted FLR model is then selected with respect to two indicators including Index of Confidence (IC) and Mean Absolute Percentage Error (MAPE). To achieve this objective, analysis of variance (ANOVA) for a randomized complete block design (RCBD) is employed. The primary objective of this study is to utilize imprecise/fuzzy data in order to improve the analysis of housing price fluctuations, in accordance with the factors obtained through the best-fitted FLR model. The secondary objective of this study is the exhibition of the resulted values in a schematic way via FCM. Hybridization of FLR and FCM provides a decision support system (DSS) for utilization of historical data to predict housing market fluctuation in the future and identify the influence of the other parameters. The proposed hybrid FLR-FCM algorithm enables the decision-makers to utilize imprecise and ambiguous data and represent the resulted values of the model more clearly. This is the first study that utilizes a hybrid intelligent approach for housing price and market forecasting and optimization.","author":[{"dropping-particle":"","family":"Azadeh","given":"A.","non-dropping-particle":"","parse-names":false,"suffix":""},{"dropping-particle":"","family":"Ziaei","given":"B.","non-dropping-particle":"","parse-names":false,"suffix":""},{"dropping-particle":"","family":"Moghaddam","given":"M.","non-dropping-particle":"","parse-names":false,"suffix":""}],"container-title":"Expert Systems with Applications","id":"ITEM-1","issue":"1","issued":{"date-parts":[["2012","1","1"]]},"page":"298-315","publisher":"Pergamon","title":"A hybrid fuzzy regression-fuzzy cognitive map algorithm for forecasting and optimization of housing market fluctuations","type":"article-journal","volume":"39"},"uris":["http://www.mendeley.com/documents/?uuid=f335e6fa-6484-4783-aebb-542b51167efe"]}],"mendeley":{"formattedCitation":"(Azadeh et al., 2012)","plainTextFormattedCitation":"(Azadeh et al., 2012)","previouslyFormattedCitation":"(Azadeh et al., 2012)"},"properties":{"noteIndex":0},"schema":"https://github.com/citation-style-language/schema/raw/master/csl-citation.json"}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(Azadeh et al., 2012)</w:t>
      </w:r>
      <w:r>
        <w:rPr>
          <w:rFonts w:ascii="Times New Roman" w:hAnsi="Times New Roman" w:cs="Times New Roman"/>
          <w:sz w:val="24"/>
          <w:szCs w:val="24"/>
        </w:rPr>
        <w:fldChar w:fldCharType="end"/>
      </w:r>
      <w:r>
        <w:rPr>
          <w:rFonts w:ascii="Times New Roman" w:hAnsi="Times New Roman" w:cs="Times New Roman"/>
          <w:sz w:val="24"/>
          <w:szCs w:val="24"/>
        </w:rPr>
        <w:t xml:space="preserve"> cuyos objetivos además de centrarse en los correspondientes a las investigaciones (en su mayoría semejantes a los econométricos) buscan resolver la falta de información estadística necesaria. </w:t>
      </w:r>
    </w:p>
    <w:p w:rsidR="009078FD" w:rsidRDefault="00FC1F11">
      <w:pPr>
        <w:spacing w:line="360" w:lineRule="auto"/>
        <w:jc w:val="both"/>
        <w:rPr>
          <w:rFonts w:ascii="Times New Roman" w:hAnsi="Times New Roman" w:cs="Times New Roman"/>
          <w:sz w:val="24"/>
          <w:szCs w:val="24"/>
        </w:rPr>
      </w:pPr>
      <w:r>
        <w:rPr>
          <w:rFonts w:ascii="Times New Roman" w:hAnsi="Times New Roman" w:cs="Times New Roman"/>
          <w:sz w:val="24"/>
          <w:szCs w:val="24"/>
        </w:rPr>
        <w:t>Los modelos encontrados en la literatura para la predicción de la demanda se basan en su mayoría en la obtención de muestras con altos volúmenes de información y utilizan para ello la econometría, mientras que el modelo planteado a partir de la lógica difusa plantea escenarios que permiten utilizar el conocimiento de los expertos (ante la falta de información confiable y precisa) sobre la base de la creación de cuatros FIS capaces de predecir la demanda de viviendas. Un elemento que aporta el estudio es el carácter multinivel del modelo, el mismo es capaz de desagregar la demanda provincial en las respectivas demandas municipales.</w:t>
      </w:r>
    </w:p>
    <w:p w:rsidR="009078FD" w:rsidRDefault="00FC1F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presente investigación ante la falta de datos lo suficientemente precisos y abundante se presenta un modelo que se basa en la matemática difusa. Su objetivo es pronosticar la demanda de viviendas desde el punto de vista de la cantidad de casa nuevas necesarias a construir y las acciones constructivas necesarias de acometer en el fondo habitacional, elemento que lo distingue del resto, ya que dicho razonamiento solo se trabajan en la investigación de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http://dx.doi.org/10.2139/ssrn.2769860","author":[{"dropping-particle":"","family":"Becerra","given":"Martín","non-dropping-particle":"","parse-names":false,"suffix":""},{"dropping-particle":"","family":"De","given":"Lali","non-dropping-particle":"","parse-names":false,"suffix":""},{"dropping-particle":"","family":"Luis Suárez","given":"Juan José","non-dropping-particle":"","parse-names":false,"suffix":""}],"id":"ITEM-1","issued":{"date-parts":[["2015"]]},"number-of-pages":"8","publisher-place":"Barcelona","title":"Modelo de previsión de demanda de vivienda nueva","type":"report"},"uris":["http://www.mendeley.com/documents/?uuid=3b2bcbc9-4cc6-36f0-83b6-e845c7ecf0f1"]}],"mendeley":{"formattedCitation":"(Becerra et al., 2015)","manualFormatting":"Becerra, De, &amp; Luis Suárez (2015)","plainTextFormattedCitation":"(Becerra et al., 2015)","previouslyFormattedCitation":"(Becerra et al.,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Becerra, De, &amp; Luis Suárez (2015)</w:t>
      </w:r>
      <w:r>
        <w:rPr>
          <w:rFonts w:ascii="Times New Roman" w:hAnsi="Times New Roman" w:cs="Times New Roman"/>
          <w:sz w:val="24"/>
          <w:szCs w:val="24"/>
        </w:rPr>
        <w:fldChar w:fldCharType="end"/>
      </w:r>
      <w:r>
        <w:rPr>
          <w:rFonts w:ascii="Times New Roman" w:hAnsi="Times New Roman" w:cs="Times New Roman"/>
          <w:sz w:val="24"/>
          <w:szCs w:val="24"/>
        </w:rPr>
        <w:t xml:space="preserve">. Para ello, se basa en la influencia </w:t>
      </w:r>
      <w:r>
        <w:rPr>
          <w:rFonts w:ascii="Times New Roman" w:hAnsi="Times New Roman" w:cs="Times New Roman"/>
          <w:sz w:val="24"/>
          <w:szCs w:val="24"/>
        </w:rPr>
        <w:lastRenderedPageBreak/>
        <w:t xml:space="preserve">de variables utilizadas en estudios econométricos realizados con anterioridad y que influyen en el objeto de estudio.  </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La lógica difusa presenta baja complejidad computacional y les permite a los sistemas traducir la opinión del grupo de expertos en forma de valores numéricos.                                    La utilización del AHP afianza la experticia de los expertos involucrados en la toma de decisiones.</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El pronóstico de viviendas se realiza sobre la base de los cuatros escenarios que se proponen. Estos de trabajan de forma integrada y ponderada pues, la omisión de uno de ellos puede provocar que ante un cambio de las condiciones (eventualidad de un suceso climatológico no pronosticado o un cambio brusco en la economía) no se tengan en cuentas los cambios que estos eventos puedan provocar en la demanda.</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La desagregación de la demanda de acciones constructivas provincial a nivel de los municipios evidencia que el municipio de Cienfuegos es el que más influye en la demanda provincial, se debe esto principalmente a su condición de municipio cabecera. Cumanayagua es el segundo municipio de mayor influencia, este pertenece al programa de la montaña por lo que la política de la vivienda es priorizada y su extensión es mayor a la del resto de los municipios con una densidad poblacional superior. En cuanto a la influencia de los conductores por municipios se observa que el turismo solo ocupa el primer lugar en Cienfuegos, en el resto en estado del fondo habitacional representa el principal factor a tener en cuenta.</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el análisis de las demandas municipales de las nuevas viviendas el estado del fondo habitacional es el conductor que más influye para todos los municipios, seguido del crecimiento del turismo que presenta mayor incidencia en Cienfuegos y Cumanayagua, no siendo así para el resto de los municipios donde la afectación de los desastres naturales ocupa el segundo lugar, esto se debe a que en los dos primeros municipios se encuentran las principales atracciones turísticas de la provincia mientras que el resto de los municipios se benefician del turismo a partir de la población que trabaja en estos lugares y no reside en ellos.</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resultado logrado con la desagregación de la demanda en los municipios permite en primer lugar, hacer una diferenciación entre el comportamiento de las acciones </w:t>
      </w:r>
      <w:r>
        <w:rPr>
          <w:rFonts w:ascii="Times New Roman" w:hAnsi="Times New Roman" w:cs="Times New Roman"/>
          <w:sz w:val="24"/>
          <w:szCs w:val="24"/>
        </w:rPr>
        <w:lastRenderedPageBreak/>
        <w:t>constructivas y nuevas viviendas en cada uno de los municipios de acuerdo a sus características y establecer un pronóstico diferenciado de las demandas.</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El pronóstico final de la demanda de nuevas viviendas y acciones constructivas les permite a los actores del PLPVMC planificar la producción, distribución y comercialización de materiales de construcción que satisfaga la demanda y contribuya con el mejoramiento del fondo habitacional teniendo en cuenta las características de los municipios y trazando estrategias donde en algún momento se pueda priorizar algún municipios por encima de otro a partir de criterios que se manejan dentro del trabajo del gobierno.</w:t>
      </w:r>
    </w:p>
    <w:p w:rsidR="009078FD" w:rsidRDefault="00FC1F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Conclusiones</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La investigación propone un modelo de pronóstico de demanda de viviendas desarrollado en dos etapas. La primera etapa del trabajo se distingue por la utilización de FIS para la generación de escenarios a partir de la existencia de parámetros inciertos en la que se utiliza el conocimiento de los expertos para suplir la carencia de información estadísticamente confiable. La novedad del modelo radica en su carácter multinivel que se desarrolla en la segunda etapa donde se desagrega la demanda provincial a nivel municipal.</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La influencia que ejercen los sistemas en la demanda de cada uno de los municipios corrobora que solo en Cienfuegos y Cumanayagua el turismo presenta una incidencia directa. Sin embargo, el estado del fondo habitacional es un conductor representativo en todos los municipios de la provincia, tanto para el pronóstico de la demanda de acciones constructivas como de las nuevas viviendas.</w:t>
      </w:r>
    </w:p>
    <w:p w:rsidR="009078FD" w:rsidRDefault="00FC1F1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 partir de la aplicación del modelo se determinaron las demandas de acciones constructivas y nuevas viviendas para la provincia de Cienfuegos y sus respectivos municipios en los años 2016, 2017 y 2018. Este resultado les facilita a los decisores del PLPVMC determinar las necesidades de producción de materiales de construcción y sus respectivas distribuciones en la provincia con el fin de satisfacer la demanda de viviendas.</w:t>
      </w:r>
    </w:p>
    <w:p w:rsidR="009078FD" w:rsidRDefault="009078FD">
      <w:pPr>
        <w:spacing w:after="0" w:line="360" w:lineRule="auto"/>
        <w:jc w:val="both"/>
        <w:rPr>
          <w:rFonts w:ascii="Times New Roman" w:hAnsi="Times New Roman" w:cs="Times New Roman"/>
          <w:sz w:val="24"/>
          <w:szCs w:val="24"/>
        </w:rPr>
      </w:pPr>
    </w:p>
    <w:p w:rsidR="009078FD" w:rsidRDefault="00FC1F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Referencias bibliográficas</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eastAsia="Times New Roman" w:hAnsi="Times New Roman" w:cs="Times New Roman"/>
          <w:sz w:val="24"/>
          <w:szCs w:val="24"/>
          <w:lang w:eastAsia="es-419"/>
        </w:rPr>
        <w:fldChar w:fldCharType="begin"/>
      </w:r>
      <w:r>
        <w:rPr>
          <w:rFonts w:ascii="Times New Roman" w:eastAsia="Times New Roman" w:hAnsi="Times New Roman" w:cs="Times New Roman"/>
          <w:sz w:val="24"/>
          <w:szCs w:val="24"/>
          <w:lang w:eastAsia="es-419"/>
        </w:rPr>
        <w:instrText xml:space="preserve">ADDIN Mendeley Bibliography CSL_BIBLIOGRAPHY </w:instrText>
      </w:r>
      <w:r>
        <w:rPr>
          <w:rFonts w:ascii="Times New Roman" w:eastAsia="Times New Roman" w:hAnsi="Times New Roman" w:cs="Times New Roman"/>
          <w:sz w:val="24"/>
          <w:szCs w:val="24"/>
          <w:lang w:eastAsia="es-419"/>
        </w:rPr>
        <w:fldChar w:fldCharType="separate"/>
      </w:r>
      <w:r>
        <w:rPr>
          <w:rFonts w:ascii="Times New Roman" w:hAnsi="Times New Roman" w:cs="Times New Roman"/>
          <w:noProof/>
          <w:sz w:val="24"/>
          <w:szCs w:val="24"/>
        </w:rPr>
        <w:t xml:space="preserve">Adamuz Peña, M. de las M., &amp; González Tejeda, L. (2016). Demanda de vivienda de los hogares en México. </w:t>
      </w:r>
      <w:r>
        <w:rPr>
          <w:rFonts w:ascii="Times New Roman" w:hAnsi="Times New Roman" w:cs="Times New Roman"/>
          <w:i/>
          <w:iCs/>
          <w:noProof/>
          <w:sz w:val="24"/>
          <w:szCs w:val="24"/>
        </w:rPr>
        <w:t>El Trimestre Económico</w:t>
      </w:r>
      <w:r>
        <w:rPr>
          <w:rFonts w:ascii="Times New Roman" w:hAnsi="Times New Roman" w:cs="Times New Roman"/>
          <w:noProof/>
          <w:sz w:val="24"/>
          <w:szCs w:val="24"/>
        </w:rPr>
        <w:t xml:space="preserve">, </w:t>
      </w:r>
      <w:r>
        <w:rPr>
          <w:rFonts w:ascii="Times New Roman" w:hAnsi="Times New Roman" w:cs="Times New Roman"/>
          <w:i/>
          <w:iCs/>
          <w:noProof/>
          <w:sz w:val="24"/>
          <w:szCs w:val="24"/>
        </w:rPr>
        <w:t>83</w:t>
      </w:r>
      <w:r>
        <w:rPr>
          <w:rFonts w:ascii="Times New Roman" w:hAnsi="Times New Roman" w:cs="Times New Roman"/>
          <w:noProof/>
          <w:sz w:val="24"/>
          <w:szCs w:val="24"/>
        </w:rPr>
        <w:t xml:space="preserve">(330), 311–337. </w:t>
      </w:r>
      <w:r>
        <w:rPr>
          <w:rFonts w:ascii="Times New Roman" w:hAnsi="Times New Roman" w:cs="Times New Roman"/>
          <w:noProof/>
          <w:sz w:val="24"/>
          <w:szCs w:val="24"/>
        </w:rPr>
        <w:lastRenderedPageBreak/>
        <w:t>https://doi.org/http://dx.doi.org/10.20430/ete.v83i330.201</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Akintoye, A., &amp; Skitmore, M. (1994). Models of UK private sector quarterly construction demand. </w:t>
      </w:r>
      <w:r>
        <w:rPr>
          <w:rFonts w:ascii="Times New Roman" w:hAnsi="Times New Roman" w:cs="Times New Roman"/>
          <w:i/>
          <w:iCs/>
          <w:noProof/>
          <w:sz w:val="24"/>
          <w:szCs w:val="24"/>
        </w:rPr>
        <w:t>Construction Management and Economics</w:t>
      </w:r>
      <w:r>
        <w:rPr>
          <w:rFonts w:ascii="Times New Roman" w:hAnsi="Times New Roman" w:cs="Times New Roman"/>
          <w:noProof/>
          <w:sz w:val="24"/>
          <w:szCs w:val="24"/>
        </w:rPr>
        <w:t xml:space="preserve">, </w:t>
      </w:r>
      <w:r>
        <w:rPr>
          <w:rFonts w:ascii="Times New Roman" w:hAnsi="Times New Roman" w:cs="Times New Roman"/>
          <w:i/>
          <w:iCs/>
          <w:noProof/>
          <w:sz w:val="24"/>
          <w:szCs w:val="24"/>
        </w:rPr>
        <w:t>12</w:t>
      </w:r>
      <w:r>
        <w:rPr>
          <w:rFonts w:ascii="Times New Roman" w:hAnsi="Times New Roman" w:cs="Times New Roman"/>
          <w:noProof/>
          <w:sz w:val="24"/>
          <w:szCs w:val="24"/>
        </w:rPr>
        <w:t>(1), 3–13. https://doi.org/10.1080/01446199400000002</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Alamdar, S. F., Rabbani, M., &amp; Heydari, J. (2018). Pricing, collection, and effort decisions with coordination contracts in a fuzzy, three-level closed-loop supply chain. </w:t>
      </w:r>
      <w:r>
        <w:rPr>
          <w:rFonts w:ascii="Times New Roman" w:hAnsi="Times New Roman" w:cs="Times New Roman"/>
          <w:i/>
          <w:iCs/>
          <w:noProof/>
          <w:sz w:val="24"/>
          <w:szCs w:val="24"/>
        </w:rPr>
        <w:t>Expert Systems with Applications</w:t>
      </w:r>
      <w:r>
        <w:rPr>
          <w:rFonts w:ascii="Times New Roman" w:hAnsi="Times New Roman" w:cs="Times New Roman"/>
          <w:noProof/>
          <w:sz w:val="24"/>
          <w:szCs w:val="24"/>
        </w:rPr>
        <w:t xml:space="preserve">, </w:t>
      </w:r>
      <w:r>
        <w:rPr>
          <w:rFonts w:ascii="Times New Roman" w:hAnsi="Times New Roman" w:cs="Times New Roman"/>
          <w:i/>
          <w:iCs/>
          <w:noProof/>
          <w:sz w:val="24"/>
          <w:szCs w:val="24"/>
        </w:rPr>
        <w:t>104</w:t>
      </w:r>
      <w:r>
        <w:rPr>
          <w:rFonts w:ascii="Times New Roman" w:hAnsi="Times New Roman" w:cs="Times New Roman"/>
          <w:noProof/>
          <w:sz w:val="24"/>
          <w:szCs w:val="24"/>
        </w:rPr>
        <w:t>, 261–276. https://doi.org/https://doi.org/10.1016/j.eswa.2018.03.029</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Amin, S. H., Zhang, G., &amp; Akhtar, P. (2017). Effects of uncertainty on a tire closed-loop supply chain network. </w:t>
      </w:r>
      <w:r>
        <w:rPr>
          <w:rFonts w:ascii="Times New Roman" w:hAnsi="Times New Roman" w:cs="Times New Roman"/>
          <w:i/>
          <w:iCs/>
          <w:noProof/>
          <w:sz w:val="24"/>
          <w:szCs w:val="24"/>
        </w:rPr>
        <w:t>Expert Systems with Applications</w:t>
      </w:r>
      <w:r>
        <w:rPr>
          <w:rFonts w:ascii="Times New Roman" w:hAnsi="Times New Roman" w:cs="Times New Roman"/>
          <w:noProof/>
          <w:sz w:val="24"/>
          <w:szCs w:val="24"/>
        </w:rPr>
        <w:t xml:space="preserve">, </w:t>
      </w:r>
      <w:r>
        <w:rPr>
          <w:rFonts w:ascii="Times New Roman" w:hAnsi="Times New Roman" w:cs="Times New Roman"/>
          <w:i/>
          <w:iCs/>
          <w:noProof/>
          <w:sz w:val="24"/>
          <w:szCs w:val="24"/>
        </w:rPr>
        <w:t>73</w:t>
      </w:r>
      <w:r>
        <w:rPr>
          <w:rFonts w:ascii="Times New Roman" w:hAnsi="Times New Roman" w:cs="Times New Roman"/>
          <w:noProof/>
          <w:sz w:val="24"/>
          <w:szCs w:val="24"/>
        </w:rPr>
        <w:t>, 82–91. https://doi.org/https://doi.org/https://doi.org/10.1016/j.eswa.2016.12.024</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Azadeh, A., Ziaei, B., &amp; Moghaddam, M. (2012). A hybrid fuzzy regression-fuzzy cognitive map algorithm for forecasting and optimization of housing market fluctuations. </w:t>
      </w:r>
      <w:r>
        <w:rPr>
          <w:rFonts w:ascii="Times New Roman" w:hAnsi="Times New Roman" w:cs="Times New Roman"/>
          <w:i/>
          <w:iCs/>
          <w:noProof/>
          <w:sz w:val="24"/>
          <w:szCs w:val="24"/>
        </w:rPr>
        <w:t>Expert Systems with Applications</w:t>
      </w:r>
      <w:r>
        <w:rPr>
          <w:rFonts w:ascii="Times New Roman" w:hAnsi="Times New Roman" w:cs="Times New Roman"/>
          <w:noProof/>
          <w:sz w:val="24"/>
          <w:szCs w:val="24"/>
        </w:rPr>
        <w:t xml:space="preserve">, </w:t>
      </w:r>
      <w:r>
        <w:rPr>
          <w:rFonts w:ascii="Times New Roman" w:hAnsi="Times New Roman" w:cs="Times New Roman"/>
          <w:i/>
          <w:iCs/>
          <w:noProof/>
          <w:sz w:val="24"/>
          <w:szCs w:val="24"/>
        </w:rPr>
        <w:t>39</w:t>
      </w:r>
      <w:r>
        <w:rPr>
          <w:rFonts w:ascii="Times New Roman" w:hAnsi="Times New Roman" w:cs="Times New Roman"/>
          <w:noProof/>
          <w:sz w:val="24"/>
          <w:szCs w:val="24"/>
        </w:rPr>
        <w:t>(1), 298–315. https://doi.org/https://doi.org/10.1016/j.eswa.2011.07.020</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Azcona, J. P. (2014). Modelo Fuzzy de determinación del valor unitario de edificación destinada a vivienda con fines catastrales. </w:t>
      </w:r>
      <w:r>
        <w:rPr>
          <w:rFonts w:ascii="Times New Roman" w:hAnsi="Times New Roman" w:cs="Times New Roman"/>
          <w:i/>
          <w:iCs/>
          <w:noProof/>
          <w:sz w:val="24"/>
          <w:szCs w:val="24"/>
        </w:rPr>
        <w:t>CT: Catastro</w:t>
      </w:r>
      <w:r>
        <w:rPr>
          <w:rFonts w:ascii="Times New Roman" w:hAnsi="Times New Roman" w:cs="Times New Roman"/>
          <w:noProof/>
          <w:sz w:val="24"/>
          <w:szCs w:val="24"/>
        </w:rPr>
        <w:t xml:space="preserve">, </w:t>
      </w:r>
      <w:r>
        <w:rPr>
          <w:rFonts w:ascii="Times New Roman" w:hAnsi="Times New Roman" w:cs="Times New Roman"/>
          <w:i/>
          <w:iCs/>
          <w:noProof/>
          <w:sz w:val="24"/>
          <w:szCs w:val="24"/>
        </w:rPr>
        <w:t>82</w:t>
      </w:r>
      <w:r>
        <w:rPr>
          <w:rFonts w:ascii="Times New Roman" w:hAnsi="Times New Roman" w:cs="Times New Roman"/>
          <w:noProof/>
          <w:sz w:val="24"/>
          <w:szCs w:val="24"/>
        </w:rPr>
        <w:t>, 7–34. https://doi.org/https://doi.org/10.3846/tede.2019.7456</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Bai, X., Liu, M., Wang, T., Chen, Z., Wang, P., &amp; Zhang, Y. (2016). Feature based fuzzy inference system for segmentation of low-contrast infrared ship images. </w:t>
      </w:r>
      <w:r>
        <w:rPr>
          <w:rFonts w:ascii="Times New Roman" w:hAnsi="Times New Roman" w:cs="Times New Roman"/>
          <w:i/>
          <w:iCs/>
          <w:noProof/>
          <w:sz w:val="24"/>
          <w:szCs w:val="24"/>
        </w:rPr>
        <w:t>Applied Soft Computing</w:t>
      </w:r>
      <w:r>
        <w:rPr>
          <w:rFonts w:ascii="Times New Roman" w:hAnsi="Times New Roman" w:cs="Times New Roman"/>
          <w:noProof/>
          <w:sz w:val="24"/>
          <w:szCs w:val="24"/>
        </w:rPr>
        <w:t xml:space="preserve">, </w:t>
      </w:r>
      <w:r>
        <w:rPr>
          <w:rFonts w:ascii="Times New Roman" w:hAnsi="Times New Roman" w:cs="Times New Roman"/>
          <w:i/>
          <w:iCs/>
          <w:noProof/>
          <w:sz w:val="24"/>
          <w:szCs w:val="24"/>
        </w:rPr>
        <w:t>46</w:t>
      </w:r>
      <w:r>
        <w:rPr>
          <w:rFonts w:ascii="Times New Roman" w:hAnsi="Times New Roman" w:cs="Times New Roman"/>
          <w:noProof/>
          <w:sz w:val="24"/>
          <w:szCs w:val="24"/>
        </w:rPr>
        <w:t>, 128–142. https://doi.org/https://doi.org/10.1016/j.asoc.2016.05.004</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Barrios García, J. A., &amp; Rodríguez Hernández, J. E. (2004). User Cost Changes, Unemployment and Home-ownership: Evidence from Spain. </w:t>
      </w:r>
      <w:r>
        <w:rPr>
          <w:rFonts w:ascii="Times New Roman" w:hAnsi="Times New Roman" w:cs="Times New Roman"/>
          <w:i/>
          <w:iCs/>
          <w:noProof/>
          <w:sz w:val="24"/>
          <w:szCs w:val="24"/>
        </w:rPr>
        <w:t>Urban Studies</w:t>
      </w:r>
      <w:r>
        <w:rPr>
          <w:rFonts w:ascii="Times New Roman" w:hAnsi="Times New Roman" w:cs="Times New Roman"/>
          <w:noProof/>
          <w:sz w:val="24"/>
          <w:szCs w:val="24"/>
        </w:rPr>
        <w:t xml:space="preserve">, </w:t>
      </w:r>
      <w:r>
        <w:rPr>
          <w:rFonts w:ascii="Times New Roman" w:hAnsi="Times New Roman" w:cs="Times New Roman"/>
          <w:i/>
          <w:iCs/>
          <w:noProof/>
          <w:sz w:val="24"/>
          <w:szCs w:val="24"/>
        </w:rPr>
        <w:t>41</w:t>
      </w:r>
      <w:r>
        <w:rPr>
          <w:rFonts w:ascii="Times New Roman" w:hAnsi="Times New Roman" w:cs="Times New Roman"/>
          <w:noProof/>
          <w:sz w:val="24"/>
          <w:szCs w:val="24"/>
        </w:rPr>
        <w:t>(3), 563–578. https://doi.org/10.1080/0042098042000178681</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Bayer, P., Mcmillan, R., Murphy, A., &amp; Timmins, C. (2016). A Dynamic model of demand for houses and neighborhoods. </w:t>
      </w:r>
      <w:r>
        <w:rPr>
          <w:rFonts w:ascii="Times New Roman" w:hAnsi="Times New Roman" w:cs="Times New Roman"/>
          <w:i/>
          <w:iCs/>
          <w:noProof/>
          <w:sz w:val="24"/>
          <w:szCs w:val="24"/>
        </w:rPr>
        <w:t>Econométrica</w:t>
      </w:r>
      <w:r>
        <w:rPr>
          <w:rFonts w:ascii="Times New Roman" w:hAnsi="Times New Roman" w:cs="Times New Roman"/>
          <w:noProof/>
          <w:sz w:val="24"/>
          <w:szCs w:val="24"/>
        </w:rPr>
        <w:t xml:space="preserve">, </w:t>
      </w:r>
      <w:r>
        <w:rPr>
          <w:rFonts w:ascii="Times New Roman" w:hAnsi="Times New Roman" w:cs="Times New Roman"/>
          <w:i/>
          <w:iCs/>
          <w:noProof/>
          <w:sz w:val="24"/>
          <w:szCs w:val="24"/>
        </w:rPr>
        <w:t>84</w:t>
      </w:r>
      <w:r>
        <w:rPr>
          <w:rFonts w:ascii="Times New Roman" w:hAnsi="Times New Roman" w:cs="Times New Roman"/>
          <w:noProof/>
          <w:sz w:val="24"/>
          <w:szCs w:val="24"/>
        </w:rPr>
        <w:t>(3), 893–942. https://doi.org/https://doi.org/10.3982/ECTA10170</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lastRenderedPageBreak/>
        <w:t xml:space="preserve">Becerra, M., De, L., &amp; Luis Suárez, J. J. (2015). </w:t>
      </w:r>
      <w:r>
        <w:rPr>
          <w:rFonts w:ascii="Times New Roman" w:hAnsi="Times New Roman" w:cs="Times New Roman"/>
          <w:i/>
          <w:iCs/>
          <w:noProof/>
          <w:sz w:val="24"/>
          <w:szCs w:val="24"/>
        </w:rPr>
        <w:t>Modelo de previsión de demanda de vivienda nueva</w:t>
      </w:r>
      <w:r>
        <w:rPr>
          <w:rFonts w:ascii="Times New Roman" w:hAnsi="Times New Roman" w:cs="Times New Roman"/>
          <w:noProof/>
          <w:sz w:val="24"/>
          <w:szCs w:val="24"/>
        </w:rPr>
        <w:t>. https://doi.org/http://dx.doi.org/10.2139/ssrn.2769860</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Bilgiç, T., &amp; Türkşen, I. B. (2000). Measurement of Membership Functions: Theoretical and Empirical Work. In </w:t>
      </w:r>
      <w:r>
        <w:rPr>
          <w:rFonts w:ascii="Times New Roman" w:hAnsi="Times New Roman" w:cs="Times New Roman"/>
          <w:i/>
          <w:iCs/>
          <w:noProof/>
          <w:sz w:val="24"/>
          <w:szCs w:val="24"/>
        </w:rPr>
        <w:t>Fundamentals of Fuzzy Sets</w:t>
      </w:r>
      <w:r>
        <w:rPr>
          <w:rFonts w:ascii="Times New Roman" w:hAnsi="Times New Roman" w:cs="Times New Roman"/>
          <w:noProof/>
          <w:sz w:val="24"/>
          <w:szCs w:val="24"/>
        </w:rPr>
        <w:t xml:space="preserve"> (Vol. 7). https://doi.org/https://doi.org/10.1007/978-1-4615-4429-6_4</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Bonilla, C., Harolit, D., &amp; Castellanos, D. (2010). </w:t>
      </w:r>
      <w:r>
        <w:rPr>
          <w:rFonts w:ascii="Times New Roman" w:hAnsi="Times New Roman" w:cs="Times New Roman"/>
          <w:i/>
          <w:iCs/>
          <w:noProof/>
          <w:sz w:val="24"/>
          <w:szCs w:val="24"/>
        </w:rPr>
        <w:t>Determinantes del precio de las viviendas: Un análisis econométrico para Colombia.</w:t>
      </w:r>
      <w:r>
        <w:rPr>
          <w:rFonts w:ascii="Times New Roman" w:hAnsi="Times New Roman" w:cs="Times New Roman"/>
          <w:noProof/>
          <w:sz w:val="24"/>
          <w:szCs w:val="24"/>
        </w:rPr>
        <w:t xml:space="preserve"> (Universidad Industrial de Santander). http://noesis.uis.edu.co/bitstream/123456789/26905/1/136219.pdf</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Buñay Gavidia, C. J., &amp; Sánchez Granda, N. C. (2016). Análisis de la demanda de vivienda y su relación con el ingreso familiar de los habitantes de la provincia de Chimborazo Cantón Riobamba durante el año 2014. </w:t>
      </w:r>
      <w:r>
        <w:rPr>
          <w:rFonts w:ascii="Times New Roman" w:hAnsi="Times New Roman" w:cs="Times New Roman"/>
          <w:i/>
          <w:iCs/>
          <w:noProof/>
          <w:sz w:val="24"/>
          <w:szCs w:val="24"/>
        </w:rPr>
        <w:t>Repositorio Digital UNACH</w:t>
      </w:r>
      <w:r>
        <w:rPr>
          <w:rFonts w:ascii="Times New Roman" w:hAnsi="Times New Roman" w:cs="Times New Roman"/>
          <w:noProof/>
          <w:sz w:val="24"/>
          <w:szCs w:val="24"/>
        </w:rPr>
        <w:t>. http://dspace.unach.edu.ec/handle/51000/1524</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Cadena Minnota, F. J., Ramos Chalén, M. E., &amp; Pazmiño Medina, M. I. (2010). Los determinantes de la demanda de vivienda en las ciudades de Guayaquil, Quito y Cuenca: Un análisis multinomial. </w:t>
      </w:r>
      <w:r>
        <w:rPr>
          <w:rFonts w:ascii="Times New Roman" w:hAnsi="Times New Roman" w:cs="Times New Roman"/>
          <w:i/>
          <w:iCs/>
          <w:noProof/>
          <w:sz w:val="24"/>
          <w:szCs w:val="24"/>
        </w:rPr>
        <w:t>Pdfs.Semanticscholar.Org</w:t>
      </w:r>
      <w:r>
        <w:rPr>
          <w:rFonts w:ascii="Times New Roman" w:hAnsi="Times New Roman" w:cs="Times New Roman"/>
          <w:noProof/>
          <w:sz w:val="24"/>
          <w:szCs w:val="24"/>
        </w:rPr>
        <w:t>. https://pdfs.semanticscholar.org/d153/df808724b4050a11ddeeae47cf6f65000faa.pdf</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Chameau, J. L., &amp; Santamarina, J. C. (1987). Membership functions I: Comparing methods of measurement. </w:t>
      </w:r>
      <w:r>
        <w:rPr>
          <w:rFonts w:ascii="Times New Roman" w:hAnsi="Times New Roman" w:cs="Times New Roman"/>
          <w:i/>
          <w:iCs/>
          <w:noProof/>
          <w:sz w:val="24"/>
          <w:szCs w:val="24"/>
        </w:rPr>
        <w:t>International Journal of Approximate Reasoning</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(3), 287–301. https://doi.org/https://doi.org/10.1016/S0888-613X(87)80003-8</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Chandima Ratnayake, R. M. (2014). Application of a fuzzy inference system for functional failure risk rank estimation: RBM of rotating equipment and instrumentation. </w:t>
      </w:r>
      <w:r>
        <w:rPr>
          <w:rFonts w:ascii="Times New Roman" w:hAnsi="Times New Roman" w:cs="Times New Roman"/>
          <w:i/>
          <w:iCs/>
          <w:noProof/>
          <w:sz w:val="24"/>
          <w:szCs w:val="24"/>
        </w:rPr>
        <w:t>Journal of Loss Prevention in the Process Industries</w:t>
      </w:r>
      <w:r>
        <w:rPr>
          <w:rFonts w:ascii="Times New Roman" w:hAnsi="Times New Roman" w:cs="Times New Roman"/>
          <w:noProof/>
          <w:sz w:val="24"/>
          <w:szCs w:val="24"/>
        </w:rPr>
        <w:t xml:space="preserve">, </w:t>
      </w:r>
      <w:r>
        <w:rPr>
          <w:rFonts w:ascii="Times New Roman" w:hAnsi="Times New Roman" w:cs="Times New Roman"/>
          <w:i/>
          <w:iCs/>
          <w:noProof/>
          <w:sz w:val="24"/>
          <w:szCs w:val="24"/>
        </w:rPr>
        <w:t>29</w:t>
      </w:r>
      <w:r>
        <w:rPr>
          <w:rFonts w:ascii="Times New Roman" w:hAnsi="Times New Roman" w:cs="Times New Roman"/>
          <w:noProof/>
          <w:sz w:val="24"/>
          <w:szCs w:val="24"/>
        </w:rPr>
        <w:t>, 216–224. https://doi.org/https://doi.org/10.1016/j.jlp.2014.03.002</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Chen, C. M. (2009). A fuzzy-based decision-support model for rebuy procurement. </w:t>
      </w:r>
      <w:r>
        <w:rPr>
          <w:rFonts w:ascii="Times New Roman" w:hAnsi="Times New Roman" w:cs="Times New Roman"/>
          <w:i/>
          <w:iCs/>
          <w:noProof/>
          <w:sz w:val="24"/>
          <w:szCs w:val="24"/>
        </w:rPr>
        <w:t>International Journal of Production Economics</w:t>
      </w:r>
      <w:r>
        <w:rPr>
          <w:rFonts w:ascii="Times New Roman" w:hAnsi="Times New Roman" w:cs="Times New Roman"/>
          <w:noProof/>
          <w:sz w:val="24"/>
          <w:szCs w:val="24"/>
        </w:rPr>
        <w:t xml:space="preserve">, </w:t>
      </w:r>
      <w:r>
        <w:rPr>
          <w:rFonts w:ascii="Times New Roman" w:hAnsi="Times New Roman" w:cs="Times New Roman"/>
          <w:i/>
          <w:iCs/>
          <w:noProof/>
          <w:sz w:val="24"/>
          <w:szCs w:val="24"/>
        </w:rPr>
        <w:t>122</w:t>
      </w:r>
      <w:r>
        <w:rPr>
          <w:rFonts w:ascii="Times New Roman" w:hAnsi="Times New Roman" w:cs="Times New Roman"/>
          <w:noProof/>
          <w:sz w:val="24"/>
          <w:szCs w:val="24"/>
        </w:rPr>
        <w:t>(2), 714–724. https://doi.org/https://doi.org/10.1016/j.ijpe.2009.06.037</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Clavijo, S., Janna, M., &amp; Muñoz, S. (2005). La vivienda en Colombia: sus </w:t>
      </w:r>
      <w:r>
        <w:rPr>
          <w:rFonts w:ascii="Times New Roman" w:hAnsi="Times New Roman" w:cs="Times New Roman"/>
          <w:noProof/>
          <w:sz w:val="24"/>
          <w:szCs w:val="24"/>
        </w:rPr>
        <w:lastRenderedPageBreak/>
        <w:t xml:space="preserve">determinantes socioeconómicos y financieros. </w:t>
      </w:r>
      <w:r>
        <w:rPr>
          <w:rFonts w:ascii="Times New Roman" w:hAnsi="Times New Roman" w:cs="Times New Roman"/>
          <w:i/>
          <w:iCs/>
          <w:noProof/>
          <w:sz w:val="24"/>
          <w:szCs w:val="24"/>
        </w:rPr>
        <w:t>Revista Desarrollo y Sociedad</w:t>
      </w:r>
      <w:r>
        <w:rPr>
          <w:rFonts w:ascii="Times New Roman" w:hAnsi="Times New Roman" w:cs="Times New Roman"/>
          <w:noProof/>
          <w:sz w:val="24"/>
          <w:szCs w:val="24"/>
        </w:rPr>
        <w:t>, (55), 101–165. https://doi.org/10.13043/dys.55.3</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Colmenares Lacruz, G. A., &amp; Gil Ruiz, A. A. (2010). Pronóstico del déficit de viviendas en el estado Mérida, Venezuela mediante redes neuronales artificiales. </w:t>
      </w:r>
      <w:r>
        <w:rPr>
          <w:rFonts w:ascii="Times New Roman" w:hAnsi="Times New Roman" w:cs="Times New Roman"/>
          <w:i/>
          <w:iCs/>
          <w:noProof/>
          <w:sz w:val="24"/>
          <w:szCs w:val="24"/>
        </w:rPr>
        <w:t>Economía</w:t>
      </w:r>
      <w:r>
        <w:rPr>
          <w:rFonts w:ascii="Times New Roman" w:hAnsi="Times New Roman" w:cs="Times New Roman"/>
          <w:noProof/>
          <w:sz w:val="24"/>
          <w:szCs w:val="24"/>
        </w:rPr>
        <w:t xml:space="preserve">, </w:t>
      </w:r>
      <w:r>
        <w:rPr>
          <w:rFonts w:ascii="Times New Roman" w:hAnsi="Times New Roman" w:cs="Times New Roman"/>
          <w:i/>
          <w:iCs/>
          <w:noProof/>
          <w:sz w:val="24"/>
          <w:szCs w:val="24"/>
        </w:rPr>
        <w:t>XXXV</w:t>
      </w:r>
      <w:r>
        <w:rPr>
          <w:rFonts w:ascii="Times New Roman" w:hAnsi="Times New Roman" w:cs="Times New Roman"/>
          <w:noProof/>
          <w:sz w:val="24"/>
          <w:szCs w:val="24"/>
        </w:rPr>
        <w:t>(29), 109–140. https://www.redalyc.org/html/1956/195617995006/</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Colom Andrés, M. C., &amp; Molés Machí, M. C. (2003). Movilidad, tenencia y demanda de vivienda en España. In </w:t>
      </w:r>
      <w:r>
        <w:rPr>
          <w:rFonts w:ascii="Times New Roman" w:hAnsi="Times New Roman" w:cs="Times New Roman"/>
          <w:i/>
          <w:iCs/>
          <w:noProof/>
          <w:sz w:val="24"/>
          <w:szCs w:val="24"/>
        </w:rPr>
        <w:t>Documentos de trabajo: Serie EC ( Instituto Valenciano de Investigaciones Económicas )</w:t>
      </w:r>
      <w:r>
        <w:rPr>
          <w:rFonts w:ascii="Times New Roman" w:hAnsi="Times New Roman" w:cs="Times New Roman"/>
          <w:noProof/>
          <w:sz w:val="24"/>
          <w:szCs w:val="24"/>
        </w:rPr>
        <w:t>. Retrieved from Instituto Valenciano de Investigaciones Económicas (IVIE) website: https://dialnet.unirioja.es/servlet/articulo?codigo=909055</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Cunningham, J., &amp; Parker, L. (2006). Determining the Best Way to Process Community Opinions to Construct an Optimal Membership Function in a Fuzzy Database System. </w:t>
      </w:r>
      <w:r>
        <w:rPr>
          <w:rFonts w:ascii="Times New Roman" w:hAnsi="Times New Roman" w:cs="Times New Roman"/>
          <w:i/>
          <w:iCs/>
          <w:noProof/>
          <w:sz w:val="24"/>
          <w:szCs w:val="24"/>
        </w:rPr>
        <w:t>Proceedings of the 2006 ACM SE Conference</w:t>
      </w:r>
      <w:r>
        <w:rPr>
          <w:rFonts w:ascii="Times New Roman" w:hAnsi="Times New Roman" w:cs="Times New Roman"/>
          <w:noProof/>
          <w:sz w:val="24"/>
          <w:szCs w:val="24"/>
        </w:rPr>
        <w:t>, 632–637.</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Delgado, G. B., &amp; Delgado, J. B. (2014). Metodología para la implementacion de sistemas difusos tipo MAMDANI en lenguaje de programación de propósito general. </w:t>
      </w:r>
      <w:r>
        <w:rPr>
          <w:rFonts w:ascii="Times New Roman" w:hAnsi="Times New Roman" w:cs="Times New Roman"/>
          <w:i/>
          <w:iCs/>
          <w:noProof/>
          <w:sz w:val="24"/>
          <w:szCs w:val="24"/>
        </w:rPr>
        <w:t>Congreso Internacional En Ingeniería Electrónica</w:t>
      </w:r>
      <w:r>
        <w:rPr>
          <w:rFonts w:ascii="Times New Roman" w:hAnsi="Times New Roman" w:cs="Times New Roman"/>
          <w:noProof/>
          <w:sz w:val="24"/>
          <w:szCs w:val="24"/>
        </w:rPr>
        <w:t>, 318–323. http://depi.itchihuahua.edu.mx/display/memorias_electro/MemoriaElectro2014</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Dubin, J. A., &amp; McFadden, D. L. (1984). An Econometric Analysis of Residential Electric Appliance Holdings and Consumption. </w:t>
      </w:r>
      <w:r>
        <w:rPr>
          <w:rFonts w:ascii="Times New Roman" w:hAnsi="Times New Roman" w:cs="Times New Roman"/>
          <w:i/>
          <w:iCs/>
          <w:noProof/>
          <w:sz w:val="24"/>
          <w:szCs w:val="24"/>
        </w:rPr>
        <w:t>Econométrica</w:t>
      </w:r>
      <w:r>
        <w:rPr>
          <w:rFonts w:ascii="Times New Roman" w:hAnsi="Times New Roman" w:cs="Times New Roman"/>
          <w:noProof/>
          <w:sz w:val="24"/>
          <w:szCs w:val="24"/>
        </w:rPr>
        <w:t xml:space="preserve">, </w:t>
      </w:r>
      <w:r>
        <w:rPr>
          <w:rFonts w:ascii="Times New Roman" w:hAnsi="Times New Roman" w:cs="Times New Roman"/>
          <w:i/>
          <w:iCs/>
          <w:noProof/>
          <w:sz w:val="24"/>
          <w:szCs w:val="24"/>
        </w:rPr>
        <w:t>52</w:t>
      </w:r>
      <w:r>
        <w:rPr>
          <w:rFonts w:ascii="Times New Roman" w:hAnsi="Times New Roman" w:cs="Times New Roman"/>
          <w:noProof/>
          <w:sz w:val="24"/>
          <w:szCs w:val="24"/>
        </w:rPr>
        <w:t>(2), 345. https://doi.org/https://doi.org/10.2307/1911493</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Durán, C. (2004). Evaluación microeconométrica de las políticas públicas de empleo: aspectos metodológicos. </w:t>
      </w:r>
      <w:r>
        <w:rPr>
          <w:rFonts w:ascii="Times New Roman" w:hAnsi="Times New Roman" w:cs="Times New Roman"/>
          <w:i/>
          <w:iCs/>
          <w:noProof/>
          <w:sz w:val="24"/>
          <w:szCs w:val="24"/>
        </w:rPr>
        <w:t>Hacienda Pública Española</w:t>
      </w:r>
      <w:r>
        <w:rPr>
          <w:rFonts w:ascii="Times New Roman" w:hAnsi="Times New Roman" w:cs="Times New Roman"/>
          <w:noProof/>
          <w:sz w:val="24"/>
          <w:szCs w:val="24"/>
        </w:rPr>
        <w:t>, (3), 107–133. https://ideas.repec.org/a/hpe/journl/y2004v170i3p107-133.html</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Egebo, T., Richardson, P., &amp; Lienert, L. (1990). A model of housing investment for the major OECD economies. </w:t>
      </w:r>
      <w:r>
        <w:rPr>
          <w:rFonts w:ascii="Times New Roman" w:hAnsi="Times New Roman" w:cs="Times New Roman"/>
          <w:i/>
          <w:iCs/>
          <w:noProof/>
          <w:sz w:val="24"/>
          <w:szCs w:val="24"/>
        </w:rPr>
        <w:t>Economic Studies</w:t>
      </w:r>
      <w:r>
        <w:rPr>
          <w:rFonts w:ascii="Times New Roman" w:hAnsi="Times New Roman" w:cs="Times New Roman"/>
          <w:noProof/>
          <w:sz w:val="24"/>
          <w:szCs w:val="24"/>
        </w:rPr>
        <w:t xml:space="preserve">, </w:t>
      </w:r>
      <w:r>
        <w:rPr>
          <w:rFonts w:ascii="Times New Roman" w:hAnsi="Times New Roman" w:cs="Times New Roman"/>
          <w:i/>
          <w:iCs/>
          <w:noProof/>
          <w:sz w:val="24"/>
          <w:szCs w:val="24"/>
        </w:rPr>
        <w:t>14</w:t>
      </w:r>
      <w:r>
        <w:rPr>
          <w:rFonts w:ascii="Times New Roman" w:hAnsi="Times New Roman" w:cs="Times New Roman"/>
          <w:noProof/>
          <w:sz w:val="24"/>
          <w:szCs w:val="24"/>
        </w:rPr>
        <w:t>, 151–188. http://www.oecd.org/eco/outlook/34306425.pdf</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Ermisch, J. F., Findlay, J., &amp; Gibb, K. (1996). The Price Elasticity of Housing Demand in Britain: Issues of Sample Selection. </w:t>
      </w:r>
      <w:r>
        <w:rPr>
          <w:rFonts w:ascii="Times New Roman" w:hAnsi="Times New Roman" w:cs="Times New Roman"/>
          <w:i/>
          <w:iCs/>
          <w:noProof/>
          <w:sz w:val="24"/>
          <w:szCs w:val="24"/>
        </w:rPr>
        <w:t>Journal of Housing Economics</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 xml:space="preserve">(1), 64–86. </w:t>
      </w:r>
      <w:r>
        <w:rPr>
          <w:rFonts w:ascii="Times New Roman" w:hAnsi="Times New Roman" w:cs="Times New Roman"/>
          <w:noProof/>
          <w:sz w:val="24"/>
          <w:szCs w:val="24"/>
        </w:rPr>
        <w:lastRenderedPageBreak/>
        <w:t>https://doi.org/10.1006/JHEC.1996.0004</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Fontenla, M., &amp; González, F. (2009). Housing demand in Mexico. </w:t>
      </w:r>
      <w:r>
        <w:rPr>
          <w:rFonts w:ascii="Times New Roman" w:hAnsi="Times New Roman" w:cs="Times New Roman"/>
          <w:i/>
          <w:iCs/>
          <w:noProof/>
          <w:sz w:val="24"/>
          <w:szCs w:val="24"/>
        </w:rPr>
        <w:t>Journal of Housing Economics</w:t>
      </w:r>
      <w:r>
        <w:rPr>
          <w:rFonts w:ascii="Times New Roman" w:hAnsi="Times New Roman" w:cs="Times New Roman"/>
          <w:noProof/>
          <w:sz w:val="24"/>
          <w:szCs w:val="24"/>
        </w:rPr>
        <w:t xml:space="preserve">, </w:t>
      </w:r>
      <w:r>
        <w:rPr>
          <w:rFonts w:ascii="Times New Roman" w:hAnsi="Times New Roman" w:cs="Times New Roman"/>
          <w:i/>
          <w:iCs/>
          <w:noProof/>
          <w:sz w:val="24"/>
          <w:szCs w:val="24"/>
        </w:rPr>
        <w:t>18</w:t>
      </w:r>
      <w:r>
        <w:rPr>
          <w:rFonts w:ascii="Times New Roman" w:hAnsi="Times New Roman" w:cs="Times New Roman"/>
          <w:noProof/>
          <w:sz w:val="24"/>
          <w:szCs w:val="24"/>
        </w:rPr>
        <w:t>(1), 1–12. https://doi.org/10.1016/J.JHE.2008.08.001</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Gobillon, L., &amp; Le Blanc, D. (2002). </w:t>
      </w:r>
      <w:r>
        <w:rPr>
          <w:rFonts w:ascii="Times New Roman" w:hAnsi="Times New Roman" w:cs="Times New Roman"/>
          <w:i/>
          <w:iCs/>
          <w:noProof/>
          <w:sz w:val="24"/>
          <w:szCs w:val="24"/>
        </w:rPr>
        <w:t>The Impact of Borrowing Constraints on Mobility and Tenure Choice</w:t>
      </w:r>
      <w:r>
        <w:rPr>
          <w:rFonts w:ascii="Times New Roman" w:hAnsi="Times New Roman" w:cs="Times New Roman"/>
          <w:noProof/>
          <w:sz w:val="24"/>
          <w:szCs w:val="24"/>
        </w:rPr>
        <w:t>.http://crest.science/RePEc/wpstorage/2002-28.pdf</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Goodman, A. C. (1995). A Dynamic Equilibrium Model of Housing Demand and Mobility with Transactions Costs. </w:t>
      </w:r>
      <w:r>
        <w:rPr>
          <w:rFonts w:ascii="Times New Roman" w:hAnsi="Times New Roman" w:cs="Times New Roman"/>
          <w:i/>
          <w:iCs/>
          <w:noProof/>
          <w:sz w:val="24"/>
          <w:szCs w:val="24"/>
        </w:rPr>
        <w:t>Journal of Housing Economics</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(4), 307–327. https://doi.org/https://doi.org/10.1006/jhec.1995.1015</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Goodman, A. C. (2002). Estimating Equilibrium Housing Demand for “Stayers.” </w:t>
      </w:r>
      <w:r>
        <w:rPr>
          <w:rFonts w:ascii="Times New Roman" w:hAnsi="Times New Roman" w:cs="Times New Roman"/>
          <w:i/>
          <w:iCs/>
          <w:noProof/>
          <w:sz w:val="24"/>
          <w:szCs w:val="24"/>
        </w:rPr>
        <w:t>Journal of Urban Economics</w:t>
      </w:r>
      <w:r>
        <w:rPr>
          <w:rFonts w:ascii="Times New Roman" w:hAnsi="Times New Roman" w:cs="Times New Roman"/>
          <w:noProof/>
          <w:sz w:val="24"/>
          <w:szCs w:val="24"/>
        </w:rPr>
        <w:t xml:space="preserve">, </w:t>
      </w:r>
      <w:r>
        <w:rPr>
          <w:rFonts w:ascii="Times New Roman" w:hAnsi="Times New Roman" w:cs="Times New Roman"/>
          <w:i/>
          <w:iCs/>
          <w:noProof/>
          <w:sz w:val="24"/>
          <w:szCs w:val="24"/>
        </w:rPr>
        <w:t>51</w:t>
      </w:r>
      <w:r>
        <w:rPr>
          <w:rFonts w:ascii="Times New Roman" w:hAnsi="Times New Roman" w:cs="Times New Roman"/>
          <w:noProof/>
          <w:sz w:val="24"/>
          <w:szCs w:val="24"/>
        </w:rPr>
        <w:t>(1), 1–24. https://doi.org/10.1006/JUEC.2001.2234</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Heckman, J. J. (1979). Sample Selection Bias as a Specification Error. </w:t>
      </w:r>
      <w:r>
        <w:rPr>
          <w:rFonts w:ascii="Times New Roman" w:hAnsi="Times New Roman" w:cs="Times New Roman"/>
          <w:i/>
          <w:iCs/>
          <w:noProof/>
          <w:sz w:val="24"/>
          <w:szCs w:val="24"/>
        </w:rPr>
        <w:t>Econometrica</w:t>
      </w:r>
      <w:r>
        <w:rPr>
          <w:rFonts w:ascii="Times New Roman" w:hAnsi="Times New Roman" w:cs="Times New Roman"/>
          <w:noProof/>
          <w:sz w:val="24"/>
          <w:szCs w:val="24"/>
        </w:rPr>
        <w:t xml:space="preserve">, </w:t>
      </w:r>
      <w:r>
        <w:rPr>
          <w:rFonts w:ascii="Times New Roman" w:hAnsi="Times New Roman" w:cs="Times New Roman"/>
          <w:i/>
          <w:iCs/>
          <w:noProof/>
          <w:sz w:val="24"/>
          <w:szCs w:val="24"/>
        </w:rPr>
        <w:t>47</w:t>
      </w:r>
      <w:r>
        <w:rPr>
          <w:rFonts w:ascii="Times New Roman" w:hAnsi="Times New Roman" w:cs="Times New Roman"/>
          <w:noProof/>
          <w:sz w:val="24"/>
          <w:szCs w:val="24"/>
        </w:rPr>
        <w:t>(1), 153. https://doi.org/10.2307/1912352</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Henderson, J. V., &amp; Ioannides, Y. M. A Model of Housing Tenure Choice. , 73 The American Economic Review § (1983).</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Ioannides, Y. M., &amp; Kan, K. (1996). Structural estimation of residential mobility and housing ternure choice. </w:t>
      </w:r>
      <w:r>
        <w:rPr>
          <w:rFonts w:ascii="Times New Roman" w:hAnsi="Times New Roman" w:cs="Times New Roman"/>
          <w:i/>
          <w:iCs/>
          <w:noProof/>
          <w:sz w:val="24"/>
          <w:szCs w:val="24"/>
        </w:rPr>
        <w:t>Journal of Regional Science</w:t>
      </w:r>
      <w:r>
        <w:rPr>
          <w:rFonts w:ascii="Times New Roman" w:hAnsi="Times New Roman" w:cs="Times New Roman"/>
          <w:noProof/>
          <w:sz w:val="24"/>
          <w:szCs w:val="24"/>
        </w:rPr>
        <w:t xml:space="preserve">, </w:t>
      </w:r>
      <w:r>
        <w:rPr>
          <w:rFonts w:ascii="Times New Roman" w:hAnsi="Times New Roman" w:cs="Times New Roman"/>
          <w:i/>
          <w:iCs/>
          <w:noProof/>
          <w:sz w:val="24"/>
          <w:szCs w:val="24"/>
        </w:rPr>
        <w:t>36</w:t>
      </w:r>
      <w:r>
        <w:rPr>
          <w:rFonts w:ascii="Times New Roman" w:hAnsi="Times New Roman" w:cs="Times New Roman"/>
          <w:noProof/>
          <w:sz w:val="24"/>
          <w:szCs w:val="24"/>
        </w:rPr>
        <w:t>(3), 335–363. https://doi.org/10.1111/j.1467-9787.1996.tb01107.x</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Janarthanan, R., Balamurali, R., Annapoorani, A., &amp; Vimala, V. (2020). Prediction of rainfall using fuzzy logic. </w:t>
      </w:r>
      <w:r>
        <w:rPr>
          <w:rFonts w:ascii="Times New Roman" w:hAnsi="Times New Roman" w:cs="Times New Roman"/>
          <w:i/>
          <w:iCs/>
          <w:noProof/>
          <w:sz w:val="24"/>
          <w:szCs w:val="24"/>
        </w:rPr>
        <w:t>Material Today:Proceedings</w:t>
      </w:r>
      <w:r>
        <w:rPr>
          <w:rFonts w:ascii="Times New Roman" w:hAnsi="Times New Roman" w:cs="Times New Roman"/>
          <w:noProof/>
          <w:sz w:val="24"/>
          <w:szCs w:val="24"/>
        </w:rPr>
        <w:t>, 1–6. https://doi.org/https://doi.org/10.1016/j.matpr.2020.06.179</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Jean, M., &amp; Molina, A. (1994). Un análisis empírico de la tenencia y demanda de vivienda en Andalucía. </w:t>
      </w:r>
      <w:r>
        <w:rPr>
          <w:rFonts w:ascii="Times New Roman" w:hAnsi="Times New Roman" w:cs="Times New Roman"/>
          <w:i/>
          <w:iCs/>
          <w:noProof/>
          <w:sz w:val="24"/>
          <w:szCs w:val="24"/>
        </w:rPr>
        <w:t>Investigaciones Económicas</w:t>
      </w:r>
      <w:r>
        <w:rPr>
          <w:rFonts w:ascii="Times New Roman" w:hAnsi="Times New Roman" w:cs="Times New Roman"/>
          <w:noProof/>
          <w:sz w:val="24"/>
          <w:szCs w:val="24"/>
        </w:rPr>
        <w:t xml:space="preserve">, </w:t>
      </w:r>
      <w:r>
        <w:rPr>
          <w:rFonts w:ascii="Times New Roman" w:hAnsi="Times New Roman" w:cs="Times New Roman"/>
          <w:i/>
          <w:iCs/>
          <w:noProof/>
          <w:sz w:val="24"/>
          <w:szCs w:val="24"/>
        </w:rPr>
        <w:t>XVIII</w:t>
      </w:r>
      <w:r>
        <w:rPr>
          <w:rFonts w:ascii="Times New Roman" w:hAnsi="Times New Roman" w:cs="Times New Roman"/>
          <w:noProof/>
          <w:sz w:val="24"/>
          <w:szCs w:val="24"/>
        </w:rPr>
        <w:t>(1), 143–164. https://www.fundacionsepi.es/investigacion/revistas/paperArchive/Ene1994/v18i1a6.pdf</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Jiang, H., &amp; Liu, C. (2011). Forecasting construction demand: a vector error correction model with dummy variables. </w:t>
      </w:r>
      <w:r>
        <w:rPr>
          <w:rFonts w:ascii="Times New Roman" w:hAnsi="Times New Roman" w:cs="Times New Roman"/>
          <w:i/>
          <w:iCs/>
          <w:noProof/>
          <w:sz w:val="24"/>
          <w:szCs w:val="24"/>
        </w:rPr>
        <w:t>Construction Management and Economics</w:t>
      </w:r>
      <w:r>
        <w:rPr>
          <w:rFonts w:ascii="Times New Roman" w:hAnsi="Times New Roman" w:cs="Times New Roman"/>
          <w:noProof/>
          <w:sz w:val="24"/>
          <w:szCs w:val="24"/>
        </w:rPr>
        <w:t xml:space="preserve">, </w:t>
      </w:r>
      <w:r>
        <w:rPr>
          <w:rFonts w:ascii="Times New Roman" w:hAnsi="Times New Roman" w:cs="Times New Roman"/>
          <w:i/>
          <w:iCs/>
          <w:noProof/>
          <w:sz w:val="24"/>
          <w:szCs w:val="24"/>
        </w:rPr>
        <w:t>29</w:t>
      </w:r>
      <w:r>
        <w:rPr>
          <w:rFonts w:ascii="Times New Roman" w:hAnsi="Times New Roman" w:cs="Times New Roman"/>
          <w:noProof/>
          <w:sz w:val="24"/>
          <w:szCs w:val="24"/>
        </w:rPr>
        <w:t xml:space="preserve">(9), </w:t>
      </w:r>
      <w:r>
        <w:rPr>
          <w:rFonts w:ascii="Times New Roman" w:hAnsi="Times New Roman" w:cs="Times New Roman"/>
          <w:noProof/>
          <w:sz w:val="24"/>
          <w:szCs w:val="24"/>
        </w:rPr>
        <w:lastRenderedPageBreak/>
        <w:t>969–979. https://doi.org/10.1080/01446193.2011.611522</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Kenny, G. (1999). Modelling the demand and supply sides of the housing market: evidence from Ireland. </w:t>
      </w:r>
      <w:r>
        <w:rPr>
          <w:rFonts w:ascii="Times New Roman" w:hAnsi="Times New Roman" w:cs="Times New Roman"/>
          <w:i/>
          <w:iCs/>
          <w:noProof/>
          <w:sz w:val="24"/>
          <w:szCs w:val="24"/>
        </w:rPr>
        <w:t>Economic Modelling</w:t>
      </w:r>
      <w:r>
        <w:rPr>
          <w:rFonts w:ascii="Times New Roman" w:hAnsi="Times New Roman" w:cs="Times New Roman"/>
          <w:noProof/>
          <w:sz w:val="24"/>
          <w:szCs w:val="24"/>
        </w:rPr>
        <w:t xml:space="preserve">, </w:t>
      </w:r>
      <w:r>
        <w:rPr>
          <w:rFonts w:ascii="Times New Roman" w:hAnsi="Times New Roman" w:cs="Times New Roman"/>
          <w:i/>
          <w:iCs/>
          <w:noProof/>
          <w:sz w:val="24"/>
          <w:szCs w:val="24"/>
        </w:rPr>
        <w:t>16</w:t>
      </w:r>
      <w:r>
        <w:rPr>
          <w:rFonts w:ascii="Times New Roman" w:hAnsi="Times New Roman" w:cs="Times New Roman"/>
          <w:noProof/>
          <w:sz w:val="24"/>
          <w:szCs w:val="24"/>
        </w:rPr>
        <w:t>(3), 389–409. https://doi.org/10.1016/S0264-9993(99)00007-3</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Langroodi, R. R. P., &amp; Amiri, M. (2016). A system dynamics modeling approach for a multi-level, multi-product, multi-region supply chain under demand uncertainty. </w:t>
      </w:r>
      <w:r>
        <w:rPr>
          <w:rFonts w:ascii="Times New Roman" w:hAnsi="Times New Roman" w:cs="Times New Roman"/>
          <w:i/>
          <w:iCs/>
          <w:noProof/>
          <w:sz w:val="24"/>
          <w:szCs w:val="24"/>
        </w:rPr>
        <w:t>Expert Systems with Applications</w:t>
      </w:r>
      <w:r>
        <w:rPr>
          <w:rFonts w:ascii="Times New Roman" w:hAnsi="Times New Roman" w:cs="Times New Roman"/>
          <w:noProof/>
          <w:sz w:val="24"/>
          <w:szCs w:val="24"/>
        </w:rPr>
        <w:t xml:space="preserve">, </w:t>
      </w:r>
      <w:r>
        <w:rPr>
          <w:rFonts w:ascii="Times New Roman" w:hAnsi="Times New Roman" w:cs="Times New Roman"/>
          <w:i/>
          <w:iCs/>
          <w:noProof/>
          <w:sz w:val="24"/>
          <w:szCs w:val="24"/>
        </w:rPr>
        <w:t>51</w:t>
      </w:r>
      <w:r>
        <w:rPr>
          <w:rFonts w:ascii="Times New Roman" w:hAnsi="Times New Roman" w:cs="Times New Roman"/>
          <w:noProof/>
          <w:sz w:val="24"/>
          <w:szCs w:val="24"/>
        </w:rPr>
        <w:t>, 231–244. https://doi.org/https://doi.org/https://doi.org/10.1016/j.eswa.2015.12.043</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Lee, L.-F. F., &amp; Trost, R. P. (1977). Estimation of some limited dependent variable models with application to housing demand. </w:t>
      </w:r>
      <w:r>
        <w:rPr>
          <w:rFonts w:ascii="Times New Roman" w:hAnsi="Times New Roman" w:cs="Times New Roman"/>
          <w:i/>
          <w:iCs/>
          <w:noProof/>
          <w:sz w:val="24"/>
          <w:szCs w:val="24"/>
        </w:rPr>
        <w:t>Journal of Econometrics</w:t>
      </w:r>
      <w:r>
        <w:rPr>
          <w:rFonts w:ascii="Times New Roman" w:hAnsi="Times New Roman" w:cs="Times New Roman"/>
          <w:noProof/>
          <w:sz w:val="24"/>
          <w:szCs w:val="24"/>
        </w:rPr>
        <w:t xml:space="preserve">, </w:t>
      </w:r>
      <w:r>
        <w:rPr>
          <w:rFonts w:ascii="Times New Roman" w:hAnsi="Times New Roman" w:cs="Times New Roman"/>
          <w:i/>
          <w:iCs/>
          <w:noProof/>
          <w:sz w:val="24"/>
          <w:szCs w:val="24"/>
        </w:rPr>
        <w:t>8</w:t>
      </w:r>
      <w:r>
        <w:rPr>
          <w:rFonts w:ascii="Times New Roman" w:hAnsi="Times New Roman" w:cs="Times New Roman"/>
          <w:noProof/>
          <w:sz w:val="24"/>
          <w:szCs w:val="24"/>
        </w:rPr>
        <w:t>(3), 357–382. https://doi.org/10.1016/0304-4076(78)90052-0</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Linneman, P. (1985). An economic analysis of the homeownership decision. </w:t>
      </w:r>
      <w:r>
        <w:rPr>
          <w:rFonts w:ascii="Times New Roman" w:hAnsi="Times New Roman" w:cs="Times New Roman"/>
          <w:i/>
          <w:iCs/>
          <w:noProof/>
          <w:sz w:val="24"/>
          <w:szCs w:val="24"/>
        </w:rPr>
        <w:t>Journal of Urban Economics</w:t>
      </w:r>
      <w:r>
        <w:rPr>
          <w:rFonts w:ascii="Times New Roman" w:hAnsi="Times New Roman" w:cs="Times New Roman"/>
          <w:noProof/>
          <w:sz w:val="24"/>
          <w:szCs w:val="24"/>
        </w:rPr>
        <w:t xml:space="preserve">, </w:t>
      </w:r>
      <w:r>
        <w:rPr>
          <w:rFonts w:ascii="Times New Roman" w:hAnsi="Times New Roman" w:cs="Times New Roman"/>
          <w:i/>
          <w:iCs/>
          <w:noProof/>
          <w:sz w:val="24"/>
          <w:szCs w:val="24"/>
        </w:rPr>
        <w:t>17</w:t>
      </w:r>
      <w:r>
        <w:rPr>
          <w:rFonts w:ascii="Times New Roman" w:hAnsi="Times New Roman" w:cs="Times New Roman"/>
          <w:noProof/>
          <w:sz w:val="24"/>
          <w:szCs w:val="24"/>
        </w:rPr>
        <w:t>(2), 230–246. https://doi.org/10.1016/0094-1190(85)90048-8</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López, C., Aguayo, E., &amp; Exposito, P. (1998). </w:t>
      </w:r>
      <w:r>
        <w:rPr>
          <w:rFonts w:ascii="Times New Roman" w:hAnsi="Times New Roman" w:cs="Times New Roman"/>
          <w:i/>
          <w:iCs/>
          <w:noProof/>
          <w:sz w:val="24"/>
          <w:szCs w:val="24"/>
        </w:rPr>
        <w:t>Comportamiento de los precios de la vivienda en las regiones españolas: Principales determinantes</w:t>
      </w:r>
      <w:r>
        <w:rPr>
          <w:rFonts w:ascii="Times New Roman" w:hAnsi="Times New Roman" w:cs="Times New Roman"/>
          <w:noProof/>
          <w:sz w:val="24"/>
          <w:szCs w:val="24"/>
        </w:rPr>
        <w:t>. https://www.researchgate.net/publication/4811015</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Lozano Serna, S., Patiño Galindo, I., Gómez Cabrera, A., &amp; Torres, A. (2018). Identificación de factores que generan diferencias de tiempo y costos en proyectos de construcción en Colombia. </w:t>
      </w:r>
      <w:r>
        <w:rPr>
          <w:rFonts w:ascii="Times New Roman" w:hAnsi="Times New Roman" w:cs="Times New Roman"/>
          <w:i/>
          <w:iCs/>
          <w:noProof/>
          <w:sz w:val="24"/>
          <w:szCs w:val="24"/>
        </w:rPr>
        <w:t>Ingeniería y Ciencia</w:t>
      </w:r>
      <w:r>
        <w:rPr>
          <w:rFonts w:ascii="Times New Roman" w:hAnsi="Times New Roman" w:cs="Times New Roman"/>
          <w:noProof/>
          <w:sz w:val="24"/>
          <w:szCs w:val="24"/>
        </w:rPr>
        <w:t xml:space="preserve">, </w:t>
      </w:r>
      <w:r>
        <w:rPr>
          <w:rFonts w:ascii="Times New Roman" w:hAnsi="Times New Roman" w:cs="Times New Roman"/>
          <w:i/>
          <w:iCs/>
          <w:noProof/>
          <w:sz w:val="24"/>
          <w:szCs w:val="24"/>
        </w:rPr>
        <w:t>14</w:t>
      </w:r>
      <w:r>
        <w:rPr>
          <w:rFonts w:ascii="Times New Roman" w:hAnsi="Times New Roman" w:cs="Times New Roman"/>
          <w:noProof/>
          <w:sz w:val="24"/>
          <w:szCs w:val="24"/>
        </w:rPr>
        <w:t>(27), 117–151. http://www.scielo.org.co/pdf/ince/v14n27/1794-9165-ince-14-27-00117.pdf</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Mamdani, E. H., &amp; Assilian, S. (1999). An Experiment in Linguistic Synthesis with a Fuzzy Logic Controller. </w:t>
      </w:r>
      <w:r>
        <w:rPr>
          <w:rFonts w:ascii="Times New Roman" w:hAnsi="Times New Roman" w:cs="Times New Roman"/>
          <w:i/>
          <w:iCs/>
          <w:noProof/>
          <w:sz w:val="24"/>
          <w:szCs w:val="24"/>
        </w:rPr>
        <w:t>International Journal of Human-Computer Studies</w:t>
      </w:r>
      <w:r>
        <w:rPr>
          <w:rFonts w:ascii="Times New Roman" w:hAnsi="Times New Roman" w:cs="Times New Roman"/>
          <w:noProof/>
          <w:sz w:val="24"/>
          <w:szCs w:val="24"/>
        </w:rPr>
        <w:t xml:space="preserve">, </w:t>
      </w:r>
      <w:r>
        <w:rPr>
          <w:rFonts w:ascii="Times New Roman" w:hAnsi="Times New Roman" w:cs="Times New Roman"/>
          <w:i/>
          <w:iCs/>
          <w:noProof/>
          <w:sz w:val="24"/>
          <w:szCs w:val="24"/>
        </w:rPr>
        <w:t>51</w:t>
      </w:r>
      <w:r>
        <w:rPr>
          <w:rFonts w:ascii="Times New Roman" w:hAnsi="Times New Roman" w:cs="Times New Roman"/>
          <w:noProof/>
          <w:sz w:val="24"/>
          <w:szCs w:val="24"/>
        </w:rPr>
        <w:t>(2), 135–147. https://doi.org/https://doi.org/10.1006/ijhc.1973.0303</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Martel Montalvo, M., &amp; Martínez Díaz, A. (2018). </w:t>
      </w:r>
      <w:r>
        <w:rPr>
          <w:rFonts w:ascii="Times New Roman" w:hAnsi="Times New Roman" w:cs="Times New Roman"/>
          <w:i/>
          <w:iCs/>
          <w:noProof/>
          <w:sz w:val="24"/>
          <w:szCs w:val="24"/>
        </w:rPr>
        <w:t>Pronóstico colaborativo de la demanda de vivienda para la gestión del Programa Local de Producción y Venta de Materiales de la Construcción</w:t>
      </w:r>
      <w:r>
        <w:rPr>
          <w:rFonts w:ascii="Times New Roman" w:hAnsi="Times New Roman" w:cs="Times New Roman"/>
          <w:noProof/>
          <w:sz w:val="24"/>
          <w:szCs w:val="24"/>
        </w:rPr>
        <w:t>. Universidad de Cienfuegos.</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Medina Hurtado, S., &amp; Paniagua Gómez, G. (2008). Modelo de inferencia difuso para estudio de crédito. </w:t>
      </w:r>
      <w:r>
        <w:rPr>
          <w:rFonts w:ascii="Times New Roman" w:hAnsi="Times New Roman" w:cs="Times New Roman"/>
          <w:i/>
          <w:iCs/>
          <w:noProof/>
          <w:sz w:val="24"/>
          <w:szCs w:val="24"/>
        </w:rPr>
        <w:t>Dyna</w:t>
      </w:r>
      <w:r>
        <w:rPr>
          <w:rFonts w:ascii="Times New Roman" w:hAnsi="Times New Roman" w:cs="Times New Roman"/>
          <w:noProof/>
          <w:sz w:val="24"/>
          <w:szCs w:val="24"/>
        </w:rPr>
        <w:t xml:space="preserve">, </w:t>
      </w:r>
      <w:r>
        <w:rPr>
          <w:rFonts w:ascii="Times New Roman" w:hAnsi="Times New Roman" w:cs="Times New Roman"/>
          <w:i/>
          <w:iCs/>
          <w:noProof/>
          <w:sz w:val="24"/>
          <w:szCs w:val="24"/>
        </w:rPr>
        <w:t>75</w:t>
      </w:r>
      <w:r>
        <w:rPr>
          <w:rFonts w:ascii="Times New Roman" w:hAnsi="Times New Roman" w:cs="Times New Roman"/>
          <w:noProof/>
          <w:sz w:val="24"/>
          <w:szCs w:val="24"/>
        </w:rPr>
        <w:t>(154), 215–229.</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lastRenderedPageBreak/>
        <w:t xml:space="preserve">Müller, D. (2006). Stock dynamics for forecasting material flows—Case study for housing in The Netherlands. </w:t>
      </w:r>
      <w:r>
        <w:rPr>
          <w:rFonts w:ascii="Times New Roman" w:hAnsi="Times New Roman" w:cs="Times New Roman"/>
          <w:i/>
          <w:iCs/>
          <w:noProof/>
          <w:sz w:val="24"/>
          <w:szCs w:val="24"/>
        </w:rPr>
        <w:t>Ecological Economics</w:t>
      </w:r>
      <w:r>
        <w:rPr>
          <w:rFonts w:ascii="Times New Roman" w:hAnsi="Times New Roman" w:cs="Times New Roman"/>
          <w:noProof/>
          <w:sz w:val="24"/>
          <w:szCs w:val="24"/>
        </w:rPr>
        <w:t xml:space="preserve">, </w:t>
      </w:r>
      <w:r>
        <w:rPr>
          <w:rFonts w:ascii="Times New Roman" w:hAnsi="Times New Roman" w:cs="Times New Roman"/>
          <w:i/>
          <w:iCs/>
          <w:noProof/>
          <w:sz w:val="24"/>
          <w:szCs w:val="24"/>
        </w:rPr>
        <w:t>59</w:t>
      </w:r>
      <w:r>
        <w:rPr>
          <w:rFonts w:ascii="Times New Roman" w:hAnsi="Times New Roman" w:cs="Times New Roman"/>
          <w:noProof/>
          <w:sz w:val="24"/>
          <w:szCs w:val="24"/>
        </w:rPr>
        <w:t>(1), 142–156. https://doi.org/10.1016/J.ECOLECON.2005.09.025</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Muncharaz, J. O. (2020). Hybrid fuzzy neural network versus backpropagation neural network: An application to predict the Ibex-35 index stock. </w:t>
      </w:r>
      <w:r>
        <w:rPr>
          <w:rFonts w:ascii="Times New Roman" w:hAnsi="Times New Roman" w:cs="Times New Roman"/>
          <w:i/>
          <w:iCs/>
          <w:noProof/>
          <w:sz w:val="24"/>
          <w:szCs w:val="24"/>
        </w:rPr>
        <w:t>Finance, Markets and Valuation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(1), 85–98. https://doi.org/https://doi.org/10.46505/ALEP9985</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Ng, T., Skitmore, M., &amp; Wong, K. F. (2008). Using genetic algorithms and linear regression analysis for private housing demand forecast. </w:t>
      </w:r>
      <w:r>
        <w:rPr>
          <w:rFonts w:ascii="Times New Roman" w:hAnsi="Times New Roman" w:cs="Times New Roman"/>
          <w:i/>
          <w:iCs/>
          <w:noProof/>
          <w:sz w:val="24"/>
          <w:szCs w:val="24"/>
        </w:rPr>
        <w:t>Building and Environment</w:t>
      </w:r>
      <w:r>
        <w:rPr>
          <w:rFonts w:ascii="Times New Roman" w:hAnsi="Times New Roman" w:cs="Times New Roman"/>
          <w:noProof/>
          <w:sz w:val="24"/>
          <w:szCs w:val="24"/>
        </w:rPr>
        <w:t xml:space="preserve">, </w:t>
      </w:r>
      <w:r>
        <w:rPr>
          <w:rFonts w:ascii="Times New Roman" w:hAnsi="Times New Roman" w:cs="Times New Roman"/>
          <w:i/>
          <w:iCs/>
          <w:noProof/>
          <w:sz w:val="24"/>
          <w:szCs w:val="24"/>
        </w:rPr>
        <w:t>43</w:t>
      </w:r>
      <w:r>
        <w:rPr>
          <w:rFonts w:ascii="Times New Roman" w:hAnsi="Times New Roman" w:cs="Times New Roman"/>
          <w:noProof/>
          <w:sz w:val="24"/>
          <w:szCs w:val="24"/>
        </w:rPr>
        <w:t>(6), 1171–1184. https://doi.org/10.1016/J.BUILDENV.2007.02.017</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Oficina Nacional de Estadística e Información, (ONEI). (2020). </w:t>
      </w:r>
      <w:r>
        <w:rPr>
          <w:rFonts w:ascii="Times New Roman" w:hAnsi="Times New Roman" w:cs="Times New Roman"/>
          <w:i/>
          <w:iCs/>
          <w:noProof/>
          <w:sz w:val="24"/>
          <w:szCs w:val="24"/>
        </w:rPr>
        <w:t>Anuario Estadístico 2019. Cienfuegos</w:t>
      </w:r>
      <w:r>
        <w:rPr>
          <w:rFonts w:ascii="Times New Roman" w:hAnsi="Times New Roman" w:cs="Times New Roman"/>
          <w:noProof/>
          <w:sz w:val="24"/>
          <w:szCs w:val="24"/>
        </w:rPr>
        <w:t>. Cienfuegos.</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Olvera, M. Á., Hernández, J. C., Fernández, L. S., &amp; Bautista, I. H. (2016). Air quality assessment using a weighted Fuzzy Inference System. </w:t>
      </w:r>
      <w:r>
        <w:rPr>
          <w:rFonts w:ascii="Times New Roman" w:hAnsi="Times New Roman" w:cs="Times New Roman"/>
          <w:i/>
          <w:iCs/>
          <w:noProof/>
          <w:sz w:val="24"/>
          <w:szCs w:val="24"/>
        </w:rPr>
        <w:t>Ecological Informatics</w:t>
      </w:r>
      <w:r>
        <w:rPr>
          <w:rFonts w:ascii="Times New Roman" w:hAnsi="Times New Roman" w:cs="Times New Roman"/>
          <w:noProof/>
          <w:sz w:val="24"/>
          <w:szCs w:val="24"/>
        </w:rPr>
        <w:t xml:space="preserve">, </w:t>
      </w:r>
      <w:r>
        <w:rPr>
          <w:rFonts w:ascii="Times New Roman" w:hAnsi="Times New Roman" w:cs="Times New Roman"/>
          <w:i/>
          <w:iCs/>
          <w:noProof/>
          <w:sz w:val="24"/>
          <w:szCs w:val="24"/>
        </w:rPr>
        <w:t>33</w:t>
      </w:r>
      <w:r>
        <w:rPr>
          <w:rFonts w:ascii="Times New Roman" w:hAnsi="Times New Roman" w:cs="Times New Roman"/>
          <w:noProof/>
          <w:sz w:val="24"/>
          <w:szCs w:val="24"/>
        </w:rPr>
        <w:t>, 57–74. https://doi.org/https://doi.org/10.1016/j.ecoinf.2016.04.005</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Ortiz Galindo, N. A. (2014). Demanda de vivienda nueva no vis en las tres principales ciudades de Colombia. </w:t>
      </w:r>
      <w:r>
        <w:rPr>
          <w:rFonts w:ascii="Times New Roman" w:hAnsi="Times New Roman" w:cs="Times New Roman"/>
          <w:i/>
          <w:iCs/>
          <w:noProof/>
          <w:sz w:val="24"/>
          <w:szCs w:val="24"/>
        </w:rPr>
        <w:t>Dimensión Empresarial</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(1), 33. https://doi.org/http://dx.doi.org/10.15665/rde.v11i1.159</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Oscullo, J. A., &amp; Gallardo, C. F. (2020). Residue Method Evaluation for the Location of PSS with Sliding Mode Control and Fuzzy for Power Electromechanical Oscillation Damping Control. </w:t>
      </w:r>
      <w:r>
        <w:rPr>
          <w:rFonts w:ascii="Times New Roman" w:hAnsi="Times New Roman" w:cs="Times New Roman"/>
          <w:i/>
          <w:iCs/>
          <w:noProof/>
          <w:sz w:val="24"/>
          <w:szCs w:val="24"/>
        </w:rPr>
        <w:t>IEEE LATIN AMERICA TRANSACTIONS</w:t>
      </w:r>
      <w:r>
        <w:rPr>
          <w:rFonts w:ascii="Times New Roman" w:hAnsi="Times New Roman" w:cs="Times New Roman"/>
          <w:noProof/>
          <w:sz w:val="24"/>
          <w:szCs w:val="24"/>
        </w:rPr>
        <w:t xml:space="preserve">, </w:t>
      </w:r>
      <w:r>
        <w:rPr>
          <w:rFonts w:ascii="Times New Roman" w:hAnsi="Times New Roman" w:cs="Times New Roman"/>
          <w:i/>
          <w:iCs/>
          <w:noProof/>
          <w:sz w:val="24"/>
          <w:szCs w:val="24"/>
        </w:rPr>
        <w:t>8</w:t>
      </w:r>
      <w:r>
        <w:rPr>
          <w:rFonts w:ascii="Times New Roman" w:hAnsi="Times New Roman" w:cs="Times New Roman"/>
          <w:noProof/>
          <w:sz w:val="24"/>
          <w:szCs w:val="24"/>
        </w:rPr>
        <w:t>(1), 24–31.</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Petrović, D., Tanasijević, M., Milić, V., Lilić, N., Stojadinović, S., &amp; Svrkota, I. (2014). Risk assessment model of mining equipment failure based on fuzzy logic. </w:t>
      </w:r>
      <w:r>
        <w:rPr>
          <w:rFonts w:ascii="Times New Roman" w:hAnsi="Times New Roman" w:cs="Times New Roman"/>
          <w:i/>
          <w:iCs/>
          <w:noProof/>
          <w:sz w:val="24"/>
          <w:szCs w:val="24"/>
        </w:rPr>
        <w:t>Expert Systems with Applications</w:t>
      </w:r>
      <w:r>
        <w:rPr>
          <w:rFonts w:ascii="Times New Roman" w:hAnsi="Times New Roman" w:cs="Times New Roman"/>
          <w:noProof/>
          <w:sz w:val="24"/>
          <w:szCs w:val="24"/>
        </w:rPr>
        <w:t xml:space="preserve">, </w:t>
      </w:r>
      <w:r>
        <w:rPr>
          <w:rFonts w:ascii="Times New Roman" w:hAnsi="Times New Roman" w:cs="Times New Roman"/>
          <w:i/>
          <w:iCs/>
          <w:noProof/>
          <w:sz w:val="24"/>
          <w:szCs w:val="24"/>
        </w:rPr>
        <w:t>14</w:t>
      </w:r>
      <w:r>
        <w:rPr>
          <w:rFonts w:ascii="Times New Roman" w:hAnsi="Times New Roman" w:cs="Times New Roman"/>
          <w:noProof/>
          <w:sz w:val="24"/>
          <w:szCs w:val="24"/>
        </w:rPr>
        <w:t>(18), 8157–8164. https://doi.org/https://doi.org/10.1016/j.eswa.2014.06.042</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Pourjavad, E., &amp; Mayorga, R. V. (2019). A comparative study and measuring performance of manufacturing systems with Mamdani fuzzy inference system. </w:t>
      </w:r>
      <w:r>
        <w:rPr>
          <w:rFonts w:ascii="Times New Roman" w:hAnsi="Times New Roman" w:cs="Times New Roman"/>
          <w:i/>
          <w:iCs/>
          <w:noProof/>
          <w:sz w:val="24"/>
          <w:szCs w:val="24"/>
        </w:rPr>
        <w:lastRenderedPageBreak/>
        <w:t>Journal of Intelligent Manufacturing</w:t>
      </w:r>
      <w:r>
        <w:rPr>
          <w:rFonts w:ascii="Times New Roman" w:hAnsi="Times New Roman" w:cs="Times New Roman"/>
          <w:noProof/>
          <w:sz w:val="24"/>
          <w:szCs w:val="24"/>
        </w:rPr>
        <w:t xml:space="preserve">, </w:t>
      </w:r>
      <w:r>
        <w:rPr>
          <w:rFonts w:ascii="Times New Roman" w:hAnsi="Times New Roman" w:cs="Times New Roman"/>
          <w:i/>
          <w:iCs/>
          <w:noProof/>
          <w:sz w:val="24"/>
          <w:szCs w:val="24"/>
        </w:rPr>
        <w:t>30</w:t>
      </w:r>
      <w:r>
        <w:rPr>
          <w:rFonts w:ascii="Times New Roman" w:hAnsi="Times New Roman" w:cs="Times New Roman"/>
          <w:noProof/>
          <w:sz w:val="24"/>
          <w:szCs w:val="24"/>
        </w:rPr>
        <w:t>, 1085–1097. https://doi.org/https://doi.org/10.1007/s10845-017-1307-5</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Pourjavad, E., &amp; Shahin, A. (2018). The Application of Mamdani Fuzzy Inference System in Evaluating Green Supply Chain Management Performance. </w:t>
      </w:r>
      <w:r>
        <w:rPr>
          <w:rFonts w:ascii="Times New Roman" w:hAnsi="Times New Roman" w:cs="Times New Roman"/>
          <w:i/>
          <w:iCs/>
          <w:noProof/>
          <w:sz w:val="24"/>
          <w:szCs w:val="24"/>
        </w:rPr>
        <w:t>International Journal of Fuzzy Systems</w:t>
      </w:r>
      <w:r>
        <w:rPr>
          <w:rFonts w:ascii="Times New Roman" w:hAnsi="Times New Roman" w:cs="Times New Roman"/>
          <w:noProof/>
          <w:sz w:val="24"/>
          <w:szCs w:val="24"/>
        </w:rPr>
        <w:t xml:space="preserve">, </w:t>
      </w:r>
      <w:r>
        <w:rPr>
          <w:rFonts w:ascii="Times New Roman" w:hAnsi="Times New Roman" w:cs="Times New Roman"/>
          <w:i/>
          <w:iCs/>
          <w:noProof/>
          <w:sz w:val="24"/>
          <w:szCs w:val="24"/>
        </w:rPr>
        <w:t>20</w:t>
      </w:r>
      <w:r>
        <w:rPr>
          <w:rFonts w:ascii="Times New Roman" w:hAnsi="Times New Roman" w:cs="Times New Roman"/>
          <w:noProof/>
          <w:sz w:val="24"/>
          <w:szCs w:val="24"/>
        </w:rPr>
        <w:t>, 901–912. https://doi.org/https://doi.org/10.1007/s40815-017-0378-y</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Rapaport, C. (1997). Housing Demand and Community Choice: An Empirical Analysis. </w:t>
      </w:r>
      <w:r>
        <w:rPr>
          <w:rFonts w:ascii="Times New Roman" w:hAnsi="Times New Roman" w:cs="Times New Roman"/>
          <w:i/>
          <w:iCs/>
          <w:noProof/>
          <w:sz w:val="24"/>
          <w:szCs w:val="24"/>
        </w:rPr>
        <w:t>Journal of Urban Economics</w:t>
      </w:r>
      <w:r>
        <w:rPr>
          <w:rFonts w:ascii="Times New Roman" w:hAnsi="Times New Roman" w:cs="Times New Roman"/>
          <w:noProof/>
          <w:sz w:val="24"/>
          <w:szCs w:val="24"/>
        </w:rPr>
        <w:t xml:space="preserve">, </w:t>
      </w:r>
      <w:r>
        <w:rPr>
          <w:rFonts w:ascii="Times New Roman" w:hAnsi="Times New Roman" w:cs="Times New Roman"/>
          <w:i/>
          <w:iCs/>
          <w:noProof/>
          <w:sz w:val="24"/>
          <w:szCs w:val="24"/>
        </w:rPr>
        <w:t>42</w:t>
      </w:r>
      <w:r>
        <w:rPr>
          <w:rFonts w:ascii="Times New Roman" w:hAnsi="Times New Roman" w:cs="Times New Roman"/>
          <w:noProof/>
          <w:sz w:val="24"/>
          <w:szCs w:val="24"/>
        </w:rPr>
        <w:t>(2), 243–260. https://doi.org/10.1006/JUEC.1996.2023</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Reyes Vintimilla, P. A. (2015). Análisis económico de la industria de la construcción residencial y su impacto en la generación de empleo en el Cantón Cuenca, periodo: 2001 - 2012. </w:t>
      </w:r>
      <w:r>
        <w:rPr>
          <w:rFonts w:ascii="Times New Roman" w:hAnsi="Times New Roman" w:cs="Times New Roman"/>
          <w:i/>
          <w:iCs/>
          <w:noProof/>
          <w:sz w:val="24"/>
          <w:szCs w:val="24"/>
        </w:rPr>
        <w:t>Economista</w:t>
      </w:r>
      <w:r>
        <w:rPr>
          <w:rFonts w:ascii="Times New Roman" w:hAnsi="Times New Roman" w:cs="Times New Roman"/>
          <w:noProof/>
          <w:sz w:val="24"/>
          <w:szCs w:val="24"/>
        </w:rPr>
        <w:t>. Retrieved from http://dspace.uazuay.edu.ec/handle/datos/4485</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Rivera León, G. J. (2015). </w:t>
      </w:r>
      <w:r>
        <w:rPr>
          <w:rFonts w:ascii="Times New Roman" w:hAnsi="Times New Roman" w:cs="Times New Roman"/>
          <w:i/>
          <w:iCs/>
          <w:noProof/>
          <w:sz w:val="24"/>
          <w:szCs w:val="24"/>
        </w:rPr>
        <w:t>Análisis de flujos dinámicos de materiales aplicado a la proyección de demanda de materiales de construcción en Colombia</w:t>
      </w:r>
      <w:r>
        <w:rPr>
          <w:rFonts w:ascii="Times New Roman" w:hAnsi="Times New Roman" w:cs="Times New Roman"/>
          <w:noProof/>
          <w:sz w:val="24"/>
          <w:szCs w:val="24"/>
        </w:rPr>
        <w:t>. Universidad Nacional de Colombia-Sede Medellín.</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Rodríguez Hernández, J. E. (2006). </w:t>
      </w:r>
      <w:r>
        <w:rPr>
          <w:rFonts w:ascii="Times New Roman" w:hAnsi="Times New Roman" w:cs="Times New Roman"/>
          <w:i/>
          <w:iCs/>
          <w:noProof/>
          <w:sz w:val="24"/>
          <w:szCs w:val="24"/>
        </w:rPr>
        <w:t>Análisis de las decisiones de tenencia y demanda de vivienda en España</w:t>
      </w:r>
      <w:r>
        <w:rPr>
          <w:rFonts w:ascii="Times New Roman" w:hAnsi="Times New Roman" w:cs="Times New Roman"/>
          <w:noProof/>
          <w:sz w:val="24"/>
          <w:szCs w:val="24"/>
        </w:rPr>
        <w:t>. Retrieved from https://riull.ull.es/xmlui/handle/915/9849</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Rodríguez Hernández, J. E., &amp; Barrios García, J. A. (2007). Estimación microeconométrica de la tenencia y demanda de vivienda en España según la localización. </w:t>
      </w:r>
      <w:r>
        <w:rPr>
          <w:rFonts w:ascii="Times New Roman" w:hAnsi="Times New Roman" w:cs="Times New Roman"/>
          <w:i/>
          <w:iCs/>
          <w:noProof/>
          <w:sz w:val="24"/>
          <w:szCs w:val="24"/>
        </w:rPr>
        <w:t>Estudios de Economía Aplicada</w:t>
      </w:r>
      <w:r>
        <w:rPr>
          <w:rFonts w:ascii="Times New Roman" w:hAnsi="Times New Roman" w:cs="Times New Roman"/>
          <w:noProof/>
          <w:sz w:val="24"/>
          <w:szCs w:val="24"/>
        </w:rPr>
        <w:t xml:space="preserve">, </w:t>
      </w:r>
      <w:r>
        <w:rPr>
          <w:rFonts w:ascii="Times New Roman" w:hAnsi="Times New Roman" w:cs="Times New Roman"/>
          <w:i/>
          <w:iCs/>
          <w:noProof/>
          <w:sz w:val="24"/>
          <w:szCs w:val="24"/>
        </w:rPr>
        <w:t>25</w:t>
      </w:r>
      <w:r>
        <w:rPr>
          <w:rFonts w:ascii="Times New Roman" w:hAnsi="Times New Roman" w:cs="Times New Roman"/>
          <w:noProof/>
          <w:sz w:val="24"/>
          <w:szCs w:val="24"/>
        </w:rPr>
        <w:t>(1), 323–324. Retrieved from https://dialnet.unirioja.es/servlet/articulo?codigo=2328048</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Rosen, H. S. (1979). Housing decisions and the U.S. income tax: An econometric analysis. </w:t>
      </w:r>
      <w:r>
        <w:rPr>
          <w:rFonts w:ascii="Times New Roman" w:hAnsi="Times New Roman" w:cs="Times New Roman"/>
          <w:i/>
          <w:iCs/>
          <w:noProof/>
          <w:sz w:val="24"/>
          <w:szCs w:val="24"/>
        </w:rPr>
        <w:t>Journal of Public Economics</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(11), 1–23. https://doi.org/10.1016/0047-2727(79)90042-2</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Saaty, T. L. (1980). </w:t>
      </w:r>
      <w:r>
        <w:rPr>
          <w:rFonts w:ascii="Times New Roman" w:hAnsi="Times New Roman" w:cs="Times New Roman"/>
          <w:i/>
          <w:iCs/>
          <w:noProof/>
          <w:sz w:val="24"/>
          <w:szCs w:val="24"/>
        </w:rPr>
        <w:t>The Analytic Hierarchy Process: Planning, Priority Setting, Resource Allocation</w:t>
      </w:r>
      <w:r>
        <w:rPr>
          <w:rFonts w:ascii="Times New Roman" w:hAnsi="Times New Roman" w:cs="Times New Roman"/>
          <w:noProof/>
          <w:sz w:val="24"/>
          <w:szCs w:val="24"/>
        </w:rPr>
        <w:t xml:space="preserve"> (M.-H. Ed., Ed.).</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Saaty, T. L., Rogers, P., &amp; Pell, R. (1988). Portfolio selection through hierarchies. </w:t>
      </w:r>
      <w:r>
        <w:rPr>
          <w:rFonts w:ascii="Times New Roman" w:hAnsi="Times New Roman" w:cs="Times New Roman"/>
          <w:i/>
          <w:iCs/>
          <w:noProof/>
          <w:sz w:val="24"/>
          <w:szCs w:val="24"/>
        </w:rPr>
        <w:lastRenderedPageBreak/>
        <w:t>Journal of Porfolio Management</w:t>
      </w:r>
      <w:r>
        <w:rPr>
          <w:rFonts w:ascii="Times New Roman" w:hAnsi="Times New Roman" w:cs="Times New Roman"/>
          <w:noProof/>
          <w:sz w:val="24"/>
          <w:szCs w:val="24"/>
        </w:rPr>
        <w:t>, 16–21.</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Sanghi, S. (2006). Determining the Membership Values to Optimize Retrieval in a Fuzzy Relational Database. </w:t>
      </w:r>
      <w:r>
        <w:rPr>
          <w:rFonts w:ascii="Times New Roman" w:hAnsi="Times New Roman" w:cs="Times New Roman"/>
          <w:i/>
          <w:iCs/>
          <w:noProof/>
          <w:sz w:val="24"/>
          <w:szCs w:val="24"/>
        </w:rPr>
        <w:t>Proceedings of the 44th Annual Southeast Regional Conference</w:t>
      </w:r>
      <w:r>
        <w:rPr>
          <w:rFonts w:ascii="Times New Roman" w:hAnsi="Times New Roman" w:cs="Times New Roman"/>
          <w:noProof/>
          <w:sz w:val="24"/>
          <w:szCs w:val="24"/>
        </w:rPr>
        <w:t>, 537–542.</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Stumpf González, M. A., &amp; Torres Formoso, C. (2006). Mass appraisal with genetic fuzzy rule‐based systems. </w:t>
      </w:r>
      <w:r>
        <w:rPr>
          <w:rFonts w:ascii="Times New Roman" w:hAnsi="Times New Roman" w:cs="Times New Roman"/>
          <w:i/>
          <w:iCs/>
          <w:noProof/>
          <w:sz w:val="24"/>
          <w:szCs w:val="24"/>
        </w:rPr>
        <w:t>Property Management</w:t>
      </w:r>
      <w:r>
        <w:rPr>
          <w:rFonts w:ascii="Times New Roman" w:hAnsi="Times New Roman" w:cs="Times New Roman"/>
          <w:noProof/>
          <w:sz w:val="24"/>
          <w:szCs w:val="24"/>
        </w:rPr>
        <w:t xml:space="preserve">, </w:t>
      </w:r>
      <w:r>
        <w:rPr>
          <w:rFonts w:ascii="Times New Roman" w:hAnsi="Times New Roman" w:cs="Times New Roman"/>
          <w:i/>
          <w:iCs/>
          <w:noProof/>
          <w:sz w:val="24"/>
          <w:szCs w:val="24"/>
        </w:rPr>
        <w:t>24</w:t>
      </w:r>
      <w:r>
        <w:rPr>
          <w:rFonts w:ascii="Times New Roman" w:hAnsi="Times New Roman" w:cs="Times New Roman"/>
          <w:noProof/>
          <w:sz w:val="24"/>
          <w:szCs w:val="24"/>
        </w:rPr>
        <w:t>(1), 20–30. https://doi.org/10.1108/02637470610643092</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Tosarkani, B. M., &amp; Amin, S. H. (2018). A possibilistic solution to configure a battery closed-loop supply chain: multi-objective approach. </w:t>
      </w:r>
      <w:r>
        <w:rPr>
          <w:rFonts w:ascii="Times New Roman" w:hAnsi="Times New Roman" w:cs="Times New Roman"/>
          <w:i/>
          <w:iCs/>
          <w:noProof/>
          <w:sz w:val="24"/>
          <w:szCs w:val="24"/>
        </w:rPr>
        <w:t>Expert Systems with Applications</w:t>
      </w:r>
      <w:r>
        <w:rPr>
          <w:rFonts w:ascii="Times New Roman" w:hAnsi="Times New Roman" w:cs="Times New Roman"/>
          <w:noProof/>
          <w:sz w:val="24"/>
          <w:szCs w:val="24"/>
        </w:rPr>
        <w:t xml:space="preserve">, </w:t>
      </w:r>
      <w:r>
        <w:rPr>
          <w:rFonts w:ascii="Times New Roman" w:hAnsi="Times New Roman" w:cs="Times New Roman"/>
          <w:i/>
          <w:iCs/>
          <w:noProof/>
          <w:sz w:val="24"/>
          <w:szCs w:val="24"/>
        </w:rPr>
        <w:t>92</w:t>
      </w:r>
      <w:r>
        <w:rPr>
          <w:rFonts w:ascii="Times New Roman" w:hAnsi="Times New Roman" w:cs="Times New Roman"/>
          <w:noProof/>
          <w:sz w:val="24"/>
          <w:szCs w:val="24"/>
        </w:rPr>
        <w:t>, 12–26. https://doi.org/https://doi.org/10.1016/j.eswa.2017.09.039</w:t>
      </w:r>
    </w:p>
    <w:p w:rsidR="009078FD" w:rsidRDefault="00FC1F1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Wu, C., Zhang, Y., Pun, H., &amp; Lin, C. (2020). Construction of partner selection criteria in sustainable supply chains: A systematic optimization model. </w:t>
      </w:r>
      <w:r>
        <w:rPr>
          <w:rFonts w:ascii="Times New Roman" w:hAnsi="Times New Roman" w:cs="Times New Roman"/>
          <w:i/>
          <w:iCs/>
          <w:noProof/>
          <w:sz w:val="24"/>
          <w:szCs w:val="24"/>
        </w:rPr>
        <w:t>Expert Systems with Applications</w:t>
      </w:r>
      <w:r>
        <w:rPr>
          <w:rFonts w:ascii="Times New Roman" w:hAnsi="Times New Roman" w:cs="Times New Roman"/>
          <w:noProof/>
          <w:sz w:val="24"/>
          <w:szCs w:val="24"/>
        </w:rPr>
        <w:t xml:space="preserve">, </w:t>
      </w:r>
      <w:r>
        <w:rPr>
          <w:rFonts w:ascii="Times New Roman" w:hAnsi="Times New Roman" w:cs="Times New Roman"/>
          <w:i/>
          <w:iCs/>
          <w:noProof/>
          <w:sz w:val="24"/>
          <w:szCs w:val="24"/>
        </w:rPr>
        <w:t>185</w:t>
      </w:r>
      <w:r>
        <w:rPr>
          <w:rFonts w:ascii="Times New Roman" w:hAnsi="Times New Roman" w:cs="Times New Roman"/>
          <w:noProof/>
          <w:sz w:val="24"/>
          <w:szCs w:val="24"/>
        </w:rPr>
        <w:t>, 113–643. https://doi.org/https://doi.org/10.1016/j.eswa.2020.113643</w:t>
      </w:r>
    </w:p>
    <w:p w:rsidR="009078FD" w:rsidRDefault="00FC1F11">
      <w:pPr>
        <w:spacing w:line="360" w:lineRule="auto"/>
        <w:jc w:val="both"/>
        <w:rPr>
          <w:rFonts w:ascii="Arial" w:eastAsia="Times New Roman" w:hAnsi="Arial" w:cs="Arial"/>
          <w:sz w:val="20"/>
          <w:szCs w:val="20"/>
          <w:lang w:eastAsia="es-419"/>
        </w:rPr>
      </w:pPr>
      <w:r>
        <w:rPr>
          <w:rFonts w:ascii="Times New Roman" w:eastAsia="Times New Roman" w:hAnsi="Times New Roman" w:cs="Times New Roman"/>
          <w:sz w:val="24"/>
          <w:szCs w:val="24"/>
          <w:lang w:eastAsia="es-419"/>
        </w:rPr>
        <w:fldChar w:fldCharType="end"/>
      </w:r>
    </w:p>
    <w:p w:rsidR="009078FD" w:rsidRDefault="009078FD">
      <w:pPr>
        <w:spacing w:after="0" w:line="360" w:lineRule="auto"/>
        <w:jc w:val="both"/>
        <w:rPr>
          <w:rFonts w:ascii="Times New Roman" w:hAnsi="Times New Roman" w:cs="Times New Roman"/>
          <w:b/>
          <w:sz w:val="24"/>
          <w:szCs w:val="24"/>
        </w:rPr>
      </w:pPr>
    </w:p>
    <w:sectPr w:rsidR="009078FD">
      <w:headerReference w:type="default" r:id="rId22"/>
      <w:footerReference w:type="default" r:id="rId2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15E" w:rsidRDefault="007E315E">
      <w:pPr>
        <w:spacing w:after="0" w:line="240" w:lineRule="auto"/>
      </w:pPr>
      <w:r>
        <w:separator/>
      </w:r>
    </w:p>
  </w:endnote>
  <w:endnote w:type="continuationSeparator" w:id="0">
    <w:p w:rsidR="007E315E" w:rsidRDefault="007E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8FD" w:rsidRDefault="00FC1F11">
    <w:pPr>
      <w:pStyle w:val="Footer"/>
      <w:jc w:val="right"/>
    </w:pPr>
    <w:r>
      <w:fldChar w:fldCharType="begin"/>
    </w:r>
    <w:r>
      <w:instrText xml:space="preserve"> PAGE   \* MERGEFORMAT </w:instrText>
    </w:r>
    <w:r>
      <w:fldChar w:fldCharType="separate"/>
    </w:r>
    <w:r>
      <w:rPr>
        <w:noProof/>
      </w:rPr>
      <w:t>1</w:t>
    </w:r>
    <w:r>
      <w:rPr>
        <w:noProof/>
      </w:rPr>
      <w:fldChar w:fldCharType="end"/>
    </w:r>
  </w:p>
  <w:p w:rsidR="009078FD" w:rsidRDefault="00FC1F11">
    <w:pPr>
      <w:pStyle w:val="Header"/>
      <w:jc w:val="center"/>
      <w:rPr>
        <w:rFonts w:ascii="Verdana" w:hAnsi="Verdana"/>
        <w:b/>
        <w:sz w:val="16"/>
        <w:szCs w:val="16"/>
        <w:lang w:val="es-ES_tradnl"/>
      </w:rPr>
    </w:pPr>
    <w:r>
      <w:rPr>
        <w:rFonts w:ascii="Verdana" w:hAnsi="Verdana"/>
        <w:b/>
        <w:sz w:val="16"/>
        <w:szCs w:val="16"/>
        <w:lang w:val="es-ES_tradnl"/>
      </w:rPr>
      <w:t>Título Convención 2021</w:t>
    </w:r>
  </w:p>
  <w:p w:rsidR="009078FD" w:rsidRDefault="00FC1F11">
    <w:pPr>
      <w:pStyle w:val="Header"/>
      <w:jc w:val="center"/>
      <w:rPr>
        <w:rFonts w:ascii="Verdana" w:hAnsi="Verdana"/>
        <w:b/>
        <w:sz w:val="16"/>
        <w:szCs w:val="16"/>
        <w:lang w:val="es-ES_tradnl"/>
      </w:rPr>
    </w:pPr>
    <w:r>
      <w:rPr>
        <w:rFonts w:ascii="Verdana" w:hAnsi="Verdana"/>
        <w:b/>
        <w:sz w:val="16"/>
        <w:szCs w:val="16"/>
        <w:lang w:val="es-ES_tradnl"/>
      </w:rPr>
      <w:t>Universidad Central “Marta Abreu” de Las Villas</w:t>
    </w:r>
  </w:p>
  <w:p w:rsidR="009078FD" w:rsidRDefault="007271C3" w:rsidP="007271C3">
    <w:pPr>
      <w:pStyle w:val="Footer"/>
      <w:jc w:val="center"/>
    </w:pPr>
    <w:r w:rsidRPr="00500267">
      <w:rPr>
        <w:rFonts w:ascii="Verdana" w:hAnsi="Verdana"/>
        <w:b/>
        <w:sz w:val="16"/>
        <w:szCs w:val="16"/>
        <w:lang w:val="es-ES_tradnl"/>
      </w:rPr>
      <w:t>PRONÓSTICO DE LA DEMANDA DE CONSTRUCCIÓN DE VIVIENDAS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15E" w:rsidRDefault="007E315E">
      <w:pPr>
        <w:spacing w:after="0" w:line="240" w:lineRule="auto"/>
      </w:pPr>
      <w:r>
        <w:separator/>
      </w:r>
    </w:p>
  </w:footnote>
  <w:footnote w:type="continuationSeparator" w:id="0">
    <w:p w:rsidR="007E315E" w:rsidRDefault="007E3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9078FD">
      <w:trPr>
        <w:trHeight w:val="1114"/>
        <w:jc w:val="center"/>
      </w:trPr>
      <w:tc>
        <w:tcPr>
          <w:tcW w:w="1425" w:type="dxa"/>
        </w:tcPr>
        <w:p w:rsidR="009078FD" w:rsidRDefault="00FC1F11">
          <w:pPr>
            <w:pStyle w:val="Header"/>
            <w:jc w:val="both"/>
            <w:rPr>
              <w:rFonts w:ascii="Verdana" w:hAnsi="Verdana"/>
              <w:b/>
              <w:sz w:val="18"/>
              <w:szCs w:val="18"/>
              <w:lang w:val="es-ES_tradnl"/>
            </w:rPr>
          </w:pPr>
          <w:r>
            <w:rPr>
              <w:rFonts w:ascii="Liberation Sans" w:hAnsi="Liberation Sans"/>
              <w:noProof/>
              <w:sz w:val="28"/>
              <w:szCs w:val="28"/>
              <w:lang w:val="en-GB" w:eastAsia="en-GB"/>
            </w:rPr>
            <w:drawing>
              <wp:anchor distT="0" distB="0" distL="0" distR="0" simplePos="0" relativeHeight="2"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n 1"/>
                        <pic:cNvPicPr/>
                      </pic:nvPicPr>
                      <pic:blipFill>
                        <a:blip r:embed="rId1" cstate="print"/>
                        <a:srcRect/>
                        <a:stretch/>
                      </pic:blipFill>
                      <pic:spPr>
                        <a:xfrm>
                          <a:off x="0" y="0"/>
                          <a:ext cx="610678" cy="750498"/>
                        </a:xfrm>
                        <a:prstGeom prst="rect">
                          <a:avLst/>
                        </a:prstGeom>
                        <a:ln>
                          <a:noFill/>
                        </a:ln>
                      </pic:spPr>
                    </pic:pic>
                  </a:graphicData>
                </a:graphic>
              </wp:anchor>
            </w:drawing>
          </w:r>
        </w:p>
      </w:tc>
      <w:tc>
        <w:tcPr>
          <w:tcW w:w="8632" w:type="dxa"/>
        </w:tcPr>
        <w:p w:rsidR="009078FD" w:rsidRDefault="009078FD">
          <w:pPr>
            <w:pStyle w:val="Header"/>
            <w:jc w:val="center"/>
            <w:rPr>
              <w:rFonts w:ascii="Verdana" w:hAnsi="Verdana"/>
              <w:b/>
              <w:sz w:val="16"/>
              <w:szCs w:val="16"/>
              <w:lang w:val="es-ES_tradnl"/>
            </w:rPr>
          </w:pPr>
        </w:p>
        <w:p w:rsidR="009078FD" w:rsidRDefault="00FC1F11">
          <w:pPr>
            <w:pStyle w:val="Header"/>
            <w:jc w:val="center"/>
            <w:rPr>
              <w:rFonts w:ascii="Verdana" w:hAnsi="Verdana"/>
              <w:b/>
              <w:sz w:val="16"/>
              <w:szCs w:val="16"/>
              <w:lang w:val="es-ES_tradnl"/>
            </w:rPr>
          </w:pPr>
          <w:r>
            <w:rPr>
              <w:rFonts w:ascii="Verdana" w:hAnsi="Verdana"/>
              <w:b/>
              <w:sz w:val="16"/>
              <w:szCs w:val="16"/>
              <w:lang w:val="es-ES_tradnl"/>
            </w:rPr>
            <w:t>Título Convención 2021</w:t>
          </w:r>
        </w:p>
        <w:p w:rsidR="009078FD" w:rsidRDefault="00FC1F11">
          <w:pPr>
            <w:pStyle w:val="Header"/>
            <w:jc w:val="center"/>
            <w:rPr>
              <w:rFonts w:ascii="Verdana" w:hAnsi="Verdana"/>
              <w:b/>
              <w:sz w:val="16"/>
              <w:szCs w:val="16"/>
              <w:lang w:val="es-ES_tradnl"/>
            </w:rPr>
          </w:pPr>
          <w:r>
            <w:rPr>
              <w:rFonts w:ascii="Verdana" w:hAnsi="Verdana"/>
              <w:b/>
              <w:sz w:val="16"/>
              <w:szCs w:val="16"/>
              <w:lang w:val="es-ES_tradnl"/>
            </w:rPr>
            <w:t>Universidad Central “Marta Abreu” de Las Villas</w:t>
          </w:r>
        </w:p>
        <w:p w:rsidR="009078FD" w:rsidRDefault="00500267" w:rsidP="00500267">
          <w:pPr>
            <w:pStyle w:val="Header"/>
            <w:jc w:val="center"/>
            <w:rPr>
              <w:rFonts w:ascii="Verdana" w:hAnsi="Verdana"/>
              <w:b/>
              <w:sz w:val="18"/>
              <w:szCs w:val="18"/>
              <w:lang w:val="en-GB"/>
            </w:rPr>
          </w:pPr>
          <w:r w:rsidRPr="00500267">
            <w:rPr>
              <w:rFonts w:ascii="Verdana" w:hAnsi="Verdana"/>
              <w:b/>
              <w:sz w:val="16"/>
              <w:szCs w:val="16"/>
              <w:lang w:val="es-ES_tradnl"/>
            </w:rPr>
            <w:t xml:space="preserve">PRONÓSTICO DE LA DEMANDA DE CONSTRUCCIÓN DE VIVIENDAS </w:t>
          </w:r>
        </w:p>
      </w:tc>
    </w:tr>
  </w:tbl>
  <w:p w:rsidR="009078FD" w:rsidRDefault="00907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E0516"/>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FD"/>
    <w:rsid w:val="00500267"/>
    <w:rsid w:val="007271C3"/>
    <w:rsid w:val="007E315E"/>
    <w:rsid w:val="009078FD"/>
    <w:rsid w:val="00D71EE1"/>
    <w:rsid w:val="00FC1F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D23972-CFCB-47FF-9A2D-E3024C4C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line="259" w:lineRule="auto"/>
      <w:outlineLvl w:val="2"/>
    </w:pPr>
    <w:rPr>
      <w:rFonts w:ascii="Cambria" w:eastAsia="SimSun" w:hAnsi="Cambria"/>
      <w:color w:val="243F60"/>
      <w:sz w:val="24"/>
      <w:szCs w:val="24"/>
      <w:lang w:val="es-4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pPr>
      <w:tabs>
        <w:tab w:val="center" w:pos="4252"/>
        <w:tab w:val="right" w:pos="8504"/>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59"/>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Cambria" w:eastAsia="SimSun" w:hAnsi="Cambria" w:cs="SimSun"/>
      <w:color w:val="243F60"/>
      <w:sz w:val="24"/>
      <w:szCs w:val="24"/>
      <w:lang w:val="es-419"/>
    </w:rPr>
  </w:style>
  <w:style w:type="paragraph" w:customStyle="1" w:styleId="keywords">
    <w:name w:val="key words"/>
    <w:uiPriority w:val="99"/>
    <w:pPr>
      <w:spacing w:after="120" w:line="240" w:lineRule="auto"/>
      <w:ind w:firstLine="274"/>
      <w:jc w:val="both"/>
    </w:pPr>
    <w:rPr>
      <w:rFonts w:ascii="Times New Roman" w:eastAsia="Times New Roman" w:hAnsi="Times New Roman" w:cs="Times New Roman"/>
      <w:b/>
      <w:bCs/>
      <w:i/>
      <w:iCs/>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eito@ucf.edu.cu" TargetMode="External"/><Relationship Id="rId13" Type="http://schemas.openxmlformats.org/officeDocument/2006/relationships/image" Target="media/image4.emf"/><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chart" Target="charts/chart6.xml"/><Relationship Id="rId7" Type="http://schemas.openxmlformats.org/officeDocument/2006/relationships/hyperlink" Target="mailto:gmartinez@ucf.edu.cu" TargetMode="External"/><Relationship Id="rId12" Type="http://schemas.openxmlformats.org/officeDocument/2006/relationships/image" Target="media/image3.emf"/><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hyperlink" Target="mailto:alberto.medina@umcc.cu" TargetMode="External"/><Relationship Id="rId14" Type="http://schemas.openxmlformats.org/officeDocument/2006/relationships/image" Target="media/image5.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C:/DOCTORADO/Envios%20a%20Medina/Cap.2/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DOCTORADO/Envios%20a%20Medina/Cap.2/Tablas%20de%20pertinenci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DOCTORADO/Envios%20a%20Medina/Cap.2/Tablas%20de%20pertinenci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DOCTORADO/Envios%20a%20Medina/Cap.2/Tablas%20de%20pertinenci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Users/Gretel/Desktop/Book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C:/Users/Gretel/Desktop/Book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lgn="ctr">
              <a:defRPr sz="1600" b="1" i="0" u="none" strike="noStrike" kern="1200" cap="all" spc="120" normalizeH="0" baseline="0">
                <a:solidFill>
                  <a:schemeClr val="tx1">
                    <a:lumMod val="65000"/>
                    <a:lumOff val="35000"/>
                  </a:schemeClr>
                </a:solidFill>
                <a:latin typeface="+mn-lt"/>
                <a:ea typeface="+mn-ea"/>
                <a:cs typeface="+mn-cs"/>
              </a:defRPr>
            </a:pPr>
            <a:r>
              <a:rPr lang="es-419" sz="700"/>
              <a:t>CP</a:t>
            </a:r>
          </a:p>
        </c:rich>
      </c:tx>
      <c:layout>
        <c:manualLayout>
          <c:xMode val="edge"/>
          <c:yMode val="edge"/>
          <c:x val="0.43307515569746835"/>
          <c:y val="2.1983186745166913E-2"/>
        </c:manualLayout>
      </c:layout>
      <c:overlay val="0"/>
      <c:spPr>
        <a:noFill/>
        <a:ln>
          <a:noFill/>
        </a:ln>
        <a:effectLst/>
      </c:spPr>
      <c:txPr>
        <a:bodyPr rot="0" spcFirstLastPara="1" vertOverflow="ellipsis" vert="horz" wrap="square" anchor="ctr" anchorCtr="1"/>
        <a:lstStyle/>
        <a:p>
          <a:pPr algn="ctr">
            <a:defRPr sz="1600" b="1" i="0" u="none" strike="noStrike" kern="1200" cap="all" spc="120" normalizeH="0" baseline="0">
              <a:solidFill>
                <a:schemeClr val="tx1">
                  <a:lumMod val="65000"/>
                  <a:lumOff val="35000"/>
                </a:schemeClr>
              </a:solidFill>
              <a:latin typeface="+mn-lt"/>
              <a:ea typeface="+mn-ea"/>
              <a:cs typeface="+mn-cs"/>
            </a:defRPr>
          </a:pPr>
          <a:endParaRPr lang="es-419"/>
        </a:p>
      </c:txPr>
    </c:title>
    <c:autoTitleDeleted val="0"/>
    <c:plotArea>
      <c:layout>
        <c:manualLayout>
          <c:layoutTarget val="inner"/>
          <c:xMode val="edge"/>
          <c:yMode val="edge"/>
          <c:x val="6.9177579111585383E-2"/>
          <c:y val="0.14436668524182009"/>
          <c:w val="0.83652310911197802"/>
          <c:h val="0.67106035204000958"/>
        </c:manualLayout>
      </c:layout>
      <c:scatterChart>
        <c:scatterStyle val="smoothMarker"/>
        <c:varyColors val="0"/>
        <c:ser>
          <c:idx val="0"/>
          <c:order val="0"/>
          <c:tx>
            <c:v>Bajo</c:v>
          </c:tx>
          <c:spPr>
            <a:ln w="22225" cap="rnd">
              <a:solidFill>
                <a:schemeClr val="dk1">
                  <a:tint val="88500"/>
                </a:schemeClr>
              </a:solidFill>
              <a:round/>
            </a:ln>
            <a:effectLst/>
          </c:spPr>
          <c:marker>
            <c:symbol val="none"/>
          </c:marker>
          <c:xVal>
            <c:numRef>
              <c:f>CP!$C$53:$C$76</c:f>
              <c:numCache>
                <c:formatCode>General</c:formatCode>
                <c:ptCount val="24"/>
                <c:pt idx="0">
                  <c:v>-2300</c:v>
                </c:pt>
                <c:pt idx="1">
                  <c:v>-2100</c:v>
                </c:pt>
                <c:pt idx="2">
                  <c:v>-1900</c:v>
                </c:pt>
                <c:pt idx="3">
                  <c:v>-1700</c:v>
                </c:pt>
                <c:pt idx="4">
                  <c:v>-1500</c:v>
                </c:pt>
                <c:pt idx="5">
                  <c:v>-1300</c:v>
                </c:pt>
                <c:pt idx="6">
                  <c:v>-1100</c:v>
                </c:pt>
                <c:pt idx="7">
                  <c:v>-900</c:v>
                </c:pt>
                <c:pt idx="8">
                  <c:v>-700</c:v>
                </c:pt>
                <c:pt idx="9">
                  <c:v>-500</c:v>
                </c:pt>
                <c:pt idx="10">
                  <c:v>-300</c:v>
                </c:pt>
                <c:pt idx="11">
                  <c:v>-100</c:v>
                </c:pt>
                <c:pt idx="12">
                  <c:v>100</c:v>
                </c:pt>
                <c:pt idx="13">
                  <c:v>300</c:v>
                </c:pt>
                <c:pt idx="14">
                  <c:v>500</c:v>
                </c:pt>
                <c:pt idx="15">
                  <c:v>700</c:v>
                </c:pt>
                <c:pt idx="16">
                  <c:v>900</c:v>
                </c:pt>
                <c:pt idx="17">
                  <c:v>1100</c:v>
                </c:pt>
                <c:pt idx="18">
                  <c:v>1300</c:v>
                </c:pt>
                <c:pt idx="19">
                  <c:v>1500</c:v>
                </c:pt>
                <c:pt idx="20">
                  <c:v>1700</c:v>
                </c:pt>
                <c:pt idx="21">
                  <c:v>1900</c:v>
                </c:pt>
                <c:pt idx="22">
                  <c:v>2100</c:v>
                </c:pt>
                <c:pt idx="23">
                  <c:v>2300</c:v>
                </c:pt>
              </c:numCache>
            </c:numRef>
          </c:xVal>
          <c:yVal>
            <c:numRef>
              <c:f>CP!$S$53:$S$76</c:f>
              <c:numCache>
                <c:formatCode>General</c:formatCode>
                <c:ptCount val="24"/>
                <c:pt idx="0">
                  <c:v>14</c:v>
                </c:pt>
                <c:pt idx="1">
                  <c:v>14</c:v>
                </c:pt>
                <c:pt idx="2">
                  <c:v>14</c:v>
                </c:pt>
                <c:pt idx="3">
                  <c:v>14</c:v>
                </c:pt>
                <c:pt idx="4">
                  <c:v>14</c:v>
                </c:pt>
                <c:pt idx="5">
                  <c:v>11</c:v>
                </c:pt>
                <c:pt idx="6">
                  <c:v>9</c:v>
                </c:pt>
                <c:pt idx="7">
                  <c:v>10</c:v>
                </c:pt>
                <c:pt idx="8">
                  <c:v>5</c:v>
                </c:pt>
                <c:pt idx="9">
                  <c:v>4</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yVal>
          <c:smooth val="1"/>
          <c:extLst>
            <c:ext xmlns:c16="http://schemas.microsoft.com/office/drawing/2014/chart" uri="{C3380CC4-5D6E-409C-BE32-E72D297353CC}">
              <c16:uniqueId val="{00000000-D6E4-4087-9A6E-726FE634F5D1}"/>
            </c:ext>
          </c:extLst>
        </c:ser>
        <c:ser>
          <c:idx val="1"/>
          <c:order val="1"/>
          <c:tx>
            <c:v>Medio</c:v>
          </c:tx>
          <c:spPr>
            <a:ln w="22225" cap="rnd">
              <a:solidFill>
                <a:schemeClr val="dk1">
                  <a:tint val="55000"/>
                </a:schemeClr>
              </a:solidFill>
              <a:round/>
            </a:ln>
            <a:effectLst/>
          </c:spPr>
          <c:marker>
            <c:symbol val="none"/>
          </c:marker>
          <c:xVal>
            <c:numRef>
              <c:f>CP!$C$53:$C$76</c:f>
              <c:numCache>
                <c:formatCode>General</c:formatCode>
                <c:ptCount val="24"/>
                <c:pt idx="0">
                  <c:v>-2300</c:v>
                </c:pt>
                <c:pt idx="1">
                  <c:v>-2100</c:v>
                </c:pt>
                <c:pt idx="2">
                  <c:v>-1900</c:v>
                </c:pt>
                <c:pt idx="3">
                  <c:v>-1700</c:v>
                </c:pt>
                <c:pt idx="4">
                  <c:v>-1500</c:v>
                </c:pt>
                <c:pt idx="5">
                  <c:v>-1300</c:v>
                </c:pt>
                <c:pt idx="6">
                  <c:v>-1100</c:v>
                </c:pt>
                <c:pt idx="7">
                  <c:v>-900</c:v>
                </c:pt>
                <c:pt idx="8">
                  <c:v>-700</c:v>
                </c:pt>
                <c:pt idx="9">
                  <c:v>-500</c:v>
                </c:pt>
                <c:pt idx="10">
                  <c:v>-300</c:v>
                </c:pt>
                <c:pt idx="11">
                  <c:v>-100</c:v>
                </c:pt>
                <c:pt idx="12">
                  <c:v>100</c:v>
                </c:pt>
                <c:pt idx="13">
                  <c:v>300</c:v>
                </c:pt>
                <c:pt idx="14">
                  <c:v>500</c:v>
                </c:pt>
                <c:pt idx="15">
                  <c:v>700</c:v>
                </c:pt>
                <c:pt idx="16">
                  <c:v>900</c:v>
                </c:pt>
                <c:pt idx="17">
                  <c:v>1100</c:v>
                </c:pt>
                <c:pt idx="18">
                  <c:v>1300</c:v>
                </c:pt>
                <c:pt idx="19">
                  <c:v>1500</c:v>
                </c:pt>
                <c:pt idx="20">
                  <c:v>1700</c:v>
                </c:pt>
                <c:pt idx="21">
                  <c:v>1900</c:v>
                </c:pt>
                <c:pt idx="22">
                  <c:v>2100</c:v>
                </c:pt>
                <c:pt idx="23">
                  <c:v>2300</c:v>
                </c:pt>
              </c:numCache>
            </c:numRef>
          </c:xVal>
          <c:yVal>
            <c:numRef>
              <c:f>CP!$T$53:$T$76</c:f>
              <c:numCache>
                <c:formatCode>General</c:formatCode>
                <c:ptCount val="24"/>
                <c:pt idx="0">
                  <c:v>0</c:v>
                </c:pt>
                <c:pt idx="1">
                  <c:v>0</c:v>
                </c:pt>
                <c:pt idx="2">
                  <c:v>0</c:v>
                </c:pt>
                <c:pt idx="3">
                  <c:v>0</c:v>
                </c:pt>
                <c:pt idx="4">
                  <c:v>0</c:v>
                </c:pt>
                <c:pt idx="5">
                  <c:v>3</c:v>
                </c:pt>
                <c:pt idx="6">
                  <c:v>5</c:v>
                </c:pt>
                <c:pt idx="7">
                  <c:v>4</c:v>
                </c:pt>
                <c:pt idx="8">
                  <c:v>9</c:v>
                </c:pt>
                <c:pt idx="9">
                  <c:v>10</c:v>
                </c:pt>
                <c:pt idx="10">
                  <c:v>14</c:v>
                </c:pt>
                <c:pt idx="11">
                  <c:v>14</c:v>
                </c:pt>
                <c:pt idx="12">
                  <c:v>14</c:v>
                </c:pt>
                <c:pt idx="13">
                  <c:v>14</c:v>
                </c:pt>
                <c:pt idx="14">
                  <c:v>14</c:v>
                </c:pt>
                <c:pt idx="15">
                  <c:v>13</c:v>
                </c:pt>
                <c:pt idx="16">
                  <c:v>10</c:v>
                </c:pt>
                <c:pt idx="17">
                  <c:v>9</c:v>
                </c:pt>
                <c:pt idx="18">
                  <c:v>8</c:v>
                </c:pt>
                <c:pt idx="19">
                  <c:v>2</c:v>
                </c:pt>
                <c:pt idx="20">
                  <c:v>0</c:v>
                </c:pt>
                <c:pt idx="21">
                  <c:v>0</c:v>
                </c:pt>
                <c:pt idx="22">
                  <c:v>0</c:v>
                </c:pt>
                <c:pt idx="23">
                  <c:v>0</c:v>
                </c:pt>
              </c:numCache>
            </c:numRef>
          </c:yVal>
          <c:smooth val="1"/>
          <c:extLst>
            <c:ext xmlns:c16="http://schemas.microsoft.com/office/drawing/2014/chart" uri="{C3380CC4-5D6E-409C-BE32-E72D297353CC}">
              <c16:uniqueId val="{00000001-D6E4-4087-9A6E-726FE634F5D1}"/>
            </c:ext>
          </c:extLst>
        </c:ser>
        <c:ser>
          <c:idx val="2"/>
          <c:order val="2"/>
          <c:tx>
            <c:v>Alto</c:v>
          </c:tx>
          <c:spPr>
            <a:ln w="22225" cap="rnd">
              <a:solidFill>
                <a:schemeClr val="dk1">
                  <a:tint val="75000"/>
                </a:schemeClr>
              </a:solidFill>
              <a:round/>
            </a:ln>
            <a:effectLst/>
          </c:spPr>
          <c:marker>
            <c:symbol val="none"/>
          </c:marker>
          <c:xVal>
            <c:numRef>
              <c:f>CP!$C$53:$C$76</c:f>
              <c:numCache>
                <c:formatCode>General</c:formatCode>
                <c:ptCount val="24"/>
                <c:pt idx="0">
                  <c:v>-2300</c:v>
                </c:pt>
                <c:pt idx="1">
                  <c:v>-2100</c:v>
                </c:pt>
                <c:pt idx="2">
                  <c:v>-1900</c:v>
                </c:pt>
                <c:pt idx="3">
                  <c:v>-1700</c:v>
                </c:pt>
                <c:pt idx="4">
                  <c:v>-1500</c:v>
                </c:pt>
                <c:pt idx="5">
                  <c:v>-1300</c:v>
                </c:pt>
                <c:pt idx="6">
                  <c:v>-1100</c:v>
                </c:pt>
                <c:pt idx="7">
                  <c:v>-900</c:v>
                </c:pt>
                <c:pt idx="8">
                  <c:v>-700</c:v>
                </c:pt>
                <c:pt idx="9">
                  <c:v>-500</c:v>
                </c:pt>
                <c:pt idx="10">
                  <c:v>-300</c:v>
                </c:pt>
                <c:pt idx="11">
                  <c:v>-100</c:v>
                </c:pt>
                <c:pt idx="12">
                  <c:v>100</c:v>
                </c:pt>
                <c:pt idx="13">
                  <c:v>300</c:v>
                </c:pt>
                <c:pt idx="14">
                  <c:v>500</c:v>
                </c:pt>
                <c:pt idx="15">
                  <c:v>700</c:v>
                </c:pt>
                <c:pt idx="16">
                  <c:v>900</c:v>
                </c:pt>
                <c:pt idx="17">
                  <c:v>1100</c:v>
                </c:pt>
                <c:pt idx="18">
                  <c:v>1300</c:v>
                </c:pt>
                <c:pt idx="19">
                  <c:v>1500</c:v>
                </c:pt>
                <c:pt idx="20">
                  <c:v>1700</c:v>
                </c:pt>
                <c:pt idx="21">
                  <c:v>1900</c:v>
                </c:pt>
                <c:pt idx="22">
                  <c:v>2100</c:v>
                </c:pt>
                <c:pt idx="23">
                  <c:v>2300</c:v>
                </c:pt>
              </c:numCache>
            </c:numRef>
          </c:xVal>
          <c:yVal>
            <c:numRef>
              <c:f>CP!$U$53:$U$76</c:f>
              <c:numCache>
                <c:formatCode>General</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1</c:v>
                </c:pt>
                <c:pt idx="16">
                  <c:v>4</c:v>
                </c:pt>
                <c:pt idx="17">
                  <c:v>5</c:v>
                </c:pt>
                <c:pt idx="18">
                  <c:v>6</c:v>
                </c:pt>
                <c:pt idx="19">
                  <c:v>12</c:v>
                </c:pt>
                <c:pt idx="20">
                  <c:v>14</c:v>
                </c:pt>
                <c:pt idx="21">
                  <c:v>14</c:v>
                </c:pt>
                <c:pt idx="22">
                  <c:v>14</c:v>
                </c:pt>
                <c:pt idx="23">
                  <c:v>14</c:v>
                </c:pt>
              </c:numCache>
            </c:numRef>
          </c:yVal>
          <c:smooth val="1"/>
          <c:extLst>
            <c:ext xmlns:c16="http://schemas.microsoft.com/office/drawing/2014/chart" uri="{C3380CC4-5D6E-409C-BE32-E72D297353CC}">
              <c16:uniqueId val="{00000002-D6E4-4087-9A6E-726FE634F5D1}"/>
            </c:ext>
          </c:extLst>
        </c:ser>
        <c:dLbls>
          <c:showLegendKey val="0"/>
          <c:showVal val="0"/>
          <c:showCatName val="0"/>
          <c:showSerName val="0"/>
          <c:showPercent val="0"/>
          <c:showBubbleSize val="0"/>
        </c:dLbls>
        <c:axId val="1055529488"/>
        <c:axId val="1114781360"/>
      </c:scatterChart>
      <c:valAx>
        <c:axId val="10555294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s-419"/>
          </a:p>
        </c:txPr>
        <c:crossAx val="1114781360"/>
        <c:crosses val="autoZero"/>
        <c:crossBetween val="midCat"/>
      </c:valAx>
      <c:valAx>
        <c:axId val="111478136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055529488"/>
        <c:crosses val="autoZero"/>
        <c:crossBetween val="midCat"/>
      </c:valAx>
      <c:spPr>
        <a:noFill/>
        <a:ln>
          <a:noFill/>
        </a:ln>
        <a:effectLst/>
      </c:spPr>
    </c:plotArea>
    <c:legend>
      <c:legendPos val="t"/>
      <c:layout>
        <c:manualLayout>
          <c:xMode val="edge"/>
          <c:yMode val="edge"/>
          <c:x val="4.0147024522853944E-2"/>
          <c:y val="0.86459453524484742"/>
          <c:w val="0.89023992021426335"/>
          <c:h val="0.110473016741280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700" b="1" i="0" u="none" strike="noStrike" kern="1200" cap="all" spc="120" normalizeH="0" baseline="0">
                <a:solidFill>
                  <a:schemeClr val="tx1">
                    <a:lumMod val="65000"/>
                    <a:lumOff val="35000"/>
                  </a:schemeClr>
                </a:solidFill>
                <a:latin typeface="+mn-lt"/>
                <a:ea typeface="+mn-ea"/>
                <a:cs typeface="+mn-cs"/>
              </a:defRPr>
            </a:pPr>
            <a:r>
              <a:rPr lang="es-419" sz="700"/>
              <a:t>FH</a:t>
            </a:r>
          </a:p>
        </c:rich>
      </c:tx>
      <c:overlay val="0"/>
      <c:spPr>
        <a:noFill/>
        <a:ln>
          <a:noFill/>
        </a:ln>
        <a:effectLst/>
      </c:spPr>
      <c:txPr>
        <a:bodyPr rot="0" spcFirstLastPara="1" vertOverflow="ellipsis" vert="horz" wrap="square" anchor="ctr" anchorCtr="1"/>
        <a:lstStyle/>
        <a:p>
          <a:pPr>
            <a:defRPr sz="700" b="1" i="0" u="none" strike="noStrike" kern="1200" cap="all" spc="120" normalizeH="0" baseline="0">
              <a:solidFill>
                <a:schemeClr val="tx1">
                  <a:lumMod val="65000"/>
                  <a:lumOff val="35000"/>
                </a:schemeClr>
              </a:solidFill>
              <a:latin typeface="+mn-lt"/>
              <a:ea typeface="+mn-ea"/>
              <a:cs typeface="+mn-cs"/>
            </a:defRPr>
          </a:pPr>
          <a:endParaRPr lang="es-419"/>
        </a:p>
      </c:txPr>
    </c:title>
    <c:autoTitleDeleted val="0"/>
    <c:plotArea>
      <c:layout>
        <c:manualLayout>
          <c:layoutTarget val="inner"/>
          <c:xMode val="edge"/>
          <c:yMode val="edge"/>
          <c:x val="0.10203915281284417"/>
          <c:y val="0.10831465552647945"/>
          <c:w val="0.73412707807337596"/>
          <c:h val="0.75753545276293821"/>
        </c:manualLayout>
      </c:layout>
      <c:scatterChart>
        <c:scatterStyle val="smoothMarker"/>
        <c:varyColors val="0"/>
        <c:ser>
          <c:idx val="0"/>
          <c:order val="0"/>
          <c:tx>
            <c:v>Bajo</c:v>
          </c:tx>
          <c:spPr>
            <a:ln w="22225" cap="rnd">
              <a:solidFill>
                <a:schemeClr val="dk1">
                  <a:tint val="88500"/>
                </a:schemeClr>
              </a:solidFill>
              <a:round/>
            </a:ln>
            <a:effectLst/>
          </c:spPr>
          <c:marker>
            <c:symbol val="none"/>
          </c:marker>
          <c:xVal>
            <c:numRef>
              <c:f>FH!$B$10:$B$39</c:f>
              <c:numCache>
                <c:formatCode>General</c:formatCode>
                <c:ptCount val="30"/>
                <c:pt idx="0">
                  <c:v>25518</c:v>
                </c:pt>
                <c:pt idx="1">
                  <c:v>25681</c:v>
                </c:pt>
                <c:pt idx="2">
                  <c:v>25748</c:v>
                </c:pt>
                <c:pt idx="3">
                  <c:v>26165</c:v>
                </c:pt>
                <c:pt idx="4">
                  <c:v>28893</c:v>
                </c:pt>
                <c:pt idx="5">
                  <c:v>28924</c:v>
                </c:pt>
                <c:pt idx="6">
                  <c:v>29092</c:v>
                </c:pt>
                <c:pt idx="7">
                  <c:v>29266</c:v>
                </c:pt>
                <c:pt idx="8">
                  <c:v>29348</c:v>
                </c:pt>
                <c:pt idx="9">
                  <c:v>29427</c:v>
                </c:pt>
                <c:pt idx="10">
                  <c:v>29661</c:v>
                </c:pt>
                <c:pt idx="11">
                  <c:v>29683</c:v>
                </c:pt>
                <c:pt idx="12">
                  <c:v>30164</c:v>
                </c:pt>
                <c:pt idx="13">
                  <c:v>30294</c:v>
                </c:pt>
                <c:pt idx="14">
                  <c:v>31060</c:v>
                </c:pt>
                <c:pt idx="15">
                  <c:v>31750</c:v>
                </c:pt>
                <c:pt idx="16">
                  <c:v>33165</c:v>
                </c:pt>
                <c:pt idx="17">
                  <c:v>36856</c:v>
                </c:pt>
                <c:pt idx="18">
                  <c:v>37466</c:v>
                </c:pt>
                <c:pt idx="19">
                  <c:v>37716</c:v>
                </c:pt>
                <c:pt idx="20">
                  <c:v>37964</c:v>
                </c:pt>
                <c:pt idx="21">
                  <c:v>38448</c:v>
                </c:pt>
                <c:pt idx="22">
                  <c:v>38737</c:v>
                </c:pt>
                <c:pt idx="23">
                  <c:v>39242</c:v>
                </c:pt>
                <c:pt idx="24">
                  <c:v>39553</c:v>
                </c:pt>
                <c:pt idx="25">
                  <c:v>39727</c:v>
                </c:pt>
                <c:pt idx="26">
                  <c:v>39842</c:v>
                </c:pt>
                <c:pt idx="27">
                  <c:v>40529</c:v>
                </c:pt>
                <c:pt idx="28">
                  <c:v>41681</c:v>
                </c:pt>
                <c:pt idx="29">
                  <c:v>41879</c:v>
                </c:pt>
              </c:numCache>
            </c:numRef>
          </c:xVal>
          <c:yVal>
            <c:numRef>
              <c:f>FH!$S$10:$S$39</c:f>
              <c:numCache>
                <c:formatCode>General</c:formatCode>
                <c:ptCount val="30"/>
                <c:pt idx="0">
                  <c:v>14</c:v>
                </c:pt>
                <c:pt idx="1">
                  <c:v>14</c:v>
                </c:pt>
                <c:pt idx="2">
                  <c:v>14</c:v>
                </c:pt>
                <c:pt idx="3">
                  <c:v>13</c:v>
                </c:pt>
                <c:pt idx="4">
                  <c:v>12</c:v>
                </c:pt>
                <c:pt idx="5">
                  <c:v>12</c:v>
                </c:pt>
                <c:pt idx="6">
                  <c:v>11</c:v>
                </c:pt>
                <c:pt idx="7">
                  <c:v>9</c:v>
                </c:pt>
                <c:pt idx="8">
                  <c:v>8</c:v>
                </c:pt>
                <c:pt idx="9">
                  <c:v>8</c:v>
                </c:pt>
                <c:pt idx="10">
                  <c:v>8</c:v>
                </c:pt>
                <c:pt idx="11">
                  <c:v>7</c:v>
                </c:pt>
                <c:pt idx="12">
                  <c:v>6</c:v>
                </c:pt>
                <c:pt idx="13">
                  <c:v>5</c:v>
                </c:pt>
                <c:pt idx="14">
                  <c:v>4</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yVal>
          <c:smooth val="1"/>
          <c:extLst>
            <c:ext xmlns:c16="http://schemas.microsoft.com/office/drawing/2014/chart" uri="{C3380CC4-5D6E-409C-BE32-E72D297353CC}">
              <c16:uniqueId val="{00000000-F508-456B-82B1-F7C3632B7EEE}"/>
            </c:ext>
          </c:extLst>
        </c:ser>
        <c:ser>
          <c:idx val="1"/>
          <c:order val="1"/>
          <c:tx>
            <c:v>Medio</c:v>
          </c:tx>
          <c:spPr>
            <a:ln w="22225" cap="rnd">
              <a:solidFill>
                <a:schemeClr val="dk1">
                  <a:tint val="55000"/>
                </a:schemeClr>
              </a:solidFill>
              <a:round/>
            </a:ln>
            <a:effectLst/>
          </c:spPr>
          <c:marker>
            <c:symbol val="none"/>
          </c:marker>
          <c:xVal>
            <c:numRef>
              <c:f>FH!$B$10:$B$39</c:f>
              <c:numCache>
                <c:formatCode>General</c:formatCode>
                <c:ptCount val="30"/>
                <c:pt idx="0">
                  <c:v>25518</c:v>
                </c:pt>
                <c:pt idx="1">
                  <c:v>25681</c:v>
                </c:pt>
                <c:pt idx="2">
                  <c:v>25748</c:v>
                </c:pt>
                <c:pt idx="3">
                  <c:v>26165</c:v>
                </c:pt>
                <c:pt idx="4">
                  <c:v>28893</c:v>
                </c:pt>
                <c:pt idx="5">
                  <c:v>28924</c:v>
                </c:pt>
                <c:pt idx="6">
                  <c:v>29092</c:v>
                </c:pt>
                <c:pt idx="7">
                  <c:v>29266</c:v>
                </c:pt>
                <c:pt idx="8">
                  <c:v>29348</c:v>
                </c:pt>
                <c:pt idx="9">
                  <c:v>29427</c:v>
                </c:pt>
                <c:pt idx="10">
                  <c:v>29661</c:v>
                </c:pt>
                <c:pt idx="11">
                  <c:v>29683</c:v>
                </c:pt>
                <c:pt idx="12">
                  <c:v>30164</c:v>
                </c:pt>
                <c:pt idx="13">
                  <c:v>30294</c:v>
                </c:pt>
                <c:pt idx="14">
                  <c:v>31060</c:v>
                </c:pt>
                <c:pt idx="15">
                  <c:v>31750</c:v>
                </c:pt>
                <c:pt idx="16">
                  <c:v>33165</c:v>
                </c:pt>
                <c:pt idx="17">
                  <c:v>36856</c:v>
                </c:pt>
                <c:pt idx="18">
                  <c:v>37466</c:v>
                </c:pt>
                <c:pt idx="19">
                  <c:v>37716</c:v>
                </c:pt>
                <c:pt idx="20">
                  <c:v>37964</c:v>
                </c:pt>
                <c:pt idx="21">
                  <c:v>38448</c:v>
                </c:pt>
                <c:pt idx="22">
                  <c:v>38737</c:v>
                </c:pt>
                <c:pt idx="23">
                  <c:v>39242</c:v>
                </c:pt>
                <c:pt idx="24">
                  <c:v>39553</c:v>
                </c:pt>
                <c:pt idx="25">
                  <c:v>39727</c:v>
                </c:pt>
                <c:pt idx="26">
                  <c:v>39842</c:v>
                </c:pt>
                <c:pt idx="27">
                  <c:v>40529</c:v>
                </c:pt>
                <c:pt idx="28">
                  <c:v>41681</c:v>
                </c:pt>
                <c:pt idx="29">
                  <c:v>41879</c:v>
                </c:pt>
              </c:numCache>
            </c:numRef>
          </c:xVal>
          <c:yVal>
            <c:numRef>
              <c:f>FH!$T$10:$T$39</c:f>
              <c:numCache>
                <c:formatCode>General</c:formatCode>
                <c:ptCount val="30"/>
                <c:pt idx="0">
                  <c:v>0</c:v>
                </c:pt>
                <c:pt idx="1">
                  <c:v>0</c:v>
                </c:pt>
                <c:pt idx="2">
                  <c:v>0</c:v>
                </c:pt>
                <c:pt idx="3">
                  <c:v>1</c:v>
                </c:pt>
                <c:pt idx="4">
                  <c:v>2</c:v>
                </c:pt>
                <c:pt idx="5">
                  <c:v>2</c:v>
                </c:pt>
                <c:pt idx="6">
                  <c:v>3</c:v>
                </c:pt>
                <c:pt idx="7">
                  <c:v>5</c:v>
                </c:pt>
                <c:pt idx="8">
                  <c:v>6</c:v>
                </c:pt>
                <c:pt idx="9">
                  <c:v>6</c:v>
                </c:pt>
                <c:pt idx="10">
                  <c:v>6</c:v>
                </c:pt>
                <c:pt idx="11">
                  <c:v>7</c:v>
                </c:pt>
                <c:pt idx="12">
                  <c:v>8</c:v>
                </c:pt>
                <c:pt idx="13">
                  <c:v>9</c:v>
                </c:pt>
                <c:pt idx="14">
                  <c:v>10</c:v>
                </c:pt>
                <c:pt idx="15">
                  <c:v>14</c:v>
                </c:pt>
                <c:pt idx="16">
                  <c:v>14</c:v>
                </c:pt>
                <c:pt idx="17">
                  <c:v>13</c:v>
                </c:pt>
                <c:pt idx="18">
                  <c:v>12</c:v>
                </c:pt>
                <c:pt idx="19">
                  <c:v>11</c:v>
                </c:pt>
                <c:pt idx="20">
                  <c:v>10</c:v>
                </c:pt>
                <c:pt idx="21">
                  <c:v>9</c:v>
                </c:pt>
                <c:pt idx="22">
                  <c:v>10</c:v>
                </c:pt>
                <c:pt idx="23">
                  <c:v>9</c:v>
                </c:pt>
                <c:pt idx="24">
                  <c:v>8</c:v>
                </c:pt>
                <c:pt idx="25">
                  <c:v>6</c:v>
                </c:pt>
                <c:pt idx="26">
                  <c:v>4</c:v>
                </c:pt>
                <c:pt idx="27">
                  <c:v>2</c:v>
                </c:pt>
                <c:pt idx="28">
                  <c:v>0</c:v>
                </c:pt>
                <c:pt idx="29">
                  <c:v>0</c:v>
                </c:pt>
              </c:numCache>
            </c:numRef>
          </c:yVal>
          <c:smooth val="1"/>
          <c:extLst>
            <c:ext xmlns:c16="http://schemas.microsoft.com/office/drawing/2014/chart" uri="{C3380CC4-5D6E-409C-BE32-E72D297353CC}">
              <c16:uniqueId val="{00000001-F508-456B-82B1-F7C3632B7EEE}"/>
            </c:ext>
          </c:extLst>
        </c:ser>
        <c:ser>
          <c:idx val="2"/>
          <c:order val="2"/>
          <c:tx>
            <c:v>Alto</c:v>
          </c:tx>
          <c:spPr>
            <a:ln w="22225" cap="rnd">
              <a:solidFill>
                <a:schemeClr val="dk1">
                  <a:tint val="75000"/>
                </a:schemeClr>
              </a:solidFill>
              <a:round/>
            </a:ln>
            <a:effectLst/>
          </c:spPr>
          <c:marker>
            <c:symbol val="none"/>
          </c:marker>
          <c:xVal>
            <c:numRef>
              <c:f>FH!$B$10:$B$39</c:f>
              <c:numCache>
                <c:formatCode>General</c:formatCode>
                <c:ptCount val="30"/>
                <c:pt idx="0">
                  <c:v>25518</c:v>
                </c:pt>
                <c:pt idx="1">
                  <c:v>25681</c:v>
                </c:pt>
                <c:pt idx="2">
                  <c:v>25748</c:v>
                </c:pt>
                <c:pt idx="3">
                  <c:v>26165</c:v>
                </c:pt>
                <c:pt idx="4">
                  <c:v>28893</c:v>
                </c:pt>
                <c:pt idx="5">
                  <c:v>28924</c:v>
                </c:pt>
                <c:pt idx="6">
                  <c:v>29092</c:v>
                </c:pt>
                <c:pt idx="7">
                  <c:v>29266</c:v>
                </c:pt>
                <c:pt idx="8">
                  <c:v>29348</c:v>
                </c:pt>
                <c:pt idx="9">
                  <c:v>29427</c:v>
                </c:pt>
                <c:pt idx="10">
                  <c:v>29661</c:v>
                </c:pt>
                <c:pt idx="11">
                  <c:v>29683</c:v>
                </c:pt>
                <c:pt idx="12">
                  <c:v>30164</c:v>
                </c:pt>
                <c:pt idx="13">
                  <c:v>30294</c:v>
                </c:pt>
                <c:pt idx="14">
                  <c:v>31060</c:v>
                </c:pt>
                <c:pt idx="15">
                  <c:v>31750</c:v>
                </c:pt>
                <c:pt idx="16">
                  <c:v>33165</c:v>
                </c:pt>
                <c:pt idx="17">
                  <c:v>36856</c:v>
                </c:pt>
                <c:pt idx="18">
                  <c:v>37466</c:v>
                </c:pt>
                <c:pt idx="19">
                  <c:v>37716</c:v>
                </c:pt>
                <c:pt idx="20">
                  <c:v>37964</c:v>
                </c:pt>
                <c:pt idx="21">
                  <c:v>38448</c:v>
                </c:pt>
                <c:pt idx="22">
                  <c:v>38737</c:v>
                </c:pt>
                <c:pt idx="23">
                  <c:v>39242</c:v>
                </c:pt>
                <c:pt idx="24">
                  <c:v>39553</c:v>
                </c:pt>
                <c:pt idx="25">
                  <c:v>39727</c:v>
                </c:pt>
                <c:pt idx="26">
                  <c:v>39842</c:v>
                </c:pt>
                <c:pt idx="27">
                  <c:v>40529</c:v>
                </c:pt>
                <c:pt idx="28">
                  <c:v>41681</c:v>
                </c:pt>
                <c:pt idx="29">
                  <c:v>41879</c:v>
                </c:pt>
              </c:numCache>
            </c:numRef>
          </c:xVal>
          <c:yVal>
            <c:numRef>
              <c:f>FH!$U$10:$U$39</c:f>
              <c:numCache>
                <c:formatCode>General</c:formatCode>
                <c:ptCount val="3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1</c:v>
                </c:pt>
                <c:pt idx="18">
                  <c:v>2</c:v>
                </c:pt>
                <c:pt idx="19">
                  <c:v>3</c:v>
                </c:pt>
                <c:pt idx="20">
                  <c:v>4</c:v>
                </c:pt>
                <c:pt idx="21">
                  <c:v>5</c:v>
                </c:pt>
                <c:pt idx="22">
                  <c:v>4</c:v>
                </c:pt>
                <c:pt idx="23">
                  <c:v>5</c:v>
                </c:pt>
                <c:pt idx="24">
                  <c:v>6</c:v>
                </c:pt>
                <c:pt idx="25">
                  <c:v>8</c:v>
                </c:pt>
                <c:pt idx="26">
                  <c:v>10</c:v>
                </c:pt>
                <c:pt idx="27">
                  <c:v>12</c:v>
                </c:pt>
                <c:pt idx="28">
                  <c:v>14</c:v>
                </c:pt>
                <c:pt idx="29">
                  <c:v>14</c:v>
                </c:pt>
              </c:numCache>
            </c:numRef>
          </c:yVal>
          <c:smooth val="1"/>
          <c:extLst>
            <c:ext xmlns:c16="http://schemas.microsoft.com/office/drawing/2014/chart" uri="{C3380CC4-5D6E-409C-BE32-E72D297353CC}">
              <c16:uniqueId val="{00000002-F508-456B-82B1-F7C3632B7EEE}"/>
            </c:ext>
          </c:extLst>
        </c:ser>
        <c:dLbls>
          <c:showLegendKey val="0"/>
          <c:showVal val="0"/>
          <c:showCatName val="0"/>
          <c:showSerName val="0"/>
          <c:showPercent val="0"/>
          <c:showBubbleSize val="0"/>
        </c:dLbls>
        <c:axId val="125757696"/>
        <c:axId val="125435904"/>
      </c:scatterChart>
      <c:valAx>
        <c:axId val="125757696"/>
        <c:scaling>
          <c:orientation val="minMax"/>
          <c:max val="45000"/>
          <c:min val="250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125435904"/>
        <c:crosses val="autoZero"/>
        <c:crossBetween val="midCat"/>
      </c:valAx>
      <c:valAx>
        <c:axId val="1254359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25757696"/>
        <c:crosses val="autoZero"/>
        <c:crossBetween val="midCat"/>
      </c:valAx>
      <c:spPr>
        <a:noFill/>
        <a:ln>
          <a:noFill/>
        </a:ln>
        <a:effectLst/>
      </c:spPr>
    </c:plotArea>
    <c:legend>
      <c:legendPos val="t"/>
      <c:layout>
        <c:manualLayout>
          <c:xMode val="edge"/>
          <c:yMode val="edge"/>
          <c:x val="0.1433470432117773"/>
          <c:y val="0.90384586171101611"/>
          <c:w val="0.65767495523573349"/>
          <c:h val="4.50535562024792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419" sz="1200" baseline="0"/>
              <a:t> </a:t>
            </a:r>
            <a:r>
              <a:rPr lang="es-419" sz="700" baseline="0"/>
              <a:t>Situaciones excepcionales (AC)</a:t>
            </a:r>
            <a:endParaRPr lang="es-419" sz="1200"/>
          </a:p>
        </c:rich>
      </c:tx>
      <c:layout>
        <c:manualLayout>
          <c:xMode val="edge"/>
          <c:yMode val="edge"/>
          <c:x val="0.14378289252305002"/>
          <c:y val="2.6996564453833513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419"/>
        </a:p>
      </c:txPr>
    </c:title>
    <c:autoTitleDeleted val="0"/>
    <c:plotArea>
      <c:layout>
        <c:manualLayout>
          <c:layoutTarget val="inner"/>
          <c:xMode val="edge"/>
          <c:yMode val="edge"/>
          <c:x val="8.7806259183504112E-2"/>
          <c:y val="0.14486123551885038"/>
          <c:w val="0.84970149035152376"/>
          <c:h val="0.68624508753126112"/>
        </c:manualLayout>
      </c:layout>
      <c:scatterChart>
        <c:scatterStyle val="smoothMarker"/>
        <c:varyColors val="0"/>
        <c:ser>
          <c:idx val="0"/>
          <c:order val="0"/>
          <c:tx>
            <c:v>Bajo</c:v>
          </c:tx>
          <c:spPr>
            <a:ln w="22225" cap="rnd">
              <a:solidFill>
                <a:schemeClr val="dk1">
                  <a:tint val="88500"/>
                </a:schemeClr>
              </a:solidFill>
              <a:round/>
            </a:ln>
            <a:effectLst/>
          </c:spPr>
          <c:marker>
            <c:symbol val="none"/>
          </c:marker>
          <c:xVal>
            <c:numRef>
              <c:f>'AC EX'!$B$3:$B$42</c:f>
              <c:numCache>
                <c:formatCode>General</c:formatCode>
                <c:ptCount val="40"/>
                <c:pt idx="0">
                  <c:v>1638</c:v>
                </c:pt>
                <c:pt idx="1">
                  <c:v>1640</c:v>
                </c:pt>
                <c:pt idx="2">
                  <c:v>1675</c:v>
                </c:pt>
                <c:pt idx="3">
                  <c:v>1686</c:v>
                </c:pt>
                <c:pt idx="4">
                  <c:v>1790</c:v>
                </c:pt>
                <c:pt idx="5">
                  <c:v>1906</c:v>
                </c:pt>
                <c:pt idx="6">
                  <c:v>1918</c:v>
                </c:pt>
                <c:pt idx="7">
                  <c:v>1944</c:v>
                </c:pt>
                <c:pt idx="8">
                  <c:v>1979</c:v>
                </c:pt>
                <c:pt idx="9">
                  <c:v>1990</c:v>
                </c:pt>
                <c:pt idx="10">
                  <c:v>1993</c:v>
                </c:pt>
                <c:pt idx="11">
                  <c:v>2036</c:v>
                </c:pt>
                <c:pt idx="12">
                  <c:v>2213</c:v>
                </c:pt>
                <c:pt idx="13">
                  <c:v>2272</c:v>
                </c:pt>
                <c:pt idx="14">
                  <c:v>2313</c:v>
                </c:pt>
                <c:pt idx="15">
                  <c:v>2336</c:v>
                </c:pt>
                <c:pt idx="16">
                  <c:v>2353</c:v>
                </c:pt>
                <c:pt idx="17">
                  <c:v>2484</c:v>
                </c:pt>
                <c:pt idx="18">
                  <c:v>2486</c:v>
                </c:pt>
                <c:pt idx="19">
                  <c:v>2536</c:v>
                </c:pt>
                <c:pt idx="20">
                  <c:v>2541</c:v>
                </c:pt>
                <c:pt idx="21">
                  <c:v>2593</c:v>
                </c:pt>
                <c:pt idx="22">
                  <c:v>2629</c:v>
                </c:pt>
                <c:pt idx="23">
                  <c:v>2699</c:v>
                </c:pt>
                <c:pt idx="24">
                  <c:v>2730</c:v>
                </c:pt>
                <c:pt idx="25">
                  <c:v>2872</c:v>
                </c:pt>
                <c:pt idx="26">
                  <c:v>2899</c:v>
                </c:pt>
                <c:pt idx="27">
                  <c:v>2933</c:v>
                </c:pt>
                <c:pt idx="28">
                  <c:v>3227</c:v>
                </c:pt>
                <c:pt idx="29">
                  <c:v>3284</c:v>
                </c:pt>
                <c:pt idx="30">
                  <c:v>3298</c:v>
                </c:pt>
                <c:pt idx="31">
                  <c:v>3326</c:v>
                </c:pt>
                <c:pt idx="32">
                  <c:v>3462</c:v>
                </c:pt>
                <c:pt idx="33">
                  <c:v>3543</c:v>
                </c:pt>
                <c:pt idx="34">
                  <c:v>3565</c:v>
                </c:pt>
                <c:pt idx="35">
                  <c:v>3668</c:v>
                </c:pt>
                <c:pt idx="36">
                  <c:v>3885</c:v>
                </c:pt>
                <c:pt idx="37">
                  <c:v>3960</c:v>
                </c:pt>
                <c:pt idx="38">
                  <c:v>4808</c:v>
                </c:pt>
                <c:pt idx="39">
                  <c:v>5305</c:v>
                </c:pt>
              </c:numCache>
            </c:numRef>
          </c:xVal>
          <c:yVal>
            <c:numRef>
              <c:f>'AC EX'!$S$3:$S$42</c:f>
              <c:numCache>
                <c:formatCode>General</c:formatCode>
                <c:ptCount val="40"/>
                <c:pt idx="0">
                  <c:v>14</c:v>
                </c:pt>
                <c:pt idx="1">
                  <c:v>14</c:v>
                </c:pt>
                <c:pt idx="2">
                  <c:v>14</c:v>
                </c:pt>
                <c:pt idx="3">
                  <c:v>14</c:v>
                </c:pt>
                <c:pt idx="4">
                  <c:v>14</c:v>
                </c:pt>
                <c:pt idx="5">
                  <c:v>14</c:v>
                </c:pt>
                <c:pt idx="6">
                  <c:v>7</c:v>
                </c:pt>
                <c:pt idx="7">
                  <c:v>6</c:v>
                </c:pt>
                <c:pt idx="8">
                  <c:v>5</c:v>
                </c:pt>
                <c:pt idx="9">
                  <c:v>5</c:v>
                </c:pt>
                <c:pt idx="10">
                  <c:v>1</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numCache>
            </c:numRef>
          </c:yVal>
          <c:smooth val="1"/>
          <c:extLst>
            <c:ext xmlns:c16="http://schemas.microsoft.com/office/drawing/2014/chart" uri="{C3380CC4-5D6E-409C-BE32-E72D297353CC}">
              <c16:uniqueId val="{00000000-C161-4209-BF3F-3D8D53DE9E42}"/>
            </c:ext>
          </c:extLst>
        </c:ser>
        <c:ser>
          <c:idx val="1"/>
          <c:order val="1"/>
          <c:tx>
            <c:v>Medio</c:v>
          </c:tx>
          <c:spPr>
            <a:ln w="22225" cap="rnd">
              <a:solidFill>
                <a:schemeClr val="dk1">
                  <a:tint val="55000"/>
                </a:schemeClr>
              </a:solidFill>
              <a:round/>
            </a:ln>
            <a:effectLst/>
          </c:spPr>
          <c:marker>
            <c:symbol val="none"/>
          </c:marker>
          <c:xVal>
            <c:numRef>
              <c:f>'AC EX'!$B$3:$B$42</c:f>
              <c:numCache>
                <c:formatCode>General</c:formatCode>
                <c:ptCount val="40"/>
                <c:pt idx="0">
                  <c:v>1638</c:v>
                </c:pt>
                <c:pt idx="1">
                  <c:v>1640</c:v>
                </c:pt>
                <c:pt idx="2">
                  <c:v>1675</c:v>
                </c:pt>
                <c:pt idx="3">
                  <c:v>1686</c:v>
                </c:pt>
                <c:pt idx="4">
                  <c:v>1790</c:v>
                </c:pt>
                <c:pt idx="5">
                  <c:v>1906</c:v>
                </c:pt>
                <c:pt idx="6">
                  <c:v>1918</c:v>
                </c:pt>
                <c:pt idx="7">
                  <c:v>1944</c:v>
                </c:pt>
                <c:pt idx="8">
                  <c:v>1979</c:v>
                </c:pt>
                <c:pt idx="9">
                  <c:v>1990</c:v>
                </c:pt>
                <c:pt idx="10">
                  <c:v>1993</c:v>
                </c:pt>
                <c:pt idx="11">
                  <c:v>2036</c:v>
                </c:pt>
                <c:pt idx="12">
                  <c:v>2213</c:v>
                </c:pt>
                <c:pt idx="13">
                  <c:v>2272</c:v>
                </c:pt>
                <c:pt idx="14">
                  <c:v>2313</c:v>
                </c:pt>
                <c:pt idx="15">
                  <c:v>2336</c:v>
                </c:pt>
                <c:pt idx="16">
                  <c:v>2353</c:v>
                </c:pt>
                <c:pt idx="17">
                  <c:v>2484</c:v>
                </c:pt>
                <c:pt idx="18">
                  <c:v>2486</c:v>
                </c:pt>
                <c:pt idx="19">
                  <c:v>2536</c:v>
                </c:pt>
                <c:pt idx="20">
                  <c:v>2541</c:v>
                </c:pt>
                <c:pt idx="21">
                  <c:v>2593</c:v>
                </c:pt>
                <c:pt idx="22">
                  <c:v>2629</c:v>
                </c:pt>
                <c:pt idx="23">
                  <c:v>2699</c:v>
                </c:pt>
                <c:pt idx="24">
                  <c:v>2730</c:v>
                </c:pt>
                <c:pt idx="25">
                  <c:v>2872</c:v>
                </c:pt>
                <c:pt idx="26">
                  <c:v>2899</c:v>
                </c:pt>
                <c:pt idx="27">
                  <c:v>2933</c:v>
                </c:pt>
                <c:pt idx="28">
                  <c:v>3227</c:v>
                </c:pt>
                <c:pt idx="29">
                  <c:v>3284</c:v>
                </c:pt>
                <c:pt idx="30">
                  <c:v>3298</c:v>
                </c:pt>
                <c:pt idx="31">
                  <c:v>3326</c:v>
                </c:pt>
                <c:pt idx="32">
                  <c:v>3462</c:v>
                </c:pt>
                <c:pt idx="33">
                  <c:v>3543</c:v>
                </c:pt>
                <c:pt idx="34">
                  <c:v>3565</c:v>
                </c:pt>
                <c:pt idx="35">
                  <c:v>3668</c:v>
                </c:pt>
                <c:pt idx="36">
                  <c:v>3885</c:v>
                </c:pt>
                <c:pt idx="37">
                  <c:v>3960</c:v>
                </c:pt>
                <c:pt idx="38">
                  <c:v>4808</c:v>
                </c:pt>
                <c:pt idx="39">
                  <c:v>5305</c:v>
                </c:pt>
              </c:numCache>
            </c:numRef>
          </c:xVal>
          <c:yVal>
            <c:numRef>
              <c:f>'AC EX'!$T$3:$T$42</c:f>
              <c:numCache>
                <c:formatCode>General</c:formatCode>
                <c:ptCount val="40"/>
                <c:pt idx="0">
                  <c:v>0</c:v>
                </c:pt>
                <c:pt idx="1">
                  <c:v>0</c:v>
                </c:pt>
                <c:pt idx="2">
                  <c:v>0</c:v>
                </c:pt>
                <c:pt idx="3">
                  <c:v>0</c:v>
                </c:pt>
                <c:pt idx="4">
                  <c:v>0</c:v>
                </c:pt>
                <c:pt idx="5">
                  <c:v>0</c:v>
                </c:pt>
                <c:pt idx="6">
                  <c:v>7</c:v>
                </c:pt>
                <c:pt idx="7">
                  <c:v>8</c:v>
                </c:pt>
                <c:pt idx="8">
                  <c:v>9</c:v>
                </c:pt>
                <c:pt idx="9">
                  <c:v>9</c:v>
                </c:pt>
                <c:pt idx="10">
                  <c:v>13</c:v>
                </c:pt>
                <c:pt idx="11">
                  <c:v>14</c:v>
                </c:pt>
                <c:pt idx="12">
                  <c:v>14</c:v>
                </c:pt>
                <c:pt idx="13">
                  <c:v>14</c:v>
                </c:pt>
                <c:pt idx="14">
                  <c:v>14</c:v>
                </c:pt>
                <c:pt idx="15">
                  <c:v>14</c:v>
                </c:pt>
                <c:pt idx="16">
                  <c:v>12</c:v>
                </c:pt>
                <c:pt idx="17">
                  <c:v>11</c:v>
                </c:pt>
                <c:pt idx="18">
                  <c:v>10</c:v>
                </c:pt>
                <c:pt idx="19">
                  <c:v>10</c:v>
                </c:pt>
                <c:pt idx="20">
                  <c:v>9</c:v>
                </c:pt>
                <c:pt idx="21">
                  <c:v>5</c:v>
                </c:pt>
                <c:pt idx="22">
                  <c:v>1</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numCache>
            </c:numRef>
          </c:yVal>
          <c:smooth val="1"/>
          <c:extLst>
            <c:ext xmlns:c16="http://schemas.microsoft.com/office/drawing/2014/chart" uri="{C3380CC4-5D6E-409C-BE32-E72D297353CC}">
              <c16:uniqueId val="{00000001-C161-4209-BF3F-3D8D53DE9E42}"/>
            </c:ext>
          </c:extLst>
        </c:ser>
        <c:ser>
          <c:idx val="2"/>
          <c:order val="2"/>
          <c:tx>
            <c:v>Alto</c:v>
          </c:tx>
          <c:spPr>
            <a:ln w="22225" cap="rnd">
              <a:solidFill>
                <a:schemeClr val="dk1">
                  <a:tint val="75000"/>
                </a:schemeClr>
              </a:solidFill>
              <a:round/>
            </a:ln>
            <a:effectLst/>
          </c:spPr>
          <c:marker>
            <c:symbol val="none"/>
          </c:marker>
          <c:xVal>
            <c:numRef>
              <c:f>'AC EX'!$B$3:$B$42</c:f>
              <c:numCache>
                <c:formatCode>General</c:formatCode>
                <c:ptCount val="40"/>
                <c:pt idx="0">
                  <c:v>1638</c:v>
                </c:pt>
                <c:pt idx="1">
                  <c:v>1640</c:v>
                </c:pt>
                <c:pt idx="2">
                  <c:v>1675</c:v>
                </c:pt>
                <c:pt idx="3">
                  <c:v>1686</c:v>
                </c:pt>
                <c:pt idx="4">
                  <c:v>1790</c:v>
                </c:pt>
                <c:pt idx="5">
                  <c:v>1906</c:v>
                </c:pt>
                <c:pt idx="6">
                  <c:v>1918</c:v>
                </c:pt>
                <c:pt idx="7">
                  <c:v>1944</c:v>
                </c:pt>
                <c:pt idx="8">
                  <c:v>1979</c:v>
                </c:pt>
                <c:pt idx="9">
                  <c:v>1990</c:v>
                </c:pt>
                <c:pt idx="10">
                  <c:v>1993</c:v>
                </c:pt>
                <c:pt idx="11">
                  <c:v>2036</c:v>
                </c:pt>
                <c:pt idx="12">
                  <c:v>2213</c:v>
                </c:pt>
                <c:pt idx="13">
                  <c:v>2272</c:v>
                </c:pt>
                <c:pt idx="14">
                  <c:v>2313</c:v>
                </c:pt>
                <c:pt idx="15">
                  <c:v>2336</c:v>
                </c:pt>
                <c:pt idx="16">
                  <c:v>2353</c:v>
                </c:pt>
                <c:pt idx="17">
                  <c:v>2484</c:v>
                </c:pt>
                <c:pt idx="18">
                  <c:v>2486</c:v>
                </c:pt>
                <c:pt idx="19">
                  <c:v>2536</c:v>
                </c:pt>
                <c:pt idx="20">
                  <c:v>2541</c:v>
                </c:pt>
                <c:pt idx="21">
                  <c:v>2593</c:v>
                </c:pt>
                <c:pt idx="22">
                  <c:v>2629</c:v>
                </c:pt>
                <c:pt idx="23">
                  <c:v>2699</c:v>
                </c:pt>
                <c:pt idx="24">
                  <c:v>2730</c:v>
                </c:pt>
                <c:pt idx="25">
                  <c:v>2872</c:v>
                </c:pt>
                <c:pt idx="26">
                  <c:v>2899</c:v>
                </c:pt>
                <c:pt idx="27">
                  <c:v>2933</c:v>
                </c:pt>
                <c:pt idx="28">
                  <c:v>3227</c:v>
                </c:pt>
                <c:pt idx="29">
                  <c:v>3284</c:v>
                </c:pt>
                <c:pt idx="30">
                  <c:v>3298</c:v>
                </c:pt>
                <c:pt idx="31">
                  <c:v>3326</c:v>
                </c:pt>
                <c:pt idx="32">
                  <c:v>3462</c:v>
                </c:pt>
                <c:pt idx="33">
                  <c:v>3543</c:v>
                </c:pt>
                <c:pt idx="34">
                  <c:v>3565</c:v>
                </c:pt>
                <c:pt idx="35">
                  <c:v>3668</c:v>
                </c:pt>
                <c:pt idx="36">
                  <c:v>3885</c:v>
                </c:pt>
                <c:pt idx="37">
                  <c:v>3960</c:v>
                </c:pt>
                <c:pt idx="38">
                  <c:v>4808</c:v>
                </c:pt>
                <c:pt idx="39">
                  <c:v>5305</c:v>
                </c:pt>
              </c:numCache>
            </c:numRef>
          </c:xVal>
          <c:yVal>
            <c:numRef>
              <c:f>'AC EX'!$U$3:$U$42</c:f>
              <c:numCache>
                <c:formatCode>General</c:formatCode>
                <c:ptCount val="4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2</c:v>
                </c:pt>
                <c:pt idx="17">
                  <c:v>3</c:v>
                </c:pt>
                <c:pt idx="18">
                  <c:v>4</c:v>
                </c:pt>
                <c:pt idx="19">
                  <c:v>4</c:v>
                </c:pt>
                <c:pt idx="20">
                  <c:v>5</c:v>
                </c:pt>
                <c:pt idx="21">
                  <c:v>9</c:v>
                </c:pt>
                <c:pt idx="22">
                  <c:v>13</c:v>
                </c:pt>
                <c:pt idx="23">
                  <c:v>14</c:v>
                </c:pt>
                <c:pt idx="24">
                  <c:v>14</c:v>
                </c:pt>
                <c:pt idx="25">
                  <c:v>14</c:v>
                </c:pt>
                <c:pt idx="26">
                  <c:v>13</c:v>
                </c:pt>
                <c:pt idx="27">
                  <c:v>12</c:v>
                </c:pt>
                <c:pt idx="28">
                  <c:v>0</c:v>
                </c:pt>
                <c:pt idx="29">
                  <c:v>0</c:v>
                </c:pt>
                <c:pt idx="30">
                  <c:v>0</c:v>
                </c:pt>
                <c:pt idx="31">
                  <c:v>0</c:v>
                </c:pt>
                <c:pt idx="32">
                  <c:v>0</c:v>
                </c:pt>
                <c:pt idx="33">
                  <c:v>0</c:v>
                </c:pt>
                <c:pt idx="34">
                  <c:v>0</c:v>
                </c:pt>
                <c:pt idx="35">
                  <c:v>0</c:v>
                </c:pt>
                <c:pt idx="36">
                  <c:v>0</c:v>
                </c:pt>
                <c:pt idx="37">
                  <c:v>0</c:v>
                </c:pt>
                <c:pt idx="38">
                  <c:v>0</c:v>
                </c:pt>
                <c:pt idx="39">
                  <c:v>0</c:v>
                </c:pt>
              </c:numCache>
            </c:numRef>
          </c:yVal>
          <c:smooth val="1"/>
          <c:extLst>
            <c:ext xmlns:c16="http://schemas.microsoft.com/office/drawing/2014/chart" uri="{C3380CC4-5D6E-409C-BE32-E72D297353CC}">
              <c16:uniqueId val="{00000002-C161-4209-BF3F-3D8D53DE9E42}"/>
            </c:ext>
          </c:extLst>
        </c:ser>
        <c:ser>
          <c:idx val="3"/>
          <c:order val="3"/>
          <c:tx>
            <c:v>Excepcional</c:v>
          </c:tx>
          <c:spPr>
            <a:ln w="22225" cap="rnd">
              <a:solidFill>
                <a:schemeClr val="dk1">
                  <a:tint val="98500"/>
                </a:schemeClr>
              </a:solidFill>
              <a:round/>
            </a:ln>
            <a:effectLst/>
          </c:spPr>
          <c:marker>
            <c:symbol val="none"/>
          </c:marker>
          <c:xVal>
            <c:numRef>
              <c:f>'AC EX'!$B$3:$B$42</c:f>
              <c:numCache>
                <c:formatCode>General</c:formatCode>
                <c:ptCount val="40"/>
                <c:pt idx="0">
                  <c:v>1638</c:v>
                </c:pt>
                <c:pt idx="1">
                  <c:v>1640</c:v>
                </c:pt>
                <c:pt idx="2">
                  <c:v>1675</c:v>
                </c:pt>
                <c:pt idx="3">
                  <c:v>1686</c:v>
                </c:pt>
                <c:pt idx="4">
                  <c:v>1790</c:v>
                </c:pt>
                <c:pt idx="5">
                  <c:v>1906</c:v>
                </c:pt>
                <c:pt idx="6">
                  <c:v>1918</c:v>
                </c:pt>
                <c:pt idx="7">
                  <c:v>1944</c:v>
                </c:pt>
                <c:pt idx="8">
                  <c:v>1979</c:v>
                </c:pt>
                <c:pt idx="9">
                  <c:v>1990</c:v>
                </c:pt>
                <c:pt idx="10">
                  <c:v>1993</c:v>
                </c:pt>
                <c:pt idx="11">
                  <c:v>2036</c:v>
                </c:pt>
                <c:pt idx="12">
                  <c:v>2213</c:v>
                </c:pt>
                <c:pt idx="13">
                  <c:v>2272</c:v>
                </c:pt>
                <c:pt idx="14">
                  <c:v>2313</c:v>
                </c:pt>
                <c:pt idx="15">
                  <c:v>2336</c:v>
                </c:pt>
                <c:pt idx="16">
                  <c:v>2353</c:v>
                </c:pt>
                <c:pt idx="17">
                  <c:v>2484</c:v>
                </c:pt>
                <c:pt idx="18">
                  <c:v>2486</c:v>
                </c:pt>
                <c:pt idx="19">
                  <c:v>2536</c:v>
                </c:pt>
                <c:pt idx="20">
                  <c:v>2541</c:v>
                </c:pt>
                <c:pt idx="21">
                  <c:v>2593</c:v>
                </c:pt>
                <c:pt idx="22">
                  <c:v>2629</c:v>
                </c:pt>
                <c:pt idx="23">
                  <c:v>2699</c:v>
                </c:pt>
                <c:pt idx="24">
                  <c:v>2730</c:v>
                </c:pt>
                <c:pt idx="25">
                  <c:v>2872</c:v>
                </c:pt>
                <c:pt idx="26">
                  <c:v>2899</c:v>
                </c:pt>
                <c:pt idx="27">
                  <c:v>2933</c:v>
                </c:pt>
                <c:pt idx="28">
                  <c:v>3227</c:v>
                </c:pt>
                <c:pt idx="29">
                  <c:v>3284</c:v>
                </c:pt>
                <c:pt idx="30">
                  <c:v>3298</c:v>
                </c:pt>
                <c:pt idx="31">
                  <c:v>3326</c:v>
                </c:pt>
                <c:pt idx="32">
                  <c:v>3462</c:v>
                </c:pt>
                <c:pt idx="33">
                  <c:v>3543</c:v>
                </c:pt>
                <c:pt idx="34">
                  <c:v>3565</c:v>
                </c:pt>
                <c:pt idx="35">
                  <c:v>3668</c:v>
                </c:pt>
                <c:pt idx="36">
                  <c:v>3885</c:v>
                </c:pt>
                <c:pt idx="37">
                  <c:v>3960</c:v>
                </c:pt>
                <c:pt idx="38">
                  <c:v>4808</c:v>
                </c:pt>
                <c:pt idx="39">
                  <c:v>5305</c:v>
                </c:pt>
              </c:numCache>
            </c:numRef>
          </c:xVal>
          <c:yVal>
            <c:numRef>
              <c:f>'AC EX'!$V$3:$V$42</c:f>
              <c:numCache>
                <c:formatCode>General</c:formatCode>
                <c:ptCount val="4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1</c:v>
                </c:pt>
                <c:pt idx="27">
                  <c:v>2</c:v>
                </c:pt>
                <c:pt idx="28">
                  <c:v>14</c:v>
                </c:pt>
                <c:pt idx="29">
                  <c:v>14</c:v>
                </c:pt>
                <c:pt idx="30">
                  <c:v>14</c:v>
                </c:pt>
                <c:pt idx="31">
                  <c:v>14</c:v>
                </c:pt>
                <c:pt idx="32">
                  <c:v>14</c:v>
                </c:pt>
                <c:pt idx="33">
                  <c:v>14</c:v>
                </c:pt>
                <c:pt idx="34">
                  <c:v>14</c:v>
                </c:pt>
                <c:pt idx="35">
                  <c:v>14</c:v>
                </c:pt>
                <c:pt idx="36">
                  <c:v>14</c:v>
                </c:pt>
                <c:pt idx="37">
                  <c:v>14</c:v>
                </c:pt>
                <c:pt idx="38">
                  <c:v>14</c:v>
                </c:pt>
                <c:pt idx="39">
                  <c:v>14</c:v>
                </c:pt>
              </c:numCache>
            </c:numRef>
          </c:yVal>
          <c:smooth val="1"/>
          <c:extLst>
            <c:ext xmlns:c16="http://schemas.microsoft.com/office/drawing/2014/chart" uri="{C3380CC4-5D6E-409C-BE32-E72D297353CC}">
              <c16:uniqueId val="{00000003-C161-4209-BF3F-3D8D53DE9E42}"/>
            </c:ext>
          </c:extLst>
        </c:ser>
        <c:dLbls>
          <c:showLegendKey val="0"/>
          <c:showVal val="0"/>
          <c:showCatName val="0"/>
          <c:showSerName val="0"/>
          <c:showPercent val="0"/>
          <c:showBubbleSize val="0"/>
        </c:dLbls>
        <c:axId val="126607360"/>
        <c:axId val="126608896"/>
      </c:scatterChart>
      <c:valAx>
        <c:axId val="126607360"/>
        <c:scaling>
          <c:orientation val="minMax"/>
          <c:max val="6000"/>
          <c:min val="15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126608896"/>
        <c:crosses val="autoZero"/>
        <c:crossBetween val="midCat"/>
      </c:valAx>
      <c:valAx>
        <c:axId val="1266088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126607360"/>
        <c:crosses val="autoZero"/>
        <c:crossBetween val="midCat"/>
      </c:valAx>
      <c:spPr>
        <a:noFill/>
        <a:ln>
          <a:noFill/>
        </a:ln>
        <a:effectLst/>
      </c:spPr>
    </c:plotArea>
    <c:legend>
      <c:legendPos val="t"/>
      <c:layout>
        <c:manualLayout>
          <c:xMode val="edge"/>
          <c:yMode val="edge"/>
          <c:x val="3.3868033376856829E-2"/>
          <c:y val="0.90522880781381432"/>
          <c:w val="0.89652739470802356"/>
          <c:h val="4.565248649207098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600" b="1" i="0" u="none" strike="noStrike" kern="1200" cap="all" spc="120" normalizeH="0" baseline="0">
                <a:solidFill>
                  <a:schemeClr val="tx1">
                    <a:lumMod val="65000"/>
                    <a:lumOff val="35000"/>
                  </a:schemeClr>
                </a:solidFill>
                <a:latin typeface="+mn-lt"/>
                <a:ea typeface="+mn-ea"/>
                <a:cs typeface="+mn-cs"/>
              </a:defRPr>
            </a:pPr>
            <a:r>
              <a:rPr lang="es-419" sz="600"/>
              <a:t>Situaciones excepcionales (NV)</a:t>
            </a:r>
          </a:p>
        </c:rich>
      </c:tx>
      <c:layout>
        <c:manualLayout>
          <c:xMode val="edge"/>
          <c:yMode val="edge"/>
          <c:x val="0.10970302637430226"/>
          <c:y val="2.2214411247803167E-2"/>
        </c:manualLayout>
      </c:layout>
      <c:overlay val="0"/>
      <c:spPr>
        <a:noFill/>
        <a:ln>
          <a:noFill/>
        </a:ln>
        <a:effectLst/>
      </c:spPr>
      <c:txPr>
        <a:bodyPr rot="0" spcFirstLastPara="1" vertOverflow="ellipsis" vert="horz" wrap="square" anchor="ctr" anchorCtr="1"/>
        <a:lstStyle/>
        <a:p>
          <a:pPr>
            <a:defRPr sz="600" b="1" i="0" u="none" strike="noStrike" kern="1200" cap="all" spc="120" normalizeH="0" baseline="0">
              <a:solidFill>
                <a:schemeClr val="tx1">
                  <a:lumMod val="65000"/>
                  <a:lumOff val="35000"/>
                </a:schemeClr>
              </a:solidFill>
              <a:latin typeface="+mn-lt"/>
              <a:ea typeface="+mn-ea"/>
              <a:cs typeface="+mn-cs"/>
            </a:defRPr>
          </a:pPr>
          <a:endParaRPr lang="es-419"/>
        </a:p>
      </c:txPr>
    </c:title>
    <c:autoTitleDeleted val="0"/>
    <c:plotArea>
      <c:layout>
        <c:manualLayout>
          <c:layoutTarget val="inner"/>
          <c:xMode val="edge"/>
          <c:yMode val="edge"/>
          <c:x val="8.7265305704200574E-2"/>
          <c:y val="0.13724563688480426"/>
          <c:w val="0.82491778691597972"/>
          <c:h val="0.7127202347295013"/>
        </c:manualLayout>
      </c:layout>
      <c:scatterChart>
        <c:scatterStyle val="smoothMarker"/>
        <c:varyColors val="0"/>
        <c:ser>
          <c:idx val="0"/>
          <c:order val="0"/>
          <c:tx>
            <c:v>Bajo</c:v>
          </c:tx>
          <c:spPr>
            <a:ln w="22225" cap="rnd">
              <a:solidFill>
                <a:schemeClr val="dk1">
                  <a:tint val="88500"/>
                </a:schemeClr>
              </a:solidFill>
              <a:round/>
            </a:ln>
            <a:effectLst/>
          </c:spPr>
          <c:marker>
            <c:symbol val="none"/>
          </c:marker>
          <c:xVal>
            <c:numRef>
              <c:f>'NV EX'!$B$4:$B$42</c:f>
              <c:numCache>
                <c:formatCode>General</c:formatCode>
                <c:ptCount val="39"/>
                <c:pt idx="0">
                  <c:v>308</c:v>
                </c:pt>
                <c:pt idx="1">
                  <c:v>312</c:v>
                </c:pt>
                <c:pt idx="2">
                  <c:v>315</c:v>
                </c:pt>
                <c:pt idx="3">
                  <c:v>315</c:v>
                </c:pt>
                <c:pt idx="4">
                  <c:v>315</c:v>
                </c:pt>
                <c:pt idx="5">
                  <c:v>316</c:v>
                </c:pt>
                <c:pt idx="6">
                  <c:v>317</c:v>
                </c:pt>
                <c:pt idx="7">
                  <c:v>318</c:v>
                </c:pt>
                <c:pt idx="8">
                  <c:v>318</c:v>
                </c:pt>
                <c:pt idx="9">
                  <c:v>318</c:v>
                </c:pt>
                <c:pt idx="10">
                  <c:v>321</c:v>
                </c:pt>
                <c:pt idx="11">
                  <c:v>324</c:v>
                </c:pt>
                <c:pt idx="12">
                  <c:v>327</c:v>
                </c:pt>
                <c:pt idx="13">
                  <c:v>329</c:v>
                </c:pt>
                <c:pt idx="14">
                  <c:v>339</c:v>
                </c:pt>
                <c:pt idx="15">
                  <c:v>342</c:v>
                </c:pt>
                <c:pt idx="16">
                  <c:v>343</c:v>
                </c:pt>
                <c:pt idx="17">
                  <c:v>346</c:v>
                </c:pt>
                <c:pt idx="18">
                  <c:v>354</c:v>
                </c:pt>
                <c:pt idx="19">
                  <c:v>358</c:v>
                </c:pt>
                <c:pt idx="20">
                  <c:v>359</c:v>
                </c:pt>
                <c:pt idx="21">
                  <c:v>361</c:v>
                </c:pt>
                <c:pt idx="22">
                  <c:v>363</c:v>
                </c:pt>
                <c:pt idx="23">
                  <c:v>366</c:v>
                </c:pt>
                <c:pt idx="24">
                  <c:v>371</c:v>
                </c:pt>
                <c:pt idx="25">
                  <c:v>391</c:v>
                </c:pt>
                <c:pt idx="26">
                  <c:v>438</c:v>
                </c:pt>
                <c:pt idx="27">
                  <c:v>487</c:v>
                </c:pt>
                <c:pt idx="28">
                  <c:v>488</c:v>
                </c:pt>
                <c:pt idx="29">
                  <c:v>514</c:v>
                </c:pt>
                <c:pt idx="30">
                  <c:v>525</c:v>
                </c:pt>
                <c:pt idx="31">
                  <c:v>566</c:v>
                </c:pt>
                <c:pt idx="32">
                  <c:v>625</c:v>
                </c:pt>
                <c:pt idx="33">
                  <c:v>629</c:v>
                </c:pt>
                <c:pt idx="34">
                  <c:v>630</c:v>
                </c:pt>
                <c:pt idx="35">
                  <c:v>635</c:v>
                </c:pt>
                <c:pt idx="36">
                  <c:v>656</c:v>
                </c:pt>
                <c:pt idx="37">
                  <c:v>703</c:v>
                </c:pt>
              </c:numCache>
            </c:numRef>
          </c:xVal>
          <c:yVal>
            <c:numRef>
              <c:f>'NV EX'!$S$4:$S$41</c:f>
              <c:numCache>
                <c:formatCode>General</c:formatCode>
                <c:ptCount val="38"/>
                <c:pt idx="0">
                  <c:v>14</c:v>
                </c:pt>
                <c:pt idx="1">
                  <c:v>14</c:v>
                </c:pt>
                <c:pt idx="2">
                  <c:v>14</c:v>
                </c:pt>
                <c:pt idx="3">
                  <c:v>14</c:v>
                </c:pt>
                <c:pt idx="4">
                  <c:v>14</c:v>
                </c:pt>
                <c:pt idx="5">
                  <c:v>14</c:v>
                </c:pt>
                <c:pt idx="6">
                  <c:v>14</c:v>
                </c:pt>
                <c:pt idx="7">
                  <c:v>14</c:v>
                </c:pt>
                <c:pt idx="8">
                  <c:v>14</c:v>
                </c:pt>
                <c:pt idx="9">
                  <c:v>14</c:v>
                </c:pt>
                <c:pt idx="10">
                  <c:v>14</c:v>
                </c:pt>
                <c:pt idx="11">
                  <c:v>14</c:v>
                </c:pt>
                <c:pt idx="12">
                  <c:v>13</c:v>
                </c:pt>
                <c:pt idx="13">
                  <c:v>12</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numCache>
            </c:numRef>
          </c:yVal>
          <c:smooth val="1"/>
          <c:extLst>
            <c:ext xmlns:c16="http://schemas.microsoft.com/office/drawing/2014/chart" uri="{C3380CC4-5D6E-409C-BE32-E72D297353CC}">
              <c16:uniqueId val="{00000000-B26E-42E6-BD8E-8AC78CB3883F}"/>
            </c:ext>
          </c:extLst>
        </c:ser>
        <c:ser>
          <c:idx val="1"/>
          <c:order val="1"/>
          <c:tx>
            <c:v>Medio</c:v>
          </c:tx>
          <c:spPr>
            <a:ln w="22225" cap="rnd">
              <a:solidFill>
                <a:schemeClr val="dk1">
                  <a:tint val="55000"/>
                </a:schemeClr>
              </a:solidFill>
              <a:round/>
            </a:ln>
            <a:effectLst/>
          </c:spPr>
          <c:marker>
            <c:symbol val="none"/>
          </c:marker>
          <c:xVal>
            <c:numRef>
              <c:f>'NV EX'!$B$4:$B$42</c:f>
              <c:numCache>
                <c:formatCode>General</c:formatCode>
                <c:ptCount val="39"/>
                <c:pt idx="0">
                  <c:v>308</c:v>
                </c:pt>
                <c:pt idx="1">
                  <c:v>312</c:v>
                </c:pt>
                <c:pt idx="2">
                  <c:v>315</c:v>
                </c:pt>
                <c:pt idx="3">
                  <c:v>315</c:v>
                </c:pt>
                <c:pt idx="4">
                  <c:v>315</c:v>
                </c:pt>
                <c:pt idx="5">
                  <c:v>316</c:v>
                </c:pt>
                <c:pt idx="6">
                  <c:v>317</c:v>
                </c:pt>
                <c:pt idx="7">
                  <c:v>318</c:v>
                </c:pt>
                <c:pt idx="8">
                  <c:v>318</c:v>
                </c:pt>
                <c:pt idx="9">
                  <c:v>318</c:v>
                </c:pt>
                <c:pt idx="10">
                  <c:v>321</c:v>
                </c:pt>
                <c:pt idx="11">
                  <c:v>324</c:v>
                </c:pt>
                <c:pt idx="12">
                  <c:v>327</c:v>
                </c:pt>
                <c:pt idx="13">
                  <c:v>329</c:v>
                </c:pt>
                <c:pt idx="14">
                  <c:v>339</c:v>
                </c:pt>
                <c:pt idx="15">
                  <c:v>342</c:v>
                </c:pt>
                <c:pt idx="16">
                  <c:v>343</c:v>
                </c:pt>
                <c:pt idx="17">
                  <c:v>346</c:v>
                </c:pt>
                <c:pt idx="18">
                  <c:v>354</c:v>
                </c:pt>
                <c:pt idx="19">
                  <c:v>358</c:v>
                </c:pt>
                <c:pt idx="20">
                  <c:v>359</c:v>
                </c:pt>
                <c:pt idx="21">
                  <c:v>361</c:v>
                </c:pt>
                <c:pt idx="22">
                  <c:v>363</c:v>
                </c:pt>
                <c:pt idx="23">
                  <c:v>366</c:v>
                </c:pt>
                <c:pt idx="24">
                  <c:v>371</c:v>
                </c:pt>
                <c:pt idx="25">
                  <c:v>391</c:v>
                </c:pt>
                <c:pt idx="26">
                  <c:v>438</c:v>
                </c:pt>
                <c:pt idx="27">
                  <c:v>487</c:v>
                </c:pt>
                <c:pt idx="28">
                  <c:v>488</c:v>
                </c:pt>
                <c:pt idx="29">
                  <c:v>514</c:v>
                </c:pt>
                <c:pt idx="30">
                  <c:v>525</c:v>
                </c:pt>
                <c:pt idx="31">
                  <c:v>566</c:v>
                </c:pt>
                <c:pt idx="32">
                  <c:v>625</c:v>
                </c:pt>
                <c:pt idx="33">
                  <c:v>629</c:v>
                </c:pt>
                <c:pt idx="34">
                  <c:v>630</c:v>
                </c:pt>
                <c:pt idx="35">
                  <c:v>635</c:v>
                </c:pt>
                <c:pt idx="36">
                  <c:v>656</c:v>
                </c:pt>
                <c:pt idx="37">
                  <c:v>703</c:v>
                </c:pt>
              </c:numCache>
            </c:numRef>
          </c:xVal>
          <c:yVal>
            <c:numRef>
              <c:f>'NV EX'!$T$4:$T$41</c:f>
              <c:numCache>
                <c:formatCode>General</c:formatCode>
                <c:ptCount val="38"/>
                <c:pt idx="0">
                  <c:v>0</c:v>
                </c:pt>
                <c:pt idx="1">
                  <c:v>0</c:v>
                </c:pt>
                <c:pt idx="2">
                  <c:v>0</c:v>
                </c:pt>
                <c:pt idx="3">
                  <c:v>0</c:v>
                </c:pt>
                <c:pt idx="4">
                  <c:v>0</c:v>
                </c:pt>
                <c:pt idx="5">
                  <c:v>0</c:v>
                </c:pt>
                <c:pt idx="6">
                  <c:v>0</c:v>
                </c:pt>
                <c:pt idx="7">
                  <c:v>0</c:v>
                </c:pt>
                <c:pt idx="8">
                  <c:v>0</c:v>
                </c:pt>
                <c:pt idx="9">
                  <c:v>0</c:v>
                </c:pt>
                <c:pt idx="10">
                  <c:v>0</c:v>
                </c:pt>
                <c:pt idx="11">
                  <c:v>0</c:v>
                </c:pt>
                <c:pt idx="12">
                  <c:v>1</c:v>
                </c:pt>
                <c:pt idx="13">
                  <c:v>2</c:v>
                </c:pt>
                <c:pt idx="14">
                  <c:v>14</c:v>
                </c:pt>
                <c:pt idx="15">
                  <c:v>14</c:v>
                </c:pt>
                <c:pt idx="16">
                  <c:v>13</c:v>
                </c:pt>
                <c:pt idx="17">
                  <c:v>12</c:v>
                </c:pt>
                <c:pt idx="18">
                  <c:v>4</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numCache>
            </c:numRef>
          </c:yVal>
          <c:smooth val="1"/>
          <c:extLst>
            <c:ext xmlns:c16="http://schemas.microsoft.com/office/drawing/2014/chart" uri="{C3380CC4-5D6E-409C-BE32-E72D297353CC}">
              <c16:uniqueId val="{00000001-B26E-42E6-BD8E-8AC78CB3883F}"/>
            </c:ext>
          </c:extLst>
        </c:ser>
        <c:ser>
          <c:idx val="2"/>
          <c:order val="2"/>
          <c:tx>
            <c:v>Alto</c:v>
          </c:tx>
          <c:spPr>
            <a:ln w="22225" cap="rnd">
              <a:solidFill>
                <a:schemeClr val="dk1">
                  <a:tint val="75000"/>
                </a:schemeClr>
              </a:solidFill>
              <a:round/>
            </a:ln>
            <a:effectLst/>
          </c:spPr>
          <c:marker>
            <c:symbol val="none"/>
          </c:marker>
          <c:xVal>
            <c:numRef>
              <c:f>'NV EX'!$B$4:$B$42</c:f>
              <c:numCache>
                <c:formatCode>General</c:formatCode>
                <c:ptCount val="39"/>
                <c:pt idx="0">
                  <c:v>308</c:v>
                </c:pt>
                <c:pt idx="1">
                  <c:v>312</c:v>
                </c:pt>
                <c:pt idx="2">
                  <c:v>315</c:v>
                </c:pt>
                <c:pt idx="3">
                  <c:v>315</c:v>
                </c:pt>
                <c:pt idx="4">
                  <c:v>315</c:v>
                </c:pt>
                <c:pt idx="5">
                  <c:v>316</c:v>
                </c:pt>
                <c:pt idx="6">
                  <c:v>317</c:v>
                </c:pt>
                <c:pt idx="7">
                  <c:v>318</c:v>
                </c:pt>
                <c:pt idx="8">
                  <c:v>318</c:v>
                </c:pt>
                <c:pt idx="9">
                  <c:v>318</c:v>
                </c:pt>
                <c:pt idx="10">
                  <c:v>321</c:v>
                </c:pt>
                <c:pt idx="11">
                  <c:v>324</c:v>
                </c:pt>
                <c:pt idx="12">
                  <c:v>327</c:v>
                </c:pt>
                <c:pt idx="13">
                  <c:v>329</c:v>
                </c:pt>
                <c:pt idx="14">
                  <c:v>339</c:v>
                </c:pt>
                <c:pt idx="15">
                  <c:v>342</c:v>
                </c:pt>
                <c:pt idx="16">
                  <c:v>343</c:v>
                </c:pt>
                <c:pt idx="17">
                  <c:v>346</c:v>
                </c:pt>
                <c:pt idx="18">
                  <c:v>354</c:v>
                </c:pt>
                <c:pt idx="19">
                  <c:v>358</c:v>
                </c:pt>
                <c:pt idx="20">
                  <c:v>359</c:v>
                </c:pt>
                <c:pt idx="21">
                  <c:v>361</c:v>
                </c:pt>
                <c:pt idx="22">
                  <c:v>363</c:v>
                </c:pt>
                <c:pt idx="23">
                  <c:v>366</c:v>
                </c:pt>
                <c:pt idx="24">
                  <c:v>371</c:v>
                </c:pt>
                <c:pt idx="25">
                  <c:v>391</c:v>
                </c:pt>
                <c:pt idx="26">
                  <c:v>438</c:v>
                </c:pt>
                <c:pt idx="27">
                  <c:v>487</c:v>
                </c:pt>
                <c:pt idx="28">
                  <c:v>488</c:v>
                </c:pt>
                <c:pt idx="29">
                  <c:v>514</c:v>
                </c:pt>
                <c:pt idx="30">
                  <c:v>525</c:v>
                </c:pt>
                <c:pt idx="31">
                  <c:v>566</c:v>
                </c:pt>
                <c:pt idx="32">
                  <c:v>625</c:v>
                </c:pt>
                <c:pt idx="33">
                  <c:v>629</c:v>
                </c:pt>
                <c:pt idx="34">
                  <c:v>630</c:v>
                </c:pt>
                <c:pt idx="35">
                  <c:v>635</c:v>
                </c:pt>
                <c:pt idx="36">
                  <c:v>656</c:v>
                </c:pt>
                <c:pt idx="37">
                  <c:v>703</c:v>
                </c:pt>
              </c:numCache>
            </c:numRef>
          </c:xVal>
          <c:yVal>
            <c:numRef>
              <c:f>'NV EX'!$U$4:$U$41</c:f>
              <c:numCache>
                <c:formatCode>General</c:formatCode>
                <c:ptCount val="3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1</c:v>
                </c:pt>
                <c:pt idx="17">
                  <c:v>2</c:v>
                </c:pt>
                <c:pt idx="18">
                  <c:v>10</c:v>
                </c:pt>
                <c:pt idx="19">
                  <c:v>14</c:v>
                </c:pt>
                <c:pt idx="20">
                  <c:v>14</c:v>
                </c:pt>
                <c:pt idx="21">
                  <c:v>14</c:v>
                </c:pt>
                <c:pt idx="22">
                  <c:v>14</c:v>
                </c:pt>
                <c:pt idx="23">
                  <c:v>14</c:v>
                </c:pt>
                <c:pt idx="24">
                  <c:v>12</c:v>
                </c:pt>
                <c:pt idx="25">
                  <c:v>1</c:v>
                </c:pt>
                <c:pt idx="26">
                  <c:v>0</c:v>
                </c:pt>
                <c:pt idx="27">
                  <c:v>0</c:v>
                </c:pt>
                <c:pt idx="28">
                  <c:v>0</c:v>
                </c:pt>
                <c:pt idx="29">
                  <c:v>0</c:v>
                </c:pt>
                <c:pt idx="30">
                  <c:v>0</c:v>
                </c:pt>
                <c:pt idx="31">
                  <c:v>0</c:v>
                </c:pt>
                <c:pt idx="32">
                  <c:v>0</c:v>
                </c:pt>
                <c:pt idx="33">
                  <c:v>0</c:v>
                </c:pt>
                <c:pt idx="34">
                  <c:v>0</c:v>
                </c:pt>
                <c:pt idx="35">
                  <c:v>0</c:v>
                </c:pt>
                <c:pt idx="36">
                  <c:v>0</c:v>
                </c:pt>
                <c:pt idx="37">
                  <c:v>0</c:v>
                </c:pt>
              </c:numCache>
            </c:numRef>
          </c:yVal>
          <c:smooth val="1"/>
          <c:extLst>
            <c:ext xmlns:c16="http://schemas.microsoft.com/office/drawing/2014/chart" uri="{C3380CC4-5D6E-409C-BE32-E72D297353CC}">
              <c16:uniqueId val="{00000002-B26E-42E6-BD8E-8AC78CB3883F}"/>
            </c:ext>
          </c:extLst>
        </c:ser>
        <c:ser>
          <c:idx val="3"/>
          <c:order val="3"/>
          <c:tx>
            <c:v>Excepción</c:v>
          </c:tx>
          <c:spPr>
            <a:ln w="22225" cap="rnd">
              <a:solidFill>
                <a:schemeClr val="dk1">
                  <a:tint val="98500"/>
                </a:schemeClr>
              </a:solidFill>
              <a:round/>
            </a:ln>
            <a:effectLst/>
          </c:spPr>
          <c:marker>
            <c:symbol val="none"/>
          </c:marker>
          <c:xVal>
            <c:numRef>
              <c:f>'NV EX'!$B$4:$B$42</c:f>
              <c:numCache>
                <c:formatCode>General</c:formatCode>
                <c:ptCount val="39"/>
                <c:pt idx="0">
                  <c:v>308</c:v>
                </c:pt>
                <c:pt idx="1">
                  <c:v>312</c:v>
                </c:pt>
                <c:pt idx="2">
                  <c:v>315</c:v>
                </c:pt>
                <c:pt idx="3">
                  <c:v>315</c:v>
                </c:pt>
                <c:pt idx="4">
                  <c:v>315</c:v>
                </c:pt>
                <c:pt idx="5">
                  <c:v>316</c:v>
                </c:pt>
                <c:pt idx="6">
                  <c:v>317</c:v>
                </c:pt>
                <c:pt idx="7">
                  <c:v>318</c:v>
                </c:pt>
                <c:pt idx="8">
                  <c:v>318</c:v>
                </c:pt>
                <c:pt idx="9">
                  <c:v>318</c:v>
                </c:pt>
                <c:pt idx="10">
                  <c:v>321</c:v>
                </c:pt>
                <c:pt idx="11">
                  <c:v>324</c:v>
                </c:pt>
                <c:pt idx="12">
                  <c:v>327</c:v>
                </c:pt>
                <c:pt idx="13">
                  <c:v>329</c:v>
                </c:pt>
                <c:pt idx="14">
                  <c:v>339</c:v>
                </c:pt>
                <c:pt idx="15">
                  <c:v>342</c:v>
                </c:pt>
                <c:pt idx="16">
                  <c:v>343</c:v>
                </c:pt>
                <c:pt idx="17">
                  <c:v>346</c:v>
                </c:pt>
                <c:pt idx="18">
                  <c:v>354</c:v>
                </c:pt>
                <c:pt idx="19">
                  <c:v>358</c:v>
                </c:pt>
                <c:pt idx="20">
                  <c:v>359</c:v>
                </c:pt>
                <c:pt idx="21">
                  <c:v>361</c:v>
                </c:pt>
                <c:pt idx="22">
                  <c:v>363</c:v>
                </c:pt>
                <c:pt idx="23">
                  <c:v>366</c:v>
                </c:pt>
                <c:pt idx="24">
                  <c:v>371</c:v>
                </c:pt>
                <c:pt idx="25">
                  <c:v>391</c:v>
                </c:pt>
                <c:pt idx="26">
                  <c:v>438</c:v>
                </c:pt>
                <c:pt idx="27">
                  <c:v>487</c:v>
                </c:pt>
                <c:pt idx="28">
                  <c:v>488</c:v>
                </c:pt>
                <c:pt idx="29">
                  <c:v>514</c:v>
                </c:pt>
                <c:pt idx="30">
                  <c:v>525</c:v>
                </c:pt>
                <c:pt idx="31">
                  <c:v>566</c:v>
                </c:pt>
                <c:pt idx="32">
                  <c:v>625</c:v>
                </c:pt>
                <c:pt idx="33">
                  <c:v>629</c:v>
                </c:pt>
                <c:pt idx="34">
                  <c:v>630</c:v>
                </c:pt>
                <c:pt idx="35">
                  <c:v>635</c:v>
                </c:pt>
                <c:pt idx="36">
                  <c:v>656</c:v>
                </c:pt>
                <c:pt idx="37">
                  <c:v>703</c:v>
                </c:pt>
              </c:numCache>
            </c:numRef>
          </c:xVal>
          <c:yVal>
            <c:numRef>
              <c:f>'NV EX'!$V$4:$V$41</c:f>
              <c:numCache>
                <c:formatCode>General</c:formatCode>
                <c:ptCount val="3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2</c:v>
                </c:pt>
                <c:pt idx="25">
                  <c:v>13</c:v>
                </c:pt>
                <c:pt idx="26">
                  <c:v>14</c:v>
                </c:pt>
                <c:pt idx="27">
                  <c:v>14</c:v>
                </c:pt>
                <c:pt idx="28">
                  <c:v>14</c:v>
                </c:pt>
                <c:pt idx="29">
                  <c:v>14</c:v>
                </c:pt>
                <c:pt idx="30">
                  <c:v>14</c:v>
                </c:pt>
                <c:pt idx="31">
                  <c:v>14</c:v>
                </c:pt>
                <c:pt idx="32">
                  <c:v>14</c:v>
                </c:pt>
                <c:pt idx="33">
                  <c:v>14</c:v>
                </c:pt>
                <c:pt idx="34">
                  <c:v>14</c:v>
                </c:pt>
                <c:pt idx="35">
                  <c:v>14</c:v>
                </c:pt>
                <c:pt idx="36">
                  <c:v>14</c:v>
                </c:pt>
                <c:pt idx="37">
                  <c:v>14</c:v>
                </c:pt>
              </c:numCache>
            </c:numRef>
          </c:yVal>
          <c:smooth val="1"/>
          <c:extLst>
            <c:ext xmlns:c16="http://schemas.microsoft.com/office/drawing/2014/chart" uri="{C3380CC4-5D6E-409C-BE32-E72D297353CC}">
              <c16:uniqueId val="{00000003-B26E-42E6-BD8E-8AC78CB3883F}"/>
            </c:ext>
          </c:extLst>
        </c:ser>
        <c:dLbls>
          <c:showLegendKey val="0"/>
          <c:showVal val="0"/>
          <c:showCatName val="0"/>
          <c:showSerName val="0"/>
          <c:showPercent val="0"/>
          <c:showBubbleSize val="0"/>
        </c:dLbls>
        <c:axId val="126640128"/>
        <c:axId val="126641664"/>
      </c:scatterChart>
      <c:valAx>
        <c:axId val="126640128"/>
        <c:scaling>
          <c:orientation val="minMax"/>
          <c:max val="750"/>
          <c:min val="3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126641664"/>
        <c:crosses val="autoZero"/>
        <c:crossBetween val="midCat"/>
      </c:valAx>
      <c:valAx>
        <c:axId val="12664166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26640128"/>
        <c:crosses val="autoZero"/>
        <c:crossBetween val="midCat"/>
      </c:valAx>
      <c:spPr>
        <a:noFill/>
        <a:ln>
          <a:noFill/>
        </a:ln>
        <a:effectLst/>
      </c:spPr>
    </c:plotArea>
    <c:legend>
      <c:legendPos val="t"/>
      <c:layout>
        <c:manualLayout>
          <c:xMode val="edge"/>
          <c:yMode val="edge"/>
          <c:x val="0"/>
          <c:y val="0.88433889493716822"/>
          <c:w val="1"/>
          <c:h val="7.1217223249023132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419"/>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4384757460872946"/>
          <c:y val="8.6369770580296892E-2"/>
          <c:w val="0.80183143773694954"/>
          <c:h val="0.66492099418746742"/>
        </c:manualLayout>
      </c:layout>
      <c:lineChart>
        <c:grouping val="standard"/>
        <c:varyColors val="0"/>
        <c:ser>
          <c:idx val="0"/>
          <c:order val="0"/>
          <c:tx>
            <c:strRef>
              <c:f>DProvincial!$A$14</c:f>
              <c:strCache>
                <c:ptCount val="1"/>
                <c:pt idx="0">
                  <c:v>Pronóstico </c:v>
                </c:pt>
              </c:strCache>
            </c:strRef>
          </c:tx>
          <c:spPr>
            <a:ln w="22225" cap="rnd" cmpd="sng" algn="ctr">
              <a:solidFill>
                <a:schemeClr val="accent3">
                  <a:shade val="76000"/>
                </a:schemeClr>
              </a:solidFill>
              <a:round/>
            </a:ln>
            <a:effectLst/>
          </c:spPr>
          <c:marker>
            <c:symbol val="none"/>
          </c:marker>
          <c:dLbls>
            <c:delete val="1"/>
          </c:dLbls>
          <c:cat>
            <c:numRef>
              <c:f>DProvincial!$B$8:$D$8</c:f>
              <c:numCache>
                <c:formatCode>General</c:formatCode>
                <c:ptCount val="3"/>
                <c:pt idx="0">
                  <c:v>2016</c:v>
                </c:pt>
                <c:pt idx="1">
                  <c:v>2017</c:v>
                </c:pt>
                <c:pt idx="2">
                  <c:v>2018</c:v>
                </c:pt>
              </c:numCache>
            </c:numRef>
          </c:cat>
          <c:val>
            <c:numRef>
              <c:f>DProvincial!$B$14:$D$14</c:f>
              <c:numCache>
                <c:formatCode>General</c:formatCode>
                <c:ptCount val="3"/>
                <c:pt idx="0">
                  <c:v>366</c:v>
                </c:pt>
                <c:pt idx="1">
                  <c:v>365</c:v>
                </c:pt>
                <c:pt idx="2">
                  <c:v>403</c:v>
                </c:pt>
              </c:numCache>
            </c:numRef>
          </c:val>
          <c:smooth val="0"/>
          <c:extLst>
            <c:ext xmlns:c16="http://schemas.microsoft.com/office/drawing/2014/chart" uri="{C3380CC4-5D6E-409C-BE32-E72D297353CC}">
              <c16:uniqueId val="{00000000-EA6F-43E1-81C4-2D21DECA4C06}"/>
            </c:ext>
          </c:extLst>
        </c:ser>
        <c:ser>
          <c:idx val="1"/>
          <c:order val="1"/>
          <c:tx>
            <c:strRef>
              <c:f>DProvincial!$A$15</c:f>
              <c:strCache>
                <c:ptCount val="1"/>
                <c:pt idx="0">
                  <c:v>Real </c:v>
                </c:pt>
              </c:strCache>
            </c:strRef>
          </c:tx>
          <c:spPr>
            <a:ln w="22225" cap="rnd" cmpd="sng" algn="ctr">
              <a:solidFill>
                <a:schemeClr val="accent3">
                  <a:tint val="77000"/>
                </a:schemeClr>
              </a:solidFill>
              <a:round/>
            </a:ln>
            <a:effectLst/>
          </c:spPr>
          <c:marker>
            <c:symbol val="none"/>
          </c:marker>
          <c:dLbls>
            <c:delete val="1"/>
          </c:dLbls>
          <c:cat>
            <c:numRef>
              <c:f>DProvincial!$B$8:$D$8</c:f>
              <c:numCache>
                <c:formatCode>General</c:formatCode>
                <c:ptCount val="3"/>
                <c:pt idx="0">
                  <c:v>2016</c:v>
                </c:pt>
                <c:pt idx="1">
                  <c:v>2017</c:v>
                </c:pt>
                <c:pt idx="2">
                  <c:v>2018</c:v>
                </c:pt>
              </c:numCache>
            </c:numRef>
          </c:cat>
          <c:val>
            <c:numRef>
              <c:f>DProvincial!$B$15:$D$15</c:f>
              <c:numCache>
                <c:formatCode>General</c:formatCode>
                <c:ptCount val="3"/>
                <c:pt idx="0">
                  <c:v>306</c:v>
                </c:pt>
                <c:pt idx="1">
                  <c:v>368</c:v>
                </c:pt>
                <c:pt idx="2">
                  <c:v>329</c:v>
                </c:pt>
              </c:numCache>
            </c:numRef>
          </c:val>
          <c:smooth val="0"/>
          <c:extLst>
            <c:ext xmlns:c16="http://schemas.microsoft.com/office/drawing/2014/chart" uri="{C3380CC4-5D6E-409C-BE32-E72D297353CC}">
              <c16:uniqueId val="{00000001-EA6F-43E1-81C4-2D21DECA4C06}"/>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06389215"/>
        <c:axId val="281682031"/>
      </c:lineChart>
      <c:catAx>
        <c:axId val="206389215"/>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419"/>
          </a:p>
        </c:txPr>
        <c:crossAx val="281682031"/>
        <c:crosses val="autoZero"/>
        <c:auto val="1"/>
        <c:lblAlgn val="ctr"/>
        <c:lblOffset val="100"/>
        <c:noMultiLvlLbl val="0"/>
      </c:catAx>
      <c:valAx>
        <c:axId val="2816820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419"/>
          </a:p>
        </c:txPr>
        <c:crossAx val="206389215"/>
        <c:crosses val="autoZero"/>
        <c:crossBetween val="between"/>
      </c:valAx>
      <c:spPr>
        <a:gradFill>
          <a:gsLst>
            <a:gs pos="0">
              <a:schemeClr val="lt1"/>
            </a:gs>
            <a:gs pos="100000">
              <a:schemeClr val="lt1">
                <a:lumMod val="95000"/>
              </a:schemeClr>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419"/>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6531284808911081"/>
          <c:y val="9.2896174863387984E-2"/>
          <c:w val="0.78102861532552337"/>
          <c:h val="0.65533668947119317"/>
        </c:manualLayout>
      </c:layout>
      <c:lineChart>
        <c:grouping val="standard"/>
        <c:varyColors val="0"/>
        <c:ser>
          <c:idx val="0"/>
          <c:order val="0"/>
          <c:tx>
            <c:strRef>
              <c:f>DProvincial!$A$9</c:f>
              <c:strCache>
                <c:ptCount val="1"/>
                <c:pt idx="0">
                  <c:v>Pronóstico</c:v>
                </c:pt>
              </c:strCache>
            </c:strRef>
          </c:tx>
          <c:spPr>
            <a:ln w="22225" cap="rnd" cmpd="sng" algn="ctr">
              <a:solidFill>
                <a:schemeClr val="accent3">
                  <a:shade val="76000"/>
                </a:schemeClr>
              </a:solidFill>
              <a:round/>
            </a:ln>
            <a:effectLst/>
          </c:spPr>
          <c:marker>
            <c:symbol val="none"/>
          </c:marker>
          <c:dLbls>
            <c:delete val="1"/>
          </c:dLbls>
          <c:cat>
            <c:numRef>
              <c:f>DProvincial!$B$8:$D$8</c:f>
              <c:numCache>
                <c:formatCode>General</c:formatCode>
                <c:ptCount val="3"/>
                <c:pt idx="0">
                  <c:v>2016</c:v>
                </c:pt>
                <c:pt idx="1">
                  <c:v>2017</c:v>
                </c:pt>
                <c:pt idx="2">
                  <c:v>2018</c:v>
                </c:pt>
              </c:numCache>
            </c:numRef>
          </c:cat>
          <c:val>
            <c:numRef>
              <c:f>DProvincial!$B$9:$D$9</c:f>
              <c:numCache>
                <c:formatCode>General</c:formatCode>
                <c:ptCount val="3"/>
                <c:pt idx="0">
                  <c:v>2198</c:v>
                </c:pt>
                <c:pt idx="1">
                  <c:v>2198</c:v>
                </c:pt>
                <c:pt idx="2">
                  <c:v>2293</c:v>
                </c:pt>
              </c:numCache>
            </c:numRef>
          </c:val>
          <c:smooth val="0"/>
          <c:extLst>
            <c:ext xmlns:c16="http://schemas.microsoft.com/office/drawing/2014/chart" uri="{C3380CC4-5D6E-409C-BE32-E72D297353CC}">
              <c16:uniqueId val="{00000000-8C4A-4B9C-8127-14333CD31FAF}"/>
            </c:ext>
          </c:extLst>
        </c:ser>
        <c:ser>
          <c:idx val="1"/>
          <c:order val="1"/>
          <c:tx>
            <c:strRef>
              <c:f>DProvincial!$A$10</c:f>
              <c:strCache>
                <c:ptCount val="1"/>
                <c:pt idx="0">
                  <c:v>Real</c:v>
                </c:pt>
              </c:strCache>
            </c:strRef>
          </c:tx>
          <c:spPr>
            <a:ln w="22225" cap="rnd" cmpd="sng" algn="ctr">
              <a:solidFill>
                <a:schemeClr val="accent3">
                  <a:tint val="77000"/>
                </a:schemeClr>
              </a:solidFill>
              <a:round/>
            </a:ln>
            <a:effectLst/>
          </c:spPr>
          <c:marker>
            <c:symbol val="none"/>
          </c:marker>
          <c:dLbls>
            <c:delete val="1"/>
          </c:dLbls>
          <c:cat>
            <c:numRef>
              <c:f>DProvincial!$B$8:$D$8</c:f>
              <c:numCache>
                <c:formatCode>General</c:formatCode>
                <c:ptCount val="3"/>
                <c:pt idx="0">
                  <c:v>2016</c:v>
                </c:pt>
                <c:pt idx="1">
                  <c:v>2017</c:v>
                </c:pt>
                <c:pt idx="2">
                  <c:v>2018</c:v>
                </c:pt>
              </c:numCache>
            </c:numRef>
          </c:cat>
          <c:val>
            <c:numRef>
              <c:f>DProvincial!$B$10:$D$10</c:f>
              <c:numCache>
                <c:formatCode>General</c:formatCode>
                <c:ptCount val="3"/>
                <c:pt idx="0">
                  <c:v>1586</c:v>
                </c:pt>
                <c:pt idx="1">
                  <c:v>2234</c:v>
                </c:pt>
                <c:pt idx="2">
                  <c:v>2841</c:v>
                </c:pt>
              </c:numCache>
            </c:numRef>
          </c:val>
          <c:smooth val="0"/>
          <c:extLst>
            <c:ext xmlns:c16="http://schemas.microsoft.com/office/drawing/2014/chart" uri="{C3380CC4-5D6E-409C-BE32-E72D297353CC}">
              <c16:uniqueId val="{00000001-8C4A-4B9C-8127-14333CD31FAF}"/>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339673039"/>
        <c:axId val="333371023"/>
      </c:lineChart>
      <c:catAx>
        <c:axId val="33967303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419"/>
          </a:p>
        </c:txPr>
        <c:crossAx val="333371023"/>
        <c:crosses val="autoZero"/>
        <c:auto val="1"/>
        <c:lblAlgn val="ctr"/>
        <c:lblOffset val="100"/>
        <c:noMultiLvlLbl val="0"/>
      </c:catAx>
      <c:valAx>
        <c:axId val="33337102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419"/>
          </a:p>
        </c:txPr>
        <c:crossAx val="339673039"/>
        <c:crosses val="autoZero"/>
        <c:crossBetween val="between"/>
        <c:majorUnit val="1000"/>
      </c:valAx>
      <c:spPr>
        <a:gradFill>
          <a:gsLst>
            <a:gs pos="0">
              <a:schemeClr val="lt1"/>
            </a:gs>
            <a:gs pos="100000">
              <a:schemeClr val="lt1">
                <a:lumMod val="95000"/>
              </a:schemeClr>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419"/>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419"/>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0">
            <a:schemeClr val="lt1"/>
          </a:gs>
          <a:gs pos="100000">
            <a:schemeClr val="lt1">
              <a:lumMod val="9500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0">
            <a:schemeClr val="lt1"/>
          </a:gs>
          <a:gs pos="100000">
            <a:schemeClr val="lt1">
              <a:lumMod val="9500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17592</Words>
  <Characters>96757</Characters>
  <Application>Microsoft Office Word</Application>
  <DocSecurity>0</DocSecurity>
  <Lines>806</Lines>
  <Paragraphs>228</Paragraphs>
  <ScaleCrop>false</ScaleCrop>
  <Company>UCLV</Company>
  <LinksUpToDate>false</LinksUpToDate>
  <CharactersWithSpaces>114121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Gretel Martinez</cp:lastModifiedBy>
  <cp:revision>5</cp:revision>
  <dcterms:created xsi:type="dcterms:W3CDTF">2021-08-02T15:39:00Z</dcterms:created>
  <dcterms:modified xsi:type="dcterms:W3CDTF">2021-09-23T00:32:00Z</dcterms:modified>
</cp:coreProperties>
</file>