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17684" w14:textId="77777777" w:rsidR="00C06306" w:rsidRDefault="00C06306" w:rsidP="00667F10">
      <w:pPr>
        <w:spacing w:after="0"/>
        <w:jc w:val="center"/>
        <w:rPr>
          <w:rFonts w:ascii="Times New Roman" w:hAnsi="Times New Roman" w:cs="Times New Roman"/>
          <w:b/>
          <w:sz w:val="28"/>
          <w:szCs w:val="28"/>
        </w:rPr>
      </w:pPr>
      <w:r w:rsidRPr="00C06306">
        <w:rPr>
          <w:rFonts w:ascii="Times New Roman" w:hAnsi="Times New Roman" w:cs="Times New Roman"/>
          <w:b/>
          <w:sz w:val="28"/>
          <w:szCs w:val="28"/>
        </w:rPr>
        <w:t xml:space="preserve">I SIMPOSIO INTERNACIONAL “DESARROLLO HUMANO, EQUIDAD Y JUSTICIA SOCIAL </w:t>
      </w:r>
    </w:p>
    <w:p w14:paraId="6CD6BF84" w14:textId="77777777" w:rsidR="00E912D0" w:rsidRDefault="00E912D0" w:rsidP="00667F10">
      <w:pPr>
        <w:spacing w:after="0"/>
        <w:jc w:val="center"/>
        <w:rPr>
          <w:rFonts w:ascii="Times New Roman" w:hAnsi="Times New Roman" w:cs="Times New Roman"/>
          <w:b/>
          <w:sz w:val="24"/>
          <w:szCs w:val="24"/>
        </w:rPr>
      </w:pPr>
    </w:p>
    <w:p w14:paraId="54D532BE" w14:textId="4F53E465" w:rsidR="005A43F1" w:rsidRDefault="005A43F1" w:rsidP="00667F10">
      <w:pPr>
        <w:spacing w:after="0"/>
        <w:jc w:val="center"/>
        <w:rPr>
          <w:rFonts w:ascii="Times New Roman" w:hAnsi="Times New Roman" w:cs="Times New Roman"/>
          <w:b/>
          <w:sz w:val="28"/>
          <w:szCs w:val="28"/>
        </w:rPr>
      </w:pPr>
      <w:r>
        <w:rPr>
          <w:rFonts w:ascii="Times New Roman" w:hAnsi="Times New Roman" w:cs="Times New Roman"/>
          <w:b/>
          <w:sz w:val="28"/>
          <w:szCs w:val="28"/>
        </w:rPr>
        <w:t>A</w:t>
      </w:r>
      <w:r w:rsidRPr="005A43F1">
        <w:rPr>
          <w:rFonts w:ascii="Times New Roman" w:hAnsi="Times New Roman" w:cs="Times New Roman"/>
          <w:b/>
          <w:sz w:val="28"/>
          <w:szCs w:val="28"/>
        </w:rPr>
        <w:t xml:space="preserve">nálisis ideológico de la construcción discursiva de género en la publicidad comercial de </w:t>
      </w:r>
      <w:proofErr w:type="spellStart"/>
      <w:r w:rsidRPr="005A43F1">
        <w:rPr>
          <w:rFonts w:ascii="Times New Roman" w:hAnsi="Times New Roman" w:cs="Times New Roman"/>
          <w:b/>
          <w:i/>
          <w:iCs/>
          <w:sz w:val="28"/>
          <w:szCs w:val="28"/>
        </w:rPr>
        <w:t>Cubavisión</w:t>
      </w:r>
      <w:proofErr w:type="spellEnd"/>
      <w:r w:rsidRPr="005A43F1">
        <w:rPr>
          <w:rFonts w:ascii="Times New Roman" w:hAnsi="Times New Roman" w:cs="Times New Roman"/>
          <w:b/>
          <w:i/>
          <w:iCs/>
          <w:sz w:val="28"/>
          <w:szCs w:val="28"/>
        </w:rPr>
        <w:t xml:space="preserve"> Internacional</w:t>
      </w:r>
      <w:r w:rsidRPr="005A43F1">
        <w:rPr>
          <w:rFonts w:ascii="Times New Roman" w:hAnsi="Times New Roman" w:cs="Times New Roman"/>
          <w:b/>
          <w:sz w:val="28"/>
          <w:szCs w:val="28"/>
        </w:rPr>
        <w:t xml:space="preserve"> </w:t>
      </w:r>
    </w:p>
    <w:p w14:paraId="6CB09613" w14:textId="77777777" w:rsidR="00E912D0" w:rsidRDefault="00E912D0" w:rsidP="00667F10">
      <w:pPr>
        <w:spacing w:after="0"/>
        <w:jc w:val="center"/>
        <w:rPr>
          <w:rFonts w:ascii="Times New Roman" w:hAnsi="Times New Roman" w:cs="Times New Roman"/>
          <w:b/>
          <w:i/>
          <w:sz w:val="24"/>
          <w:szCs w:val="24"/>
        </w:rPr>
      </w:pPr>
    </w:p>
    <w:p w14:paraId="4D7A3516" w14:textId="381F31F9" w:rsidR="008A1C16" w:rsidRPr="009D5E02" w:rsidRDefault="00DA18C4" w:rsidP="00667F10">
      <w:pPr>
        <w:spacing w:after="0"/>
        <w:jc w:val="center"/>
        <w:rPr>
          <w:rFonts w:ascii="Times New Roman" w:hAnsi="Times New Roman" w:cs="Times New Roman"/>
          <w:b/>
          <w:i/>
          <w:sz w:val="28"/>
          <w:szCs w:val="28"/>
        </w:rPr>
      </w:pPr>
      <w:proofErr w:type="spellStart"/>
      <w:r>
        <w:rPr>
          <w:rFonts w:ascii="Times New Roman" w:hAnsi="Times New Roman" w:cs="Times New Roman"/>
          <w:b/>
          <w:i/>
          <w:sz w:val="28"/>
          <w:szCs w:val="28"/>
        </w:rPr>
        <w:t>I</w:t>
      </w:r>
      <w:r w:rsidRPr="00DA18C4">
        <w:rPr>
          <w:rFonts w:ascii="Times New Roman" w:hAnsi="Times New Roman" w:cs="Times New Roman"/>
          <w:b/>
          <w:i/>
          <w:sz w:val="28"/>
          <w:szCs w:val="28"/>
        </w:rPr>
        <w:t>deological</w:t>
      </w:r>
      <w:proofErr w:type="spellEnd"/>
      <w:r w:rsidRPr="00DA18C4">
        <w:rPr>
          <w:rFonts w:ascii="Times New Roman" w:hAnsi="Times New Roman" w:cs="Times New Roman"/>
          <w:b/>
          <w:i/>
          <w:sz w:val="28"/>
          <w:szCs w:val="28"/>
        </w:rPr>
        <w:t xml:space="preserve"> </w:t>
      </w:r>
      <w:proofErr w:type="spellStart"/>
      <w:r w:rsidRPr="00DA18C4">
        <w:rPr>
          <w:rFonts w:ascii="Times New Roman" w:hAnsi="Times New Roman" w:cs="Times New Roman"/>
          <w:b/>
          <w:i/>
          <w:sz w:val="28"/>
          <w:szCs w:val="28"/>
        </w:rPr>
        <w:t>analysis</w:t>
      </w:r>
      <w:proofErr w:type="spellEnd"/>
      <w:r w:rsidRPr="00DA18C4">
        <w:rPr>
          <w:rFonts w:ascii="Times New Roman" w:hAnsi="Times New Roman" w:cs="Times New Roman"/>
          <w:b/>
          <w:i/>
          <w:sz w:val="28"/>
          <w:szCs w:val="28"/>
        </w:rPr>
        <w:t xml:space="preserve"> </w:t>
      </w:r>
      <w:proofErr w:type="spellStart"/>
      <w:r w:rsidRPr="00DA18C4">
        <w:rPr>
          <w:rFonts w:ascii="Times New Roman" w:hAnsi="Times New Roman" w:cs="Times New Roman"/>
          <w:b/>
          <w:i/>
          <w:sz w:val="28"/>
          <w:szCs w:val="28"/>
        </w:rPr>
        <w:t>of</w:t>
      </w:r>
      <w:proofErr w:type="spellEnd"/>
      <w:r w:rsidRPr="00DA18C4">
        <w:rPr>
          <w:rFonts w:ascii="Times New Roman" w:hAnsi="Times New Roman" w:cs="Times New Roman"/>
          <w:b/>
          <w:i/>
          <w:sz w:val="28"/>
          <w:szCs w:val="28"/>
        </w:rPr>
        <w:t xml:space="preserve"> </w:t>
      </w:r>
      <w:proofErr w:type="spellStart"/>
      <w:r w:rsidRPr="00DA18C4">
        <w:rPr>
          <w:rFonts w:ascii="Times New Roman" w:hAnsi="Times New Roman" w:cs="Times New Roman"/>
          <w:b/>
          <w:i/>
          <w:sz w:val="28"/>
          <w:szCs w:val="28"/>
        </w:rPr>
        <w:t>the</w:t>
      </w:r>
      <w:proofErr w:type="spellEnd"/>
      <w:r w:rsidRPr="00DA18C4">
        <w:rPr>
          <w:rFonts w:ascii="Times New Roman" w:hAnsi="Times New Roman" w:cs="Times New Roman"/>
          <w:b/>
          <w:i/>
          <w:sz w:val="28"/>
          <w:szCs w:val="28"/>
        </w:rPr>
        <w:t xml:space="preserve"> discursive </w:t>
      </w:r>
      <w:proofErr w:type="spellStart"/>
      <w:r w:rsidRPr="00DA18C4">
        <w:rPr>
          <w:rFonts w:ascii="Times New Roman" w:hAnsi="Times New Roman" w:cs="Times New Roman"/>
          <w:b/>
          <w:i/>
          <w:sz w:val="28"/>
          <w:szCs w:val="28"/>
        </w:rPr>
        <w:t>construction</w:t>
      </w:r>
      <w:proofErr w:type="spellEnd"/>
      <w:r w:rsidRPr="00DA18C4">
        <w:rPr>
          <w:rFonts w:ascii="Times New Roman" w:hAnsi="Times New Roman" w:cs="Times New Roman"/>
          <w:b/>
          <w:i/>
          <w:sz w:val="28"/>
          <w:szCs w:val="28"/>
        </w:rPr>
        <w:t xml:space="preserve"> </w:t>
      </w:r>
      <w:proofErr w:type="spellStart"/>
      <w:r w:rsidRPr="00DA18C4">
        <w:rPr>
          <w:rFonts w:ascii="Times New Roman" w:hAnsi="Times New Roman" w:cs="Times New Roman"/>
          <w:b/>
          <w:i/>
          <w:sz w:val="28"/>
          <w:szCs w:val="28"/>
        </w:rPr>
        <w:t>of</w:t>
      </w:r>
      <w:proofErr w:type="spellEnd"/>
      <w:r w:rsidRPr="00DA18C4">
        <w:rPr>
          <w:rFonts w:ascii="Times New Roman" w:hAnsi="Times New Roman" w:cs="Times New Roman"/>
          <w:b/>
          <w:i/>
          <w:sz w:val="28"/>
          <w:szCs w:val="28"/>
        </w:rPr>
        <w:t xml:space="preserve"> </w:t>
      </w:r>
      <w:proofErr w:type="spellStart"/>
      <w:r w:rsidRPr="00DA18C4">
        <w:rPr>
          <w:rFonts w:ascii="Times New Roman" w:hAnsi="Times New Roman" w:cs="Times New Roman"/>
          <w:b/>
          <w:i/>
          <w:sz w:val="28"/>
          <w:szCs w:val="28"/>
        </w:rPr>
        <w:t>gender</w:t>
      </w:r>
      <w:proofErr w:type="spellEnd"/>
      <w:r w:rsidRPr="00DA18C4">
        <w:rPr>
          <w:rFonts w:ascii="Times New Roman" w:hAnsi="Times New Roman" w:cs="Times New Roman"/>
          <w:b/>
          <w:i/>
          <w:sz w:val="28"/>
          <w:szCs w:val="28"/>
        </w:rPr>
        <w:t xml:space="preserve"> in </w:t>
      </w:r>
      <w:proofErr w:type="spellStart"/>
      <w:r w:rsidRPr="00DA18C4">
        <w:rPr>
          <w:rFonts w:ascii="Times New Roman" w:hAnsi="Times New Roman" w:cs="Times New Roman"/>
          <w:b/>
          <w:i/>
          <w:sz w:val="28"/>
          <w:szCs w:val="28"/>
        </w:rPr>
        <w:t>the</w:t>
      </w:r>
      <w:proofErr w:type="spellEnd"/>
      <w:r w:rsidRPr="00DA18C4">
        <w:rPr>
          <w:rFonts w:ascii="Times New Roman" w:hAnsi="Times New Roman" w:cs="Times New Roman"/>
          <w:b/>
          <w:i/>
          <w:sz w:val="28"/>
          <w:szCs w:val="28"/>
        </w:rPr>
        <w:t xml:space="preserve"> </w:t>
      </w:r>
      <w:proofErr w:type="spellStart"/>
      <w:r w:rsidRPr="00DA18C4">
        <w:rPr>
          <w:rFonts w:ascii="Times New Roman" w:hAnsi="Times New Roman" w:cs="Times New Roman"/>
          <w:b/>
          <w:i/>
          <w:sz w:val="28"/>
          <w:szCs w:val="28"/>
        </w:rPr>
        <w:t>commercial</w:t>
      </w:r>
      <w:proofErr w:type="spellEnd"/>
      <w:r w:rsidRPr="00DA18C4">
        <w:rPr>
          <w:rFonts w:ascii="Times New Roman" w:hAnsi="Times New Roman" w:cs="Times New Roman"/>
          <w:b/>
          <w:i/>
          <w:sz w:val="28"/>
          <w:szCs w:val="28"/>
        </w:rPr>
        <w:t xml:space="preserve"> </w:t>
      </w:r>
      <w:proofErr w:type="spellStart"/>
      <w:r w:rsidRPr="00DA18C4">
        <w:rPr>
          <w:rFonts w:ascii="Times New Roman" w:hAnsi="Times New Roman" w:cs="Times New Roman"/>
          <w:b/>
          <w:i/>
          <w:sz w:val="28"/>
          <w:szCs w:val="28"/>
        </w:rPr>
        <w:t>advertising</w:t>
      </w:r>
      <w:proofErr w:type="spellEnd"/>
      <w:r w:rsidRPr="00DA18C4">
        <w:rPr>
          <w:rFonts w:ascii="Times New Roman" w:hAnsi="Times New Roman" w:cs="Times New Roman"/>
          <w:b/>
          <w:i/>
          <w:sz w:val="28"/>
          <w:szCs w:val="28"/>
        </w:rPr>
        <w:t xml:space="preserve"> </w:t>
      </w:r>
      <w:proofErr w:type="spellStart"/>
      <w:r w:rsidRPr="00DA18C4">
        <w:rPr>
          <w:rFonts w:ascii="Times New Roman" w:hAnsi="Times New Roman" w:cs="Times New Roman"/>
          <w:b/>
          <w:i/>
          <w:sz w:val="28"/>
          <w:szCs w:val="28"/>
        </w:rPr>
        <w:t>of</w:t>
      </w:r>
      <w:proofErr w:type="spellEnd"/>
      <w:r w:rsidRPr="00DA18C4">
        <w:rPr>
          <w:rFonts w:ascii="Times New Roman" w:hAnsi="Times New Roman" w:cs="Times New Roman"/>
          <w:b/>
          <w:i/>
          <w:sz w:val="28"/>
          <w:szCs w:val="28"/>
        </w:rPr>
        <w:t xml:space="preserve"> </w:t>
      </w:r>
      <w:proofErr w:type="spellStart"/>
      <w:r>
        <w:rPr>
          <w:rFonts w:ascii="Times New Roman" w:hAnsi="Times New Roman" w:cs="Times New Roman"/>
          <w:b/>
          <w:i/>
          <w:sz w:val="28"/>
          <w:szCs w:val="28"/>
        </w:rPr>
        <w:t>C</w:t>
      </w:r>
      <w:r w:rsidRPr="00DA18C4">
        <w:rPr>
          <w:rFonts w:ascii="Times New Roman" w:hAnsi="Times New Roman" w:cs="Times New Roman"/>
          <w:b/>
          <w:i/>
          <w:sz w:val="28"/>
          <w:szCs w:val="28"/>
        </w:rPr>
        <w:t>ubavisión</w:t>
      </w:r>
      <w:proofErr w:type="spellEnd"/>
      <w:r w:rsidRPr="00DA18C4">
        <w:rPr>
          <w:rFonts w:ascii="Times New Roman" w:hAnsi="Times New Roman" w:cs="Times New Roman"/>
          <w:b/>
          <w:i/>
          <w:sz w:val="28"/>
          <w:szCs w:val="28"/>
        </w:rPr>
        <w:t xml:space="preserve"> </w:t>
      </w:r>
      <w:r>
        <w:rPr>
          <w:rFonts w:ascii="Times New Roman" w:hAnsi="Times New Roman" w:cs="Times New Roman"/>
          <w:b/>
          <w:i/>
          <w:sz w:val="28"/>
          <w:szCs w:val="28"/>
        </w:rPr>
        <w:t>I</w:t>
      </w:r>
      <w:r w:rsidRPr="00DA18C4">
        <w:rPr>
          <w:rFonts w:ascii="Times New Roman" w:hAnsi="Times New Roman" w:cs="Times New Roman"/>
          <w:b/>
          <w:i/>
          <w:sz w:val="28"/>
          <w:szCs w:val="28"/>
        </w:rPr>
        <w:t>nternacional</w:t>
      </w:r>
    </w:p>
    <w:p w14:paraId="7079F594" w14:textId="77777777" w:rsidR="009D5E02" w:rsidRDefault="009D5E02" w:rsidP="00FF3346">
      <w:pPr>
        <w:spacing w:after="0" w:line="360" w:lineRule="auto"/>
        <w:rPr>
          <w:rFonts w:ascii="Times New Roman" w:hAnsi="Times New Roman" w:cs="Times New Roman"/>
          <w:b/>
          <w:sz w:val="24"/>
          <w:szCs w:val="24"/>
        </w:rPr>
      </w:pPr>
    </w:p>
    <w:p w14:paraId="11CF34F7" w14:textId="77777777" w:rsidR="002E0882" w:rsidRDefault="002E0882" w:rsidP="00FF3346">
      <w:pPr>
        <w:spacing w:after="0" w:line="360" w:lineRule="auto"/>
        <w:jc w:val="both"/>
        <w:rPr>
          <w:rFonts w:ascii="Times New Roman" w:hAnsi="Times New Roman" w:cs="Times New Roman"/>
          <w:sz w:val="24"/>
          <w:szCs w:val="24"/>
        </w:rPr>
      </w:pPr>
      <w:r w:rsidRPr="002E0882">
        <w:rPr>
          <w:rFonts w:ascii="Times New Roman" w:hAnsi="Times New Roman" w:cs="Times New Roman"/>
          <w:sz w:val="24"/>
          <w:szCs w:val="24"/>
        </w:rPr>
        <w:t>(</w:t>
      </w:r>
      <w:r w:rsidR="00FF3346">
        <w:rPr>
          <w:rFonts w:ascii="Times New Roman" w:hAnsi="Times New Roman" w:cs="Times New Roman"/>
          <w:sz w:val="24"/>
          <w:szCs w:val="24"/>
        </w:rPr>
        <w:t>A</w:t>
      </w:r>
      <w:r>
        <w:rPr>
          <w:rFonts w:ascii="Times New Roman" w:hAnsi="Times New Roman" w:cs="Times New Roman"/>
          <w:sz w:val="24"/>
          <w:szCs w:val="24"/>
        </w:rPr>
        <w:t xml:space="preserve"> partir de aquí todo estará justificado, tamaño de letra Times New </w:t>
      </w:r>
      <w:proofErr w:type="spellStart"/>
      <w:r>
        <w:rPr>
          <w:rFonts w:ascii="Times New Roman" w:hAnsi="Times New Roman" w:cs="Times New Roman"/>
          <w:sz w:val="24"/>
          <w:szCs w:val="24"/>
        </w:rPr>
        <w:t>Roman</w:t>
      </w:r>
      <w:proofErr w:type="spellEnd"/>
      <w:r>
        <w:rPr>
          <w:rFonts w:ascii="Times New Roman" w:hAnsi="Times New Roman" w:cs="Times New Roman"/>
          <w:sz w:val="24"/>
          <w:szCs w:val="24"/>
        </w:rPr>
        <w:t xml:space="preserve">, </w:t>
      </w:r>
      <w:r w:rsidR="00FF3346">
        <w:rPr>
          <w:rFonts w:ascii="Times New Roman" w:hAnsi="Times New Roman" w:cs="Times New Roman"/>
          <w:sz w:val="24"/>
          <w:szCs w:val="24"/>
        </w:rPr>
        <w:t xml:space="preserve">1.5 de interlineado </w:t>
      </w:r>
      <w:r>
        <w:rPr>
          <w:rFonts w:ascii="Times New Roman" w:hAnsi="Times New Roman" w:cs="Times New Roman"/>
          <w:sz w:val="24"/>
          <w:szCs w:val="24"/>
        </w:rPr>
        <w:t xml:space="preserve">y 12 </w:t>
      </w:r>
      <w:r w:rsidR="005754D8">
        <w:rPr>
          <w:rFonts w:ascii="Times New Roman" w:hAnsi="Times New Roman" w:cs="Times New Roman"/>
          <w:sz w:val="24"/>
          <w:szCs w:val="24"/>
        </w:rPr>
        <w:t>puntos</w:t>
      </w:r>
      <w:r w:rsidR="00FF3346">
        <w:rPr>
          <w:rFonts w:ascii="Times New Roman" w:hAnsi="Times New Roman" w:cs="Times New Roman"/>
          <w:sz w:val="24"/>
          <w:szCs w:val="24"/>
        </w:rPr>
        <w:t>.</w:t>
      </w:r>
      <w:r w:rsidRPr="002E0882">
        <w:rPr>
          <w:rFonts w:ascii="Times New Roman" w:hAnsi="Times New Roman" w:cs="Times New Roman"/>
          <w:sz w:val="24"/>
          <w:szCs w:val="24"/>
        </w:rPr>
        <w:t>)</w:t>
      </w:r>
      <w:r>
        <w:rPr>
          <w:rFonts w:ascii="Times New Roman" w:hAnsi="Times New Roman" w:cs="Times New Roman"/>
          <w:sz w:val="24"/>
          <w:szCs w:val="24"/>
        </w:rPr>
        <w:t>.</w:t>
      </w:r>
    </w:p>
    <w:p w14:paraId="552FA77E" w14:textId="77777777" w:rsidR="002E0882" w:rsidRPr="002E0882" w:rsidRDefault="002E0882" w:rsidP="00FF3346">
      <w:pPr>
        <w:spacing w:after="0" w:line="360" w:lineRule="auto"/>
        <w:rPr>
          <w:rFonts w:ascii="Times New Roman" w:hAnsi="Times New Roman" w:cs="Times New Roman"/>
          <w:sz w:val="24"/>
          <w:szCs w:val="24"/>
        </w:rPr>
      </w:pPr>
    </w:p>
    <w:p w14:paraId="5872608E" w14:textId="04CE8063" w:rsidR="009D5E02" w:rsidRPr="00DA18C4" w:rsidRDefault="00DA18C4" w:rsidP="00DA18C4">
      <w:pPr>
        <w:spacing w:after="0"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Amalia Ramos Pérez</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proofErr w:type="spellStart"/>
      <w:r>
        <w:rPr>
          <w:rFonts w:ascii="Times New Roman" w:hAnsi="Times New Roman" w:cs="Times New Roman"/>
          <w:b/>
          <w:sz w:val="24"/>
          <w:szCs w:val="24"/>
        </w:rPr>
        <w:t>Grettel</w:t>
      </w:r>
      <w:proofErr w:type="spellEnd"/>
      <w:r>
        <w:rPr>
          <w:rFonts w:ascii="Times New Roman" w:hAnsi="Times New Roman" w:cs="Times New Roman"/>
          <w:b/>
          <w:sz w:val="24"/>
          <w:szCs w:val="24"/>
        </w:rPr>
        <w:t xml:space="preserve"> Rodríguez Bazán</w:t>
      </w:r>
      <w:r w:rsidR="009D5E02">
        <w:rPr>
          <w:rFonts w:ascii="Times New Roman" w:hAnsi="Times New Roman" w:cs="Times New Roman"/>
          <w:b/>
          <w:sz w:val="24"/>
          <w:szCs w:val="24"/>
          <w:vertAlign w:val="superscript"/>
        </w:rPr>
        <w:t>2</w:t>
      </w:r>
      <w:r w:rsidR="009D5E02">
        <w:rPr>
          <w:rFonts w:ascii="Times New Roman" w:hAnsi="Times New Roman" w:cs="Times New Roman"/>
          <w:b/>
          <w:sz w:val="24"/>
          <w:szCs w:val="24"/>
        </w:rPr>
        <w:t xml:space="preserve">, </w:t>
      </w:r>
      <w:proofErr w:type="spellStart"/>
      <w:r>
        <w:rPr>
          <w:rFonts w:ascii="Times New Roman" w:hAnsi="Times New Roman" w:cs="Times New Roman"/>
          <w:b/>
          <w:sz w:val="24"/>
          <w:szCs w:val="24"/>
        </w:rPr>
        <w:t>Yadán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Crecencio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Galañena</w:t>
      </w:r>
      <w:proofErr w:type="spellEnd"/>
      <w:r>
        <w:rPr>
          <w:rFonts w:ascii="Times New Roman" w:hAnsi="Times New Roman" w:cs="Times New Roman"/>
          <w:b/>
          <w:sz w:val="24"/>
          <w:szCs w:val="24"/>
        </w:rPr>
        <w:t xml:space="preserve"> León</w:t>
      </w:r>
      <w:r>
        <w:rPr>
          <w:rFonts w:ascii="Times New Roman" w:hAnsi="Times New Roman" w:cs="Times New Roman"/>
          <w:b/>
          <w:sz w:val="24"/>
          <w:szCs w:val="24"/>
          <w:vertAlign w:val="superscript"/>
        </w:rPr>
        <w:t>3</w:t>
      </w:r>
    </w:p>
    <w:p w14:paraId="1363C488" w14:textId="77777777" w:rsidR="00DA18C4" w:rsidRDefault="00DA18C4" w:rsidP="00DA18C4">
      <w:pPr>
        <w:spacing w:after="0" w:line="360" w:lineRule="auto"/>
        <w:jc w:val="center"/>
        <w:rPr>
          <w:rFonts w:ascii="Times New Roman" w:hAnsi="Times New Roman" w:cs="Times New Roman"/>
          <w:sz w:val="24"/>
          <w:szCs w:val="24"/>
        </w:rPr>
      </w:pPr>
    </w:p>
    <w:p w14:paraId="36EF0CE4" w14:textId="539E8921"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DA18C4">
        <w:rPr>
          <w:rFonts w:ascii="Times New Roman" w:hAnsi="Times New Roman" w:cs="Times New Roman"/>
          <w:sz w:val="24"/>
          <w:szCs w:val="24"/>
        </w:rPr>
        <w:t>Amalia Ramos Pérez</w:t>
      </w:r>
      <w:r w:rsidRPr="00E912D0">
        <w:rPr>
          <w:rFonts w:ascii="Times New Roman" w:hAnsi="Times New Roman" w:cs="Times New Roman"/>
          <w:sz w:val="24"/>
          <w:szCs w:val="24"/>
        </w:rPr>
        <w:t xml:space="preserve">. </w:t>
      </w:r>
      <w:proofErr w:type="spellStart"/>
      <w:r w:rsidR="00DA18C4">
        <w:rPr>
          <w:rFonts w:ascii="Times New Roman" w:hAnsi="Times New Roman" w:cs="Times New Roman"/>
          <w:sz w:val="24"/>
          <w:szCs w:val="24"/>
        </w:rPr>
        <w:t>Telecubanacán</w:t>
      </w:r>
      <w:proofErr w:type="spellEnd"/>
      <w:r w:rsidRPr="00E912D0">
        <w:rPr>
          <w:rFonts w:ascii="Times New Roman" w:hAnsi="Times New Roman" w:cs="Times New Roman"/>
          <w:sz w:val="24"/>
          <w:szCs w:val="24"/>
        </w:rPr>
        <w:t xml:space="preserve">, </w:t>
      </w:r>
      <w:r w:rsidR="00DA18C4">
        <w:rPr>
          <w:rFonts w:ascii="Times New Roman" w:hAnsi="Times New Roman" w:cs="Times New Roman"/>
          <w:sz w:val="24"/>
          <w:szCs w:val="24"/>
        </w:rPr>
        <w:t>Cuba</w:t>
      </w:r>
      <w:r w:rsidRPr="00E912D0">
        <w:rPr>
          <w:rFonts w:ascii="Times New Roman" w:hAnsi="Times New Roman" w:cs="Times New Roman"/>
          <w:sz w:val="24"/>
          <w:szCs w:val="24"/>
        </w:rPr>
        <w:t>. E-mail:</w:t>
      </w:r>
      <w:r w:rsidR="00DA18C4">
        <w:rPr>
          <w:rFonts w:ascii="Times New Roman" w:hAnsi="Times New Roman" w:cs="Times New Roman"/>
          <w:sz w:val="24"/>
          <w:szCs w:val="24"/>
        </w:rPr>
        <w:t xml:space="preserve"> amalia.ramos</w:t>
      </w:r>
      <w:r w:rsidR="00DA18C4" w:rsidRPr="00DA18C4">
        <w:rPr>
          <w:rFonts w:ascii="Times New Roman" w:hAnsi="Times New Roman" w:cs="Times New Roman"/>
          <w:sz w:val="24"/>
          <w:szCs w:val="24"/>
        </w:rPr>
        <w:t>@icrt.cu</w:t>
      </w:r>
    </w:p>
    <w:p w14:paraId="0BCE507C" w14:textId="4E004AFB" w:rsidR="00E912D0"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008A48A6">
        <w:rPr>
          <w:rFonts w:ascii="Times New Roman" w:hAnsi="Times New Roman" w:cs="Times New Roman"/>
          <w:sz w:val="24"/>
          <w:szCs w:val="24"/>
        </w:rPr>
        <w:t>Grettel Rodríguez Bazán</w:t>
      </w:r>
      <w:r w:rsidRPr="00E912D0">
        <w:rPr>
          <w:rFonts w:ascii="Times New Roman" w:hAnsi="Times New Roman" w:cs="Times New Roman"/>
          <w:sz w:val="24"/>
          <w:szCs w:val="24"/>
        </w:rPr>
        <w:t xml:space="preserve">. </w:t>
      </w:r>
      <w:r w:rsidR="008A48A6">
        <w:rPr>
          <w:rFonts w:ascii="Times New Roman" w:hAnsi="Times New Roman" w:cs="Times New Roman"/>
          <w:sz w:val="24"/>
          <w:szCs w:val="24"/>
        </w:rPr>
        <w:t>Universidad Central “Marta Abreu” de Las Villas</w:t>
      </w:r>
      <w:r w:rsidRPr="00E912D0">
        <w:rPr>
          <w:rFonts w:ascii="Times New Roman" w:hAnsi="Times New Roman" w:cs="Times New Roman"/>
          <w:sz w:val="24"/>
          <w:szCs w:val="24"/>
        </w:rPr>
        <w:t xml:space="preserve">, </w:t>
      </w:r>
      <w:r w:rsidR="008A48A6">
        <w:rPr>
          <w:rFonts w:ascii="Times New Roman" w:hAnsi="Times New Roman" w:cs="Times New Roman"/>
          <w:sz w:val="24"/>
          <w:szCs w:val="24"/>
        </w:rPr>
        <w:t>Cuba</w:t>
      </w:r>
      <w:r w:rsidRPr="00E912D0">
        <w:rPr>
          <w:rFonts w:ascii="Times New Roman" w:hAnsi="Times New Roman" w:cs="Times New Roman"/>
          <w:sz w:val="24"/>
          <w:szCs w:val="24"/>
        </w:rPr>
        <w:t>. E-mail:</w:t>
      </w:r>
      <w:r w:rsidR="008A48A6">
        <w:rPr>
          <w:rFonts w:ascii="Times New Roman" w:hAnsi="Times New Roman" w:cs="Times New Roman"/>
          <w:sz w:val="24"/>
          <w:szCs w:val="24"/>
        </w:rPr>
        <w:t xml:space="preserve"> </w:t>
      </w:r>
      <w:hyperlink r:id="rId7" w:history="1">
        <w:r w:rsidR="008A48A6" w:rsidRPr="00BF1978">
          <w:rPr>
            <w:rStyle w:val="Hipervnculo"/>
            <w:rFonts w:ascii="Times New Roman" w:hAnsi="Times New Roman" w:cs="Times New Roman"/>
            <w:sz w:val="24"/>
            <w:szCs w:val="24"/>
          </w:rPr>
          <w:t>grodriguez</w:t>
        </w:r>
        <w:r w:rsidR="008A48A6" w:rsidRPr="00BF1978">
          <w:rPr>
            <w:rStyle w:val="Hipervnculo"/>
            <w:rFonts w:ascii="Times New Roman" w:hAnsi="Times New Roman" w:cs="Times New Roman"/>
            <w:sz w:val="24"/>
            <w:szCs w:val="24"/>
          </w:rPr>
          <w:t>@icrt.cu</w:t>
        </w:r>
      </w:hyperlink>
    </w:p>
    <w:p w14:paraId="798D032B" w14:textId="0E9F1CB2" w:rsidR="008A48A6" w:rsidRDefault="008A48A6"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3-Yadán </w:t>
      </w:r>
      <w:proofErr w:type="spellStart"/>
      <w:r>
        <w:rPr>
          <w:rFonts w:ascii="Times New Roman" w:hAnsi="Times New Roman" w:cs="Times New Roman"/>
          <w:sz w:val="24"/>
          <w:szCs w:val="24"/>
        </w:rPr>
        <w:t>Crecencio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Galañen</w:t>
      </w:r>
      <w:r w:rsidR="0084068B">
        <w:rPr>
          <w:rFonts w:ascii="Times New Roman" w:hAnsi="Times New Roman" w:cs="Times New Roman"/>
          <w:sz w:val="24"/>
          <w:szCs w:val="24"/>
        </w:rPr>
        <w:t>a</w:t>
      </w:r>
      <w:proofErr w:type="spellEnd"/>
      <w:r w:rsidR="0084068B">
        <w:rPr>
          <w:rFonts w:ascii="Times New Roman" w:hAnsi="Times New Roman" w:cs="Times New Roman"/>
          <w:sz w:val="24"/>
          <w:szCs w:val="24"/>
        </w:rPr>
        <w:t xml:space="preserve"> León. </w:t>
      </w:r>
      <w:r w:rsidR="0084068B" w:rsidRPr="0084068B">
        <w:rPr>
          <w:rFonts w:ascii="Times New Roman" w:hAnsi="Times New Roman" w:cs="Times New Roman"/>
          <w:sz w:val="24"/>
          <w:szCs w:val="24"/>
        </w:rPr>
        <w:t>Empresa Nacional de Investigaciones Aplicadas</w:t>
      </w:r>
      <w:r w:rsidR="0084068B">
        <w:rPr>
          <w:rFonts w:ascii="Times New Roman" w:hAnsi="Times New Roman" w:cs="Times New Roman"/>
          <w:sz w:val="24"/>
          <w:szCs w:val="24"/>
        </w:rPr>
        <w:t>, Cuba. E-mail: yadan</w:t>
      </w:r>
      <w:r w:rsidR="0084068B" w:rsidRPr="0084068B">
        <w:rPr>
          <w:rFonts w:ascii="Times New Roman" w:hAnsi="Times New Roman" w:cs="Times New Roman"/>
          <w:sz w:val="24"/>
          <w:szCs w:val="24"/>
        </w:rPr>
        <w:t>@gmx.es</w:t>
      </w:r>
    </w:p>
    <w:p w14:paraId="04F26DBB" w14:textId="77777777" w:rsidR="00E912D0" w:rsidRDefault="00E912D0" w:rsidP="00FF3346">
      <w:pPr>
        <w:spacing w:after="0" w:line="360" w:lineRule="auto"/>
        <w:rPr>
          <w:rFonts w:ascii="Times New Roman" w:hAnsi="Times New Roman" w:cs="Times New Roman"/>
          <w:b/>
          <w:sz w:val="24"/>
          <w:szCs w:val="24"/>
        </w:rPr>
      </w:pPr>
    </w:p>
    <w:p w14:paraId="7EC2AF47" w14:textId="77777777" w:rsidR="0084068B" w:rsidRDefault="008A1C16" w:rsidP="0084068B">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3E76F3A3" w14:textId="5026E241" w:rsidR="009061A5"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La humanidad ha estado marcada por desigualdades ideológicamente fundadas sobre el concepto biológico de género. Cuba no escapa a esa realidad, de ahí que establezca estrategias por la equidad, la tolerancia y la inclusión. El objetivo de esta investigación resulta caracterizar la expresión ideológica de género en el discurso publicitario comercial del canal </w:t>
      </w:r>
      <w:proofErr w:type="spellStart"/>
      <w:r w:rsidRPr="0084068B">
        <w:rPr>
          <w:rFonts w:ascii="Times New Roman" w:hAnsi="Times New Roman" w:cs="Times New Roman"/>
          <w:i/>
          <w:iCs/>
          <w:sz w:val="24"/>
          <w:szCs w:val="24"/>
        </w:rPr>
        <w:t>Cubavisión</w:t>
      </w:r>
      <w:proofErr w:type="spellEnd"/>
      <w:r w:rsidRPr="0084068B">
        <w:rPr>
          <w:rFonts w:ascii="Times New Roman" w:hAnsi="Times New Roman" w:cs="Times New Roman"/>
          <w:i/>
          <w:iCs/>
          <w:sz w:val="24"/>
          <w:szCs w:val="24"/>
        </w:rPr>
        <w:t xml:space="preserve"> Internacional</w:t>
      </w:r>
      <w:r w:rsidRPr="0084068B">
        <w:rPr>
          <w:rFonts w:ascii="Times New Roman" w:hAnsi="Times New Roman" w:cs="Times New Roman"/>
          <w:sz w:val="24"/>
          <w:szCs w:val="24"/>
        </w:rPr>
        <w:t xml:space="preserve"> (CVI), durante el año 2019. Se asume el Análisis del Discurso Multimodal y, como técnicas, se aplican entrevistas semiestructurada y estructurada a expertos en temas de género y publicidad televisiva, así como a emisores del canal. La investigación propone una nueva definición de construcción discursiva de género para el análisis de la publicidad comercial que permite desmontar patrones hegemónicos heteronormativos en el discurso televisivo.</w:t>
      </w:r>
    </w:p>
    <w:p w14:paraId="1C4B4948" w14:textId="77777777" w:rsidR="0084068B" w:rsidRDefault="009061A5" w:rsidP="00FF3346">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
    <w:p w14:paraId="746D897B" w14:textId="1A03BBE0" w:rsidR="009061A5" w:rsidRPr="0084068B" w:rsidRDefault="0084068B" w:rsidP="00FF3346">
      <w:pPr>
        <w:spacing w:after="0" w:line="360" w:lineRule="auto"/>
        <w:jc w:val="both"/>
        <w:rPr>
          <w:rFonts w:ascii="Times New Roman" w:hAnsi="Times New Roman" w:cs="Times New Roman"/>
          <w:i/>
          <w:iCs/>
          <w:sz w:val="24"/>
          <w:szCs w:val="24"/>
        </w:rPr>
      </w:pPr>
      <w:proofErr w:type="spellStart"/>
      <w:r w:rsidRPr="0084068B">
        <w:rPr>
          <w:rFonts w:ascii="Times New Roman" w:hAnsi="Times New Roman" w:cs="Times New Roman"/>
          <w:i/>
          <w:iCs/>
          <w:sz w:val="24"/>
          <w:szCs w:val="24"/>
        </w:rPr>
        <w:lastRenderedPageBreak/>
        <w:t>The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history</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of</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humanity</w:t>
      </w:r>
      <w:proofErr w:type="spellEnd"/>
      <w:r w:rsidRPr="0084068B">
        <w:rPr>
          <w:rFonts w:ascii="Times New Roman" w:hAnsi="Times New Roman" w:cs="Times New Roman"/>
          <w:i/>
          <w:iCs/>
          <w:sz w:val="24"/>
          <w:szCs w:val="24"/>
        </w:rPr>
        <w:t xml:space="preserve"> has </w:t>
      </w:r>
      <w:proofErr w:type="spellStart"/>
      <w:r w:rsidRPr="0084068B">
        <w:rPr>
          <w:rFonts w:ascii="Times New Roman" w:hAnsi="Times New Roman" w:cs="Times New Roman"/>
          <w:i/>
          <w:iCs/>
          <w:sz w:val="24"/>
          <w:szCs w:val="24"/>
        </w:rPr>
        <w:t>been</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marked</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by</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ideologically</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founded</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inequalities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on</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the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biological</w:t>
      </w:r>
      <w:proofErr w:type="spellEnd"/>
      <w:r w:rsidRPr="0084068B">
        <w:rPr>
          <w:rFonts w:ascii="Times New Roman" w:hAnsi="Times New Roman" w:cs="Times New Roman"/>
          <w:i/>
          <w:iCs/>
          <w:sz w:val="24"/>
          <w:szCs w:val="24"/>
        </w:rPr>
        <w:t xml:space="preserve"> concept </w:t>
      </w:r>
      <w:proofErr w:type="spellStart"/>
      <w:r w:rsidRPr="0084068B">
        <w:rPr>
          <w:rFonts w:ascii="Times New Roman" w:hAnsi="Times New Roman" w:cs="Times New Roman"/>
          <w:i/>
          <w:iCs/>
          <w:sz w:val="24"/>
          <w:szCs w:val="24"/>
        </w:rPr>
        <w:t>of</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gender</w:t>
      </w:r>
      <w:proofErr w:type="spellEnd"/>
      <w:r w:rsidRPr="0084068B">
        <w:rPr>
          <w:rFonts w:ascii="Times New Roman" w:hAnsi="Times New Roman" w:cs="Times New Roman"/>
          <w:i/>
          <w:iCs/>
          <w:sz w:val="24"/>
          <w:szCs w:val="24"/>
        </w:rPr>
        <w:t xml:space="preserve">. Cuba </w:t>
      </w:r>
      <w:proofErr w:type="spellStart"/>
      <w:r w:rsidRPr="0084068B">
        <w:rPr>
          <w:rFonts w:ascii="Times New Roman" w:hAnsi="Times New Roman" w:cs="Times New Roman"/>
          <w:i/>
          <w:iCs/>
          <w:sz w:val="24"/>
          <w:szCs w:val="24"/>
        </w:rPr>
        <w:t>does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not</w:t>
      </w:r>
      <w:proofErr w:type="spellEnd"/>
      <w:r w:rsidRPr="0084068B">
        <w:rPr>
          <w:rFonts w:ascii="Times New Roman" w:hAnsi="Times New Roman" w:cs="Times New Roman"/>
          <w:i/>
          <w:iCs/>
          <w:sz w:val="24"/>
          <w:szCs w:val="24"/>
        </w:rPr>
        <w:t xml:space="preserve"> escape </w:t>
      </w:r>
      <w:proofErr w:type="spellStart"/>
      <w:r w:rsidRPr="0084068B">
        <w:rPr>
          <w:rFonts w:ascii="Times New Roman" w:hAnsi="Times New Roman" w:cs="Times New Roman"/>
          <w:i/>
          <w:iCs/>
          <w:sz w:val="24"/>
          <w:szCs w:val="24"/>
        </w:rPr>
        <w:t>from</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that</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reality</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hence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it</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establishes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strategies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for</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equity</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tolerance</w:t>
      </w:r>
      <w:proofErr w:type="spellEnd"/>
      <w:r w:rsidRPr="0084068B">
        <w:rPr>
          <w:rFonts w:ascii="Times New Roman" w:hAnsi="Times New Roman" w:cs="Times New Roman"/>
          <w:i/>
          <w:iCs/>
          <w:sz w:val="24"/>
          <w:szCs w:val="24"/>
        </w:rPr>
        <w:t xml:space="preserve"> and </w:t>
      </w:r>
      <w:proofErr w:type="spellStart"/>
      <w:r w:rsidRPr="0084068B">
        <w:rPr>
          <w:rFonts w:ascii="Times New Roman" w:hAnsi="Times New Roman" w:cs="Times New Roman"/>
          <w:i/>
          <w:iCs/>
          <w:sz w:val="24"/>
          <w:szCs w:val="24"/>
        </w:rPr>
        <w:t>inclusion</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The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objective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of</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this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research</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is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to</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characterize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the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ideological</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expression</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of</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gender</w:t>
      </w:r>
      <w:proofErr w:type="spellEnd"/>
      <w:r w:rsidRPr="0084068B">
        <w:rPr>
          <w:rFonts w:ascii="Times New Roman" w:hAnsi="Times New Roman" w:cs="Times New Roman"/>
          <w:i/>
          <w:iCs/>
          <w:sz w:val="24"/>
          <w:szCs w:val="24"/>
        </w:rPr>
        <w:t xml:space="preserve"> in </w:t>
      </w:r>
      <w:proofErr w:type="spellStart"/>
      <w:r w:rsidRPr="0084068B">
        <w:rPr>
          <w:rFonts w:ascii="Times New Roman" w:hAnsi="Times New Roman" w:cs="Times New Roman"/>
          <w:i/>
          <w:iCs/>
          <w:sz w:val="24"/>
          <w:szCs w:val="24"/>
        </w:rPr>
        <w:t>the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commercial</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advertising</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discourse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of</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the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Cubavisión</w:t>
      </w:r>
      <w:proofErr w:type="spellEnd"/>
      <w:r w:rsidRPr="0084068B">
        <w:rPr>
          <w:rFonts w:ascii="Times New Roman" w:hAnsi="Times New Roman" w:cs="Times New Roman"/>
          <w:i/>
          <w:iCs/>
          <w:sz w:val="24"/>
          <w:szCs w:val="24"/>
        </w:rPr>
        <w:t xml:space="preserve"> Internacional (CVI) </w:t>
      </w:r>
      <w:proofErr w:type="spellStart"/>
      <w:r w:rsidRPr="0084068B">
        <w:rPr>
          <w:rFonts w:ascii="Times New Roman" w:hAnsi="Times New Roman" w:cs="Times New Roman"/>
          <w:i/>
          <w:iCs/>
          <w:sz w:val="24"/>
          <w:szCs w:val="24"/>
        </w:rPr>
        <w:t>channel</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during</w:t>
      </w:r>
      <w:proofErr w:type="spellEnd"/>
      <w:r w:rsidRPr="0084068B">
        <w:rPr>
          <w:rFonts w:ascii="Times New Roman" w:hAnsi="Times New Roman" w:cs="Times New Roman"/>
          <w:i/>
          <w:iCs/>
          <w:sz w:val="24"/>
          <w:szCs w:val="24"/>
        </w:rPr>
        <w:t xml:space="preserve"> 2019. </w:t>
      </w:r>
      <w:proofErr w:type="spellStart"/>
      <w:r w:rsidRPr="0084068B">
        <w:rPr>
          <w:rFonts w:ascii="Times New Roman" w:hAnsi="Times New Roman" w:cs="Times New Roman"/>
          <w:i/>
          <w:iCs/>
          <w:sz w:val="24"/>
          <w:szCs w:val="24"/>
        </w:rPr>
        <w:t>The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Analysis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of</w:t>
      </w:r>
      <w:proofErr w:type="spellEnd"/>
      <w:r w:rsidRPr="0084068B">
        <w:rPr>
          <w:rFonts w:ascii="Times New Roman" w:hAnsi="Times New Roman" w:cs="Times New Roman"/>
          <w:i/>
          <w:iCs/>
          <w:sz w:val="24"/>
          <w:szCs w:val="24"/>
        </w:rPr>
        <w:t xml:space="preserve"> Multimodal </w:t>
      </w:r>
      <w:proofErr w:type="spellStart"/>
      <w:r w:rsidRPr="0084068B">
        <w:rPr>
          <w:rFonts w:ascii="Times New Roman" w:hAnsi="Times New Roman" w:cs="Times New Roman"/>
          <w:i/>
          <w:iCs/>
          <w:sz w:val="24"/>
          <w:szCs w:val="24"/>
        </w:rPr>
        <w:t>Discourse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is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assumed</w:t>
      </w:r>
      <w:proofErr w:type="spellEnd"/>
      <w:r w:rsidRPr="0084068B">
        <w:rPr>
          <w:rFonts w:ascii="Times New Roman" w:hAnsi="Times New Roman" w:cs="Times New Roman"/>
          <w:i/>
          <w:iCs/>
          <w:sz w:val="24"/>
          <w:szCs w:val="24"/>
        </w:rPr>
        <w:t xml:space="preserve"> and, as </w:t>
      </w:r>
      <w:proofErr w:type="spellStart"/>
      <w:r w:rsidRPr="0084068B">
        <w:rPr>
          <w:rFonts w:ascii="Times New Roman" w:hAnsi="Times New Roman" w:cs="Times New Roman"/>
          <w:i/>
          <w:iCs/>
          <w:sz w:val="24"/>
          <w:szCs w:val="24"/>
        </w:rPr>
        <w:t>techniques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semi-structured</w:t>
      </w:r>
      <w:proofErr w:type="spellEnd"/>
      <w:r w:rsidRPr="0084068B">
        <w:rPr>
          <w:rFonts w:ascii="Times New Roman" w:hAnsi="Times New Roman" w:cs="Times New Roman"/>
          <w:i/>
          <w:iCs/>
          <w:sz w:val="24"/>
          <w:szCs w:val="24"/>
        </w:rPr>
        <w:t xml:space="preserve"> and </w:t>
      </w:r>
      <w:proofErr w:type="spellStart"/>
      <w:r w:rsidRPr="0084068B">
        <w:rPr>
          <w:rFonts w:ascii="Times New Roman" w:hAnsi="Times New Roman" w:cs="Times New Roman"/>
          <w:i/>
          <w:iCs/>
          <w:sz w:val="24"/>
          <w:szCs w:val="24"/>
        </w:rPr>
        <w:t>structured</w:t>
      </w:r>
      <w:proofErr w:type="spellEnd"/>
      <w:r w:rsidRPr="0084068B">
        <w:rPr>
          <w:rFonts w:ascii="Times New Roman" w:hAnsi="Times New Roman" w:cs="Times New Roman"/>
          <w:i/>
          <w:iCs/>
          <w:sz w:val="24"/>
          <w:szCs w:val="24"/>
        </w:rPr>
        <w:t xml:space="preserve"> interviews are </w:t>
      </w:r>
      <w:proofErr w:type="spellStart"/>
      <w:r w:rsidRPr="0084068B">
        <w:rPr>
          <w:rFonts w:ascii="Times New Roman" w:hAnsi="Times New Roman" w:cs="Times New Roman"/>
          <w:i/>
          <w:iCs/>
          <w:sz w:val="24"/>
          <w:szCs w:val="24"/>
        </w:rPr>
        <w:t>applied</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to</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experts</w:t>
      </w:r>
      <w:proofErr w:type="spellEnd"/>
      <w:r w:rsidRPr="0084068B">
        <w:rPr>
          <w:rFonts w:ascii="Times New Roman" w:hAnsi="Times New Roman" w:cs="Times New Roman"/>
          <w:i/>
          <w:iCs/>
          <w:sz w:val="24"/>
          <w:szCs w:val="24"/>
        </w:rPr>
        <w:t xml:space="preserve"> in </w:t>
      </w:r>
      <w:proofErr w:type="spellStart"/>
      <w:r w:rsidRPr="0084068B">
        <w:rPr>
          <w:rFonts w:ascii="Times New Roman" w:hAnsi="Times New Roman" w:cs="Times New Roman"/>
          <w:i/>
          <w:iCs/>
          <w:sz w:val="24"/>
          <w:szCs w:val="24"/>
        </w:rPr>
        <w:t>gender</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issues</w:t>
      </w:r>
      <w:proofErr w:type="spellEnd"/>
      <w:r w:rsidRPr="0084068B">
        <w:rPr>
          <w:rFonts w:ascii="Times New Roman" w:hAnsi="Times New Roman" w:cs="Times New Roman"/>
          <w:i/>
          <w:iCs/>
          <w:sz w:val="24"/>
          <w:szCs w:val="24"/>
        </w:rPr>
        <w:t xml:space="preserve"> and </w:t>
      </w:r>
      <w:proofErr w:type="spellStart"/>
      <w:r w:rsidRPr="0084068B">
        <w:rPr>
          <w:rFonts w:ascii="Times New Roman" w:hAnsi="Times New Roman" w:cs="Times New Roman"/>
          <w:i/>
          <w:iCs/>
          <w:sz w:val="24"/>
          <w:szCs w:val="24"/>
        </w:rPr>
        <w:t>television</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advertising</w:t>
      </w:r>
      <w:proofErr w:type="spellEnd"/>
      <w:r w:rsidRPr="0084068B">
        <w:rPr>
          <w:rFonts w:ascii="Times New Roman" w:hAnsi="Times New Roman" w:cs="Times New Roman"/>
          <w:i/>
          <w:iCs/>
          <w:sz w:val="24"/>
          <w:szCs w:val="24"/>
        </w:rPr>
        <w:t xml:space="preserve">, as </w:t>
      </w:r>
      <w:proofErr w:type="spellStart"/>
      <w:r w:rsidRPr="0084068B">
        <w:rPr>
          <w:rFonts w:ascii="Times New Roman" w:hAnsi="Times New Roman" w:cs="Times New Roman"/>
          <w:i/>
          <w:iCs/>
          <w:sz w:val="24"/>
          <w:szCs w:val="24"/>
        </w:rPr>
        <w:t>well</w:t>
      </w:r>
      <w:proofErr w:type="spellEnd"/>
      <w:r w:rsidRPr="0084068B">
        <w:rPr>
          <w:rFonts w:ascii="Times New Roman" w:hAnsi="Times New Roman" w:cs="Times New Roman"/>
          <w:i/>
          <w:iCs/>
          <w:sz w:val="24"/>
          <w:szCs w:val="24"/>
        </w:rPr>
        <w:t xml:space="preserve"> as </w:t>
      </w:r>
      <w:proofErr w:type="spellStart"/>
      <w:r w:rsidRPr="0084068B">
        <w:rPr>
          <w:rFonts w:ascii="Times New Roman" w:hAnsi="Times New Roman" w:cs="Times New Roman"/>
          <w:i/>
          <w:iCs/>
          <w:sz w:val="24"/>
          <w:szCs w:val="24"/>
        </w:rPr>
        <w:t>to</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the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channel's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broadcasters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The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research</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proposes</w:t>
      </w:r>
      <w:proofErr w:type="spellEnd"/>
      <w:r w:rsidRPr="0084068B">
        <w:rPr>
          <w:rFonts w:ascii="Times New Roman" w:hAnsi="Times New Roman" w:cs="Times New Roman"/>
          <w:i/>
          <w:iCs/>
          <w:sz w:val="24"/>
          <w:szCs w:val="24"/>
        </w:rPr>
        <w:t xml:space="preserve"> a new </w:t>
      </w:r>
      <w:proofErr w:type="spellStart"/>
      <w:r w:rsidRPr="0084068B">
        <w:rPr>
          <w:rFonts w:ascii="Times New Roman" w:hAnsi="Times New Roman" w:cs="Times New Roman"/>
          <w:i/>
          <w:iCs/>
          <w:sz w:val="24"/>
          <w:szCs w:val="24"/>
        </w:rPr>
        <w:t>definition</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of</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gender</w:t>
      </w:r>
      <w:proofErr w:type="spellEnd"/>
      <w:r w:rsidRPr="0084068B">
        <w:rPr>
          <w:rFonts w:ascii="Times New Roman" w:hAnsi="Times New Roman" w:cs="Times New Roman"/>
          <w:i/>
          <w:iCs/>
          <w:sz w:val="24"/>
          <w:szCs w:val="24"/>
        </w:rPr>
        <w:t xml:space="preserve"> discursive </w:t>
      </w:r>
      <w:proofErr w:type="spellStart"/>
      <w:r w:rsidRPr="0084068B">
        <w:rPr>
          <w:rFonts w:ascii="Times New Roman" w:hAnsi="Times New Roman" w:cs="Times New Roman"/>
          <w:i/>
          <w:iCs/>
          <w:sz w:val="24"/>
          <w:szCs w:val="24"/>
        </w:rPr>
        <w:t>construction</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for</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the</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analysis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of</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commercial</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advertising</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that</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allows</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dismantling</w:t>
      </w:r>
      <w:proofErr w:type="spellEnd"/>
      <w:r w:rsidRPr="0084068B">
        <w:rPr>
          <w:rFonts w:ascii="Times New Roman" w:hAnsi="Times New Roman" w:cs="Times New Roman"/>
          <w:i/>
          <w:iCs/>
          <w:sz w:val="24"/>
          <w:szCs w:val="24"/>
        </w:rPr>
        <w:t xml:space="preserve"> heteronormative </w:t>
      </w:r>
      <w:proofErr w:type="spellStart"/>
      <w:r w:rsidRPr="0084068B">
        <w:rPr>
          <w:rFonts w:ascii="Times New Roman" w:hAnsi="Times New Roman" w:cs="Times New Roman"/>
          <w:i/>
          <w:iCs/>
          <w:sz w:val="24"/>
          <w:szCs w:val="24"/>
        </w:rPr>
        <w:t>hegemonic</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patterns</w:t>
      </w:r>
      <w:proofErr w:type="spellEnd"/>
      <w:r w:rsidRPr="0084068B">
        <w:rPr>
          <w:rFonts w:ascii="Times New Roman" w:hAnsi="Times New Roman" w:cs="Times New Roman"/>
          <w:i/>
          <w:iCs/>
          <w:sz w:val="24"/>
          <w:szCs w:val="24"/>
        </w:rPr>
        <w:t xml:space="preserve"> in </w:t>
      </w:r>
      <w:proofErr w:type="spellStart"/>
      <w:r w:rsidRPr="0084068B">
        <w:rPr>
          <w:rFonts w:ascii="Times New Roman" w:hAnsi="Times New Roman" w:cs="Times New Roman"/>
          <w:i/>
          <w:iCs/>
          <w:sz w:val="24"/>
          <w:szCs w:val="24"/>
        </w:rPr>
        <w:t>television</w:t>
      </w:r>
      <w:proofErr w:type="spellEnd"/>
      <w:r w:rsidRPr="0084068B">
        <w:rPr>
          <w:rFonts w:ascii="Times New Roman" w:hAnsi="Times New Roman" w:cs="Times New Roman"/>
          <w:i/>
          <w:iCs/>
          <w:sz w:val="24"/>
          <w:szCs w:val="24"/>
        </w:rPr>
        <w:t xml:space="preserve"> </w:t>
      </w:r>
      <w:proofErr w:type="spellStart"/>
      <w:r w:rsidRPr="0084068B">
        <w:rPr>
          <w:rFonts w:ascii="Times New Roman" w:hAnsi="Times New Roman" w:cs="Times New Roman"/>
          <w:i/>
          <w:iCs/>
          <w:sz w:val="24"/>
          <w:szCs w:val="24"/>
        </w:rPr>
        <w:t>discourse</w:t>
      </w:r>
      <w:proofErr w:type="spellEnd"/>
      <w:r w:rsidRPr="0084068B">
        <w:rPr>
          <w:rFonts w:ascii="Times New Roman" w:hAnsi="Times New Roman" w:cs="Times New Roman"/>
          <w:i/>
          <w:iCs/>
          <w:sz w:val="24"/>
          <w:szCs w:val="24"/>
        </w:rPr>
        <w:t>.</w:t>
      </w:r>
    </w:p>
    <w:p w14:paraId="294028A6" w14:textId="77777777" w:rsidR="009061A5" w:rsidRDefault="009061A5" w:rsidP="00FF3346">
      <w:pPr>
        <w:spacing w:after="0" w:line="360" w:lineRule="auto"/>
        <w:jc w:val="both"/>
        <w:rPr>
          <w:rFonts w:ascii="Times New Roman" w:hAnsi="Times New Roman" w:cs="Times New Roman"/>
          <w:sz w:val="24"/>
          <w:szCs w:val="24"/>
        </w:rPr>
      </w:pPr>
    </w:p>
    <w:p w14:paraId="1D64309D" w14:textId="00FC5E89"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84068B" w:rsidRPr="0084068B">
        <w:rPr>
          <w:rFonts w:ascii="Times New Roman" w:hAnsi="Times New Roman" w:cs="Times New Roman"/>
          <w:sz w:val="24"/>
          <w:szCs w:val="24"/>
        </w:rPr>
        <w:t xml:space="preserve">Construcción de género; </w:t>
      </w:r>
      <w:r w:rsidR="0084068B" w:rsidRPr="0084068B">
        <w:rPr>
          <w:rFonts w:ascii="Times New Roman" w:hAnsi="Times New Roman" w:cs="Times New Roman"/>
          <w:i/>
          <w:iCs/>
          <w:sz w:val="24"/>
          <w:szCs w:val="24"/>
        </w:rPr>
        <w:t>S</w:t>
      </w:r>
      <w:r w:rsidR="0084068B" w:rsidRPr="0084068B">
        <w:rPr>
          <w:rFonts w:ascii="Times New Roman" w:hAnsi="Times New Roman" w:cs="Times New Roman"/>
          <w:i/>
          <w:iCs/>
          <w:sz w:val="24"/>
          <w:szCs w:val="24"/>
        </w:rPr>
        <w:t>pots</w:t>
      </w:r>
      <w:r w:rsidR="0084068B" w:rsidRPr="0084068B">
        <w:rPr>
          <w:rFonts w:ascii="Times New Roman" w:hAnsi="Times New Roman" w:cs="Times New Roman"/>
          <w:sz w:val="24"/>
          <w:szCs w:val="24"/>
        </w:rPr>
        <w:t xml:space="preserve"> publicitarios comerciales; </w:t>
      </w:r>
      <w:proofErr w:type="spellStart"/>
      <w:r w:rsidR="0084068B" w:rsidRPr="0084068B">
        <w:rPr>
          <w:rFonts w:ascii="Times New Roman" w:hAnsi="Times New Roman" w:cs="Times New Roman"/>
          <w:sz w:val="24"/>
          <w:szCs w:val="24"/>
        </w:rPr>
        <w:t>Cubavisión</w:t>
      </w:r>
      <w:proofErr w:type="spellEnd"/>
      <w:r w:rsidR="0084068B" w:rsidRPr="0084068B">
        <w:rPr>
          <w:rFonts w:ascii="Times New Roman" w:hAnsi="Times New Roman" w:cs="Times New Roman"/>
          <w:sz w:val="24"/>
          <w:szCs w:val="24"/>
        </w:rPr>
        <w:t xml:space="preserve"> Internacional; </w:t>
      </w:r>
      <w:r w:rsidR="0084068B">
        <w:rPr>
          <w:rFonts w:ascii="Times New Roman" w:hAnsi="Times New Roman" w:cs="Times New Roman"/>
          <w:sz w:val="24"/>
          <w:szCs w:val="24"/>
        </w:rPr>
        <w:t>I</w:t>
      </w:r>
      <w:r w:rsidR="0084068B" w:rsidRPr="0084068B">
        <w:rPr>
          <w:rFonts w:ascii="Times New Roman" w:hAnsi="Times New Roman" w:cs="Times New Roman"/>
          <w:sz w:val="24"/>
          <w:szCs w:val="24"/>
        </w:rPr>
        <w:t xml:space="preserve">deología sobre género; </w:t>
      </w:r>
      <w:r w:rsidR="0084068B">
        <w:rPr>
          <w:rFonts w:ascii="Times New Roman" w:hAnsi="Times New Roman" w:cs="Times New Roman"/>
          <w:sz w:val="24"/>
          <w:szCs w:val="24"/>
        </w:rPr>
        <w:t>D</w:t>
      </w:r>
      <w:r w:rsidR="0084068B" w:rsidRPr="0084068B">
        <w:rPr>
          <w:rFonts w:ascii="Times New Roman" w:hAnsi="Times New Roman" w:cs="Times New Roman"/>
          <w:sz w:val="24"/>
          <w:szCs w:val="24"/>
        </w:rPr>
        <w:t>iscurso publicitario televisivo.</w:t>
      </w:r>
    </w:p>
    <w:p w14:paraId="27A9B561" w14:textId="77777777" w:rsidR="009061A5" w:rsidRDefault="009061A5" w:rsidP="00FF3346">
      <w:pPr>
        <w:spacing w:after="0" w:line="360" w:lineRule="auto"/>
        <w:jc w:val="both"/>
        <w:rPr>
          <w:rFonts w:ascii="Times New Roman" w:hAnsi="Times New Roman" w:cs="Times New Roman"/>
          <w:sz w:val="24"/>
          <w:szCs w:val="24"/>
        </w:rPr>
      </w:pPr>
    </w:p>
    <w:p w14:paraId="34A00283" w14:textId="0A5FF0B7" w:rsidR="009061A5" w:rsidRDefault="009061A5" w:rsidP="00FF3346">
      <w:pPr>
        <w:spacing w:after="0" w:line="360" w:lineRule="auto"/>
        <w:jc w:val="both"/>
        <w:rPr>
          <w:rFonts w:ascii="Times New Roman" w:hAnsi="Times New Roman" w:cs="Times New Roman"/>
          <w:sz w:val="24"/>
          <w:szCs w:val="24"/>
        </w:rPr>
      </w:pPr>
      <w:proofErr w:type="spellStart"/>
      <w:r w:rsidRPr="00E912D0">
        <w:rPr>
          <w:rFonts w:ascii="Times New Roman" w:hAnsi="Times New Roman" w:cs="Times New Roman"/>
          <w:b/>
          <w:i/>
          <w:sz w:val="24"/>
          <w:szCs w:val="24"/>
        </w:rPr>
        <w:t>Keywords</w:t>
      </w:r>
      <w:proofErr w:type="spellEnd"/>
      <w:r w:rsidRPr="00E912D0">
        <w:rPr>
          <w:rFonts w:ascii="Times New Roman" w:hAnsi="Times New Roman" w:cs="Times New Roman"/>
          <w:b/>
          <w:i/>
          <w:sz w:val="24"/>
          <w:szCs w:val="24"/>
        </w:rPr>
        <w:t>:</w:t>
      </w:r>
      <w:r>
        <w:rPr>
          <w:rFonts w:ascii="Times New Roman" w:hAnsi="Times New Roman" w:cs="Times New Roman"/>
          <w:sz w:val="24"/>
          <w:szCs w:val="24"/>
        </w:rPr>
        <w:t xml:space="preserve"> </w:t>
      </w:r>
      <w:proofErr w:type="spellStart"/>
      <w:r w:rsidR="0084068B" w:rsidRPr="0084068B">
        <w:rPr>
          <w:rFonts w:ascii="Times New Roman" w:hAnsi="Times New Roman" w:cs="Times New Roman"/>
          <w:i/>
          <w:iCs/>
          <w:sz w:val="24"/>
          <w:szCs w:val="24"/>
        </w:rPr>
        <w:t>Construction</w:t>
      </w:r>
      <w:proofErr w:type="spellEnd"/>
      <w:r w:rsidR="0084068B" w:rsidRPr="0084068B">
        <w:rPr>
          <w:rFonts w:ascii="Times New Roman" w:hAnsi="Times New Roman" w:cs="Times New Roman"/>
          <w:i/>
          <w:iCs/>
          <w:sz w:val="24"/>
          <w:szCs w:val="24"/>
        </w:rPr>
        <w:t xml:space="preserve"> </w:t>
      </w:r>
      <w:proofErr w:type="spellStart"/>
      <w:r w:rsidR="0084068B" w:rsidRPr="0084068B">
        <w:rPr>
          <w:rFonts w:ascii="Times New Roman" w:hAnsi="Times New Roman" w:cs="Times New Roman"/>
          <w:i/>
          <w:iCs/>
          <w:sz w:val="24"/>
          <w:szCs w:val="24"/>
        </w:rPr>
        <w:t>of</w:t>
      </w:r>
      <w:proofErr w:type="spellEnd"/>
      <w:r w:rsidR="0084068B" w:rsidRPr="0084068B">
        <w:rPr>
          <w:rFonts w:ascii="Times New Roman" w:hAnsi="Times New Roman" w:cs="Times New Roman"/>
          <w:i/>
          <w:iCs/>
          <w:sz w:val="24"/>
          <w:szCs w:val="24"/>
        </w:rPr>
        <w:t xml:space="preserve"> </w:t>
      </w:r>
      <w:proofErr w:type="spellStart"/>
      <w:r w:rsidR="0084068B" w:rsidRPr="0084068B">
        <w:rPr>
          <w:rFonts w:ascii="Times New Roman" w:hAnsi="Times New Roman" w:cs="Times New Roman"/>
          <w:i/>
          <w:iCs/>
          <w:sz w:val="24"/>
          <w:szCs w:val="24"/>
        </w:rPr>
        <w:t>gender</w:t>
      </w:r>
      <w:proofErr w:type="spellEnd"/>
      <w:r w:rsidR="0084068B" w:rsidRPr="0084068B">
        <w:rPr>
          <w:rFonts w:ascii="Times New Roman" w:hAnsi="Times New Roman" w:cs="Times New Roman"/>
          <w:i/>
          <w:iCs/>
          <w:sz w:val="24"/>
          <w:szCs w:val="24"/>
        </w:rPr>
        <w:t xml:space="preserve">; </w:t>
      </w:r>
      <w:proofErr w:type="spellStart"/>
      <w:r w:rsidR="0084068B">
        <w:rPr>
          <w:rFonts w:ascii="Times New Roman" w:hAnsi="Times New Roman" w:cs="Times New Roman"/>
          <w:i/>
          <w:iCs/>
          <w:sz w:val="24"/>
          <w:szCs w:val="24"/>
        </w:rPr>
        <w:t>C</w:t>
      </w:r>
      <w:r w:rsidR="0084068B" w:rsidRPr="0084068B">
        <w:rPr>
          <w:rFonts w:ascii="Times New Roman" w:hAnsi="Times New Roman" w:cs="Times New Roman"/>
          <w:i/>
          <w:iCs/>
          <w:sz w:val="24"/>
          <w:szCs w:val="24"/>
        </w:rPr>
        <w:t>ommercial</w:t>
      </w:r>
      <w:proofErr w:type="spellEnd"/>
      <w:r w:rsidR="0084068B" w:rsidRPr="0084068B">
        <w:rPr>
          <w:rFonts w:ascii="Times New Roman" w:hAnsi="Times New Roman" w:cs="Times New Roman"/>
          <w:i/>
          <w:iCs/>
          <w:sz w:val="24"/>
          <w:szCs w:val="24"/>
        </w:rPr>
        <w:t xml:space="preserve"> </w:t>
      </w:r>
      <w:proofErr w:type="spellStart"/>
      <w:r w:rsidR="0084068B" w:rsidRPr="0084068B">
        <w:rPr>
          <w:rFonts w:ascii="Times New Roman" w:hAnsi="Times New Roman" w:cs="Times New Roman"/>
          <w:i/>
          <w:iCs/>
          <w:sz w:val="24"/>
          <w:szCs w:val="24"/>
        </w:rPr>
        <w:t>advertising</w:t>
      </w:r>
      <w:proofErr w:type="spellEnd"/>
      <w:r w:rsidR="0084068B" w:rsidRPr="0084068B">
        <w:rPr>
          <w:rFonts w:ascii="Times New Roman" w:hAnsi="Times New Roman" w:cs="Times New Roman"/>
          <w:i/>
          <w:iCs/>
          <w:sz w:val="24"/>
          <w:szCs w:val="24"/>
        </w:rPr>
        <w:t xml:space="preserve"> spots; </w:t>
      </w:r>
      <w:proofErr w:type="spellStart"/>
      <w:r w:rsidR="0084068B" w:rsidRPr="0084068B">
        <w:rPr>
          <w:rFonts w:ascii="Times New Roman" w:hAnsi="Times New Roman" w:cs="Times New Roman"/>
          <w:sz w:val="24"/>
          <w:szCs w:val="24"/>
        </w:rPr>
        <w:t>Cubavisión</w:t>
      </w:r>
      <w:proofErr w:type="spellEnd"/>
      <w:r w:rsidR="0084068B" w:rsidRPr="0084068B">
        <w:rPr>
          <w:rFonts w:ascii="Times New Roman" w:hAnsi="Times New Roman" w:cs="Times New Roman"/>
          <w:sz w:val="24"/>
          <w:szCs w:val="24"/>
        </w:rPr>
        <w:t xml:space="preserve"> Internacional</w:t>
      </w:r>
      <w:r w:rsidR="0084068B" w:rsidRPr="0084068B">
        <w:rPr>
          <w:rFonts w:ascii="Times New Roman" w:hAnsi="Times New Roman" w:cs="Times New Roman"/>
          <w:i/>
          <w:iCs/>
          <w:sz w:val="24"/>
          <w:szCs w:val="24"/>
        </w:rPr>
        <w:t xml:space="preserve">; </w:t>
      </w:r>
      <w:proofErr w:type="spellStart"/>
      <w:r w:rsidR="0084068B">
        <w:rPr>
          <w:rFonts w:ascii="Times New Roman" w:hAnsi="Times New Roman" w:cs="Times New Roman"/>
          <w:i/>
          <w:iCs/>
          <w:sz w:val="24"/>
          <w:szCs w:val="24"/>
        </w:rPr>
        <w:t>I</w:t>
      </w:r>
      <w:r w:rsidR="0084068B" w:rsidRPr="0084068B">
        <w:rPr>
          <w:rFonts w:ascii="Times New Roman" w:hAnsi="Times New Roman" w:cs="Times New Roman"/>
          <w:i/>
          <w:iCs/>
          <w:sz w:val="24"/>
          <w:szCs w:val="24"/>
        </w:rPr>
        <w:t>deology</w:t>
      </w:r>
      <w:proofErr w:type="spellEnd"/>
      <w:r w:rsidR="0084068B" w:rsidRPr="0084068B">
        <w:rPr>
          <w:rFonts w:ascii="Times New Roman" w:hAnsi="Times New Roman" w:cs="Times New Roman"/>
          <w:i/>
          <w:iCs/>
          <w:sz w:val="24"/>
          <w:szCs w:val="24"/>
        </w:rPr>
        <w:t xml:space="preserve"> </w:t>
      </w:r>
      <w:proofErr w:type="spellStart"/>
      <w:r w:rsidR="0084068B" w:rsidRPr="0084068B">
        <w:rPr>
          <w:rFonts w:ascii="Times New Roman" w:hAnsi="Times New Roman" w:cs="Times New Roman"/>
          <w:i/>
          <w:iCs/>
          <w:sz w:val="24"/>
          <w:szCs w:val="24"/>
        </w:rPr>
        <w:t>about</w:t>
      </w:r>
      <w:proofErr w:type="spellEnd"/>
      <w:r w:rsidR="0084068B" w:rsidRPr="0084068B">
        <w:rPr>
          <w:rFonts w:ascii="Times New Roman" w:hAnsi="Times New Roman" w:cs="Times New Roman"/>
          <w:i/>
          <w:iCs/>
          <w:sz w:val="24"/>
          <w:szCs w:val="24"/>
        </w:rPr>
        <w:t xml:space="preserve"> </w:t>
      </w:r>
      <w:proofErr w:type="spellStart"/>
      <w:r w:rsidR="0084068B" w:rsidRPr="0084068B">
        <w:rPr>
          <w:rFonts w:ascii="Times New Roman" w:hAnsi="Times New Roman" w:cs="Times New Roman"/>
          <w:i/>
          <w:iCs/>
          <w:sz w:val="24"/>
          <w:szCs w:val="24"/>
        </w:rPr>
        <w:t>gender</w:t>
      </w:r>
      <w:proofErr w:type="spellEnd"/>
      <w:r w:rsidR="0084068B" w:rsidRPr="0084068B">
        <w:rPr>
          <w:rFonts w:ascii="Times New Roman" w:hAnsi="Times New Roman" w:cs="Times New Roman"/>
          <w:i/>
          <w:iCs/>
          <w:sz w:val="24"/>
          <w:szCs w:val="24"/>
        </w:rPr>
        <w:t xml:space="preserve">; </w:t>
      </w:r>
      <w:proofErr w:type="spellStart"/>
      <w:r w:rsidR="0084068B">
        <w:rPr>
          <w:rFonts w:ascii="Times New Roman" w:hAnsi="Times New Roman" w:cs="Times New Roman"/>
          <w:i/>
          <w:iCs/>
          <w:sz w:val="24"/>
          <w:szCs w:val="24"/>
        </w:rPr>
        <w:t>T</w:t>
      </w:r>
      <w:r w:rsidR="0084068B" w:rsidRPr="0084068B">
        <w:rPr>
          <w:rFonts w:ascii="Times New Roman" w:hAnsi="Times New Roman" w:cs="Times New Roman"/>
          <w:i/>
          <w:iCs/>
          <w:sz w:val="24"/>
          <w:szCs w:val="24"/>
        </w:rPr>
        <w:t>elevision</w:t>
      </w:r>
      <w:proofErr w:type="spellEnd"/>
      <w:r w:rsidR="0084068B" w:rsidRPr="0084068B">
        <w:rPr>
          <w:rFonts w:ascii="Times New Roman" w:hAnsi="Times New Roman" w:cs="Times New Roman"/>
          <w:i/>
          <w:iCs/>
          <w:sz w:val="24"/>
          <w:szCs w:val="24"/>
        </w:rPr>
        <w:t xml:space="preserve"> </w:t>
      </w:r>
      <w:proofErr w:type="spellStart"/>
      <w:r w:rsidR="0084068B" w:rsidRPr="0084068B">
        <w:rPr>
          <w:rFonts w:ascii="Times New Roman" w:hAnsi="Times New Roman" w:cs="Times New Roman"/>
          <w:i/>
          <w:iCs/>
          <w:sz w:val="24"/>
          <w:szCs w:val="24"/>
        </w:rPr>
        <w:t>advertising</w:t>
      </w:r>
      <w:proofErr w:type="spellEnd"/>
      <w:r w:rsidR="0084068B" w:rsidRPr="0084068B">
        <w:rPr>
          <w:rFonts w:ascii="Times New Roman" w:hAnsi="Times New Roman" w:cs="Times New Roman"/>
          <w:i/>
          <w:iCs/>
          <w:sz w:val="24"/>
          <w:szCs w:val="24"/>
        </w:rPr>
        <w:t xml:space="preserve"> </w:t>
      </w:r>
      <w:proofErr w:type="spellStart"/>
      <w:r w:rsidR="0084068B" w:rsidRPr="0084068B">
        <w:rPr>
          <w:rFonts w:ascii="Times New Roman" w:hAnsi="Times New Roman" w:cs="Times New Roman"/>
          <w:i/>
          <w:iCs/>
          <w:sz w:val="24"/>
          <w:szCs w:val="24"/>
        </w:rPr>
        <w:t>speech</w:t>
      </w:r>
      <w:proofErr w:type="spellEnd"/>
      <w:r w:rsidR="0084068B" w:rsidRPr="0084068B">
        <w:rPr>
          <w:rFonts w:ascii="Times New Roman" w:hAnsi="Times New Roman" w:cs="Times New Roman"/>
          <w:i/>
          <w:iCs/>
          <w:sz w:val="24"/>
          <w:szCs w:val="24"/>
        </w:rPr>
        <w:t>.</w:t>
      </w:r>
    </w:p>
    <w:p w14:paraId="798D1EDF" w14:textId="77777777" w:rsidR="00A21A1F" w:rsidRDefault="00A21A1F" w:rsidP="00FF3346">
      <w:pPr>
        <w:spacing w:after="0" w:line="360" w:lineRule="auto"/>
        <w:jc w:val="both"/>
        <w:rPr>
          <w:rFonts w:ascii="Times New Roman" w:hAnsi="Times New Roman" w:cs="Times New Roman"/>
          <w:sz w:val="24"/>
          <w:szCs w:val="24"/>
        </w:rPr>
      </w:pPr>
    </w:p>
    <w:p w14:paraId="589FC996" w14:textId="6718D3F8" w:rsidR="00A21A1F" w:rsidRDefault="00A21A1F" w:rsidP="00FF3346">
      <w:pPr>
        <w:pStyle w:val="Prrafodelista"/>
        <w:numPr>
          <w:ilvl w:val="0"/>
          <w:numId w:val="2"/>
        </w:numPr>
        <w:spacing w:after="0" w:line="360" w:lineRule="auto"/>
        <w:jc w:val="both"/>
        <w:rPr>
          <w:rFonts w:ascii="Times New Roman" w:hAnsi="Times New Roman" w:cs="Times New Roman"/>
          <w:b/>
          <w:sz w:val="24"/>
          <w:szCs w:val="24"/>
        </w:rPr>
      </w:pPr>
      <w:r w:rsidRPr="0084068B">
        <w:rPr>
          <w:rFonts w:ascii="Times New Roman" w:hAnsi="Times New Roman" w:cs="Times New Roman"/>
          <w:b/>
          <w:sz w:val="24"/>
          <w:szCs w:val="24"/>
        </w:rPr>
        <w:t>Introducción</w:t>
      </w:r>
    </w:p>
    <w:p w14:paraId="6195467A"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El avance del siglo XXI trae consigo un sinnúmero de estudios sobre igualdades genéricas, debido a la permanencia irracional de prácticas inquisitivas relacionadas al sexo. La diferencia biológica ha marcado durante siglos el destino de las personas, al utilizarse como recurso ideológico para justificar la desigualdad entre los seres humanos como instrumento de poder. Aunque en algunas sociedades los grupos históricamente excluidos presentan hoy avances en materia de derechos y protagonismo social, todavía prevalecen en el imaginario social prejuicios y estereotipos que reproducen roles, expresiones sexistas de género e identidades basadas en las diferencias entre sexos y marcadas por una herencia socio-patriarcal. En muchas regiones del mundo, el movimiento LGBTIQ+ (lesbianas, </w:t>
      </w:r>
      <w:proofErr w:type="spellStart"/>
      <w:r w:rsidRPr="0084068B">
        <w:rPr>
          <w:rFonts w:ascii="Times New Roman" w:hAnsi="Times New Roman" w:cs="Times New Roman"/>
          <w:sz w:val="24"/>
          <w:szCs w:val="24"/>
        </w:rPr>
        <w:t>gays</w:t>
      </w:r>
      <w:proofErr w:type="spellEnd"/>
      <w:r w:rsidRPr="0084068B">
        <w:rPr>
          <w:rFonts w:ascii="Times New Roman" w:hAnsi="Times New Roman" w:cs="Times New Roman"/>
          <w:sz w:val="24"/>
          <w:szCs w:val="24"/>
        </w:rPr>
        <w:t>, bisexuales, transgénero, intersexuales, queer y otros) cuestiona ideas tradicionales sobre la existencia de solo dos géneros, y aboga por una reconceptualización de esta definición a favor de la fluidez entre géneros, o al menos se replantea la manera arquetípica de su construcción (Jackson &amp; Scott, 2017).</w:t>
      </w:r>
    </w:p>
    <w:p w14:paraId="36BD9268"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lastRenderedPageBreak/>
        <w:t>Los estudios sobre género en Cuba toman fuerza a mediados de los años 80 del siglo pasado, a partir de investigaciones generadas desde la Federación de Mujeres Cubanas y las universidades. Si bien los logros civiles en Cuba llegan hasta la aprobación de la Reforma Constitucional en 2019 donde se aboga por la igualdad genérica, aún resulta necesario realizar estudios sobre la representación social de género en los medios de comunicación. Gracias al carácter multidisciplinar del género como categoría, el presente artículo estudia su expresión ideológica en el discurso de los medios de comunicación masiva, en tanto constructores de la realidad que intentan legitimar posiciones de poder y modelos de comportamiento, más en un país que apuesta por el ejercicio cabal de los derechos de todos los ciudadanos, donde quedan brechas como consecuencia de arraigos patriarcales (Kirk Díaz-Guzmán. Entrevista personal de experto N°1. 26 de mayo del 2020)</w:t>
      </w:r>
      <w:r w:rsidRPr="0084068B">
        <w:rPr>
          <w:rStyle w:val="Refdenotaalpie"/>
          <w:rFonts w:ascii="Times New Roman" w:hAnsi="Times New Roman"/>
          <w:sz w:val="24"/>
          <w:szCs w:val="24"/>
        </w:rPr>
        <w:footnoteReference w:id="1"/>
      </w:r>
      <w:r w:rsidRPr="0084068B">
        <w:rPr>
          <w:rFonts w:ascii="Times New Roman" w:hAnsi="Times New Roman" w:cs="Times New Roman"/>
          <w:sz w:val="24"/>
          <w:szCs w:val="24"/>
        </w:rPr>
        <w:t>.</w:t>
      </w:r>
    </w:p>
    <w:p w14:paraId="21A682B0"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La investigación se centra en los medios audiovisuales, dada la alta incidencia de los mensajes en la representación de los géneros y sus relaciones: “la televisión es un agente de socialización, un mecanismo por el cual se aprenden las formas de comportarse y valorar, las costumbres, las actitudes y las conductas válidas para volverse miembro de una sociedad” (Villarreal, 2010, p. 138). El análisis se asume desde la multimodalidad, cualidad por excelencia del discurso televisivo. La manifestación de las diferentes nociones de género en cada modo se analiza en el </w:t>
      </w:r>
      <w:r w:rsidRPr="0084068B">
        <w:rPr>
          <w:rFonts w:ascii="Times New Roman" w:hAnsi="Times New Roman" w:cs="Times New Roman"/>
          <w:i/>
          <w:sz w:val="24"/>
          <w:szCs w:val="24"/>
        </w:rPr>
        <w:t>spot</w:t>
      </w:r>
      <w:r w:rsidRPr="0084068B">
        <w:rPr>
          <w:rFonts w:ascii="Times New Roman" w:hAnsi="Times New Roman" w:cs="Times New Roman"/>
          <w:sz w:val="24"/>
          <w:szCs w:val="24"/>
        </w:rPr>
        <w:t xml:space="preserve"> televisivo, texto definido como la forma más convencional de emitir publicidad en televisión (González &amp; Carrero, 2018) y cuyo significado se construye a partir de múltiples articulaciones orquestadas en función de un mismo objetivo publicitario (Kress &amp; Van </w:t>
      </w:r>
      <w:proofErr w:type="spellStart"/>
      <w:r w:rsidRPr="0084068B">
        <w:rPr>
          <w:rFonts w:ascii="Times New Roman" w:hAnsi="Times New Roman" w:cs="Times New Roman"/>
          <w:sz w:val="24"/>
          <w:szCs w:val="24"/>
        </w:rPr>
        <w:t>Leeuwen</w:t>
      </w:r>
      <w:proofErr w:type="spellEnd"/>
      <w:r w:rsidRPr="0084068B">
        <w:rPr>
          <w:rFonts w:ascii="Times New Roman" w:hAnsi="Times New Roman" w:cs="Times New Roman"/>
          <w:sz w:val="24"/>
          <w:szCs w:val="24"/>
        </w:rPr>
        <w:t xml:space="preserve">, 2017). </w:t>
      </w:r>
    </w:p>
    <w:p w14:paraId="0BF06ACA"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El análisis se enfoca en un canal televisivo en Cuba cuya difusión está concebida para trascender los límites nacionales: </w:t>
      </w:r>
      <w:proofErr w:type="spellStart"/>
      <w:r w:rsidRPr="0084068B">
        <w:rPr>
          <w:rFonts w:ascii="Times New Roman" w:hAnsi="Times New Roman" w:cs="Times New Roman"/>
          <w:i/>
          <w:sz w:val="24"/>
          <w:szCs w:val="24"/>
        </w:rPr>
        <w:t>Cubavisión</w:t>
      </w:r>
      <w:proofErr w:type="spellEnd"/>
      <w:r w:rsidRPr="0084068B">
        <w:rPr>
          <w:rFonts w:ascii="Times New Roman" w:hAnsi="Times New Roman" w:cs="Times New Roman"/>
          <w:i/>
          <w:sz w:val="24"/>
          <w:szCs w:val="24"/>
        </w:rPr>
        <w:t xml:space="preserve"> Internacional</w:t>
      </w:r>
      <w:r w:rsidRPr="0084068B">
        <w:rPr>
          <w:rFonts w:ascii="Times New Roman" w:hAnsi="Times New Roman" w:cs="Times New Roman"/>
          <w:sz w:val="24"/>
          <w:szCs w:val="24"/>
        </w:rPr>
        <w:t xml:space="preserve"> (CVI). Estudios anteriores demuestran que este medio recurre a estereotipos, pues obvia a la mujer como profesional, trabajadora o madre y la presenta solo como objeto de deseo y atractivo comercial; de modo que muestra a las cubanas desde una óptica machista y superficial (Rodríguez Bazán, Rodríguez Ayala, &amp; Espinosa Perdomo, 2019). Debe aclararse que el presente estudio se realiza en términos de (y circunscrito a) la construcción de género, y no en función de la ideología como categoría general. Desde esta perspectiva el </w:t>
      </w:r>
      <w:r w:rsidRPr="0084068B">
        <w:rPr>
          <w:rFonts w:ascii="Times New Roman" w:hAnsi="Times New Roman" w:cs="Times New Roman"/>
          <w:sz w:val="24"/>
          <w:szCs w:val="24"/>
        </w:rPr>
        <w:lastRenderedPageBreak/>
        <w:t xml:space="preserve">objetivo general del artículo es: caracterizar la expresión de la ideología sobre género en el discurso de los </w:t>
      </w:r>
      <w:r w:rsidRPr="0084068B">
        <w:rPr>
          <w:rFonts w:ascii="Times New Roman" w:hAnsi="Times New Roman" w:cs="Times New Roman"/>
          <w:i/>
          <w:sz w:val="24"/>
          <w:szCs w:val="24"/>
        </w:rPr>
        <w:t>spots</w:t>
      </w:r>
      <w:r w:rsidRPr="0084068B">
        <w:rPr>
          <w:rFonts w:ascii="Times New Roman" w:hAnsi="Times New Roman" w:cs="Times New Roman"/>
          <w:sz w:val="24"/>
          <w:szCs w:val="24"/>
        </w:rPr>
        <w:t xml:space="preserve"> publicitarios comerciales de la programación de cambio del canal </w:t>
      </w:r>
      <w:proofErr w:type="spellStart"/>
      <w:r w:rsidRPr="0084068B">
        <w:rPr>
          <w:rFonts w:ascii="Times New Roman" w:hAnsi="Times New Roman" w:cs="Times New Roman"/>
          <w:i/>
          <w:sz w:val="24"/>
          <w:szCs w:val="24"/>
        </w:rPr>
        <w:t>Cubavisión</w:t>
      </w:r>
      <w:proofErr w:type="spellEnd"/>
      <w:r w:rsidRPr="0084068B">
        <w:rPr>
          <w:rFonts w:ascii="Times New Roman" w:hAnsi="Times New Roman" w:cs="Times New Roman"/>
          <w:i/>
          <w:sz w:val="24"/>
          <w:szCs w:val="24"/>
        </w:rPr>
        <w:t xml:space="preserve"> Internacional</w:t>
      </w:r>
      <w:r w:rsidRPr="0084068B">
        <w:rPr>
          <w:rFonts w:ascii="Times New Roman" w:hAnsi="Times New Roman" w:cs="Times New Roman"/>
          <w:sz w:val="24"/>
          <w:szCs w:val="24"/>
        </w:rPr>
        <w:t>, durante el año 2019. Para ello, se analizan las estructuras ideológicas y la estrategia de polarización ideológica.</w:t>
      </w:r>
    </w:p>
    <w:p w14:paraId="213D7A7C" w14:textId="6D9E1F20" w:rsidR="0084068B" w:rsidRPr="0084068B" w:rsidRDefault="0084068B" w:rsidP="0084068B">
      <w:pPr>
        <w:pStyle w:val="Prrafodelista"/>
        <w:numPr>
          <w:ilvl w:val="0"/>
          <w:numId w:val="2"/>
        </w:numPr>
        <w:spacing w:after="0" w:line="360" w:lineRule="auto"/>
        <w:jc w:val="both"/>
        <w:rPr>
          <w:rFonts w:ascii="Times New Roman" w:hAnsi="Times New Roman" w:cs="Times New Roman"/>
          <w:b/>
          <w:sz w:val="24"/>
          <w:szCs w:val="24"/>
        </w:rPr>
      </w:pPr>
      <w:r w:rsidRPr="0084068B">
        <w:rPr>
          <w:rFonts w:ascii="Times New Roman" w:hAnsi="Times New Roman" w:cs="Times New Roman"/>
          <w:b/>
          <w:sz w:val="24"/>
          <w:szCs w:val="24"/>
        </w:rPr>
        <w:t>Construcción discursiva del género</w:t>
      </w:r>
    </w:p>
    <w:p w14:paraId="4E90BC3D"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El género resulta de un proceso cultural de construcción ‒</w:t>
      </w:r>
      <w:proofErr w:type="spellStart"/>
      <w:r w:rsidRPr="0084068B">
        <w:rPr>
          <w:rFonts w:ascii="Times New Roman" w:hAnsi="Times New Roman" w:cs="Times New Roman"/>
          <w:sz w:val="24"/>
          <w:szCs w:val="24"/>
        </w:rPr>
        <w:t>sociosimbólica</w:t>
      </w:r>
      <w:proofErr w:type="spellEnd"/>
      <w:r w:rsidRPr="0084068B">
        <w:rPr>
          <w:rFonts w:ascii="Times New Roman" w:hAnsi="Times New Roman" w:cs="Times New Roman"/>
          <w:sz w:val="24"/>
          <w:szCs w:val="24"/>
        </w:rPr>
        <w:t>‒, porque “los seres humanos y las humanas, aunque tenemos características sexuales, no estamos por ello determinados” (Lagarde, 1996, p. 39). Sin embargo, nociones como la naturalidad continúan rigiendo la construcción genérica de sociedades patriarcales. La concepción de que “no se nace mujer: se llega a serlo” sitúa a De Beauvoir (1949, p. 109) como la portadora de la primera declaración célebre sobre el género. Tal reflexión abre un punto de vista para la interpretación del problema de la igualdad entre los sexos y enmarca el campo de la investigación académica feminista posterior (Lamas, 2017). Hacia mediados de la década del 70, se introduce el género como categoría de estudio en el escenario académico-político. “La implantación del término persiguió legitimar un ordenador teórico de los nuevos conocimientos a producirse, como respuesta del empleo acrítico e históricamente empobrecido del término patriarcado” (</w:t>
      </w:r>
      <w:proofErr w:type="spellStart"/>
      <w:r w:rsidRPr="0084068B">
        <w:rPr>
          <w:rFonts w:ascii="Times New Roman" w:hAnsi="Times New Roman" w:cs="Times New Roman"/>
          <w:sz w:val="24"/>
          <w:szCs w:val="24"/>
        </w:rPr>
        <w:t>Stolke</w:t>
      </w:r>
      <w:proofErr w:type="spellEnd"/>
      <w:r w:rsidRPr="0084068B">
        <w:rPr>
          <w:rFonts w:ascii="Times New Roman" w:hAnsi="Times New Roman" w:cs="Times New Roman"/>
          <w:sz w:val="24"/>
          <w:szCs w:val="24"/>
        </w:rPr>
        <w:t>, 2004, p. 67).</w:t>
      </w:r>
    </w:p>
    <w:p w14:paraId="21925E28"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La perspectiva de género se asocia fundamentalmente a las mujeres: “género incluye a las mujeres sin nombrarlas y así parece no plantear amenazas críticas” (Scott, 1986; citado por Lamas, 2017, p. 329). Sin embargo, dirigir exclusivamente tales estudios a un sujeto de género en particular resulta erróneo, pues “no hay mundo de las mujeres aparte del mundo de los hombres” (Alberdi, </w:t>
      </w:r>
      <w:proofErr w:type="spellStart"/>
      <w:r w:rsidRPr="0084068B">
        <w:rPr>
          <w:rFonts w:ascii="Times New Roman" w:hAnsi="Times New Roman" w:cs="Times New Roman"/>
          <w:sz w:val="24"/>
          <w:szCs w:val="24"/>
        </w:rPr>
        <w:t>Arpio</w:t>
      </w:r>
      <w:proofErr w:type="spellEnd"/>
      <w:r w:rsidRPr="0084068B">
        <w:rPr>
          <w:rFonts w:ascii="Times New Roman" w:hAnsi="Times New Roman" w:cs="Times New Roman"/>
          <w:sz w:val="24"/>
          <w:szCs w:val="24"/>
        </w:rPr>
        <w:t>, &amp; Ochoa, 2015, párr. 16). Lagarde (1996, p. 37) define el género como “el conjunto de atributos, de atribuciones, de características asignadas al sexo”; propiedades que esta investigación asume como asignaciones de género. Una vez entendido como percepción fundante de la personalidad de cada cual, en interacción con la cultura, la importancia de este término radica en la superación de las teorías biologicistas que hacen de la naturaleza del ser humano causa de la desigualdad.</w:t>
      </w:r>
    </w:p>
    <w:p w14:paraId="0732F0E3"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Así, no solo se reconocen dentro del concepto de género las asignaciones de género desde una visión tradicional, sesgadas por el determinismo biológico. También comprende el punto de vista avanzado, que rompe estereotipos y prejuicios relativos al género como resultado de las luchas y movimientos feministas. El discurso –como </w:t>
      </w:r>
      <w:r w:rsidRPr="0084068B">
        <w:rPr>
          <w:rFonts w:ascii="Times New Roman" w:hAnsi="Times New Roman" w:cs="Times New Roman"/>
          <w:sz w:val="24"/>
          <w:szCs w:val="24"/>
        </w:rPr>
        <w:lastRenderedPageBreak/>
        <w:t>agente que realiza labor ideológica (</w:t>
      </w:r>
      <w:proofErr w:type="spellStart"/>
      <w:r w:rsidRPr="0084068B">
        <w:rPr>
          <w:rFonts w:ascii="Times New Roman" w:hAnsi="Times New Roman" w:cs="Times New Roman"/>
          <w:sz w:val="24"/>
          <w:szCs w:val="24"/>
        </w:rPr>
        <w:t>Fairclough</w:t>
      </w:r>
      <w:proofErr w:type="spellEnd"/>
      <w:r w:rsidRPr="0084068B">
        <w:rPr>
          <w:rFonts w:ascii="Times New Roman" w:hAnsi="Times New Roman" w:cs="Times New Roman"/>
          <w:sz w:val="24"/>
          <w:szCs w:val="24"/>
        </w:rPr>
        <w:t xml:space="preserve"> &amp; </w:t>
      </w:r>
      <w:proofErr w:type="spellStart"/>
      <w:r w:rsidRPr="0084068B">
        <w:rPr>
          <w:rFonts w:ascii="Times New Roman" w:hAnsi="Times New Roman" w:cs="Times New Roman"/>
          <w:sz w:val="24"/>
          <w:szCs w:val="24"/>
        </w:rPr>
        <w:t>Wodak</w:t>
      </w:r>
      <w:proofErr w:type="spellEnd"/>
      <w:r w:rsidRPr="0084068B">
        <w:rPr>
          <w:rFonts w:ascii="Times New Roman" w:hAnsi="Times New Roman" w:cs="Times New Roman"/>
          <w:sz w:val="24"/>
          <w:szCs w:val="24"/>
        </w:rPr>
        <w:t xml:space="preserve">, 2000) –también constituye vía por excelencia para expresar la ideología sobre género. </w:t>
      </w:r>
    </w:p>
    <w:p w14:paraId="484FEB76"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Desde la revisión crítica de presupuestos anteriores sobre la relación género-discurso (Butler, 2013; </w:t>
      </w:r>
      <w:proofErr w:type="spellStart"/>
      <w:r w:rsidRPr="0084068B">
        <w:rPr>
          <w:rFonts w:ascii="Times New Roman" w:hAnsi="Times New Roman" w:cs="Times New Roman"/>
          <w:sz w:val="24"/>
          <w:szCs w:val="24"/>
        </w:rPr>
        <w:t>Kramarae</w:t>
      </w:r>
      <w:proofErr w:type="spellEnd"/>
      <w:r w:rsidRPr="0084068B">
        <w:rPr>
          <w:rFonts w:ascii="Times New Roman" w:hAnsi="Times New Roman" w:cs="Times New Roman"/>
          <w:sz w:val="24"/>
          <w:szCs w:val="24"/>
        </w:rPr>
        <w:t xml:space="preserve">, Lazar &amp; West, 2003; Kress y Van </w:t>
      </w:r>
      <w:proofErr w:type="spellStart"/>
      <w:r w:rsidRPr="0084068B">
        <w:rPr>
          <w:rFonts w:ascii="Times New Roman" w:hAnsi="Times New Roman" w:cs="Times New Roman"/>
          <w:sz w:val="24"/>
          <w:szCs w:val="24"/>
        </w:rPr>
        <w:t>Leeuwen</w:t>
      </w:r>
      <w:proofErr w:type="spellEnd"/>
      <w:r w:rsidRPr="0084068B">
        <w:rPr>
          <w:rFonts w:ascii="Times New Roman" w:hAnsi="Times New Roman" w:cs="Times New Roman"/>
          <w:sz w:val="24"/>
          <w:szCs w:val="24"/>
        </w:rPr>
        <w:t xml:space="preserve">, 2017; Lagarde, 1996; Lamas, 2017; Moya, 2013; Van Dijk, 2000; Van </w:t>
      </w:r>
      <w:proofErr w:type="spellStart"/>
      <w:r w:rsidRPr="0084068B">
        <w:rPr>
          <w:rFonts w:ascii="Times New Roman" w:hAnsi="Times New Roman" w:cs="Times New Roman"/>
          <w:sz w:val="24"/>
          <w:szCs w:val="24"/>
        </w:rPr>
        <w:t>Leeuwen</w:t>
      </w:r>
      <w:proofErr w:type="spellEnd"/>
      <w:r w:rsidRPr="0084068B">
        <w:rPr>
          <w:rFonts w:ascii="Times New Roman" w:hAnsi="Times New Roman" w:cs="Times New Roman"/>
          <w:sz w:val="24"/>
          <w:szCs w:val="24"/>
        </w:rPr>
        <w:t>, 2005), la presente investigación propone un nuevo concepto –con enfoque holístico que añade valor epistémico– de la categoría ‘construcción discursiva del género en la publicidad televisiva comercial’, entendida como la materialización discursiva del género, en tanto estrategia de reproducción y legitimación de asignaciones, relaciones e ideologías de género que se asumen culturalmente y de forma previa desde una óptica tradicional o avanzada, durante la concreción de todo evento de comunicación social, cuyo formato responda a los cánones de la televisión y tenga fines publicitario-comerciales. Las asignaciones, relaciones e ideología sobre género se legitiman y posicionan hegemónicamente a nivel social mediante el discurso, es precisamente desde el discurso que se puede/debe promover la equidad genérica.</w:t>
      </w:r>
    </w:p>
    <w:p w14:paraId="3D08F425" w14:textId="67CDA78B" w:rsidR="0084068B" w:rsidRPr="0084068B" w:rsidRDefault="0084068B" w:rsidP="0084068B">
      <w:pPr>
        <w:pStyle w:val="Prrafodelista"/>
        <w:numPr>
          <w:ilvl w:val="1"/>
          <w:numId w:val="4"/>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84068B">
        <w:rPr>
          <w:rFonts w:ascii="Times New Roman" w:hAnsi="Times New Roman" w:cs="Times New Roman"/>
          <w:b/>
          <w:sz w:val="24"/>
          <w:szCs w:val="24"/>
        </w:rPr>
        <w:t>Ideología sobre género como base axiomática para creencias de grupo</w:t>
      </w:r>
    </w:p>
    <w:p w14:paraId="1B8B06F6"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Como expresión ideológica</w:t>
      </w:r>
      <w:r w:rsidRPr="0084068B">
        <w:rPr>
          <w:rStyle w:val="Refdenotaalpie"/>
          <w:rFonts w:ascii="Times New Roman" w:hAnsi="Times New Roman"/>
          <w:sz w:val="24"/>
          <w:szCs w:val="24"/>
        </w:rPr>
        <w:footnoteReference w:id="2"/>
      </w:r>
      <w:r w:rsidRPr="0084068B">
        <w:rPr>
          <w:rFonts w:ascii="Times New Roman" w:hAnsi="Times New Roman" w:cs="Times New Roman"/>
          <w:sz w:val="24"/>
          <w:szCs w:val="24"/>
        </w:rPr>
        <w:t xml:space="preserve">, el género encuentra en el discurso una plataforma para su materialización. Según Moreno (2004), las ideologías constituyen bases axiomáticas del sistema de creencias de grupo; de modo que las actitudes intervienen en la formación de modelos mentales, derivados en opiniones (creencias personales o grupales) que se expresan en el discurso. Como cualquier otra proyección de la vida social, el género también origina focos de atención y estados de opinión atravesados por una postura ideológica. </w:t>
      </w:r>
    </w:p>
    <w:p w14:paraId="3F96C4D6"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He aquí otro aporte epistémico de la investigación: la asunción categorial del término ‘ideología sobre género’, así como su redefinición, con el propósito de a) desechar la etiqueta generalmente peyorativa “ideología de género” utilizada por grupos ultraconservadores y fundamentalistas que se oponen a la lucha por la equidad, y b) asumir sin prejuicios y en términos puramente científicos que la defensa del género </w:t>
      </w:r>
      <w:r w:rsidRPr="0084068B">
        <w:rPr>
          <w:rFonts w:ascii="Times New Roman" w:hAnsi="Times New Roman" w:cs="Times New Roman"/>
          <w:sz w:val="24"/>
          <w:szCs w:val="24"/>
        </w:rPr>
        <w:lastRenderedPageBreak/>
        <w:t xml:space="preserve">(como cualquier condición humana) también tiene una proyección ideológica, a pesar de que algunos activistas LGBTIQ+ se empeñen en negarlo. </w:t>
      </w:r>
    </w:p>
    <w:p w14:paraId="160A2BCC"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Desde este enfoque, la ideología sobre género constituye el sistema de creencias y consideraciones grupales sobre las construcciones relativas a la masculinidad y la feminidad, y las relaciones que entre estos sujetos de género se establecen, proyectadas de forma implícita o explícita en el discurso. Para la (re)producción cognitiva y social de las ideologías sobre género (González &amp; Castro, 2018; Lagarde, 1996; Van Dijk, 2006), el discurso se apoya en estructuras ideológicas que definen grupos de pertenencia o exclusión social, y en estrategias de polarización ideológica.</w:t>
      </w:r>
    </w:p>
    <w:p w14:paraId="1F3EF3B9"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La identificación de los miembros del grupo (Nosotros o </w:t>
      </w:r>
      <w:proofErr w:type="spellStart"/>
      <w:r w:rsidRPr="0084068B">
        <w:rPr>
          <w:rFonts w:ascii="Times New Roman" w:hAnsi="Times New Roman" w:cs="Times New Roman"/>
          <w:sz w:val="24"/>
          <w:szCs w:val="24"/>
        </w:rPr>
        <w:t>endogrupo</w:t>
      </w:r>
      <w:proofErr w:type="spellEnd"/>
      <w:r w:rsidRPr="0084068B">
        <w:rPr>
          <w:rFonts w:ascii="Times New Roman" w:hAnsi="Times New Roman" w:cs="Times New Roman"/>
          <w:sz w:val="24"/>
          <w:szCs w:val="24"/>
        </w:rPr>
        <w:t xml:space="preserve">) respecto a los no miembros (Ellos o exogrupo), se realiza a través de determinada polarización ideológica en que, por ejemplo, el </w:t>
      </w:r>
      <w:proofErr w:type="spellStart"/>
      <w:r w:rsidRPr="0084068B">
        <w:rPr>
          <w:rFonts w:ascii="Times New Roman" w:hAnsi="Times New Roman" w:cs="Times New Roman"/>
          <w:sz w:val="24"/>
          <w:szCs w:val="24"/>
        </w:rPr>
        <w:t>endogrupo</w:t>
      </w:r>
      <w:proofErr w:type="spellEnd"/>
      <w:r w:rsidRPr="0084068B">
        <w:rPr>
          <w:rFonts w:ascii="Times New Roman" w:hAnsi="Times New Roman" w:cs="Times New Roman"/>
          <w:sz w:val="24"/>
          <w:szCs w:val="24"/>
        </w:rPr>
        <w:t xml:space="preserve"> se asume como tradicional frente al exogrupo asumido como avanzado. Los tradicionales comprenden toda visión estereotipada, propia de sociedades patriarcales, y los avanzados asumen puntos de vista emancipados y liberales, manifestados en sociedades más modernas (González &amp; Castro, 2018; Lagarde, 1996; Van Dijk, 2006). De esta forma, el andamiaje categorial que sigue se articula alrededor de la dicotomía tradicional/avanzado.</w:t>
      </w:r>
    </w:p>
    <w:p w14:paraId="4D18C60A"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La polarización ideológica se aprecia a través de cuatro movimientos fundamentales: en expresar/enfatizar información positiva sobre Nosotros, expresar/enfatizar información negativa sobre Ellos, suprimir/</w:t>
      </w:r>
      <w:proofErr w:type="spellStart"/>
      <w:r w:rsidRPr="0084068B">
        <w:rPr>
          <w:rFonts w:ascii="Times New Roman" w:hAnsi="Times New Roman" w:cs="Times New Roman"/>
          <w:sz w:val="24"/>
          <w:szCs w:val="24"/>
        </w:rPr>
        <w:t>des-enfatizar</w:t>
      </w:r>
      <w:proofErr w:type="spellEnd"/>
      <w:r w:rsidRPr="0084068B">
        <w:rPr>
          <w:rFonts w:ascii="Times New Roman" w:hAnsi="Times New Roman" w:cs="Times New Roman"/>
          <w:sz w:val="24"/>
          <w:szCs w:val="24"/>
        </w:rPr>
        <w:t xml:space="preserve"> información positiva sobre Ellos y suprimir/</w:t>
      </w:r>
      <w:proofErr w:type="spellStart"/>
      <w:r w:rsidRPr="0084068B">
        <w:rPr>
          <w:rFonts w:ascii="Times New Roman" w:hAnsi="Times New Roman" w:cs="Times New Roman"/>
          <w:sz w:val="24"/>
          <w:szCs w:val="24"/>
        </w:rPr>
        <w:t>des-enfatizar</w:t>
      </w:r>
      <w:proofErr w:type="spellEnd"/>
      <w:r w:rsidRPr="0084068B">
        <w:rPr>
          <w:rFonts w:ascii="Times New Roman" w:hAnsi="Times New Roman" w:cs="Times New Roman"/>
          <w:sz w:val="24"/>
          <w:szCs w:val="24"/>
        </w:rPr>
        <w:t xml:space="preserve"> información negativa sobre Nosotros (Van Dijk, 2006). Estos movimientos operan en diferentes ámbitos, de manera que todos los niveles y dimensiones del discurso plasman estratégicamente la ideología del grupo de pertenencia del emisor, muchas veces con fines persuasivos y, en ocasiones, implícitos. Los significados implícitos se infieren del sentido de los discursos, pues a veces las creencias no resultan plasmadas directamente, como suele suceder con la ideología sobre género (</w:t>
      </w:r>
      <w:proofErr w:type="spellStart"/>
      <w:r w:rsidRPr="0084068B">
        <w:rPr>
          <w:rFonts w:ascii="Times New Roman" w:hAnsi="Times New Roman" w:cs="Times New Roman"/>
          <w:sz w:val="24"/>
          <w:szCs w:val="24"/>
        </w:rPr>
        <w:t>Bourque</w:t>
      </w:r>
      <w:proofErr w:type="spellEnd"/>
      <w:r w:rsidRPr="0084068B">
        <w:rPr>
          <w:rFonts w:ascii="Times New Roman" w:hAnsi="Times New Roman" w:cs="Times New Roman"/>
          <w:sz w:val="24"/>
          <w:szCs w:val="24"/>
        </w:rPr>
        <w:t>, Conway &amp; Scott, 2013).</w:t>
      </w:r>
    </w:p>
    <w:p w14:paraId="4A725290"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La estructuras ideológicas se organizan a través de categorías fijas: pertenencia (¿Qué nociones de género defiende nuestro grupo?), actividades (¿Qué hacemos para defender las concepciones de género?), objetivos (¿Por qué asumimos estas nociones de género?), valores/normas (¿Cómo nos evaluamos a nosotros mismos en cuestiones de género, y a los otros?), posición y relaciones de grupo (¿Quiénes son nuestros oponentes </w:t>
      </w:r>
      <w:r w:rsidRPr="0084068B">
        <w:rPr>
          <w:rFonts w:ascii="Times New Roman" w:hAnsi="Times New Roman" w:cs="Times New Roman"/>
          <w:sz w:val="24"/>
          <w:szCs w:val="24"/>
        </w:rPr>
        <w:lastRenderedPageBreak/>
        <w:t>y qué nociones de género defienden?) y recursos (¿Cuáles son los recursos sociales esenciales que nuestro grupo tiene o necesita tener para defender las nociones de género?) (González &amp; Castro, 2018; Lagarde, 1996; 2006).</w:t>
      </w:r>
    </w:p>
    <w:p w14:paraId="1ED62B7E"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El pertenecer al grupo depende de la manera en que sus miembros se distinguen de los demás; de ahí que la pertenencia a un grupo en cuestiones de género no se halle solo determinada por la afiliación a un género, sino por las actitudes que determinan la identificación de cada grupo. La caracterización discursiva con relación a la construcción de género no se aprecia mediante la enunciación expresa de los criterios de pertenencia, sino que se le otorga primacía a la presencia de un grupo por encima del otro. Tales requisitos se infieren de las actividades que realizan los sujetos, de las figuras priorizadas en los encuadres, descripciones de los planos y omisión de determinados sujetos.</w:t>
      </w:r>
    </w:p>
    <w:p w14:paraId="194F37B3"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En caso de que el emisor defienda las visiones tradicionales, pertenecen al </w:t>
      </w:r>
      <w:proofErr w:type="spellStart"/>
      <w:r w:rsidRPr="0084068B">
        <w:rPr>
          <w:rFonts w:ascii="Times New Roman" w:hAnsi="Times New Roman" w:cs="Times New Roman"/>
          <w:sz w:val="24"/>
          <w:szCs w:val="24"/>
        </w:rPr>
        <w:t>endogrupo</w:t>
      </w:r>
      <w:proofErr w:type="spellEnd"/>
      <w:r w:rsidRPr="0084068B">
        <w:rPr>
          <w:rFonts w:ascii="Times New Roman" w:hAnsi="Times New Roman" w:cs="Times New Roman"/>
          <w:sz w:val="24"/>
          <w:szCs w:val="24"/>
        </w:rPr>
        <w:t xml:space="preserve"> todos aquellos hombres cisgéneros estereotipados, caracterizados como fuertes, inteligentes, activos, rudos, dedicados a espacios públicos, heterosexuales y dominadores por naturaleza, etc. También pertenece al </w:t>
      </w:r>
      <w:proofErr w:type="spellStart"/>
      <w:r w:rsidRPr="0084068B">
        <w:rPr>
          <w:rFonts w:ascii="Times New Roman" w:hAnsi="Times New Roman" w:cs="Times New Roman"/>
          <w:sz w:val="24"/>
          <w:szCs w:val="24"/>
        </w:rPr>
        <w:t>endogrupo</w:t>
      </w:r>
      <w:proofErr w:type="spellEnd"/>
      <w:r w:rsidRPr="0084068B">
        <w:rPr>
          <w:rFonts w:ascii="Times New Roman" w:hAnsi="Times New Roman" w:cs="Times New Roman"/>
          <w:sz w:val="24"/>
          <w:szCs w:val="24"/>
        </w:rPr>
        <w:t xml:space="preserve"> tradicional toda mujer cisgénero dependiente, bella, tierna, relegada al espacio privado, heterosexual, cuidadora, reproductora social, dominada, etc., sin cabida para otros tipos de rasgos o actitudes. En el exogrupo se hallaría todo sujeto de género que no cumpla con los cánones estereotipados, establecidos por sociedades patriarcales.</w:t>
      </w:r>
    </w:p>
    <w:p w14:paraId="0F1886FA"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 xml:space="preserve">En el caso de presentar una ideología sobre género avanzada, el discurso defiende la ruptura de los márgenes (inclusión de figuras LGBTIQ+) y aboga por la igualdad genérica; comprende hombres fuertes y débiles, líderes y seguidores, masculinos y femeninos, así como mujeres dependientes e independientes, tiernas y rudas, cuidadoras y protagonistas del espacio público, subordinadas y dominantes; asume seres humanos (independientemente de su preferencia sexual), cuya felicidad y desarrollo pleno no estén coartados por estereotipos sociales imperantes. </w:t>
      </w:r>
    </w:p>
    <w:p w14:paraId="5E01AA2D" w14:textId="77777777" w:rsidR="0084068B" w:rsidRPr="0084068B"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noProof/>
          <w:sz w:val="24"/>
          <w:szCs w:val="24"/>
          <w:lang w:eastAsia="es-ES"/>
        </w:rPr>
        <w:lastRenderedPageBreak/>
        <w:drawing>
          <wp:inline distT="0" distB="0" distL="0" distR="0" wp14:anchorId="41FDA99A" wp14:editId="3B605495">
            <wp:extent cx="5227608" cy="4362941"/>
            <wp:effectExtent l="0" t="0" r="0" b="0"/>
            <wp:docPr id="2" name="Picture 2" descr="D:\DOCUMENTS\PERIODISMO PROFESIÓN\PUBLICACIONES\Chasqui\Mapas conceptuales Ideología de gén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PERIODISMO PROFESIÓN\PUBLICACIONES\Chasqui\Mapas conceptuales Ideología de géner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1485" cy="4366176"/>
                    </a:xfrm>
                    <a:prstGeom prst="rect">
                      <a:avLst/>
                    </a:prstGeom>
                    <a:noFill/>
                    <a:ln>
                      <a:noFill/>
                    </a:ln>
                  </pic:spPr>
                </pic:pic>
              </a:graphicData>
            </a:graphic>
          </wp:inline>
        </w:drawing>
      </w:r>
    </w:p>
    <w:p w14:paraId="488DEA4C" w14:textId="77777777" w:rsidR="0084068B" w:rsidRPr="0084068B" w:rsidRDefault="0084068B" w:rsidP="0084068B">
      <w:pPr>
        <w:spacing w:after="0" w:line="360" w:lineRule="auto"/>
        <w:jc w:val="center"/>
        <w:rPr>
          <w:rFonts w:ascii="Times New Roman" w:hAnsi="Times New Roman" w:cs="Times New Roman"/>
          <w:sz w:val="20"/>
          <w:szCs w:val="20"/>
        </w:rPr>
      </w:pPr>
      <w:r w:rsidRPr="0084068B">
        <w:rPr>
          <w:rFonts w:ascii="Times New Roman" w:hAnsi="Times New Roman" w:cs="Times New Roman"/>
          <w:b/>
          <w:sz w:val="20"/>
          <w:szCs w:val="20"/>
        </w:rPr>
        <w:t>Figura 1:</w:t>
      </w:r>
      <w:r w:rsidRPr="0084068B">
        <w:rPr>
          <w:rFonts w:ascii="Times New Roman" w:hAnsi="Times New Roman" w:cs="Times New Roman"/>
          <w:sz w:val="20"/>
          <w:szCs w:val="20"/>
        </w:rPr>
        <w:t xml:space="preserve"> Desglose para el análisis de la categoría ideología sobre género.</w:t>
      </w:r>
    </w:p>
    <w:p w14:paraId="00EA69ED" w14:textId="77777777" w:rsidR="0084068B" w:rsidRPr="0084068B" w:rsidRDefault="0084068B" w:rsidP="0084068B">
      <w:pPr>
        <w:spacing w:after="0" w:line="360" w:lineRule="auto"/>
        <w:jc w:val="center"/>
        <w:rPr>
          <w:rFonts w:ascii="Times New Roman" w:hAnsi="Times New Roman" w:cs="Times New Roman"/>
          <w:sz w:val="20"/>
          <w:szCs w:val="20"/>
        </w:rPr>
      </w:pPr>
      <w:r w:rsidRPr="0084068B">
        <w:rPr>
          <w:rFonts w:ascii="Times New Roman" w:hAnsi="Times New Roman" w:cs="Times New Roman"/>
          <w:b/>
          <w:sz w:val="20"/>
          <w:szCs w:val="20"/>
        </w:rPr>
        <w:t>Fuente</w:t>
      </w:r>
      <w:r w:rsidRPr="0084068B">
        <w:rPr>
          <w:rFonts w:ascii="Times New Roman" w:hAnsi="Times New Roman" w:cs="Times New Roman"/>
          <w:sz w:val="20"/>
          <w:szCs w:val="20"/>
        </w:rPr>
        <w:t>: elaboración propia.</w:t>
      </w:r>
    </w:p>
    <w:p w14:paraId="3E88B62C" w14:textId="16EAA5FE" w:rsidR="0084068B" w:rsidRPr="009B6D9E" w:rsidRDefault="0084068B" w:rsidP="0084068B">
      <w:pPr>
        <w:spacing w:after="0" w:line="360" w:lineRule="auto"/>
        <w:jc w:val="both"/>
        <w:rPr>
          <w:rFonts w:ascii="Times New Roman" w:hAnsi="Times New Roman" w:cs="Times New Roman"/>
          <w:sz w:val="24"/>
          <w:szCs w:val="24"/>
        </w:rPr>
      </w:pPr>
      <w:r w:rsidRPr="0084068B">
        <w:rPr>
          <w:rFonts w:ascii="Times New Roman" w:hAnsi="Times New Roman" w:cs="Times New Roman"/>
          <w:sz w:val="24"/>
          <w:szCs w:val="24"/>
        </w:rPr>
        <w:t>El recurso de presentar la ideología sobre género sin aparente explicitud, permite a movimientos conservadores continuar su defensa de la noción de sexualidad y reproducción heteronormativa, sin la necesidad de hacerlo evidente; pues “ayuda a los que luchan en su contra [de la equidad] a evitar el lenguaje abiertamente homofóbico” (González &amp; Castro, 2018, párr. 16). El discurso persuasivo, cuyo fin es el convencimiento para movilizar al receptor, presenta marcas de polarización ideológica por excelencia, con el fin de patentizar la idea del Nosotros mediante actitudes que “nos” beneficien.</w:t>
      </w:r>
    </w:p>
    <w:p w14:paraId="4C9A77A4" w14:textId="77777777" w:rsidR="005C2838" w:rsidRDefault="00A21A1F" w:rsidP="005C2838">
      <w:pPr>
        <w:pStyle w:val="Prrafodelista"/>
        <w:numPr>
          <w:ilvl w:val="0"/>
          <w:numId w:val="4"/>
        </w:numPr>
        <w:spacing w:after="0" w:line="360" w:lineRule="auto"/>
        <w:jc w:val="both"/>
        <w:rPr>
          <w:rFonts w:ascii="Times New Roman" w:hAnsi="Times New Roman" w:cs="Times New Roman"/>
          <w:b/>
          <w:sz w:val="24"/>
          <w:szCs w:val="24"/>
        </w:rPr>
      </w:pPr>
      <w:r w:rsidRPr="005C2838">
        <w:rPr>
          <w:rFonts w:ascii="Times New Roman" w:hAnsi="Times New Roman" w:cs="Times New Roman"/>
          <w:b/>
          <w:sz w:val="24"/>
          <w:szCs w:val="24"/>
        </w:rPr>
        <w:t>Metodología</w:t>
      </w:r>
    </w:p>
    <w:p w14:paraId="6378CFC5" w14:textId="77A69476" w:rsidR="005C2838" w:rsidRPr="005C2838" w:rsidRDefault="005C2838" w:rsidP="005C2838">
      <w:pPr>
        <w:spacing w:after="0" w:line="360" w:lineRule="auto"/>
        <w:jc w:val="both"/>
        <w:rPr>
          <w:rFonts w:ascii="Times New Roman" w:hAnsi="Times New Roman" w:cs="Times New Roman"/>
          <w:b/>
          <w:sz w:val="24"/>
          <w:szCs w:val="24"/>
        </w:rPr>
      </w:pPr>
      <w:r w:rsidRPr="005C2838">
        <w:rPr>
          <w:rFonts w:ascii="Times New Roman" w:hAnsi="Times New Roman" w:cs="Times New Roman"/>
          <w:sz w:val="24"/>
          <w:szCs w:val="24"/>
        </w:rPr>
        <w:t xml:space="preserve">Aunque parte de análisis estadísticos, esta investigación se erige desde la perspectiva cualitativa y sigue los presupuestos del Análisis del Discurso Multimodal (ADM) (Kress &amp; Van </w:t>
      </w:r>
      <w:proofErr w:type="spellStart"/>
      <w:r w:rsidRPr="005C2838">
        <w:rPr>
          <w:rFonts w:ascii="Times New Roman" w:hAnsi="Times New Roman" w:cs="Times New Roman"/>
          <w:sz w:val="24"/>
          <w:szCs w:val="24"/>
        </w:rPr>
        <w:t>Leeuwen</w:t>
      </w:r>
      <w:proofErr w:type="spellEnd"/>
      <w:r w:rsidRPr="005C2838">
        <w:rPr>
          <w:rFonts w:ascii="Times New Roman" w:hAnsi="Times New Roman" w:cs="Times New Roman"/>
          <w:sz w:val="24"/>
          <w:szCs w:val="24"/>
        </w:rPr>
        <w:t xml:space="preserve">, 2017), método emergente en los estudios discursivos que amplía las indagaciones sobre el lenguaje. O’ </w:t>
      </w:r>
      <w:proofErr w:type="spellStart"/>
      <w:r w:rsidRPr="005C2838">
        <w:rPr>
          <w:rFonts w:ascii="Times New Roman" w:hAnsi="Times New Roman" w:cs="Times New Roman"/>
          <w:sz w:val="24"/>
          <w:szCs w:val="24"/>
        </w:rPr>
        <w:t>Halloran</w:t>
      </w:r>
      <w:proofErr w:type="spellEnd"/>
      <w:r w:rsidRPr="005C2838">
        <w:rPr>
          <w:rFonts w:ascii="Times New Roman" w:hAnsi="Times New Roman" w:cs="Times New Roman"/>
          <w:sz w:val="24"/>
          <w:szCs w:val="24"/>
        </w:rPr>
        <w:t xml:space="preserve"> (2016) refiere que el ADM se </w:t>
      </w:r>
      <w:r w:rsidRPr="005C2838">
        <w:rPr>
          <w:rFonts w:ascii="Times New Roman" w:hAnsi="Times New Roman" w:cs="Times New Roman"/>
          <w:sz w:val="24"/>
          <w:szCs w:val="24"/>
        </w:rPr>
        <w:lastRenderedPageBreak/>
        <w:t>ocupa del análisis de los recursos semióticos y las expansiones semánticas en los textos multimodales, donde se combinan los diferentes recursos o modos semióticos disponibles (lingüístico, sonoro y visual). Mediante el análisis de los modos semióticos de un producto comunicativo, se determinan los niveles de orquestación semiótica, herramienta fundamental para el entretejido multimodal.</w:t>
      </w:r>
    </w:p>
    <w:p w14:paraId="2CC7958E"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La orquestación semiótica se lleva a cabo tanto en el plano de la expresión (confiere materialidad al fenómeno semiótico) como en el plano de la significación (punto de partida para la interpretación), y desde el cual emerge el significado multimodal. El contexto deviene herramienta de análisis del método en cuestión, dada la importancia que adquiere para el significado real del texto.</w:t>
      </w:r>
    </w:p>
    <w:p w14:paraId="7FC12C05"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Como parte del Análisis del Discurso, se utilizan las </w:t>
      </w:r>
      <w:proofErr w:type="spellStart"/>
      <w:r w:rsidRPr="005C2838">
        <w:rPr>
          <w:rFonts w:ascii="Times New Roman" w:hAnsi="Times New Roman" w:cs="Times New Roman"/>
          <w:sz w:val="24"/>
          <w:szCs w:val="24"/>
        </w:rPr>
        <w:t>macrorreglas</w:t>
      </w:r>
      <w:proofErr w:type="spellEnd"/>
      <w:r w:rsidRPr="005C2838">
        <w:rPr>
          <w:rFonts w:ascii="Times New Roman" w:hAnsi="Times New Roman" w:cs="Times New Roman"/>
          <w:sz w:val="24"/>
          <w:szCs w:val="24"/>
        </w:rPr>
        <w:t xml:space="preserve"> (eliminación, generalización y construcción), reglas cíclicas de proyección semántica que hacen explícita la manera de derivar el tema de un discurso, por lo menos en la semántica, en un modelo de comprensión cognoscitiva que opera en tres modos fundamentales: lingüístico, sonoro y visual.</w:t>
      </w:r>
    </w:p>
    <w:p w14:paraId="30C2A7F0"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En el modo sonoro se analiza el sonido diegético, tanto abierto como cerrado y el extradiegético. Dentro del sonido diegético cerrado se tienen en cuenta parámetros como el sistema paralingüístico y dentro del sonido extradiegético se analizan los efectos de sonido y la música.</w:t>
      </w:r>
    </w:p>
    <w:p w14:paraId="36B18039"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En el modo visual se tienen en cuenta cuatro niveles: contextual (circunstancias de realización del audiovisual publicitario), morfológico (planos, ángulos, iluminación, color/tono, movimiento), compositivo (espacio y tiempo de representación, </w:t>
      </w:r>
      <w:proofErr w:type="spellStart"/>
      <w:r w:rsidRPr="005C2838">
        <w:rPr>
          <w:rFonts w:ascii="Times New Roman" w:hAnsi="Times New Roman" w:cs="Times New Roman"/>
          <w:i/>
          <w:sz w:val="24"/>
          <w:szCs w:val="24"/>
        </w:rPr>
        <w:t>raccord</w:t>
      </w:r>
      <w:proofErr w:type="spellEnd"/>
      <w:r w:rsidRPr="005C2838">
        <w:rPr>
          <w:rFonts w:ascii="Times New Roman" w:hAnsi="Times New Roman" w:cs="Times New Roman"/>
          <w:sz w:val="24"/>
          <w:szCs w:val="24"/>
        </w:rPr>
        <w:t>, sistema sintáctico) y enunciativo (análisis narrativo, cinésica, proxémica, aspecto físico y cronémica).</w:t>
      </w:r>
    </w:p>
    <w:p w14:paraId="5290E2F9"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Otra de las técnicas utilizadas es la entrevista (estructurada y semiestructurada) a expertos en temas de género y publicidad</w:t>
      </w:r>
      <w:r w:rsidRPr="005C2838">
        <w:rPr>
          <w:rStyle w:val="Refdenotaalpie"/>
          <w:rFonts w:ascii="Times New Roman" w:hAnsi="Times New Roman"/>
          <w:sz w:val="24"/>
          <w:szCs w:val="24"/>
          <w:lang w:val="en-US"/>
        </w:rPr>
        <w:footnoteReference w:id="3"/>
      </w:r>
      <w:r w:rsidRPr="005C2838">
        <w:rPr>
          <w:rFonts w:ascii="Times New Roman" w:hAnsi="Times New Roman" w:cs="Times New Roman"/>
          <w:sz w:val="24"/>
          <w:szCs w:val="24"/>
        </w:rPr>
        <w:t>, y a trabajadores de CVI</w:t>
      </w:r>
      <w:r w:rsidRPr="005C2838">
        <w:rPr>
          <w:rStyle w:val="Refdenotaalpie"/>
          <w:rFonts w:ascii="Times New Roman" w:hAnsi="Times New Roman"/>
          <w:sz w:val="24"/>
          <w:szCs w:val="24"/>
        </w:rPr>
        <w:footnoteReference w:id="4"/>
      </w:r>
      <w:r w:rsidRPr="005C2838">
        <w:rPr>
          <w:rFonts w:ascii="Times New Roman" w:hAnsi="Times New Roman" w:cs="Times New Roman"/>
          <w:sz w:val="24"/>
          <w:szCs w:val="24"/>
        </w:rPr>
        <w:t xml:space="preserve"> que devienen decisores de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publicitarios transmitidos durante el período comprendido. Así, los resultados de la investigación derivan de la unión entre triangulación teórico-metodológica y validación por expertos.</w:t>
      </w:r>
    </w:p>
    <w:p w14:paraId="7F6788DD" w14:textId="7EB69BD6" w:rsidR="00A21A1F" w:rsidRDefault="005C2838" w:rsidP="00FF3346">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lastRenderedPageBreak/>
        <w:t xml:space="preserve">El presente análisis comprende el estudio de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publicitarios comerciales emitidos durante el año 2019 en la programación de cambio de CVI. Un total de 49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publicitarios constituyen el universo de la investigación, cantidad a la que se aplica un muestreo no probabilístico intencional por criterio del investigador. Se toman en cuenta dos criterios para la selección de los trabajos que puedan constituir objeto de análisis de género: a) la presentación de al menos una persona o alusiones a rasgos/cualidades de las personas (no entran dentro de la muestra aquellos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compuestos únicamente por elementos naturales y por objetos inanimados no sexuados), b) la confluencia de tres modos de significación (lingüístico, sonoro y visual). Finalmente, 39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publicitarios comerciales conforman la muestra. </w:t>
      </w:r>
    </w:p>
    <w:p w14:paraId="41FA727B" w14:textId="769AF336" w:rsidR="00A21A1F" w:rsidRPr="005C2838" w:rsidRDefault="00A21A1F" w:rsidP="005C2838">
      <w:pPr>
        <w:pStyle w:val="Prrafodelista"/>
        <w:numPr>
          <w:ilvl w:val="0"/>
          <w:numId w:val="4"/>
        </w:numPr>
        <w:spacing w:after="0" w:line="360" w:lineRule="auto"/>
        <w:jc w:val="both"/>
        <w:rPr>
          <w:rFonts w:ascii="Times New Roman" w:hAnsi="Times New Roman" w:cs="Times New Roman"/>
          <w:b/>
          <w:sz w:val="24"/>
          <w:szCs w:val="24"/>
        </w:rPr>
      </w:pPr>
      <w:r w:rsidRPr="005C2838">
        <w:rPr>
          <w:rFonts w:ascii="Times New Roman" w:hAnsi="Times New Roman" w:cs="Times New Roman"/>
          <w:b/>
          <w:sz w:val="24"/>
          <w:szCs w:val="24"/>
        </w:rPr>
        <w:t>Resultados y discusión</w:t>
      </w:r>
    </w:p>
    <w:p w14:paraId="322FBD8E" w14:textId="7D171308" w:rsidR="005C2838" w:rsidRPr="005C2838" w:rsidRDefault="005C2838" w:rsidP="005C2838">
      <w:pPr>
        <w:pStyle w:val="Prrafodelista"/>
        <w:widowControl w:val="0"/>
        <w:numPr>
          <w:ilvl w:val="1"/>
          <w:numId w:val="4"/>
        </w:numPr>
        <w:tabs>
          <w:tab w:val="left" w:pos="600"/>
        </w:tabs>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C2838">
        <w:rPr>
          <w:rFonts w:ascii="Times New Roman" w:hAnsi="Times New Roman" w:cs="Times New Roman"/>
          <w:b/>
          <w:sz w:val="24"/>
          <w:szCs w:val="24"/>
        </w:rPr>
        <w:t xml:space="preserve">La publicidad en </w:t>
      </w:r>
      <w:proofErr w:type="spellStart"/>
      <w:r w:rsidRPr="005C2838">
        <w:rPr>
          <w:rFonts w:ascii="Times New Roman" w:hAnsi="Times New Roman" w:cs="Times New Roman"/>
          <w:b/>
          <w:i/>
          <w:sz w:val="24"/>
          <w:szCs w:val="24"/>
        </w:rPr>
        <w:t>Cubavisión</w:t>
      </w:r>
      <w:proofErr w:type="spellEnd"/>
      <w:r w:rsidRPr="005C2838">
        <w:rPr>
          <w:rFonts w:ascii="Times New Roman" w:hAnsi="Times New Roman" w:cs="Times New Roman"/>
          <w:b/>
          <w:i/>
          <w:sz w:val="24"/>
          <w:szCs w:val="24"/>
        </w:rPr>
        <w:t xml:space="preserve"> Internacional</w:t>
      </w:r>
      <w:r w:rsidRPr="005C2838">
        <w:rPr>
          <w:rFonts w:ascii="Times New Roman" w:hAnsi="Times New Roman" w:cs="Times New Roman"/>
          <w:b/>
          <w:sz w:val="24"/>
          <w:szCs w:val="24"/>
        </w:rPr>
        <w:t xml:space="preserve">: construcción de género </w:t>
      </w:r>
    </w:p>
    <w:p w14:paraId="6C87B2E5"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El análisis de las estructuras discursivas del nivel semántico de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publicitarios comerciales de CVI revela la Cuba estereotipada que se vende a través de la promoción de sus productos y servicios. En el discurso publicitario comercial de este canal, la cantidad de sujetos masculinos resulta mayor respecto a los sujetos de género femenino contabilizados. En los 39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analizados, aparecen 1852 personas; de las cuales 943 son hombres y 909 mujeres. Aunque a priori no se aprecia un desbalance demasiado marcado, no ocurre igual en el análisis estadístico del modo visual de los materiales publicitarios, pues solo el 3% de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muestra equilibrio entre los sujetos de ambos géneros; mientras que el 62% prioriza a los hombres y el 35 % a las mujeres.</w:t>
      </w:r>
    </w:p>
    <w:p w14:paraId="2CE6F1E1"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La diferencia representativa entre unos y otras no se corresponde con el contexto cubano actual (nivel contextual): según estadísticas de la Oficina Nacional de Estadísticas e Información (ONEI), de los 11 221 060 cubanos censados en el país, el número de mujeres (5 636 175) es mayor con respecto a los hombres (5 584 885). Así, el mundo simbolizado desde la publicidad de CVI devela una supremacía masculina irreal. De facto, estas estadísticas de la producción publicitaria no concuerdan con el eslogan del canal “Esta es Cuba, esta es su gente”, y pueden asumirse como indicio marcado de superioridad intencionada de un género con respecto al otro desde el nivel enunciativo. </w:t>
      </w:r>
    </w:p>
    <w:p w14:paraId="32DA13CA"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Investigaciones modernas concuerdan en que la construcción discursiva (mediática y socio-cultural) de género debe asumirse de forma desprejuiciada y plural, sobre todo si </w:t>
      </w:r>
      <w:r w:rsidRPr="005C2838">
        <w:rPr>
          <w:rFonts w:ascii="Times New Roman" w:hAnsi="Times New Roman" w:cs="Times New Roman"/>
          <w:sz w:val="24"/>
          <w:szCs w:val="24"/>
        </w:rPr>
        <w:lastRenderedPageBreak/>
        <w:t xml:space="preserve">se aspira a lograr estándares mínimos de democracia y participación (Carrascosa Puertas, 2020; García Espín, </w:t>
      </w:r>
      <w:proofErr w:type="spellStart"/>
      <w:r w:rsidRPr="005C2838">
        <w:rPr>
          <w:rFonts w:ascii="Times New Roman" w:hAnsi="Times New Roman" w:cs="Times New Roman"/>
          <w:sz w:val="24"/>
          <w:szCs w:val="24"/>
        </w:rPr>
        <w:t>Lagoma</w:t>
      </w:r>
      <w:proofErr w:type="spellEnd"/>
      <w:r w:rsidRPr="005C2838">
        <w:rPr>
          <w:rFonts w:ascii="Times New Roman" w:hAnsi="Times New Roman" w:cs="Times New Roman"/>
          <w:sz w:val="24"/>
          <w:szCs w:val="24"/>
        </w:rPr>
        <w:t xml:space="preserve">, &amp; Cámara, 2020). Para ello, las agendas de género deben incorporarse a los ámbitos político (Pastor Yuste &amp; Iglesias Onofrio, 2018), académico (Iturregui </w:t>
      </w:r>
      <w:proofErr w:type="spellStart"/>
      <w:r w:rsidRPr="005C2838">
        <w:rPr>
          <w:rFonts w:ascii="Times New Roman" w:hAnsi="Times New Roman" w:cs="Times New Roman"/>
          <w:sz w:val="24"/>
          <w:szCs w:val="24"/>
        </w:rPr>
        <w:t>Mardaras</w:t>
      </w:r>
      <w:proofErr w:type="spellEnd"/>
      <w:r w:rsidRPr="005C2838">
        <w:rPr>
          <w:rFonts w:ascii="Times New Roman" w:hAnsi="Times New Roman" w:cs="Times New Roman"/>
          <w:sz w:val="24"/>
          <w:szCs w:val="24"/>
        </w:rPr>
        <w:t xml:space="preserve"> et al., 2020), profesional (Martínez Fernández &amp; Martínez Nicolás, 2020), jurídico (Garrido </w:t>
      </w:r>
      <w:proofErr w:type="spellStart"/>
      <w:r w:rsidRPr="005C2838">
        <w:rPr>
          <w:rFonts w:ascii="Times New Roman" w:hAnsi="Times New Roman" w:cs="Times New Roman"/>
          <w:sz w:val="24"/>
          <w:szCs w:val="24"/>
        </w:rPr>
        <w:t>Ortolá</w:t>
      </w:r>
      <w:proofErr w:type="spellEnd"/>
      <w:r w:rsidRPr="005C2838">
        <w:rPr>
          <w:rFonts w:ascii="Times New Roman" w:hAnsi="Times New Roman" w:cs="Times New Roman"/>
          <w:sz w:val="24"/>
          <w:szCs w:val="24"/>
        </w:rPr>
        <w:t>, 2020) y público en general (Alonso Álvarez, 2019).</w:t>
      </w:r>
    </w:p>
    <w:p w14:paraId="7335F80F"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El 95% de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demuestra la necesaria presencia de ambos en el nivel compositivo para promocionar Cuba como producto: “se presentan ambos géneros porque el objetivo, la misión y la visión de CVI, coinciden en mostrar la realidad de Cuba al mundo, ubicada en este tipo de contexto histórico” (Rocío Marín, Entrevista personal N°6, 23 de abril de 2020)</w:t>
      </w:r>
      <w:r w:rsidRPr="005C2838">
        <w:rPr>
          <w:rStyle w:val="Refdenotaalpie"/>
          <w:rFonts w:ascii="Times New Roman" w:hAnsi="Times New Roman"/>
          <w:sz w:val="24"/>
          <w:szCs w:val="24"/>
        </w:rPr>
        <w:footnoteReference w:id="5"/>
      </w:r>
      <w:r w:rsidRPr="005C2838">
        <w:rPr>
          <w:rFonts w:ascii="Times New Roman" w:hAnsi="Times New Roman" w:cs="Times New Roman"/>
          <w:sz w:val="24"/>
          <w:szCs w:val="24"/>
        </w:rPr>
        <w:t>, pues “Cuba constituye una sociedad heterogénea con características y costumbres diferentes” (</w:t>
      </w:r>
      <w:proofErr w:type="spellStart"/>
      <w:r w:rsidRPr="005C2838">
        <w:rPr>
          <w:rFonts w:ascii="Times New Roman" w:hAnsi="Times New Roman" w:cs="Times New Roman"/>
          <w:sz w:val="24"/>
          <w:szCs w:val="24"/>
        </w:rPr>
        <w:t>Anaelys</w:t>
      </w:r>
      <w:proofErr w:type="spellEnd"/>
      <w:r w:rsidRPr="005C2838">
        <w:rPr>
          <w:rFonts w:ascii="Times New Roman" w:hAnsi="Times New Roman" w:cs="Times New Roman"/>
          <w:sz w:val="24"/>
          <w:szCs w:val="24"/>
        </w:rPr>
        <w:t xml:space="preserve"> Gómez, Entrevista personal N°7, 15 de mayo de 2020). Sin embargo, se muestra solo una parte de la realidad, la preferida, en un producto sin mucha calidad artística o mediática, enfocado apenas en vender.</w:t>
      </w:r>
    </w:p>
    <w:p w14:paraId="787A42D1"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En CVI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solo exponen personas cuyo rol social estigmatizado coincide con la identidad social creada: mujeres y hombres biológicos que desempeñan los géneros femenino y masculino, respectivamente. Según estudios contemporáneos (García </w:t>
      </w:r>
      <w:proofErr w:type="spellStart"/>
      <w:r w:rsidRPr="005C2838">
        <w:rPr>
          <w:rFonts w:ascii="Times New Roman" w:hAnsi="Times New Roman" w:cs="Times New Roman"/>
          <w:sz w:val="24"/>
          <w:szCs w:val="24"/>
        </w:rPr>
        <w:t>Beaudoux</w:t>
      </w:r>
      <w:proofErr w:type="spellEnd"/>
      <w:r w:rsidRPr="005C2838">
        <w:rPr>
          <w:rFonts w:ascii="Times New Roman" w:hAnsi="Times New Roman" w:cs="Times New Roman"/>
          <w:sz w:val="24"/>
          <w:szCs w:val="24"/>
        </w:rPr>
        <w:t xml:space="preserve">, et al., 2020; Gutiérrez San Miguel, Pereira, &amp; Acle Vicente, 2020; Martínez </w:t>
      </w:r>
      <w:proofErr w:type="spellStart"/>
      <w:r w:rsidRPr="005C2838">
        <w:rPr>
          <w:rFonts w:ascii="Times New Roman" w:hAnsi="Times New Roman" w:cs="Times New Roman"/>
          <w:sz w:val="24"/>
          <w:szCs w:val="24"/>
        </w:rPr>
        <w:t>Pleguezuelos</w:t>
      </w:r>
      <w:proofErr w:type="spellEnd"/>
      <w:r w:rsidRPr="005C2838">
        <w:rPr>
          <w:rFonts w:ascii="Times New Roman" w:hAnsi="Times New Roman" w:cs="Times New Roman"/>
          <w:sz w:val="24"/>
          <w:szCs w:val="24"/>
        </w:rPr>
        <w:t xml:space="preserve">, Santamaría Urbieta, &amp; </w:t>
      </w:r>
      <w:proofErr w:type="gramStart"/>
      <w:r w:rsidRPr="005C2838">
        <w:rPr>
          <w:rFonts w:ascii="Times New Roman" w:hAnsi="Times New Roman" w:cs="Times New Roman"/>
          <w:sz w:val="24"/>
          <w:szCs w:val="24"/>
        </w:rPr>
        <w:t>Alcalde</w:t>
      </w:r>
      <w:proofErr w:type="gramEnd"/>
      <w:r w:rsidRPr="005C2838">
        <w:rPr>
          <w:rFonts w:ascii="Times New Roman" w:hAnsi="Times New Roman" w:cs="Times New Roman"/>
          <w:sz w:val="24"/>
          <w:szCs w:val="24"/>
        </w:rPr>
        <w:t xml:space="preserve"> Peñalver, 2019), esta resulta una realidad aún latente en proyecciones mediáticas mundiales que contravienen las luchas de los movimientos sociales por la igualdad. </w:t>
      </w:r>
    </w:p>
    <w:p w14:paraId="0562575F"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De acuerdo con la relación erótica del placer, en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de CVI se descarta la presencia de homosexualidad o bisexualidad: solo se muestran personas heterosexuales disfrutando de los servicios y productos. Así, toda relación </w:t>
      </w:r>
      <w:proofErr w:type="spellStart"/>
      <w:r w:rsidRPr="005C2838">
        <w:rPr>
          <w:rFonts w:ascii="Times New Roman" w:hAnsi="Times New Roman" w:cs="Times New Roman"/>
          <w:sz w:val="24"/>
          <w:szCs w:val="24"/>
        </w:rPr>
        <w:t>intragenérica</w:t>
      </w:r>
      <w:proofErr w:type="spellEnd"/>
      <w:r w:rsidRPr="005C2838">
        <w:rPr>
          <w:rFonts w:ascii="Times New Roman" w:hAnsi="Times New Roman" w:cs="Times New Roman"/>
          <w:sz w:val="24"/>
          <w:szCs w:val="24"/>
        </w:rPr>
        <w:t xml:space="preserve"> evidente en los productos audiovisuales se vincula con relaciones de amistad, profesionalidad o encuentro casual. </w:t>
      </w:r>
    </w:p>
    <w:p w14:paraId="28BE8C57"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El personal del Departamento de Comunicación y Marketing de CVI concibe la perspectiva de género en el audiovisual como el reflejo del conjunto de medidas y políticas tomadas con el fin de revertir las disonancias entre los géneros humanos. Resulta ese consenso de equidad social, donde tienen igualdad de derechos y oportunidades tanto mujeres como hombres (Rocío Marín, Entrevista personal N°6, 23 </w:t>
      </w:r>
      <w:r w:rsidRPr="005C2838">
        <w:rPr>
          <w:rFonts w:ascii="Times New Roman" w:hAnsi="Times New Roman" w:cs="Times New Roman"/>
          <w:sz w:val="24"/>
          <w:szCs w:val="24"/>
        </w:rPr>
        <w:lastRenderedPageBreak/>
        <w:t xml:space="preserve">de abril de 2020; </w:t>
      </w:r>
      <w:proofErr w:type="spellStart"/>
      <w:r w:rsidRPr="005C2838">
        <w:rPr>
          <w:rFonts w:ascii="Times New Roman" w:hAnsi="Times New Roman" w:cs="Times New Roman"/>
          <w:sz w:val="24"/>
          <w:szCs w:val="24"/>
        </w:rPr>
        <w:t>Anaelys</w:t>
      </w:r>
      <w:proofErr w:type="spellEnd"/>
      <w:r w:rsidRPr="005C2838">
        <w:rPr>
          <w:rFonts w:ascii="Times New Roman" w:hAnsi="Times New Roman" w:cs="Times New Roman"/>
          <w:sz w:val="24"/>
          <w:szCs w:val="24"/>
        </w:rPr>
        <w:t xml:space="preserve"> Gómez, Entrevista personal N°7, 15 de mayo de 2020). Dicho así, parece que potenciar construcciones discursivas de género plurales e inclusivas en la realidad comunicológica actual resulta necesidad imperiosa. </w:t>
      </w:r>
    </w:p>
    <w:p w14:paraId="311A9B41"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Sin embargo, muchas veces los decisores no asumen su responsabilidad en la construcción de estereotipos de género, bajo la excusa de no tratar la temática directamente. “Lo cierto es que todo el tiempo legitiman patrones de comportamiento sexista que terminan por sedimentarse en el pensamiento social” (Andy Aquino, Entrevista personal de experto N°2, 22 de enero de 2020)</w:t>
      </w:r>
      <w:r w:rsidRPr="005C2838">
        <w:rPr>
          <w:rStyle w:val="Refdenotaalpie"/>
          <w:rFonts w:ascii="Times New Roman" w:hAnsi="Times New Roman"/>
          <w:sz w:val="24"/>
          <w:szCs w:val="24"/>
        </w:rPr>
        <w:footnoteReference w:id="6"/>
      </w:r>
      <w:r w:rsidRPr="005C2838">
        <w:rPr>
          <w:rFonts w:ascii="Times New Roman" w:hAnsi="Times New Roman" w:cs="Times New Roman"/>
          <w:sz w:val="24"/>
          <w:szCs w:val="24"/>
        </w:rPr>
        <w:t xml:space="preserve">. Cuando se construye para un público internacional, y más en la publicidad comercial, el recurso lúdico generalmente transgrede las líneas de una construcción de género correcta. El desconocimiento de los códigos que rigen las principales campañas y logros en materia de igualdad de género imposibilita la práctica de una conciencia acorde a los principios de equidad a la que se aspira en la sociedad cubana contemporánea. </w:t>
      </w:r>
    </w:p>
    <w:p w14:paraId="64C2E88C"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En este medio se observa un divorcio entre políticas trazadas formalmente y la práctica audiovisual concreta, contradicción que se acentúa por la separación entre RTV Comercial y los decisores del canal. La imagen de Cuba que se construye a través de tales productos se encuentra marcada por la inmediatez y la desprofesionalización, lo que incide en la configuración de una identidad estereotipada, sesgada por la asunción vulgar de un folclor hiperbolizado, enfatizado a través de sonido diegético y extradiegético (</w:t>
      </w:r>
      <w:proofErr w:type="spellStart"/>
      <w:r w:rsidRPr="005C2838">
        <w:rPr>
          <w:rFonts w:ascii="Times New Roman" w:hAnsi="Times New Roman" w:cs="Times New Roman"/>
          <w:sz w:val="24"/>
          <w:szCs w:val="24"/>
        </w:rPr>
        <w:t>Yuleivy</w:t>
      </w:r>
      <w:proofErr w:type="spellEnd"/>
      <w:r w:rsidRPr="005C2838">
        <w:rPr>
          <w:rFonts w:ascii="Times New Roman" w:hAnsi="Times New Roman" w:cs="Times New Roman"/>
          <w:sz w:val="24"/>
          <w:szCs w:val="24"/>
        </w:rPr>
        <w:t xml:space="preserve"> García, Entrevista personal de experto N°3, 4 de mayo de 2020)</w:t>
      </w:r>
      <w:r w:rsidRPr="005C2838">
        <w:rPr>
          <w:rStyle w:val="Refdenotaalpie"/>
          <w:rFonts w:ascii="Times New Roman" w:hAnsi="Times New Roman"/>
          <w:sz w:val="24"/>
          <w:szCs w:val="24"/>
        </w:rPr>
        <w:footnoteReference w:id="7"/>
      </w:r>
      <w:r w:rsidRPr="005C2838">
        <w:rPr>
          <w:rFonts w:ascii="Times New Roman" w:hAnsi="Times New Roman" w:cs="Times New Roman"/>
          <w:sz w:val="24"/>
          <w:szCs w:val="24"/>
        </w:rPr>
        <w:t>.</w:t>
      </w:r>
    </w:p>
    <w:p w14:paraId="24603E31"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Quizás no deba pedírsele a la publicidad comercial lo que aún le falta a la agenda periodística, mediática y política en materia de igualdades genéricas (Esquenazi Borrego, Rosales Vázquez, &amp; Velarde Hernández, 2017), pero al menos sí debe aspirarse a la consecución de un </w:t>
      </w:r>
      <w:r w:rsidRPr="005C2838">
        <w:rPr>
          <w:rFonts w:ascii="Times New Roman" w:hAnsi="Times New Roman" w:cs="Times New Roman"/>
          <w:i/>
          <w:sz w:val="24"/>
          <w:szCs w:val="24"/>
        </w:rPr>
        <w:t>spot</w:t>
      </w:r>
      <w:r w:rsidRPr="005C2838">
        <w:rPr>
          <w:rFonts w:ascii="Times New Roman" w:hAnsi="Times New Roman" w:cs="Times New Roman"/>
          <w:sz w:val="24"/>
          <w:szCs w:val="24"/>
        </w:rPr>
        <w:t xml:space="preserve"> publicitario que, sin dejar de ser comercial, evite la cosificación reduccionista de personas (vistas como sujetos sociales con mucho más que meras determinaciones físicas) y promueva valores sociales que garanticen la dignidad plena de los seres humanos independientemente del sexo, género, orientación </w:t>
      </w:r>
      <w:r w:rsidRPr="005C2838">
        <w:rPr>
          <w:rFonts w:ascii="Times New Roman" w:hAnsi="Times New Roman" w:cs="Times New Roman"/>
          <w:sz w:val="24"/>
          <w:szCs w:val="24"/>
        </w:rPr>
        <w:lastRenderedPageBreak/>
        <w:t xml:space="preserve">sexual y otros aspectos que, durante siglos, han servido para justificar la segregación y la discriminación. </w:t>
      </w:r>
    </w:p>
    <w:p w14:paraId="1B3EB6E5" w14:textId="2AC400BF" w:rsidR="005C2838" w:rsidRPr="005C2838" w:rsidRDefault="005C2838" w:rsidP="005C2838">
      <w:pPr>
        <w:pStyle w:val="Prrafodelista"/>
        <w:numPr>
          <w:ilvl w:val="1"/>
          <w:numId w:val="4"/>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C2838">
        <w:rPr>
          <w:rFonts w:ascii="Times New Roman" w:hAnsi="Times New Roman" w:cs="Times New Roman"/>
          <w:b/>
          <w:sz w:val="24"/>
          <w:szCs w:val="24"/>
        </w:rPr>
        <w:t>Ideología sobre género: ¿realidad? cubana entre Nosotros y Ellos</w:t>
      </w:r>
    </w:p>
    <w:p w14:paraId="4FFB218B"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Entre los emisores de CVI, por su cualidad únicamente de decisores para la transmisión, existe dicotomía a la hora de clasificar su discurso publicitario en defensa de valores-normas tradicionales o avanzadas de género. Algunos asocian lo avanzado de sus construcciones discursivas al seguimiento de la política editorial del canal, enfocada a no reflejar en los audiovisuales ningún tipo de discriminación, sino fomentar la igualdad entre hombres y mujeres más allá de su raza, religión u orientación sexual (</w:t>
      </w:r>
      <w:proofErr w:type="spellStart"/>
      <w:r w:rsidRPr="005C2838">
        <w:rPr>
          <w:rFonts w:ascii="Times New Roman" w:hAnsi="Times New Roman" w:cs="Times New Roman"/>
          <w:sz w:val="24"/>
          <w:szCs w:val="24"/>
        </w:rPr>
        <w:t>Anaelys</w:t>
      </w:r>
      <w:proofErr w:type="spellEnd"/>
      <w:r w:rsidRPr="005C2838">
        <w:rPr>
          <w:rFonts w:ascii="Times New Roman" w:hAnsi="Times New Roman" w:cs="Times New Roman"/>
          <w:sz w:val="24"/>
          <w:szCs w:val="24"/>
        </w:rPr>
        <w:t xml:space="preserve"> Gómez, Entrevista personal N°7, 15 de mayo de 2020)</w:t>
      </w:r>
      <w:r w:rsidRPr="005C2838">
        <w:rPr>
          <w:rStyle w:val="Refdenotaalpie"/>
          <w:rFonts w:ascii="Times New Roman" w:hAnsi="Times New Roman"/>
          <w:sz w:val="24"/>
          <w:szCs w:val="24"/>
        </w:rPr>
        <w:footnoteReference w:id="8"/>
      </w:r>
      <w:r w:rsidRPr="005C2838">
        <w:rPr>
          <w:rFonts w:ascii="Times New Roman" w:hAnsi="Times New Roman" w:cs="Times New Roman"/>
          <w:sz w:val="24"/>
          <w:szCs w:val="24"/>
        </w:rPr>
        <w:t>. Sin embargo, otros atribuyen un carácter tradicional a la carencia de espacios destinados al desarrollo de temas e investigaciones de género; el hecho de tener que ceñirse a los objetivos de la programación de cambio y a los intereses de los clientes, limita los recursos para defender otras nociones y dificulta una construcción de género avanzada (Rocío Marín, Entrevista personal N°6, 23 de abril de 2020).</w:t>
      </w:r>
    </w:p>
    <w:p w14:paraId="7042ADBB"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El público internacional a que va dirigida la emisión condiciona el apego de la polarización a factores tradicionales de construcción de género, pues la ideología sobre género se encuentra en función de los intereses del mercado y de los factores socioculturales hegemónicos. Asumir los patrones de género tradicionales responde a la carencia de una delimitación exacta del público meta (Rocío Marín, Entrevista personal N°6, 23 de abril de 2020). El canal trabaja con una segmentación muy amplia de mercado, pues no se tiene suficiente presupuesto para hacer un estudio de audiencia, solo se limitan a los datos que ofrecen los cable-operadores que captan la señal. </w:t>
      </w:r>
    </w:p>
    <w:p w14:paraId="490FCFC6"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Aunque ambos géneros se presentan en la mayoría de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(97%), el </w:t>
      </w:r>
      <w:proofErr w:type="spellStart"/>
      <w:r w:rsidRPr="005C2838">
        <w:rPr>
          <w:rFonts w:ascii="Times New Roman" w:hAnsi="Times New Roman" w:cs="Times New Roman"/>
          <w:sz w:val="24"/>
          <w:szCs w:val="24"/>
        </w:rPr>
        <w:t>endogrupo</w:t>
      </w:r>
      <w:proofErr w:type="spellEnd"/>
      <w:r w:rsidRPr="005C2838">
        <w:rPr>
          <w:rFonts w:ascii="Times New Roman" w:hAnsi="Times New Roman" w:cs="Times New Roman"/>
          <w:sz w:val="24"/>
          <w:szCs w:val="24"/>
        </w:rPr>
        <w:t xml:space="preserve"> se compone de sujetos de género típicos para la venta a un público heteronormativo. Todos los sujetos incluidos en el </w:t>
      </w:r>
      <w:proofErr w:type="spellStart"/>
      <w:r w:rsidRPr="005C2838">
        <w:rPr>
          <w:rFonts w:ascii="Times New Roman" w:hAnsi="Times New Roman" w:cs="Times New Roman"/>
          <w:sz w:val="24"/>
          <w:szCs w:val="24"/>
        </w:rPr>
        <w:t>endogrupo</w:t>
      </w:r>
      <w:proofErr w:type="spellEnd"/>
      <w:r w:rsidRPr="005C2838">
        <w:rPr>
          <w:rFonts w:ascii="Times New Roman" w:hAnsi="Times New Roman" w:cs="Times New Roman"/>
          <w:sz w:val="24"/>
          <w:szCs w:val="24"/>
        </w:rPr>
        <w:t xml:space="preserve"> constituyen seres cisgéneros, construidos bajo cánones tradicionales y puramente heterosexuales en cuanto a las relaciones eróticas, sin lugar a otro tipo de relación afectiva intergenérica (Imagen 1 y 2). </w:t>
      </w:r>
    </w:p>
    <w:p w14:paraId="7EA2CE0B"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Las mujeres y hombres más representados son blancos, jóvenes o en edad laborable; sin embargo, “en la realidad cubana actual hay más diversidad que la mostrada por los </w:t>
      </w:r>
      <w:r w:rsidRPr="005C2838">
        <w:rPr>
          <w:rFonts w:ascii="Times New Roman" w:hAnsi="Times New Roman" w:cs="Times New Roman"/>
          <w:i/>
          <w:sz w:val="24"/>
          <w:szCs w:val="24"/>
        </w:rPr>
        <w:lastRenderedPageBreak/>
        <w:t>spots</w:t>
      </w:r>
      <w:r w:rsidRPr="005C2838">
        <w:rPr>
          <w:rFonts w:ascii="Times New Roman" w:hAnsi="Times New Roman" w:cs="Times New Roman"/>
          <w:sz w:val="24"/>
          <w:szCs w:val="24"/>
        </w:rPr>
        <w:t>” (</w:t>
      </w:r>
      <w:proofErr w:type="spellStart"/>
      <w:r w:rsidRPr="005C2838">
        <w:rPr>
          <w:rFonts w:ascii="Times New Roman" w:hAnsi="Times New Roman" w:cs="Times New Roman"/>
          <w:sz w:val="24"/>
          <w:szCs w:val="24"/>
        </w:rPr>
        <w:t>Osneidy</w:t>
      </w:r>
      <w:proofErr w:type="spellEnd"/>
      <w:r w:rsidRPr="005C2838">
        <w:rPr>
          <w:rFonts w:ascii="Times New Roman" w:hAnsi="Times New Roman" w:cs="Times New Roman"/>
          <w:sz w:val="24"/>
          <w:szCs w:val="24"/>
        </w:rPr>
        <w:t xml:space="preserve"> León, Entrevista personal de experto N°4, 4 de mayo de 2020)</w:t>
      </w:r>
      <w:r w:rsidRPr="005C2838">
        <w:rPr>
          <w:rStyle w:val="Refdenotaalpie"/>
          <w:rFonts w:ascii="Times New Roman" w:hAnsi="Times New Roman"/>
          <w:sz w:val="24"/>
          <w:szCs w:val="24"/>
        </w:rPr>
        <w:footnoteReference w:id="9"/>
      </w:r>
      <w:r w:rsidRPr="005C2838">
        <w:rPr>
          <w:rFonts w:ascii="Times New Roman" w:hAnsi="Times New Roman" w:cs="Times New Roman"/>
          <w:sz w:val="24"/>
          <w:szCs w:val="24"/>
        </w:rPr>
        <w:t xml:space="preserve">, y esa disparidad aparentemente casual e inocente es un tema al que también debe prestársele atención. (Hernández García, 2019). </w:t>
      </w:r>
    </w:p>
    <w:p w14:paraId="46C78A82"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Dentro del </w:t>
      </w:r>
      <w:proofErr w:type="spellStart"/>
      <w:r w:rsidRPr="005C2838">
        <w:rPr>
          <w:rFonts w:ascii="Times New Roman" w:hAnsi="Times New Roman" w:cs="Times New Roman"/>
          <w:sz w:val="24"/>
          <w:szCs w:val="24"/>
        </w:rPr>
        <w:t>endogrupo</w:t>
      </w:r>
      <w:proofErr w:type="spellEnd"/>
      <w:r w:rsidRPr="005C2838">
        <w:rPr>
          <w:rFonts w:ascii="Times New Roman" w:hAnsi="Times New Roman" w:cs="Times New Roman"/>
          <w:sz w:val="24"/>
          <w:szCs w:val="24"/>
        </w:rPr>
        <w:t xml:space="preserve"> del discurso publicitario televisivo de CVI, existe un arquetipo de mujer femenina, sensual, de cuerpo voluminoso, escasa ropa y con talento para el baile, destinada al espectador que ansía la archiconocida mulata garante de placer. Podría catalogarse a la mujer del Nosotros como la fuente de entretenimiento ideal del destino turístico Cuba. Psicológica e intelectualmente, se presentan féminas locuaces, encantadoras, dulces y responsables (Imagen 1). </w:t>
      </w:r>
    </w:p>
    <w:p w14:paraId="25A02B42" w14:textId="77777777" w:rsidR="005C2838" w:rsidRPr="005C2838" w:rsidRDefault="005C2838" w:rsidP="005C2838">
      <w:pPr>
        <w:spacing w:after="0" w:line="360" w:lineRule="auto"/>
        <w:jc w:val="center"/>
        <w:rPr>
          <w:rFonts w:ascii="Times New Roman" w:hAnsi="Times New Roman" w:cs="Times New Roman"/>
          <w:sz w:val="24"/>
          <w:szCs w:val="24"/>
        </w:rPr>
      </w:pPr>
      <w:r w:rsidRPr="005C2838">
        <w:rPr>
          <w:rFonts w:ascii="Times New Roman" w:hAnsi="Times New Roman" w:cs="Times New Roman"/>
          <w:noProof/>
          <w:sz w:val="24"/>
          <w:szCs w:val="24"/>
          <w:lang w:eastAsia="es-ES"/>
        </w:rPr>
        <w:drawing>
          <wp:inline distT="0" distB="0" distL="0" distR="0" wp14:anchorId="1D48BA9F" wp14:editId="0A2C3797">
            <wp:extent cx="1714500" cy="1943100"/>
            <wp:effectExtent l="0" t="0" r="0" b="0"/>
            <wp:docPr id="1" name="Picture 1" descr="D:\DOCUMENTS\PERIODISMO PROFESIÓN\EVENTOS\CIENFUEGOS COPNFERENCIA CIENTÍFICA INTERNACIONAL ENVIADO RESUMEN\Fotos de menor tamañ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PERIODISMO PROFESIÓN\EVENTOS\CIENFUEGOS COPNFERENCIA CIENTÍFICA INTERNACIONAL ENVIADO RESUMEN\Fotos de menor tamañ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943100"/>
                    </a:xfrm>
                    <a:prstGeom prst="rect">
                      <a:avLst/>
                    </a:prstGeom>
                    <a:noFill/>
                    <a:ln>
                      <a:noFill/>
                    </a:ln>
                  </pic:spPr>
                </pic:pic>
              </a:graphicData>
            </a:graphic>
          </wp:inline>
        </w:drawing>
      </w:r>
    </w:p>
    <w:p w14:paraId="69651337" w14:textId="77777777" w:rsidR="005C2838" w:rsidRPr="005C2838" w:rsidRDefault="005C2838" w:rsidP="005C2838">
      <w:pPr>
        <w:pStyle w:val="Sangradetextonormal"/>
        <w:spacing w:line="360" w:lineRule="auto"/>
        <w:ind w:firstLine="0"/>
        <w:jc w:val="center"/>
        <w:rPr>
          <w:i/>
          <w:sz w:val="20"/>
          <w:szCs w:val="20"/>
        </w:rPr>
      </w:pPr>
      <w:r w:rsidRPr="005C2838">
        <w:rPr>
          <w:b/>
          <w:sz w:val="20"/>
          <w:szCs w:val="20"/>
          <w:lang w:val="es-ES_tradnl"/>
        </w:rPr>
        <w:t>Imagen 1</w:t>
      </w:r>
      <w:r w:rsidRPr="005C2838">
        <w:rPr>
          <w:b/>
          <w:sz w:val="20"/>
          <w:szCs w:val="20"/>
        </w:rPr>
        <w:t xml:space="preserve">: </w:t>
      </w:r>
      <w:r w:rsidRPr="005C2838">
        <w:rPr>
          <w:sz w:val="20"/>
          <w:szCs w:val="20"/>
        </w:rPr>
        <w:t xml:space="preserve">Mujeres del </w:t>
      </w:r>
      <w:proofErr w:type="spellStart"/>
      <w:r w:rsidRPr="005C2838">
        <w:rPr>
          <w:sz w:val="20"/>
          <w:szCs w:val="20"/>
        </w:rPr>
        <w:t>endogrupo</w:t>
      </w:r>
      <w:proofErr w:type="spellEnd"/>
      <w:r w:rsidRPr="005C2838">
        <w:rPr>
          <w:sz w:val="20"/>
          <w:szCs w:val="20"/>
        </w:rPr>
        <w:t>.</w:t>
      </w:r>
    </w:p>
    <w:p w14:paraId="0CA848F7" w14:textId="77777777" w:rsidR="005C2838" w:rsidRPr="005C2838" w:rsidRDefault="005C2838" w:rsidP="005C2838">
      <w:pPr>
        <w:spacing w:after="0" w:line="360" w:lineRule="auto"/>
        <w:jc w:val="center"/>
        <w:rPr>
          <w:rFonts w:ascii="Times New Roman" w:hAnsi="Times New Roman" w:cs="Times New Roman"/>
          <w:sz w:val="20"/>
          <w:szCs w:val="20"/>
        </w:rPr>
      </w:pPr>
      <w:r w:rsidRPr="005C2838">
        <w:rPr>
          <w:rFonts w:ascii="Times New Roman" w:hAnsi="Times New Roman" w:cs="Times New Roman"/>
          <w:b/>
          <w:sz w:val="20"/>
          <w:szCs w:val="20"/>
        </w:rPr>
        <w:t xml:space="preserve">Fuente: </w:t>
      </w:r>
      <w:r w:rsidRPr="005C2838">
        <w:rPr>
          <w:rFonts w:ascii="Times New Roman" w:hAnsi="Times New Roman" w:cs="Times New Roman"/>
          <w:sz w:val="20"/>
          <w:szCs w:val="20"/>
        </w:rPr>
        <w:t xml:space="preserve">Fotograma de </w:t>
      </w:r>
      <w:r w:rsidRPr="005C2838">
        <w:rPr>
          <w:rFonts w:ascii="Times New Roman" w:hAnsi="Times New Roman" w:cs="Times New Roman"/>
          <w:i/>
          <w:sz w:val="20"/>
          <w:szCs w:val="20"/>
        </w:rPr>
        <w:t>spot</w:t>
      </w:r>
      <w:r w:rsidRPr="005C2838">
        <w:rPr>
          <w:rFonts w:ascii="Times New Roman" w:hAnsi="Times New Roman" w:cs="Times New Roman"/>
          <w:sz w:val="20"/>
          <w:szCs w:val="20"/>
        </w:rPr>
        <w:t xml:space="preserve"> 36.</w:t>
      </w:r>
    </w:p>
    <w:p w14:paraId="2F03D1DF"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En cuanto a la relación con el género masculino, se aprecia una mujer dependiente, guiada por el hombre y cuya felicidad en el disfrute de los servicios requiere del género opuesto. En consecuencia, el </w:t>
      </w:r>
      <w:proofErr w:type="spellStart"/>
      <w:r w:rsidRPr="005C2838">
        <w:rPr>
          <w:rFonts w:ascii="Times New Roman" w:hAnsi="Times New Roman" w:cs="Times New Roman"/>
          <w:sz w:val="24"/>
          <w:szCs w:val="24"/>
        </w:rPr>
        <w:t>endogrupo</w:t>
      </w:r>
      <w:proofErr w:type="spellEnd"/>
      <w:r w:rsidRPr="005C2838">
        <w:rPr>
          <w:rFonts w:ascii="Times New Roman" w:hAnsi="Times New Roman" w:cs="Times New Roman"/>
          <w:sz w:val="24"/>
          <w:szCs w:val="24"/>
        </w:rPr>
        <w:t xml:space="preserve"> legitima hombres varoniles, elegantes, destinados a labores de fortaleza y actividades de mayor complejidad o audacia. Al sujeto masculino se le reconoce como portador de un excelente servicio, sin necesidad de ayuda; su condición masculina le granjea actitudes de dueño y posesor del género opuesto, así como los beneficios propios de la religión (Imagen 2).</w:t>
      </w:r>
    </w:p>
    <w:p w14:paraId="003E4DF4" w14:textId="77777777" w:rsidR="005C2838" w:rsidRPr="005C2838" w:rsidRDefault="005C2838" w:rsidP="005C2838">
      <w:pPr>
        <w:pStyle w:val="Sangradetextonormal"/>
        <w:spacing w:line="360" w:lineRule="auto"/>
        <w:ind w:firstLine="0"/>
        <w:jc w:val="center"/>
      </w:pPr>
      <w:r w:rsidRPr="005C2838">
        <w:rPr>
          <w:noProof/>
          <w:snapToGrid w:val="0"/>
          <w:w w:val="0"/>
          <w:u w:color="000000"/>
          <w:bdr w:val="none" w:sz="0" w:space="0" w:color="000000"/>
          <w:shd w:val="clear" w:color="000000" w:fill="000000"/>
        </w:rPr>
        <w:lastRenderedPageBreak/>
        <w:drawing>
          <wp:inline distT="0" distB="0" distL="0" distR="0" wp14:anchorId="5D5D4D75" wp14:editId="5F7164C8">
            <wp:extent cx="2543175" cy="1885950"/>
            <wp:effectExtent l="0" t="0" r="9525" b="0"/>
            <wp:docPr id="7" name="Picture 3" descr="D:\DOCUMENTS\PERIODISMO PROFESIÓN\EVENTOS\CIENFUEGOS COPNFERENCIA CIENTÍFICA INTERNACIONAL ENVIADO RESUMEN\Fotos de menor tamañ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PERIODISMO PROFESIÓN\EVENTOS\CIENFUEGOS COPNFERENCIA CIENTÍFICA INTERNACIONAL ENVIADO RESUMEN\Fotos de menor tamaño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3175" cy="1885950"/>
                    </a:xfrm>
                    <a:prstGeom prst="rect">
                      <a:avLst/>
                    </a:prstGeom>
                    <a:noFill/>
                    <a:ln>
                      <a:noFill/>
                    </a:ln>
                  </pic:spPr>
                </pic:pic>
              </a:graphicData>
            </a:graphic>
          </wp:inline>
        </w:drawing>
      </w:r>
    </w:p>
    <w:p w14:paraId="20F2E0D5" w14:textId="77777777" w:rsidR="005C2838" w:rsidRPr="005C2838" w:rsidRDefault="005C2838" w:rsidP="005C2838">
      <w:pPr>
        <w:pStyle w:val="Sangradetextonormal"/>
        <w:spacing w:line="360" w:lineRule="auto"/>
        <w:ind w:firstLine="0"/>
        <w:jc w:val="center"/>
        <w:rPr>
          <w:sz w:val="20"/>
          <w:szCs w:val="20"/>
        </w:rPr>
      </w:pPr>
      <w:r w:rsidRPr="005C2838">
        <w:rPr>
          <w:b/>
          <w:sz w:val="20"/>
          <w:szCs w:val="20"/>
          <w:lang w:val="es-ES_tradnl"/>
        </w:rPr>
        <w:t>Imagen 2</w:t>
      </w:r>
      <w:r w:rsidRPr="005C2838">
        <w:rPr>
          <w:b/>
          <w:sz w:val="20"/>
          <w:szCs w:val="20"/>
        </w:rPr>
        <w:t xml:space="preserve">: </w:t>
      </w:r>
      <w:r w:rsidRPr="005C2838">
        <w:rPr>
          <w:sz w:val="20"/>
          <w:szCs w:val="20"/>
        </w:rPr>
        <w:t xml:space="preserve">Hombres del </w:t>
      </w:r>
      <w:proofErr w:type="spellStart"/>
      <w:r w:rsidRPr="005C2838">
        <w:rPr>
          <w:sz w:val="20"/>
          <w:szCs w:val="20"/>
        </w:rPr>
        <w:t>endogrupo</w:t>
      </w:r>
      <w:proofErr w:type="spellEnd"/>
      <w:r w:rsidRPr="005C2838">
        <w:rPr>
          <w:sz w:val="20"/>
          <w:szCs w:val="20"/>
        </w:rPr>
        <w:t>.</w:t>
      </w:r>
    </w:p>
    <w:p w14:paraId="71413B8A" w14:textId="77777777" w:rsidR="005C2838" w:rsidRPr="005C2838" w:rsidRDefault="005C2838" w:rsidP="005C2838">
      <w:pPr>
        <w:widowControl w:val="0"/>
        <w:autoSpaceDE w:val="0"/>
        <w:autoSpaceDN w:val="0"/>
        <w:adjustRightInd w:val="0"/>
        <w:spacing w:after="0" w:line="360" w:lineRule="auto"/>
        <w:jc w:val="center"/>
        <w:rPr>
          <w:rFonts w:ascii="Times New Roman" w:hAnsi="Times New Roman" w:cs="Times New Roman"/>
          <w:bCs/>
          <w:sz w:val="20"/>
          <w:szCs w:val="20"/>
        </w:rPr>
      </w:pPr>
      <w:r w:rsidRPr="005C2838">
        <w:rPr>
          <w:rFonts w:ascii="Times New Roman" w:hAnsi="Times New Roman" w:cs="Times New Roman"/>
          <w:b/>
          <w:sz w:val="20"/>
          <w:szCs w:val="20"/>
        </w:rPr>
        <w:t xml:space="preserve">Fuente: </w:t>
      </w:r>
      <w:r w:rsidRPr="005C2838">
        <w:rPr>
          <w:rFonts w:ascii="Times New Roman" w:hAnsi="Times New Roman" w:cs="Times New Roman"/>
          <w:sz w:val="20"/>
          <w:szCs w:val="20"/>
        </w:rPr>
        <w:t xml:space="preserve">Fotograma de </w:t>
      </w:r>
      <w:r w:rsidRPr="005C2838">
        <w:rPr>
          <w:rFonts w:ascii="Times New Roman" w:hAnsi="Times New Roman" w:cs="Times New Roman"/>
          <w:i/>
          <w:sz w:val="20"/>
          <w:szCs w:val="20"/>
        </w:rPr>
        <w:t xml:space="preserve">spot </w:t>
      </w:r>
      <w:r w:rsidRPr="005C2838">
        <w:rPr>
          <w:rFonts w:ascii="Times New Roman" w:hAnsi="Times New Roman" w:cs="Times New Roman"/>
          <w:sz w:val="20"/>
          <w:szCs w:val="20"/>
        </w:rPr>
        <w:t>24.</w:t>
      </w:r>
    </w:p>
    <w:p w14:paraId="6E961C49"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De acuerdo con la institucionalidad, predominan en el Nosotros personas vinculadas al sector estatal, fundamentalmente pertenecientes al turismo (Tropicana, Bodeguita del Medio, Floridita, Campana de Toledo, Rancho King). Dentro de los polos productivos del país más representados, se encuentran el grupo </w:t>
      </w:r>
      <w:proofErr w:type="spellStart"/>
      <w:r w:rsidRPr="005C2838">
        <w:rPr>
          <w:rFonts w:ascii="Times New Roman" w:hAnsi="Times New Roman" w:cs="Times New Roman"/>
          <w:sz w:val="24"/>
          <w:szCs w:val="24"/>
        </w:rPr>
        <w:t>Azcuba</w:t>
      </w:r>
      <w:proofErr w:type="spellEnd"/>
      <w:r w:rsidRPr="005C2838">
        <w:rPr>
          <w:rFonts w:ascii="Times New Roman" w:hAnsi="Times New Roman" w:cs="Times New Roman"/>
          <w:sz w:val="24"/>
          <w:szCs w:val="24"/>
        </w:rPr>
        <w:t xml:space="preserve"> (Grupo Empresarial del Azúcar, marcas roneras), el Centro de Ingeniería Genética y Biotecnología (medicamentos) y el </w:t>
      </w:r>
      <w:proofErr w:type="spellStart"/>
      <w:r w:rsidRPr="005C2838">
        <w:rPr>
          <w:rFonts w:ascii="Times New Roman" w:hAnsi="Times New Roman" w:cs="Times New Roman"/>
          <w:sz w:val="24"/>
          <w:szCs w:val="24"/>
        </w:rPr>
        <w:t>Mincult</w:t>
      </w:r>
      <w:proofErr w:type="spellEnd"/>
      <w:r w:rsidRPr="005C2838">
        <w:rPr>
          <w:rFonts w:ascii="Times New Roman" w:hAnsi="Times New Roman" w:cs="Times New Roman"/>
          <w:sz w:val="24"/>
          <w:szCs w:val="24"/>
        </w:rPr>
        <w:t xml:space="preserve"> (Artex); a su vez, se incluyen aquellas personas que responden al cuidado del medio ambiente a través de instituciones que pertenecen al CITMA (Ministerio de Ciencia, Tecnología y Medio Ambiente) (Imagen 3). </w:t>
      </w:r>
    </w:p>
    <w:p w14:paraId="08D5100C" w14:textId="77777777" w:rsidR="005C2838" w:rsidRPr="005C2838" w:rsidRDefault="005C2838" w:rsidP="005C2838">
      <w:pPr>
        <w:spacing w:after="0" w:line="360" w:lineRule="auto"/>
        <w:jc w:val="center"/>
        <w:rPr>
          <w:rFonts w:ascii="Times New Roman" w:hAnsi="Times New Roman" w:cs="Times New Roman"/>
          <w:sz w:val="24"/>
          <w:szCs w:val="24"/>
        </w:rPr>
      </w:pPr>
      <w:r w:rsidRPr="005C2838">
        <w:rPr>
          <w:rFonts w:ascii="Times New Roman" w:hAnsi="Times New Roman" w:cs="Times New Roman"/>
          <w:noProof/>
          <w:sz w:val="24"/>
          <w:szCs w:val="24"/>
          <w:lang w:eastAsia="es-ES"/>
        </w:rPr>
        <w:drawing>
          <wp:inline distT="0" distB="0" distL="0" distR="0" wp14:anchorId="1C344059" wp14:editId="1B955B32">
            <wp:extent cx="2695575" cy="1743075"/>
            <wp:effectExtent l="0" t="0" r="9525" b="9525"/>
            <wp:docPr id="8" name="Picture 4" descr="D:\DOCUMENTS\PERIODISMO PROFESIÓN\EVENTOS\CIENFUEGOS COPNFERENCIA CIENTÍFICA INTERNACIONAL ENVIADO RESUMEN\Fotos de menor tamañ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PERIODISMO PROFESIÓN\EVENTOS\CIENFUEGOS COPNFERENCIA CIENTÍFICA INTERNACIONAL ENVIADO RESUMEN\Fotos de menor tamaño 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1743075"/>
                    </a:xfrm>
                    <a:prstGeom prst="rect">
                      <a:avLst/>
                    </a:prstGeom>
                    <a:noFill/>
                    <a:ln>
                      <a:noFill/>
                    </a:ln>
                  </pic:spPr>
                </pic:pic>
              </a:graphicData>
            </a:graphic>
          </wp:inline>
        </w:drawing>
      </w:r>
    </w:p>
    <w:p w14:paraId="6A52ED6C" w14:textId="77777777" w:rsidR="005C2838" w:rsidRPr="005C2838" w:rsidRDefault="005C2838" w:rsidP="005C2838">
      <w:pPr>
        <w:pStyle w:val="Sangradetextonormal"/>
        <w:spacing w:line="360" w:lineRule="auto"/>
        <w:ind w:firstLine="0"/>
        <w:jc w:val="center"/>
        <w:rPr>
          <w:i/>
          <w:sz w:val="20"/>
          <w:szCs w:val="20"/>
        </w:rPr>
      </w:pPr>
      <w:r w:rsidRPr="005C2838">
        <w:rPr>
          <w:b/>
          <w:sz w:val="20"/>
          <w:szCs w:val="20"/>
          <w:lang w:val="es-ES_tradnl"/>
        </w:rPr>
        <w:t>Imagen 3</w:t>
      </w:r>
      <w:r w:rsidRPr="005C2838">
        <w:rPr>
          <w:b/>
          <w:sz w:val="20"/>
          <w:szCs w:val="20"/>
        </w:rPr>
        <w:t xml:space="preserve">: </w:t>
      </w:r>
      <w:r w:rsidRPr="005C2838">
        <w:rPr>
          <w:sz w:val="20"/>
          <w:szCs w:val="20"/>
          <w:lang w:eastAsia="es-ES_tradnl"/>
        </w:rPr>
        <w:t xml:space="preserve">Institucionalidad del país en el </w:t>
      </w:r>
      <w:proofErr w:type="spellStart"/>
      <w:r w:rsidRPr="005C2838">
        <w:rPr>
          <w:sz w:val="20"/>
          <w:szCs w:val="20"/>
          <w:lang w:eastAsia="es-ES_tradnl"/>
        </w:rPr>
        <w:t>endogrupo</w:t>
      </w:r>
      <w:proofErr w:type="spellEnd"/>
      <w:r w:rsidRPr="005C2838">
        <w:rPr>
          <w:sz w:val="20"/>
          <w:szCs w:val="20"/>
          <w:lang w:eastAsia="es-ES_tradnl"/>
        </w:rPr>
        <w:t>.</w:t>
      </w:r>
    </w:p>
    <w:p w14:paraId="70D55035" w14:textId="77777777" w:rsidR="005C2838" w:rsidRPr="005C2838" w:rsidRDefault="005C2838" w:rsidP="005C2838">
      <w:pPr>
        <w:spacing w:after="0" w:line="360" w:lineRule="auto"/>
        <w:jc w:val="center"/>
        <w:rPr>
          <w:rFonts w:ascii="Times New Roman" w:hAnsi="Times New Roman" w:cs="Times New Roman"/>
          <w:sz w:val="20"/>
          <w:szCs w:val="20"/>
        </w:rPr>
      </w:pPr>
      <w:r w:rsidRPr="005C2838">
        <w:rPr>
          <w:rFonts w:ascii="Times New Roman" w:hAnsi="Times New Roman" w:cs="Times New Roman"/>
          <w:b/>
          <w:sz w:val="20"/>
          <w:szCs w:val="20"/>
        </w:rPr>
        <w:t xml:space="preserve">Fuente: </w:t>
      </w:r>
      <w:r w:rsidRPr="005C2838">
        <w:rPr>
          <w:rFonts w:ascii="Times New Roman" w:hAnsi="Times New Roman" w:cs="Times New Roman"/>
          <w:sz w:val="20"/>
          <w:szCs w:val="20"/>
        </w:rPr>
        <w:t xml:space="preserve">Fotograma de </w:t>
      </w:r>
      <w:r w:rsidRPr="005C2838">
        <w:rPr>
          <w:rFonts w:ascii="Times New Roman" w:hAnsi="Times New Roman" w:cs="Times New Roman"/>
          <w:i/>
          <w:sz w:val="20"/>
          <w:szCs w:val="20"/>
        </w:rPr>
        <w:t xml:space="preserve">spot </w:t>
      </w:r>
      <w:r w:rsidRPr="005C2838">
        <w:rPr>
          <w:rFonts w:ascii="Times New Roman" w:hAnsi="Times New Roman" w:cs="Times New Roman"/>
          <w:sz w:val="20"/>
          <w:szCs w:val="20"/>
        </w:rPr>
        <w:t>9.</w:t>
      </w:r>
    </w:p>
    <w:p w14:paraId="4272F5C5"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Dentro del sector no estatal, se incluyen aquellas personas con vehículos arrendados, pertenecientes al </w:t>
      </w:r>
      <w:proofErr w:type="spellStart"/>
      <w:r w:rsidRPr="005C2838">
        <w:rPr>
          <w:rFonts w:ascii="Times New Roman" w:hAnsi="Times New Roman" w:cs="Times New Roman"/>
          <w:sz w:val="24"/>
          <w:szCs w:val="24"/>
        </w:rPr>
        <w:t>Mitrans</w:t>
      </w:r>
      <w:proofErr w:type="spellEnd"/>
      <w:r w:rsidRPr="005C2838">
        <w:rPr>
          <w:rFonts w:ascii="Times New Roman" w:hAnsi="Times New Roman" w:cs="Times New Roman"/>
          <w:sz w:val="24"/>
          <w:szCs w:val="24"/>
        </w:rPr>
        <w:t xml:space="preserve"> (Ministerio del Transporte). En todos los temas tratados, los sujetos defienden la marca país (Imagen 4), elemento de identidad visual que se emplea para resaltar a nivel mundial la pertenencia de bienes o servicios a una nación, y que, en el caso cubano, se extiende a los ámbitos de la cultura, la educación y otros sectores.</w:t>
      </w:r>
    </w:p>
    <w:p w14:paraId="16996BAB" w14:textId="77777777" w:rsidR="005C2838" w:rsidRPr="005C2838" w:rsidRDefault="005C2838" w:rsidP="005C2838">
      <w:pPr>
        <w:spacing w:after="0" w:line="360" w:lineRule="auto"/>
        <w:jc w:val="center"/>
        <w:rPr>
          <w:rFonts w:ascii="Times New Roman" w:hAnsi="Times New Roman" w:cs="Times New Roman"/>
          <w:sz w:val="24"/>
          <w:szCs w:val="24"/>
        </w:rPr>
      </w:pPr>
      <w:r w:rsidRPr="005C2838">
        <w:rPr>
          <w:rFonts w:ascii="Times New Roman" w:hAnsi="Times New Roman" w:cs="Times New Roman"/>
          <w:noProof/>
          <w:sz w:val="24"/>
          <w:szCs w:val="24"/>
          <w:lang w:eastAsia="es-ES"/>
        </w:rPr>
        <w:lastRenderedPageBreak/>
        <w:drawing>
          <wp:inline distT="0" distB="0" distL="0" distR="0" wp14:anchorId="4BD83DDE" wp14:editId="41CA4A09">
            <wp:extent cx="2419350" cy="1724025"/>
            <wp:effectExtent l="0" t="0" r="0" b="9525"/>
            <wp:docPr id="5" name="Picture 5" descr="D:\DOCUMENTS\PERIODISMO PROFESIÓN\EVENTOS\CIENFUEGOS COPNFERENCIA CIENTÍFICA INTERNACIONAL ENVIADO RESUMEN\Fotos de menor tamaño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PERIODISMO PROFESIÓN\EVENTOS\CIENFUEGOS COPNFERENCIA CIENTÍFICA INTERNACIONAL ENVIADO RESUMEN\Fotos de menor tamaño 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9350" cy="1724025"/>
                    </a:xfrm>
                    <a:prstGeom prst="rect">
                      <a:avLst/>
                    </a:prstGeom>
                    <a:noFill/>
                    <a:ln>
                      <a:noFill/>
                    </a:ln>
                  </pic:spPr>
                </pic:pic>
              </a:graphicData>
            </a:graphic>
          </wp:inline>
        </w:drawing>
      </w:r>
    </w:p>
    <w:p w14:paraId="5028A979" w14:textId="77777777" w:rsidR="005C2838" w:rsidRPr="005C2838" w:rsidRDefault="005C2838" w:rsidP="005C2838">
      <w:pPr>
        <w:pStyle w:val="Sangradetextonormal"/>
        <w:spacing w:line="360" w:lineRule="auto"/>
        <w:ind w:firstLine="0"/>
        <w:jc w:val="center"/>
        <w:rPr>
          <w:i/>
          <w:sz w:val="20"/>
          <w:szCs w:val="20"/>
        </w:rPr>
      </w:pPr>
      <w:r w:rsidRPr="005C2838">
        <w:rPr>
          <w:b/>
          <w:sz w:val="20"/>
          <w:szCs w:val="20"/>
          <w:lang w:val="es-ES_tradnl"/>
        </w:rPr>
        <w:t>Imagen 4</w:t>
      </w:r>
      <w:r w:rsidRPr="005C2838">
        <w:rPr>
          <w:b/>
          <w:sz w:val="20"/>
          <w:szCs w:val="20"/>
        </w:rPr>
        <w:t>:</w:t>
      </w:r>
      <w:r w:rsidRPr="005C2838">
        <w:rPr>
          <w:i/>
          <w:sz w:val="20"/>
          <w:szCs w:val="20"/>
          <w:lang w:eastAsia="es-ES_tradnl"/>
        </w:rPr>
        <w:t xml:space="preserve"> Marca País.</w:t>
      </w:r>
    </w:p>
    <w:p w14:paraId="16C43526" w14:textId="77777777" w:rsidR="005C2838" w:rsidRPr="005C2838" w:rsidRDefault="005C2838" w:rsidP="005C2838">
      <w:pPr>
        <w:widowControl w:val="0"/>
        <w:autoSpaceDE w:val="0"/>
        <w:autoSpaceDN w:val="0"/>
        <w:adjustRightInd w:val="0"/>
        <w:spacing w:after="0" w:line="360" w:lineRule="auto"/>
        <w:jc w:val="center"/>
        <w:rPr>
          <w:rFonts w:ascii="Times New Roman" w:hAnsi="Times New Roman" w:cs="Times New Roman"/>
          <w:sz w:val="20"/>
          <w:szCs w:val="20"/>
        </w:rPr>
      </w:pPr>
      <w:r w:rsidRPr="005C2838">
        <w:rPr>
          <w:rFonts w:ascii="Times New Roman" w:hAnsi="Times New Roman" w:cs="Times New Roman"/>
          <w:b/>
          <w:sz w:val="20"/>
          <w:szCs w:val="20"/>
        </w:rPr>
        <w:t xml:space="preserve">Fuente: </w:t>
      </w:r>
      <w:r w:rsidRPr="005C2838">
        <w:rPr>
          <w:rFonts w:ascii="Times New Roman" w:hAnsi="Times New Roman" w:cs="Times New Roman"/>
          <w:sz w:val="20"/>
          <w:szCs w:val="20"/>
        </w:rPr>
        <w:t xml:space="preserve">Fotograma de </w:t>
      </w:r>
      <w:r w:rsidRPr="005C2838">
        <w:rPr>
          <w:rFonts w:ascii="Times New Roman" w:hAnsi="Times New Roman" w:cs="Times New Roman"/>
          <w:i/>
          <w:sz w:val="20"/>
          <w:szCs w:val="20"/>
        </w:rPr>
        <w:t xml:space="preserve">spot </w:t>
      </w:r>
      <w:r w:rsidRPr="005C2838">
        <w:rPr>
          <w:rFonts w:ascii="Times New Roman" w:hAnsi="Times New Roman" w:cs="Times New Roman"/>
          <w:sz w:val="20"/>
          <w:szCs w:val="20"/>
        </w:rPr>
        <w:t>1.</w:t>
      </w:r>
    </w:p>
    <w:p w14:paraId="0037A4DC"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Si bien en algún momento (18% de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se presentan sujetos con otras características –mujeres inteligentes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35), capaces (</w:t>
      </w:r>
      <w:r w:rsidRPr="005C2838">
        <w:rPr>
          <w:rFonts w:ascii="Times New Roman" w:hAnsi="Times New Roman" w:cs="Times New Roman"/>
          <w:i/>
          <w:sz w:val="24"/>
          <w:szCs w:val="24"/>
        </w:rPr>
        <w:t>Spot</w:t>
      </w:r>
      <w:r w:rsidRPr="005C2838">
        <w:rPr>
          <w:rFonts w:ascii="Times New Roman" w:hAnsi="Times New Roman" w:cs="Times New Roman"/>
          <w:sz w:val="24"/>
          <w:szCs w:val="24"/>
        </w:rPr>
        <w:t xml:space="preserve"> 27) y embaucadoras (</w:t>
      </w:r>
      <w:r w:rsidRPr="005C2838">
        <w:rPr>
          <w:rFonts w:ascii="Times New Roman" w:hAnsi="Times New Roman" w:cs="Times New Roman"/>
          <w:i/>
          <w:sz w:val="24"/>
          <w:szCs w:val="24"/>
        </w:rPr>
        <w:t>Spot</w:t>
      </w:r>
      <w:r w:rsidRPr="005C2838">
        <w:rPr>
          <w:rFonts w:ascii="Times New Roman" w:hAnsi="Times New Roman" w:cs="Times New Roman"/>
          <w:sz w:val="24"/>
          <w:szCs w:val="24"/>
        </w:rPr>
        <w:t xml:space="preserve"> 33), frente a hombres sufridos, vulnerables y confinados al espacio privado (</w:t>
      </w:r>
      <w:r w:rsidRPr="005C2838">
        <w:rPr>
          <w:rFonts w:ascii="Times New Roman" w:hAnsi="Times New Roman" w:cs="Times New Roman"/>
          <w:i/>
          <w:sz w:val="24"/>
          <w:szCs w:val="24"/>
        </w:rPr>
        <w:t>Spot</w:t>
      </w:r>
      <w:r w:rsidRPr="005C2838">
        <w:rPr>
          <w:rFonts w:ascii="Times New Roman" w:hAnsi="Times New Roman" w:cs="Times New Roman"/>
          <w:sz w:val="24"/>
          <w:szCs w:val="24"/>
        </w:rPr>
        <w:t xml:space="preserve"> 20) – esto no constituye generalidad. Se incluyen, entonces, en el exogrupo las mujeres masculinas (5%), de bellezas atípicas (0%)</w:t>
      </w:r>
      <w:r w:rsidRPr="005C2838">
        <w:rPr>
          <w:rStyle w:val="Refdenotaalpie"/>
          <w:rFonts w:ascii="Times New Roman" w:hAnsi="Times New Roman"/>
          <w:sz w:val="24"/>
          <w:szCs w:val="24"/>
        </w:rPr>
        <w:footnoteReference w:id="10"/>
      </w:r>
      <w:r w:rsidRPr="005C2838">
        <w:rPr>
          <w:rFonts w:ascii="Times New Roman" w:hAnsi="Times New Roman" w:cs="Times New Roman"/>
          <w:sz w:val="24"/>
          <w:szCs w:val="24"/>
        </w:rPr>
        <w:t>, no agradables al trato (0%), empoderadas (3%), e incluso destinadas a labores socialmente concebidas para hombres (5%) (Imagen 5). A este conjunto se suman los hombres femeninos (0%), dependientes (0%), partidarios de un servicio deficitario (0%) y destinados a labores socialmente reconocidas para la feminidad (13%).</w:t>
      </w:r>
    </w:p>
    <w:p w14:paraId="5FC7677B" w14:textId="77777777" w:rsidR="005C2838" w:rsidRPr="005C2838" w:rsidRDefault="005C2838" w:rsidP="005C2838">
      <w:pPr>
        <w:spacing w:after="0" w:line="360" w:lineRule="auto"/>
        <w:jc w:val="center"/>
        <w:rPr>
          <w:rFonts w:ascii="Times New Roman" w:hAnsi="Times New Roman" w:cs="Times New Roman"/>
          <w:sz w:val="24"/>
          <w:szCs w:val="24"/>
        </w:rPr>
      </w:pPr>
      <w:r w:rsidRPr="005C2838">
        <w:rPr>
          <w:rFonts w:ascii="Times New Roman" w:hAnsi="Times New Roman" w:cs="Times New Roman"/>
          <w:noProof/>
          <w:sz w:val="24"/>
          <w:szCs w:val="24"/>
          <w:lang w:eastAsia="es-ES"/>
        </w:rPr>
        <w:drawing>
          <wp:inline distT="0" distB="0" distL="0" distR="0" wp14:anchorId="088713B0" wp14:editId="410B074D">
            <wp:extent cx="2647950" cy="1762125"/>
            <wp:effectExtent l="0" t="0" r="0" b="9525"/>
            <wp:docPr id="6" name="Picture 6" descr="D:\DOCUMENTS\PERIODISMO PROFESIÓN\EVENTOS\CIENFUEGOS COPNFERENCIA CIENTÍFICA INTERNACIONAL ENVIADO RESUMEN\Fotos de menor tamaño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CUMENTS\PERIODISMO PROFESIÓN\EVENTOS\CIENFUEGOS COPNFERENCIA CIENTÍFICA INTERNACIONAL ENVIADO RESUMEN\Fotos de menor tamaño 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7950" cy="1762125"/>
                    </a:xfrm>
                    <a:prstGeom prst="rect">
                      <a:avLst/>
                    </a:prstGeom>
                    <a:noFill/>
                    <a:ln>
                      <a:noFill/>
                    </a:ln>
                  </pic:spPr>
                </pic:pic>
              </a:graphicData>
            </a:graphic>
          </wp:inline>
        </w:drawing>
      </w:r>
    </w:p>
    <w:p w14:paraId="19C7EAA3" w14:textId="77777777" w:rsidR="005C2838" w:rsidRPr="005C2838" w:rsidRDefault="005C2838" w:rsidP="005C2838">
      <w:pPr>
        <w:spacing w:after="0" w:line="360" w:lineRule="auto"/>
        <w:jc w:val="center"/>
        <w:rPr>
          <w:rFonts w:ascii="Times New Roman" w:hAnsi="Times New Roman" w:cs="Times New Roman"/>
          <w:sz w:val="20"/>
          <w:szCs w:val="20"/>
        </w:rPr>
      </w:pPr>
      <w:r w:rsidRPr="005C2838">
        <w:rPr>
          <w:rFonts w:ascii="Times New Roman" w:hAnsi="Times New Roman" w:cs="Times New Roman"/>
          <w:b/>
          <w:sz w:val="20"/>
          <w:szCs w:val="20"/>
        </w:rPr>
        <w:t>Imagen 5:</w:t>
      </w:r>
      <w:r w:rsidRPr="005C2838">
        <w:rPr>
          <w:rFonts w:ascii="Times New Roman" w:hAnsi="Times New Roman" w:cs="Times New Roman"/>
          <w:sz w:val="20"/>
          <w:szCs w:val="20"/>
        </w:rPr>
        <w:t xml:space="preserve"> Mujeres del exogrupo.</w:t>
      </w:r>
    </w:p>
    <w:p w14:paraId="7FD9D589" w14:textId="6A07E4D6" w:rsidR="005C2838" w:rsidRPr="005C2838" w:rsidRDefault="005C2838" w:rsidP="005C2838">
      <w:pPr>
        <w:spacing w:after="0" w:line="360" w:lineRule="auto"/>
        <w:jc w:val="center"/>
        <w:rPr>
          <w:rFonts w:ascii="Times New Roman" w:hAnsi="Times New Roman" w:cs="Times New Roman"/>
          <w:sz w:val="20"/>
          <w:szCs w:val="20"/>
        </w:rPr>
      </w:pPr>
      <w:r w:rsidRPr="005C2838">
        <w:rPr>
          <w:rFonts w:ascii="Times New Roman" w:hAnsi="Times New Roman" w:cs="Times New Roman"/>
          <w:b/>
          <w:sz w:val="20"/>
          <w:szCs w:val="20"/>
        </w:rPr>
        <w:t>Fuente</w:t>
      </w:r>
      <w:r w:rsidRPr="005C2838">
        <w:rPr>
          <w:rFonts w:ascii="Times New Roman" w:hAnsi="Times New Roman" w:cs="Times New Roman"/>
          <w:sz w:val="20"/>
          <w:szCs w:val="20"/>
        </w:rPr>
        <w:t>: Fotograma de spot 11.</w:t>
      </w:r>
    </w:p>
    <w:p w14:paraId="62E1F2A3"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A pesar de los avances del movimiento LGBTIQ+ en Cuba (Rodríguez Puso, 2017), se excluye por completo toda figura trans o </w:t>
      </w:r>
      <w:r w:rsidRPr="005C2838">
        <w:rPr>
          <w:rFonts w:ascii="Times New Roman" w:hAnsi="Times New Roman" w:cs="Times New Roman"/>
          <w:i/>
          <w:sz w:val="24"/>
          <w:szCs w:val="24"/>
        </w:rPr>
        <w:t>queer</w:t>
      </w:r>
      <w:r w:rsidRPr="005C2838">
        <w:rPr>
          <w:rFonts w:ascii="Times New Roman" w:hAnsi="Times New Roman" w:cs="Times New Roman"/>
          <w:sz w:val="24"/>
          <w:szCs w:val="24"/>
        </w:rPr>
        <w:t xml:space="preserve">, asumidos como oponentes en materia de posición y relaciones de grupo, pues representan un ideal emancipado y diferente: </w:t>
      </w:r>
      <w:r w:rsidRPr="005C2838">
        <w:rPr>
          <w:rFonts w:ascii="Times New Roman" w:hAnsi="Times New Roman" w:cs="Times New Roman"/>
          <w:sz w:val="24"/>
          <w:szCs w:val="24"/>
        </w:rPr>
        <w:lastRenderedPageBreak/>
        <w:t>“se busca mejorar la imagen de una marca o posicionar un producto o servicio, más allá de la aparición de estas figuras en los materiales audiovisuales” (</w:t>
      </w:r>
      <w:proofErr w:type="spellStart"/>
      <w:r w:rsidRPr="005C2838">
        <w:rPr>
          <w:rFonts w:ascii="Times New Roman" w:hAnsi="Times New Roman" w:cs="Times New Roman"/>
          <w:sz w:val="24"/>
          <w:szCs w:val="24"/>
        </w:rPr>
        <w:t>Anaelys</w:t>
      </w:r>
      <w:proofErr w:type="spellEnd"/>
      <w:r w:rsidRPr="005C2838">
        <w:rPr>
          <w:rFonts w:ascii="Times New Roman" w:hAnsi="Times New Roman" w:cs="Times New Roman"/>
          <w:sz w:val="24"/>
          <w:szCs w:val="24"/>
        </w:rPr>
        <w:t xml:space="preserve"> Gómez, Entrevista personal N°7, 15 de mayo de 2020). A pesar de no existir una declaración explícita de exclusión para los movimientos avanzados en materia de ideología sobre género, el discurso construido desde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de CVI facilita que receptores no tradicionales se puedan sentir marginados. Como mecanismo para delimitar el exogrupo, destacan el poco protagonismo que se le otorga a sus miembros: son replegados a zonas de la imagen de menor relevancia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9 y 11), brevedad en pantalla (</w:t>
      </w:r>
      <w:r w:rsidRPr="005C2838">
        <w:rPr>
          <w:rFonts w:ascii="Times New Roman" w:hAnsi="Times New Roman" w:cs="Times New Roman"/>
          <w:i/>
          <w:sz w:val="24"/>
          <w:szCs w:val="24"/>
        </w:rPr>
        <w:t>Spot</w:t>
      </w:r>
      <w:r w:rsidRPr="005C2838">
        <w:rPr>
          <w:rFonts w:ascii="Times New Roman" w:hAnsi="Times New Roman" w:cs="Times New Roman"/>
          <w:sz w:val="24"/>
          <w:szCs w:val="24"/>
        </w:rPr>
        <w:t xml:space="preserve"> 35) y pérdida de protagonismo en el encuadre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5 y 35). </w:t>
      </w:r>
    </w:p>
    <w:p w14:paraId="11263973" w14:textId="77777777" w:rsidR="005C2838" w:rsidRPr="005C2838" w:rsidRDefault="005C2838" w:rsidP="005C2838">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En general, los </w:t>
      </w:r>
      <w:r w:rsidRPr="005C2838">
        <w:rPr>
          <w:rFonts w:ascii="Times New Roman" w:hAnsi="Times New Roman" w:cs="Times New Roman"/>
          <w:i/>
          <w:sz w:val="24"/>
          <w:szCs w:val="24"/>
        </w:rPr>
        <w:t>spots</w:t>
      </w:r>
      <w:r w:rsidRPr="005C2838">
        <w:rPr>
          <w:rFonts w:ascii="Times New Roman" w:hAnsi="Times New Roman" w:cs="Times New Roman"/>
          <w:sz w:val="24"/>
          <w:szCs w:val="24"/>
        </w:rPr>
        <w:t xml:space="preserve"> representan modelos tradicionales de género y no muestran toda su diversidad (Dunia Ferrer, Entrevista personal de experto N°5, 5 de mayo de 2020)</w:t>
      </w:r>
      <w:r w:rsidRPr="005C2838">
        <w:rPr>
          <w:rStyle w:val="Refdenotaalpie"/>
          <w:rFonts w:ascii="Times New Roman" w:hAnsi="Times New Roman"/>
          <w:sz w:val="24"/>
          <w:szCs w:val="24"/>
        </w:rPr>
        <w:footnoteReference w:id="11"/>
      </w:r>
      <w:r w:rsidRPr="005C2838">
        <w:rPr>
          <w:rFonts w:ascii="Times New Roman" w:hAnsi="Times New Roman" w:cs="Times New Roman"/>
          <w:sz w:val="24"/>
          <w:szCs w:val="24"/>
        </w:rPr>
        <w:t xml:space="preserve">. Aunque todas las naciones del mundo proyectan una imagen al turista o visitante, más </w:t>
      </w:r>
      <w:proofErr w:type="spellStart"/>
      <w:r w:rsidRPr="005C2838">
        <w:rPr>
          <w:rFonts w:ascii="Times New Roman" w:hAnsi="Times New Roman" w:cs="Times New Roman"/>
          <w:sz w:val="24"/>
          <w:szCs w:val="24"/>
        </w:rPr>
        <w:t>folclorizada</w:t>
      </w:r>
      <w:proofErr w:type="spellEnd"/>
      <w:r w:rsidRPr="005C2838">
        <w:rPr>
          <w:rFonts w:ascii="Times New Roman" w:hAnsi="Times New Roman" w:cs="Times New Roman"/>
          <w:sz w:val="24"/>
          <w:szCs w:val="24"/>
        </w:rPr>
        <w:t xml:space="preserve"> y mercantilizada que la concepción nacional en sí, en Cuba esa proyección de una identidad para la mirada del otro se ha simplificado y vulgarizado a la hora de presentarla (</w:t>
      </w:r>
      <w:proofErr w:type="spellStart"/>
      <w:r w:rsidRPr="005C2838">
        <w:rPr>
          <w:rFonts w:ascii="Times New Roman" w:hAnsi="Times New Roman" w:cs="Times New Roman"/>
          <w:sz w:val="24"/>
          <w:szCs w:val="24"/>
        </w:rPr>
        <w:t>Yuleivy</w:t>
      </w:r>
      <w:proofErr w:type="spellEnd"/>
      <w:r w:rsidRPr="005C2838">
        <w:rPr>
          <w:rFonts w:ascii="Times New Roman" w:hAnsi="Times New Roman" w:cs="Times New Roman"/>
          <w:sz w:val="24"/>
          <w:szCs w:val="24"/>
        </w:rPr>
        <w:t xml:space="preserve"> García, Entrevista personal de experto N°3, 4 de mayo de 2020). </w:t>
      </w:r>
    </w:p>
    <w:p w14:paraId="105C7AB6" w14:textId="0ACCBF1E" w:rsidR="00FF3346" w:rsidRPr="008A02D0" w:rsidRDefault="005C2838" w:rsidP="00FF3346">
      <w:pPr>
        <w:spacing w:after="0" w:line="360" w:lineRule="auto"/>
        <w:jc w:val="both"/>
        <w:rPr>
          <w:rFonts w:ascii="Times New Roman" w:hAnsi="Times New Roman" w:cs="Times New Roman"/>
          <w:sz w:val="24"/>
          <w:szCs w:val="24"/>
        </w:rPr>
      </w:pPr>
      <w:r w:rsidRPr="005C2838">
        <w:rPr>
          <w:rFonts w:ascii="Times New Roman" w:hAnsi="Times New Roman" w:cs="Times New Roman"/>
          <w:sz w:val="24"/>
          <w:szCs w:val="24"/>
        </w:rPr>
        <w:t xml:space="preserve">Ese proceso de simplificación no resulta ajeno a las instituciones encargadas de detentar la política cultural revolucionaria, como puede verse en documentos rectores –Lineamientos de la Política Económica y Social del Partido y la Revolución para el período 2016-2021 (Partido Comunista de Cuba, 2016)– donde se prescribe la defensa y </w:t>
      </w:r>
      <w:r w:rsidRPr="008A02D0">
        <w:rPr>
          <w:rFonts w:ascii="Times New Roman" w:hAnsi="Times New Roman" w:cs="Times New Roman"/>
          <w:sz w:val="24"/>
          <w:szCs w:val="24"/>
        </w:rPr>
        <w:t>salvaguarda del patrimonio cultural, material e inmaterial de la nación cubana.</w:t>
      </w:r>
    </w:p>
    <w:p w14:paraId="46DC5136" w14:textId="0C2F4F39" w:rsidR="00FF3346" w:rsidRPr="008A02D0" w:rsidRDefault="00FF3346" w:rsidP="008A02D0">
      <w:pPr>
        <w:pStyle w:val="Prrafodelista"/>
        <w:numPr>
          <w:ilvl w:val="0"/>
          <w:numId w:val="4"/>
        </w:numPr>
        <w:spacing w:after="0" w:line="360" w:lineRule="auto"/>
        <w:jc w:val="both"/>
        <w:rPr>
          <w:rFonts w:ascii="Times New Roman" w:hAnsi="Times New Roman" w:cs="Times New Roman"/>
          <w:b/>
          <w:sz w:val="24"/>
          <w:szCs w:val="24"/>
        </w:rPr>
      </w:pPr>
      <w:r w:rsidRPr="008A02D0">
        <w:rPr>
          <w:rFonts w:ascii="Times New Roman" w:hAnsi="Times New Roman" w:cs="Times New Roman"/>
          <w:b/>
          <w:sz w:val="24"/>
          <w:szCs w:val="24"/>
        </w:rPr>
        <w:t>Conclusiones</w:t>
      </w:r>
    </w:p>
    <w:p w14:paraId="52E5304F" w14:textId="77777777" w:rsidR="008A02D0" w:rsidRPr="008A02D0" w:rsidRDefault="008A02D0" w:rsidP="008A02D0">
      <w:pPr>
        <w:spacing w:after="0" w:line="360" w:lineRule="auto"/>
        <w:jc w:val="both"/>
        <w:rPr>
          <w:rFonts w:ascii="Times New Roman" w:hAnsi="Times New Roman" w:cs="Times New Roman"/>
          <w:sz w:val="24"/>
          <w:szCs w:val="24"/>
        </w:rPr>
      </w:pPr>
      <w:r w:rsidRPr="008A02D0">
        <w:rPr>
          <w:rFonts w:ascii="Times New Roman" w:hAnsi="Times New Roman" w:cs="Times New Roman"/>
          <w:sz w:val="24"/>
          <w:szCs w:val="24"/>
        </w:rPr>
        <w:t xml:space="preserve">En el discurso publicitario de CVI, los estereotipos devienen base para construir el género; por ello, se explicita la diferencia marcada de paradigmas femeninos y masculinos, sus relaciones, y la omisión del “otro genérico” bajo preceptos tradicionales, que inciden en la configuración de una identidad folclorista, exteriorista y de divertimento vulgar. </w:t>
      </w:r>
    </w:p>
    <w:p w14:paraId="3D7B3751" w14:textId="77777777" w:rsidR="008A02D0" w:rsidRPr="008A02D0" w:rsidRDefault="008A02D0" w:rsidP="008A02D0">
      <w:pPr>
        <w:spacing w:after="0" w:line="360" w:lineRule="auto"/>
        <w:jc w:val="both"/>
        <w:rPr>
          <w:rFonts w:ascii="Times New Roman" w:hAnsi="Times New Roman" w:cs="Times New Roman"/>
          <w:sz w:val="24"/>
          <w:szCs w:val="24"/>
        </w:rPr>
      </w:pPr>
      <w:r w:rsidRPr="008A02D0">
        <w:rPr>
          <w:rFonts w:ascii="Times New Roman" w:hAnsi="Times New Roman" w:cs="Times New Roman"/>
          <w:sz w:val="24"/>
          <w:szCs w:val="24"/>
        </w:rPr>
        <w:t xml:space="preserve">Al ser dirigida a público internacional, la polarización de los grupos presentados en el discurso publicitario comercial de CVI se apega a la construcción tradicional de género, en función de los intereses del mercado y de los factores socioculturales hegemónicos: el </w:t>
      </w:r>
      <w:proofErr w:type="spellStart"/>
      <w:r w:rsidRPr="008A02D0">
        <w:rPr>
          <w:rFonts w:ascii="Times New Roman" w:hAnsi="Times New Roman" w:cs="Times New Roman"/>
          <w:sz w:val="24"/>
          <w:szCs w:val="24"/>
        </w:rPr>
        <w:t>endogrupo</w:t>
      </w:r>
      <w:proofErr w:type="spellEnd"/>
      <w:r w:rsidRPr="008A02D0">
        <w:rPr>
          <w:rFonts w:ascii="Times New Roman" w:hAnsi="Times New Roman" w:cs="Times New Roman"/>
          <w:sz w:val="24"/>
          <w:szCs w:val="24"/>
        </w:rPr>
        <w:t xml:space="preserve"> se compone de sujetos de género típicos para la venta, consecuentes con el </w:t>
      </w:r>
      <w:r w:rsidRPr="008A02D0">
        <w:rPr>
          <w:rFonts w:ascii="Times New Roman" w:hAnsi="Times New Roman" w:cs="Times New Roman"/>
          <w:sz w:val="24"/>
          <w:szCs w:val="24"/>
        </w:rPr>
        <w:lastRenderedPageBreak/>
        <w:t>mito de la Cuba caliente y tropical; lo integran seres cisgéneros, construidos bajo cánones tradicionales y puramente heterosexuales.</w:t>
      </w:r>
    </w:p>
    <w:p w14:paraId="3B05F87D" w14:textId="77777777" w:rsidR="008A02D0" w:rsidRPr="008A02D0" w:rsidRDefault="008A02D0" w:rsidP="008A02D0">
      <w:pPr>
        <w:spacing w:after="0" w:line="360" w:lineRule="auto"/>
        <w:jc w:val="both"/>
        <w:rPr>
          <w:rFonts w:ascii="Times New Roman" w:hAnsi="Times New Roman" w:cs="Times New Roman"/>
          <w:sz w:val="24"/>
          <w:szCs w:val="24"/>
        </w:rPr>
      </w:pPr>
      <w:r w:rsidRPr="008A02D0">
        <w:rPr>
          <w:rFonts w:ascii="Times New Roman" w:hAnsi="Times New Roman" w:cs="Times New Roman"/>
          <w:sz w:val="24"/>
          <w:szCs w:val="24"/>
        </w:rPr>
        <w:t>En el exogrupo, por el contrario, se presentan, por omisión implícita, mujeres y hombres de preceptos avanzados, fuera de las ataduras tradicionales, así como figuras transgénero, intersexuales, homosexuales, bisexuales y queer.</w:t>
      </w:r>
    </w:p>
    <w:p w14:paraId="6F1AB9FC" w14:textId="77777777" w:rsidR="008A02D0" w:rsidRPr="008A02D0" w:rsidRDefault="008A02D0" w:rsidP="008A02D0">
      <w:pPr>
        <w:spacing w:after="0" w:line="360" w:lineRule="auto"/>
        <w:jc w:val="both"/>
        <w:rPr>
          <w:rFonts w:ascii="Times New Roman" w:hAnsi="Times New Roman" w:cs="Times New Roman"/>
          <w:sz w:val="24"/>
          <w:szCs w:val="24"/>
        </w:rPr>
      </w:pPr>
      <w:r w:rsidRPr="008A02D0">
        <w:rPr>
          <w:rFonts w:ascii="Times New Roman" w:hAnsi="Times New Roman" w:cs="Times New Roman"/>
          <w:sz w:val="24"/>
          <w:szCs w:val="24"/>
        </w:rPr>
        <w:t>La construcción de una ideología sobre género a partir de conceptos puramente tradicionales demuestra la permanencia en CVI de un discurso conservador, que no contribuye al establecimiento de garantías sociales para el ejercicio digno y cabal de los derechos.</w:t>
      </w:r>
    </w:p>
    <w:p w14:paraId="6F5DEBEF" w14:textId="77777777" w:rsidR="008A02D0" w:rsidRPr="008A02D0" w:rsidRDefault="008A02D0" w:rsidP="008A02D0">
      <w:pPr>
        <w:spacing w:after="0" w:line="360" w:lineRule="auto"/>
        <w:jc w:val="both"/>
        <w:rPr>
          <w:rFonts w:ascii="Times New Roman" w:hAnsi="Times New Roman" w:cs="Times New Roman"/>
          <w:sz w:val="24"/>
          <w:szCs w:val="24"/>
        </w:rPr>
      </w:pPr>
      <w:r w:rsidRPr="008A02D0">
        <w:rPr>
          <w:rFonts w:ascii="Times New Roman" w:hAnsi="Times New Roman" w:cs="Times New Roman"/>
          <w:sz w:val="24"/>
          <w:szCs w:val="24"/>
        </w:rPr>
        <w:t xml:space="preserve">Resulta necesario a) extender esta investigación a un estudio de emisor, para examinar la construcción de género durante la rutina productiva de RTV Comercial para la elaboración de los </w:t>
      </w:r>
      <w:r w:rsidRPr="008A02D0">
        <w:rPr>
          <w:rFonts w:ascii="Times New Roman" w:hAnsi="Times New Roman" w:cs="Times New Roman"/>
          <w:i/>
          <w:sz w:val="24"/>
          <w:szCs w:val="24"/>
        </w:rPr>
        <w:t>spots</w:t>
      </w:r>
      <w:r w:rsidRPr="008A02D0">
        <w:rPr>
          <w:rFonts w:ascii="Times New Roman" w:hAnsi="Times New Roman" w:cs="Times New Roman"/>
          <w:sz w:val="24"/>
          <w:szCs w:val="24"/>
        </w:rPr>
        <w:t xml:space="preserve"> publicitarios; b) potenciar la debida atención a la construcción de género como un indicador para medir la calidad del discurso publicitario y periodístico en general.</w:t>
      </w:r>
    </w:p>
    <w:p w14:paraId="392CF4C7" w14:textId="773289E4" w:rsidR="00FF3346" w:rsidRPr="008A02D0" w:rsidRDefault="00FF3346" w:rsidP="008A02D0">
      <w:pPr>
        <w:pStyle w:val="Prrafodelista"/>
        <w:numPr>
          <w:ilvl w:val="0"/>
          <w:numId w:val="4"/>
        </w:numPr>
        <w:spacing w:after="0" w:line="360" w:lineRule="auto"/>
        <w:jc w:val="both"/>
        <w:rPr>
          <w:rFonts w:ascii="Times New Roman" w:hAnsi="Times New Roman" w:cs="Times New Roman"/>
          <w:b/>
          <w:sz w:val="24"/>
          <w:szCs w:val="24"/>
        </w:rPr>
      </w:pPr>
      <w:r w:rsidRPr="008A02D0">
        <w:rPr>
          <w:rFonts w:ascii="Times New Roman" w:hAnsi="Times New Roman" w:cs="Times New Roman"/>
          <w:b/>
          <w:sz w:val="24"/>
          <w:szCs w:val="24"/>
        </w:rPr>
        <w:t>Referencias bibliográficas</w:t>
      </w:r>
    </w:p>
    <w:p w14:paraId="40A0C371" w14:textId="01E5D156" w:rsidR="008A02D0" w:rsidRPr="008A02D0" w:rsidRDefault="008A02D0" w:rsidP="008A02D0">
      <w:pPr>
        <w:pStyle w:val="Prrafodelista"/>
        <w:numPr>
          <w:ilvl w:val="0"/>
          <w:numId w:val="5"/>
        </w:numPr>
        <w:spacing w:after="0" w:line="360" w:lineRule="auto"/>
        <w:ind w:left="426"/>
        <w:jc w:val="both"/>
        <w:rPr>
          <w:rFonts w:ascii="Times New Roman" w:hAnsi="Times New Roman" w:cs="Times New Roman"/>
          <w:sz w:val="24"/>
          <w:szCs w:val="24"/>
        </w:rPr>
      </w:pPr>
      <w:bookmarkStart w:id="0" w:name="_Toc42006074"/>
      <w:r w:rsidRPr="008A02D0">
        <w:rPr>
          <w:rFonts w:ascii="Times New Roman" w:hAnsi="Times New Roman" w:cs="Times New Roman"/>
          <w:sz w:val="24"/>
          <w:szCs w:val="24"/>
        </w:rPr>
        <w:t xml:space="preserve">Alberdi, M., </w:t>
      </w:r>
      <w:proofErr w:type="spellStart"/>
      <w:r w:rsidRPr="008A02D0">
        <w:rPr>
          <w:rFonts w:ascii="Times New Roman" w:hAnsi="Times New Roman" w:cs="Times New Roman"/>
          <w:sz w:val="24"/>
          <w:szCs w:val="24"/>
        </w:rPr>
        <w:t>Arpio</w:t>
      </w:r>
      <w:proofErr w:type="spellEnd"/>
      <w:r w:rsidRPr="008A02D0">
        <w:rPr>
          <w:rFonts w:ascii="Times New Roman" w:hAnsi="Times New Roman" w:cs="Times New Roman"/>
          <w:sz w:val="24"/>
          <w:szCs w:val="24"/>
        </w:rPr>
        <w:t xml:space="preserve">, M., &amp; Ochoa, V. (2015, febrero 25). Sexo vs Género. Estudios de género y prácticas sexuales. Recuperado de </w:t>
      </w:r>
      <w:hyperlink r:id="rId14" w:history="1">
        <w:r w:rsidRPr="008A02D0">
          <w:rPr>
            <w:rFonts w:ascii="Times New Roman" w:hAnsi="Times New Roman" w:cs="Times New Roman"/>
            <w:sz w:val="24"/>
            <w:szCs w:val="24"/>
          </w:rPr>
          <w:t>https://egpsiteso.wordpress.com/2015/02/25/sexo-vs-genero/</w:t>
        </w:r>
      </w:hyperlink>
      <w:bookmarkEnd w:id="0"/>
    </w:p>
    <w:p w14:paraId="7276AA3A"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Alonso Álvarez, A. (2019). ¿Por las mujeres con las mujeres? Políticas de género participativas en el Ayuntamiento de Barcelona. </w:t>
      </w:r>
      <w:r w:rsidRPr="008A02D0">
        <w:rPr>
          <w:rFonts w:ascii="Times New Roman" w:hAnsi="Times New Roman" w:cs="Times New Roman"/>
          <w:i/>
          <w:iCs/>
          <w:sz w:val="24"/>
          <w:szCs w:val="24"/>
        </w:rPr>
        <w:t>Política y Sociedad</w:t>
      </w:r>
      <w:r w:rsidRPr="008A02D0">
        <w:rPr>
          <w:rFonts w:ascii="Times New Roman" w:hAnsi="Times New Roman" w:cs="Times New Roman"/>
          <w:sz w:val="24"/>
          <w:szCs w:val="24"/>
        </w:rPr>
        <w:t xml:space="preserve">, </w:t>
      </w:r>
      <w:r w:rsidRPr="008A02D0">
        <w:rPr>
          <w:rFonts w:ascii="Times New Roman" w:hAnsi="Times New Roman" w:cs="Times New Roman"/>
          <w:iCs/>
          <w:sz w:val="24"/>
          <w:szCs w:val="24"/>
        </w:rPr>
        <w:t>56</w:t>
      </w:r>
      <w:r w:rsidRPr="008A02D0">
        <w:rPr>
          <w:rFonts w:ascii="Times New Roman" w:hAnsi="Times New Roman" w:cs="Times New Roman"/>
          <w:sz w:val="24"/>
          <w:szCs w:val="24"/>
        </w:rPr>
        <w:t>(2), 473-493. Recuperado de https://doi.org/10.5209/poso.57821</w:t>
      </w:r>
    </w:p>
    <w:p w14:paraId="4D6D6DA7"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proofErr w:type="spellStart"/>
      <w:r w:rsidRPr="008A02D0">
        <w:rPr>
          <w:rFonts w:ascii="Times New Roman" w:hAnsi="Times New Roman" w:cs="Times New Roman"/>
          <w:sz w:val="24"/>
          <w:szCs w:val="24"/>
        </w:rPr>
        <w:t>Bourque</w:t>
      </w:r>
      <w:proofErr w:type="spellEnd"/>
      <w:r w:rsidRPr="008A02D0">
        <w:rPr>
          <w:rFonts w:ascii="Times New Roman" w:hAnsi="Times New Roman" w:cs="Times New Roman"/>
          <w:sz w:val="24"/>
          <w:szCs w:val="24"/>
        </w:rPr>
        <w:t xml:space="preserve">, S., Conway, J., &amp; Scott, J. (2013). El concepto de género. En M. A. Porrúa (Ed.), </w:t>
      </w:r>
      <w:r w:rsidRPr="008A02D0">
        <w:rPr>
          <w:rFonts w:ascii="Times New Roman" w:hAnsi="Times New Roman" w:cs="Times New Roman"/>
          <w:i/>
          <w:iCs/>
          <w:sz w:val="24"/>
          <w:szCs w:val="24"/>
        </w:rPr>
        <w:t xml:space="preserve">La construcción cultural de la diferencia sexual </w:t>
      </w:r>
      <w:r w:rsidRPr="008A02D0">
        <w:rPr>
          <w:rFonts w:ascii="Times New Roman" w:hAnsi="Times New Roman" w:cs="Times New Roman"/>
          <w:sz w:val="24"/>
          <w:szCs w:val="24"/>
        </w:rPr>
        <w:t>(pp. 21-33). PUEG.</w:t>
      </w:r>
    </w:p>
    <w:p w14:paraId="7A147FCC"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Butler, J. (2013). Variaciones sobre sexo y género: Beauvoir, </w:t>
      </w:r>
      <w:proofErr w:type="spellStart"/>
      <w:r w:rsidRPr="008A02D0">
        <w:rPr>
          <w:rFonts w:ascii="Times New Roman" w:hAnsi="Times New Roman" w:cs="Times New Roman"/>
          <w:sz w:val="24"/>
          <w:szCs w:val="24"/>
        </w:rPr>
        <w:t>Witting</w:t>
      </w:r>
      <w:proofErr w:type="spellEnd"/>
      <w:r w:rsidRPr="008A02D0">
        <w:rPr>
          <w:rFonts w:ascii="Times New Roman" w:hAnsi="Times New Roman" w:cs="Times New Roman"/>
          <w:sz w:val="24"/>
          <w:szCs w:val="24"/>
        </w:rPr>
        <w:t xml:space="preserve"> y Foucault. En M. A. Porrúa (Ed.), </w:t>
      </w:r>
      <w:r w:rsidRPr="008A02D0">
        <w:rPr>
          <w:rFonts w:ascii="Times New Roman" w:hAnsi="Times New Roman" w:cs="Times New Roman"/>
          <w:i/>
          <w:iCs/>
          <w:sz w:val="24"/>
          <w:szCs w:val="24"/>
        </w:rPr>
        <w:t xml:space="preserve">La construcción cultural de la diferencia sexual </w:t>
      </w:r>
      <w:r w:rsidRPr="008A02D0">
        <w:rPr>
          <w:rFonts w:ascii="Times New Roman" w:hAnsi="Times New Roman" w:cs="Times New Roman"/>
          <w:sz w:val="24"/>
          <w:szCs w:val="24"/>
        </w:rPr>
        <w:t>(pp. 303-326). PUEG.</w:t>
      </w:r>
    </w:p>
    <w:p w14:paraId="7F77B708"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Carrascosa Puertas, L. (2020). El lenguaje sexista en la prensa española: un estudio de los cien primeros días de mandato de Manuela Carmena en el Ayuntamiento de Madrid. </w:t>
      </w:r>
      <w:r w:rsidRPr="008A02D0">
        <w:rPr>
          <w:rFonts w:ascii="Times New Roman" w:hAnsi="Times New Roman" w:cs="Times New Roman"/>
          <w:i/>
          <w:sz w:val="24"/>
          <w:szCs w:val="24"/>
        </w:rPr>
        <w:t>Estudios sobre el Mensaje Periodístico</w:t>
      </w:r>
      <w:r w:rsidRPr="008A02D0">
        <w:rPr>
          <w:rFonts w:ascii="Times New Roman" w:hAnsi="Times New Roman" w:cs="Times New Roman"/>
          <w:sz w:val="24"/>
          <w:szCs w:val="24"/>
        </w:rPr>
        <w:t>, 26(4), 1341-1352. Recuperado de https://doi.org/10.5209/esmp.69257</w:t>
      </w:r>
    </w:p>
    <w:p w14:paraId="2EB5ACE9"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De Beauvoir, S. (1949). </w:t>
      </w:r>
      <w:r w:rsidRPr="008A02D0">
        <w:rPr>
          <w:rFonts w:ascii="Times New Roman" w:hAnsi="Times New Roman" w:cs="Times New Roman"/>
          <w:i/>
          <w:sz w:val="24"/>
          <w:szCs w:val="24"/>
        </w:rPr>
        <w:t>El segundo sexo</w:t>
      </w:r>
      <w:r w:rsidRPr="008A02D0">
        <w:rPr>
          <w:rFonts w:ascii="Times New Roman" w:hAnsi="Times New Roman" w:cs="Times New Roman"/>
          <w:sz w:val="24"/>
          <w:szCs w:val="24"/>
        </w:rPr>
        <w:t>. Buenos Aires: Siglo XX.</w:t>
      </w:r>
    </w:p>
    <w:p w14:paraId="0AB73BFE" w14:textId="77777777" w:rsidR="008A02D0" w:rsidRPr="008A02D0" w:rsidRDefault="008A02D0" w:rsidP="008A02D0">
      <w:pPr>
        <w:pStyle w:val="Prrafodelista"/>
        <w:numPr>
          <w:ilvl w:val="0"/>
          <w:numId w:val="5"/>
        </w:numPr>
        <w:tabs>
          <w:tab w:val="left" w:pos="6149"/>
        </w:tabs>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lastRenderedPageBreak/>
        <w:t xml:space="preserve">Esquenazi Borrego, A., Rosales Vázquez, S., &amp; Velarde Hernández, Y. (2017). </w:t>
      </w:r>
      <w:proofErr w:type="spellStart"/>
      <w:r w:rsidRPr="008A02D0">
        <w:rPr>
          <w:rFonts w:ascii="Times New Roman" w:hAnsi="Times New Roman" w:cs="Times New Roman"/>
          <w:sz w:val="24"/>
          <w:szCs w:val="24"/>
        </w:rPr>
        <w:t>Index</w:t>
      </w:r>
      <w:proofErr w:type="spellEnd"/>
      <w:r w:rsidRPr="008A02D0">
        <w:rPr>
          <w:rFonts w:ascii="Times New Roman" w:hAnsi="Times New Roman" w:cs="Times New Roman"/>
          <w:sz w:val="24"/>
          <w:szCs w:val="24"/>
        </w:rPr>
        <w:t xml:space="preserve"> </w:t>
      </w:r>
      <w:proofErr w:type="spellStart"/>
      <w:r w:rsidRPr="008A02D0">
        <w:rPr>
          <w:rFonts w:ascii="Times New Roman" w:hAnsi="Times New Roman" w:cs="Times New Roman"/>
          <w:sz w:val="24"/>
          <w:szCs w:val="24"/>
        </w:rPr>
        <w:t>of</w:t>
      </w:r>
      <w:proofErr w:type="spellEnd"/>
      <w:r w:rsidRPr="008A02D0">
        <w:rPr>
          <w:rFonts w:ascii="Times New Roman" w:hAnsi="Times New Roman" w:cs="Times New Roman"/>
          <w:sz w:val="24"/>
          <w:szCs w:val="24"/>
        </w:rPr>
        <w:t xml:space="preserve"> </w:t>
      </w:r>
      <w:proofErr w:type="spellStart"/>
      <w:r w:rsidRPr="008A02D0">
        <w:rPr>
          <w:rFonts w:ascii="Times New Roman" w:hAnsi="Times New Roman" w:cs="Times New Roman"/>
          <w:sz w:val="24"/>
          <w:szCs w:val="24"/>
        </w:rPr>
        <w:t>Gender</w:t>
      </w:r>
      <w:proofErr w:type="spellEnd"/>
      <w:r w:rsidRPr="008A02D0">
        <w:rPr>
          <w:rFonts w:ascii="Times New Roman" w:hAnsi="Times New Roman" w:cs="Times New Roman"/>
          <w:sz w:val="24"/>
          <w:szCs w:val="24"/>
        </w:rPr>
        <w:t xml:space="preserve"> </w:t>
      </w:r>
      <w:proofErr w:type="spellStart"/>
      <w:r w:rsidRPr="008A02D0">
        <w:rPr>
          <w:rFonts w:ascii="Times New Roman" w:hAnsi="Times New Roman" w:cs="Times New Roman"/>
          <w:sz w:val="24"/>
          <w:szCs w:val="24"/>
        </w:rPr>
        <w:t>Inequality</w:t>
      </w:r>
      <w:proofErr w:type="spellEnd"/>
      <w:r w:rsidRPr="008A02D0">
        <w:rPr>
          <w:rFonts w:ascii="Times New Roman" w:hAnsi="Times New Roman" w:cs="Times New Roman"/>
          <w:sz w:val="24"/>
          <w:szCs w:val="24"/>
        </w:rPr>
        <w:t xml:space="preserve"> in Cuba: a Territorial </w:t>
      </w:r>
      <w:proofErr w:type="spellStart"/>
      <w:r w:rsidRPr="008A02D0">
        <w:rPr>
          <w:rFonts w:ascii="Times New Roman" w:hAnsi="Times New Roman" w:cs="Times New Roman"/>
          <w:sz w:val="24"/>
          <w:szCs w:val="24"/>
        </w:rPr>
        <w:t>Approach</w:t>
      </w:r>
      <w:proofErr w:type="spellEnd"/>
      <w:r w:rsidRPr="008A02D0">
        <w:rPr>
          <w:rFonts w:ascii="Times New Roman" w:hAnsi="Times New Roman" w:cs="Times New Roman"/>
          <w:sz w:val="24"/>
          <w:szCs w:val="24"/>
        </w:rPr>
        <w:t xml:space="preserve">. </w:t>
      </w:r>
      <w:r w:rsidRPr="008A02D0">
        <w:rPr>
          <w:rFonts w:ascii="Times New Roman" w:hAnsi="Times New Roman" w:cs="Times New Roman"/>
          <w:i/>
          <w:sz w:val="24"/>
          <w:szCs w:val="24"/>
        </w:rPr>
        <w:t xml:space="preserve">Revista Estudios del Desarrollo Social: Cuba y América Latina, </w:t>
      </w:r>
      <w:r w:rsidRPr="008A02D0">
        <w:rPr>
          <w:rFonts w:ascii="Times New Roman" w:hAnsi="Times New Roman" w:cs="Times New Roman"/>
          <w:sz w:val="24"/>
          <w:szCs w:val="24"/>
        </w:rPr>
        <w:t>5(2), 11-21. Recuperado de http://scielo.sld.cu/scielo.php?script=sci_arttext&amp;pid=S2308-01322017000200011</w:t>
      </w:r>
    </w:p>
    <w:p w14:paraId="32852E7B" w14:textId="77777777" w:rsidR="008A02D0" w:rsidRPr="008A02D0" w:rsidRDefault="008A02D0" w:rsidP="008A02D0">
      <w:pPr>
        <w:pStyle w:val="Prrafodelista"/>
        <w:numPr>
          <w:ilvl w:val="0"/>
          <w:numId w:val="5"/>
        </w:numPr>
        <w:tabs>
          <w:tab w:val="left" w:pos="6149"/>
        </w:tabs>
        <w:spacing w:after="0" w:line="360" w:lineRule="auto"/>
        <w:ind w:left="357" w:hanging="357"/>
        <w:jc w:val="both"/>
        <w:rPr>
          <w:rFonts w:ascii="Times New Roman" w:hAnsi="Times New Roman" w:cs="Times New Roman"/>
          <w:sz w:val="24"/>
          <w:szCs w:val="24"/>
        </w:rPr>
      </w:pPr>
      <w:proofErr w:type="spellStart"/>
      <w:r w:rsidRPr="008A02D0">
        <w:rPr>
          <w:rFonts w:ascii="Times New Roman" w:hAnsi="Times New Roman" w:cs="Times New Roman"/>
          <w:sz w:val="24"/>
          <w:szCs w:val="24"/>
        </w:rPr>
        <w:t>Fairclough</w:t>
      </w:r>
      <w:proofErr w:type="spellEnd"/>
      <w:r w:rsidRPr="008A02D0">
        <w:rPr>
          <w:rFonts w:ascii="Times New Roman" w:hAnsi="Times New Roman" w:cs="Times New Roman"/>
          <w:sz w:val="24"/>
          <w:szCs w:val="24"/>
        </w:rPr>
        <w:t xml:space="preserve">, N., &amp; </w:t>
      </w:r>
      <w:proofErr w:type="spellStart"/>
      <w:r w:rsidRPr="008A02D0">
        <w:rPr>
          <w:rFonts w:ascii="Times New Roman" w:hAnsi="Times New Roman" w:cs="Times New Roman"/>
          <w:sz w:val="24"/>
          <w:szCs w:val="24"/>
        </w:rPr>
        <w:t>Wodak</w:t>
      </w:r>
      <w:proofErr w:type="spellEnd"/>
      <w:r w:rsidRPr="008A02D0">
        <w:rPr>
          <w:rFonts w:ascii="Times New Roman" w:hAnsi="Times New Roman" w:cs="Times New Roman"/>
          <w:sz w:val="24"/>
          <w:szCs w:val="24"/>
        </w:rPr>
        <w:t xml:space="preserve">, R. (2000). El discurso como interacción social. En T. A. Van Dijk (Ed.), </w:t>
      </w:r>
      <w:r w:rsidRPr="008A02D0">
        <w:rPr>
          <w:rFonts w:ascii="Times New Roman" w:hAnsi="Times New Roman" w:cs="Times New Roman"/>
          <w:i/>
          <w:iCs/>
          <w:sz w:val="24"/>
          <w:szCs w:val="24"/>
        </w:rPr>
        <w:t>Análisis crítico del discurso</w:t>
      </w:r>
      <w:r w:rsidRPr="008A02D0">
        <w:rPr>
          <w:rFonts w:ascii="Times New Roman" w:hAnsi="Times New Roman" w:cs="Times New Roman"/>
          <w:sz w:val="24"/>
          <w:szCs w:val="24"/>
        </w:rPr>
        <w:t xml:space="preserve">. Barcelona: Gedisa. </w:t>
      </w:r>
    </w:p>
    <w:p w14:paraId="3A54E8CB"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García </w:t>
      </w:r>
      <w:proofErr w:type="spellStart"/>
      <w:r w:rsidRPr="008A02D0">
        <w:rPr>
          <w:rFonts w:ascii="Times New Roman" w:hAnsi="Times New Roman" w:cs="Times New Roman"/>
          <w:sz w:val="24"/>
          <w:szCs w:val="24"/>
        </w:rPr>
        <w:t>Beaudoux</w:t>
      </w:r>
      <w:proofErr w:type="spellEnd"/>
      <w:r w:rsidRPr="008A02D0">
        <w:rPr>
          <w:rFonts w:ascii="Times New Roman" w:hAnsi="Times New Roman" w:cs="Times New Roman"/>
          <w:sz w:val="24"/>
          <w:szCs w:val="24"/>
        </w:rPr>
        <w:t xml:space="preserve">, et al. (2020). Estereotipos y sesgos en el tratamiento de candidatas y candidatos en programas televisivos en las elecciones legislativas de Argentina en 2017. </w:t>
      </w:r>
      <w:r w:rsidRPr="008A02D0">
        <w:rPr>
          <w:rFonts w:ascii="Times New Roman" w:hAnsi="Times New Roman" w:cs="Times New Roman"/>
          <w:i/>
          <w:sz w:val="24"/>
          <w:szCs w:val="24"/>
        </w:rPr>
        <w:t>Revista Latina de Comunicación Social</w:t>
      </w:r>
      <w:r w:rsidRPr="008A02D0">
        <w:rPr>
          <w:rFonts w:ascii="Times New Roman" w:hAnsi="Times New Roman" w:cs="Times New Roman"/>
          <w:sz w:val="24"/>
          <w:szCs w:val="24"/>
        </w:rPr>
        <w:t>, (77), 275-293. Recuperado de https://www.doi.org/10.4185/RLCS-2020-1458</w:t>
      </w:r>
    </w:p>
    <w:p w14:paraId="667391DB"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García Espín, P., </w:t>
      </w:r>
      <w:proofErr w:type="spellStart"/>
      <w:r w:rsidRPr="008A02D0">
        <w:rPr>
          <w:rFonts w:ascii="Times New Roman" w:hAnsi="Times New Roman" w:cs="Times New Roman"/>
          <w:sz w:val="24"/>
          <w:szCs w:val="24"/>
        </w:rPr>
        <w:t>Lagoma</w:t>
      </w:r>
      <w:proofErr w:type="spellEnd"/>
      <w:r w:rsidRPr="008A02D0">
        <w:rPr>
          <w:rFonts w:ascii="Times New Roman" w:hAnsi="Times New Roman" w:cs="Times New Roman"/>
          <w:sz w:val="24"/>
          <w:szCs w:val="24"/>
        </w:rPr>
        <w:t xml:space="preserve">, C., &amp; Cámara, M. (2020). “A mí esto me duele mucho”: Conversación política y género en una sociedad desigual. </w:t>
      </w:r>
      <w:r w:rsidRPr="008A02D0">
        <w:rPr>
          <w:rFonts w:ascii="Times New Roman" w:hAnsi="Times New Roman" w:cs="Times New Roman"/>
          <w:i/>
          <w:sz w:val="24"/>
          <w:szCs w:val="24"/>
        </w:rPr>
        <w:t>Política y Sociedad</w:t>
      </w:r>
      <w:r w:rsidRPr="008A02D0">
        <w:rPr>
          <w:rFonts w:ascii="Times New Roman" w:hAnsi="Times New Roman" w:cs="Times New Roman"/>
          <w:sz w:val="24"/>
          <w:szCs w:val="24"/>
        </w:rPr>
        <w:t>, 57(3), 797-820. Recuperado de https://doi.org/10.5209/poso.62826</w:t>
      </w:r>
    </w:p>
    <w:p w14:paraId="7AAF5DCA"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Garrido </w:t>
      </w:r>
      <w:proofErr w:type="spellStart"/>
      <w:r w:rsidRPr="008A02D0">
        <w:rPr>
          <w:rFonts w:ascii="Times New Roman" w:hAnsi="Times New Roman" w:cs="Times New Roman"/>
          <w:sz w:val="24"/>
          <w:szCs w:val="24"/>
        </w:rPr>
        <w:t>Ortolá</w:t>
      </w:r>
      <w:proofErr w:type="spellEnd"/>
      <w:r w:rsidRPr="008A02D0">
        <w:rPr>
          <w:rFonts w:ascii="Times New Roman" w:hAnsi="Times New Roman" w:cs="Times New Roman"/>
          <w:sz w:val="24"/>
          <w:szCs w:val="24"/>
        </w:rPr>
        <w:t xml:space="preserve">, A. (2020). El papel de las mujeres en los acuerdos de paz en Colombia: la agenda internacional. </w:t>
      </w:r>
      <w:r w:rsidRPr="008A02D0">
        <w:rPr>
          <w:rFonts w:ascii="Times New Roman" w:hAnsi="Times New Roman" w:cs="Times New Roman"/>
          <w:i/>
          <w:sz w:val="24"/>
          <w:szCs w:val="24"/>
        </w:rPr>
        <w:t>Política y Sociedad</w:t>
      </w:r>
      <w:r w:rsidRPr="008A02D0">
        <w:rPr>
          <w:rFonts w:ascii="Times New Roman" w:hAnsi="Times New Roman" w:cs="Times New Roman"/>
          <w:sz w:val="24"/>
          <w:szCs w:val="24"/>
        </w:rPr>
        <w:t>, 57(1), 77-97. Recuperado de https://doi.org/10.5209/poso.60270</w:t>
      </w:r>
    </w:p>
    <w:p w14:paraId="34AE096B"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González, M. &amp; Carrero, E. (2018). </w:t>
      </w:r>
      <w:r w:rsidRPr="008A02D0">
        <w:rPr>
          <w:rFonts w:ascii="Times New Roman" w:hAnsi="Times New Roman" w:cs="Times New Roman"/>
          <w:i/>
          <w:sz w:val="24"/>
          <w:szCs w:val="24"/>
        </w:rPr>
        <w:t>Manual de planificación de medios</w:t>
      </w:r>
      <w:r w:rsidRPr="008A02D0">
        <w:rPr>
          <w:rFonts w:ascii="Times New Roman" w:hAnsi="Times New Roman" w:cs="Times New Roman"/>
          <w:sz w:val="24"/>
          <w:szCs w:val="24"/>
        </w:rPr>
        <w:t xml:space="preserve">. La Habana: Pablo de la </w:t>
      </w:r>
      <w:proofErr w:type="spellStart"/>
      <w:r w:rsidRPr="008A02D0">
        <w:rPr>
          <w:rFonts w:ascii="Times New Roman" w:hAnsi="Times New Roman" w:cs="Times New Roman"/>
          <w:sz w:val="24"/>
          <w:szCs w:val="24"/>
        </w:rPr>
        <w:t>Torriente</w:t>
      </w:r>
      <w:proofErr w:type="spellEnd"/>
      <w:r w:rsidRPr="008A02D0">
        <w:rPr>
          <w:rFonts w:ascii="Times New Roman" w:hAnsi="Times New Roman" w:cs="Times New Roman"/>
          <w:sz w:val="24"/>
          <w:szCs w:val="24"/>
        </w:rPr>
        <w:t>.</w:t>
      </w:r>
    </w:p>
    <w:p w14:paraId="13AC0B3E"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González, A. C. &amp; Castro, L. (2018). Origen y contenidos del discurso sobre la “ideología de género”. En G. </w:t>
      </w:r>
      <w:proofErr w:type="spellStart"/>
      <w:r w:rsidRPr="008A02D0">
        <w:rPr>
          <w:rFonts w:ascii="Times New Roman" w:hAnsi="Times New Roman" w:cs="Times New Roman"/>
          <w:sz w:val="24"/>
          <w:szCs w:val="24"/>
        </w:rPr>
        <w:t>Cevasco</w:t>
      </w:r>
      <w:proofErr w:type="spellEnd"/>
      <w:r w:rsidRPr="008A02D0">
        <w:rPr>
          <w:rFonts w:ascii="Times New Roman" w:hAnsi="Times New Roman" w:cs="Times New Roman"/>
          <w:sz w:val="24"/>
          <w:szCs w:val="24"/>
        </w:rPr>
        <w:t xml:space="preserve"> (Ed.) </w:t>
      </w:r>
      <w:r w:rsidRPr="008A02D0">
        <w:rPr>
          <w:rFonts w:ascii="Times New Roman" w:hAnsi="Times New Roman" w:cs="Times New Roman"/>
          <w:i/>
          <w:sz w:val="24"/>
          <w:szCs w:val="24"/>
        </w:rPr>
        <w:t>Develando la retórica del miedo de los fundamentalismos</w:t>
      </w:r>
      <w:r w:rsidRPr="008A02D0">
        <w:rPr>
          <w:rFonts w:ascii="Times New Roman" w:hAnsi="Times New Roman" w:cs="Times New Roman"/>
          <w:sz w:val="24"/>
          <w:szCs w:val="24"/>
        </w:rPr>
        <w:t xml:space="preserve"> (pp. 13-57). Recuperado de https://www.mujeresdelsur-afm.org/wp-content/uploads/2018/12/Develando-la-Retórica-del-Miedo-de-los-Fundamentalismos.pdf</w:t>
      </w:r>
    </w:p>
    <w:p w14:paraId="4A37F3EF"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Gutiérrez San Miguel, B., Pereira, A. C., &amp; Acle Vicente, D. (2020). De los estereotipos a la brecha de género y la vida después de los 70 años en la serie Grace y Frankie. </w:t>
      </w:r>
      <w:r w:rsidRPr="008A02D0">
        <w:rPr>
          <w:rFonts w:ascii="Times New Roman" w:hAnsi="Times New Roman" w:cs="Times New Roman"/>
          <w:i/>
          <w:sz w:val="24"/>
          <w:szCs w:val="24"/>
        </w:rPr>
        <w:t>Revista Latina de Comunicación Social</w:t>
      </w:r>
      <w:r w:rsidRPr="008A02D0">
        <w:rPr>
          <w:rFonts w:ascii="Times New Roman" w:hAnsi="Times New Roman" w:cs="Times New Roman"/>
          <w:sz w:val="24"/>
          <w:szCs w:val="24"/>
        </w:rPr>
        <w:t>, (77), 413-430. Recuperado de https://www.doi.org/10.4185/RLCS-2020-1465</w:t>
      </w:r>
    </w:p>
    <w:p w14:paraId="5F95EA52"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Hernández García, Y. (2019). Violencia de género, feminismo y representación en Cuba. </w:t>
      </w:r>
      <w:r w:rsidRPr="008A02D0">
        <w:rPr>
          <w:rFonts w:ascii="Times New Roman" w:hAnsi="Times New Roman" w:cs="Times New Roman"/>
          <w:i/>
          <w:sz w:val="24"/>
          <w:szCs w:val="24"/>
        </w:rPr>
        <w:t>Estudios Feministas</w:t>
      </w:r>
      <w:r w:rsidRPr="008A02D0">
        <w:rPr>
          <w:rFonts w:ascii="Times New Roman" w:hAnsi="Times New Roman" w:cs="Times New Roman"/>
          <w:sz w:val="24"/>
          <w:szCs w:val="24"/>
        </w:rPr>
        <w:t>, 27(1), 1-15. Recuperado de www.jstor.org/stable/26634960</w:t>
      </w:r>
    </w:p>
    <w:p w14:paraId="154B251B"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Iturregui </w:t>
      </w:r>
      <w:proofErr w:type="spellStart"/>
      <w:r w:rsidRPr="008A02D0">
        <w:rPr>
          <w:rFonts w:ascii="Times New Roman" w:hAnsi="Times New Roman" w:cs="Times New Roman"/>
          <w:sz w:val="24"/>
          <w:szCs w:val="24"/>
        </w:rPr>
        <w:t>Mardaras</w:t>
      </w:r>
      <w:proofErr w:type="spellEnd"/>
      <w:r w:rsidRPr="008A02D0">
        <w:rPr>
          <w:rFonts w:ascii="Times New Roman" w:hAnsi="Times New Roman" w:cs="Times New Roman"/>
          <w:sz w:val="24"/>
          <w:szCs w:val="24"/>
        </w:rPr>
        <w:t xml:space="preserve">, L. et al. (2020). El reto de la igualdad en la formación universitaria en Comunicación. De la concienciación a la capacitación en </w:t>
      </w:r>
      <w:r w:rsidRPr="008A02D0">
        <w:rPr>
          <w:rFonts w:ascii="Times New Roman" w:hAnsi="Times New Roman" w:cs="Times New Roman"/>
          <w:sz w:val="24"/>
          <w:szCs w:val="24"/>
        </w:rPr>
        <w:lastRenderedPageBreak/>
        <w:t xml:space="preserve">perspectiva de género. </w:t>
      </w:r>
      <w:r w:rsidRPr="008A02D0">
        <w:rPr>
          <w:rFonts w:ascii="Times New Roman" w:hAnsi="Times New Roman" w:cs="Times New Roman"/>
          <w:i/>
          <w:sz w:val="24"/>
          <w:szCs w:val="24"/>
        </w:rPr>
        <w:t>Estudios sobre el Mensaje Periodístico</w:t>
      </w:r>
      <w:r w:rsidRPr="008A02D0">
        <w:rPr>
          <w:rFonts w:ascii="Times New Roman" w:hAnsi="Times New Roman" w:cs="Times New Roman"/>
          <w:sz w:val="24"/>
          <w:szCs w:val="24"/>
        </w:rPr>
        <w:t>, 26(4), 1433-1444. Recuperado de https://doi.org/10.5209/esmp.67231</w:t>
      </w:r>
    </w:p>
    <w:p w14:paraId="7EDB4410"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lang w:val="en-US"/>
        </w:rPr>
        <w:t xml:space="preserve">Jackson, S. &amp; Scott, S. (2017). Focus: Trans and the contradictions of gender. </w:t>
      </w:r>
      <w:proofErr w:type="spellStart"/>
      <w:r w:rsidRPr="008A02D0">
        <w:rPr>
          <w:rFonts w:ascii="Times New Roman" w:hAnsi="Times New Roman" w:cs="Times New Roman"/>
          <w:i/>
          <w:iCs/>
          <w:sz w:val="24"/>
          <w:szCs w:val="24"/>
        </w:rPr>
        <w:t>Discover</w:t>
      </w:r>
      <w:proofErr w:type="spellEnd"/>
      <w:r w:rsidRPr="008A02D0">
        <w:rPr>
          <w:rFonts w:ascii="Times New Roman" w:hAnsi="Times New Roman" w:cs="Times New Roman"/>
          <w:i/>
          <w:iCs/>
          <w:sz w:val="24"/>
          <w:szCs w:val="24"/>
        </w:rPr>
        <w:t xml:space="preserve"> </w:t>
      </w:r>
      <w:proofErr w:type="spellStart"/>
      <w:r w:rsidRPr="008A02D0">
        <w:rPr>
          <w:rFonts w:ascii="Times New Roman" w:hAnsi="Times New Roman" w:cs="Times New Roman"/>
          <w:i/>
          <w:iCs/>
          <w:sz w:val="24"/>
          <w:szCs w:val="24"/>
        </w:rPr>
        <w:t>Society</w:t>
      </w:r>
      <w:proofErr w:type="spellEnd"/>
      <w:r w:rsidRPr="008A02D0">
        <w:rPr>
          <w:rFonts w:ascii="Times New Roman" w:hAnsi="Times New Roman" w:cs="Times New Roman"/>
          <w:iCs/>
          <w:sz w:val="24"/>
          <w:szCs w:val="24"/>
        </w:rPr>
        <w:t>, (</w:t>
      </w:r>
      <w:r w:rsidRPr="008A02D0">
        <w:rPr>
          <w:rFonts w:ascii="Times New Roman" w:hAnsi="Times New Roman" w:cs="Times New Roman"/>
          <w:sz w:val="24"/>
          <w:szCs w:val="24"/>
        </w:rPr>
        <w:t>45). Recuperado de https://discoversociety.org/2017/06/06/focus-trans-andthe-contradictions-of-gender</w:t>
      </w:r>
    </w:p>
    <w:p w14:paraId="3CCF100D"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proofErr w:type="spellStart"/>
      <w:r w:rsidRPr="008A02D0">
        <w:rPr>
          <w:rFonts w:ascii="Times New Roman" w:hAnsi="Times New Roman" w:cs="Times New Roman"/>
          <w:sz w:val="24"/>
          <w:szCs w:val="24"/>
        </w:rPr>
        <w:t>Kramarae</w:t>
      </w:r>
      <w:proofErr w:type="spellEnd"/>
      <w:r w:rsidRPr="008A02D0">
        <w:rPr>
          <w:rFonts w:ascii="Times New Roman" w:hAnsi="Times New Roman" w:cs="Times New Roman"/>
          <w:sz w:val="24"/>
          <w:szCs w:val="24"/>
        </w:rPr>
        <w:t xml:space="preserve">, C., Lazar, M. &amp; West, C. (2003). El género en el discurso. En T. A. van Dijk (Comp.), </w:t>
      </w:r>
      <w:r w:rsidRPr="008A02D0">
        <w:rPr>
          <w:rFonts w:ascii="Times New Roman" w:hAnsi="Times New Roman" w:cs="Times New Roman"/>
          <w:i/>
          <w:iCs/>
          <w:sz w:val="24"/>
          <w:szCs w:val="24"/>
        </w:rPr>
        <w:t xml:space="preserve">El discurso como interacción social </w:t>
      </w:r>
      <w:r w:rsidRPr="008A02D0">
        <w:rPr>
          <w:rFonts w:ascii="Times New Roman" w:hAnsi="Times New Roman" w:cs="Times New Roman"/>
          <w:sz w:val="24"/>
          <w:szCs w:val="24"/>
        </w:rPr>
        <w:t>(pp. 179-190). Barcelona: Gedisa.</w:t>
      </w:r>
    </w:p>
    <w:p w14:paraId="6EA78E79"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Kress, G. &amp; van </w:t>
      </w:r>
      <w:proofErr w:type="spellStart"/>
      <w:r w:rsidRPr="008A02D0">
        <w:rPr>
          <w:rFonts w:ascii="Times New Roman" w:hAnsi="Times New Roman" w:cs="Times New Roman"/>
          <w:sz w:val="24"/>
          <w:szCs w:val="24"/>
        </w:rPr>
        <w:t>Leeuwen</w:t>
      </w:r>
      <w:proofErr w:type="spellEnd"/>
      <w:r w:rsidRPr="008A02D0">
        <w:rPr>
          <w:rFonts w:ascii="Times New Roman" w:hAnsi="Times New Roman" w:cs="Times New Roman"/>
          <w:sz w:val="24"/>
          <w:szCs w:val="24"/>
        </w:rPr>
        <w:t xml:space="preserve">, T. (2017). </w:t>
      </w:r>
      <w:r w:rsidRPr="008A02D0">
        <w:rPr>
          <w:rFonts w:ascii="Times New Roman" w:hAnsi="Times New Roman" w:cs="Times New Roman"/>
          <w:i/>
          <w:sz w:val="24"/>
          <w:szCs w:val="24"/>
        </w:rPr>
        <w:t>Discurso multimodal. Los modos y los medios de la comunicación contemporánea</w:t>
      </w:r>
      <w:r w:rsidRPr="008A02D0">
        <w:rPr>
          <w:rFonts w:ascii="Times New Roman" w:hAnsi="Times New Roman" w:cs="Times New Roman"/>
          <w:sz w:val="24"/>
          <w:szCs w:val="24"/>
        </w:rPr>
        <w:t>. Santiago de Cuba: Editorial Oriente.</w:t>
      </w:r>
    </w:p>
    <w:p w14:paraId="2D11AA4D"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Lamas, M. (2017). Usos, dificultades y posibilidades de la categoría género. En Lamas, M. (Comp.), </w:t>
      </w:r>
      <w:r w:rsidRPr="008A02D0">
        <w:rPr>
          <w:rFonts w:ascii="Times New Roman" w:hAnsi="Times New Roman" w:cs="Times New Roman"/>
          <w:i/>
          <w:iCs/>
          <w:sz w:val="24"/>
          <w:szCs w:val="24"/>
        </w:rPr>
        <w:t xml:space="preserve">La construcción cultural de la diferencia sexual </w:t>
      </w:r>
      <w:r w:rsidRPr="008A02D0">
        <w:rPr>
          <w:rFonts w:ascii="Times New Roman" w:hAnsi="Times New Roman" w:cs="Times New Roman"/>
          <w:sz w:val="24"/>
          <w:szCs w:val="24"/>
        </w:rPr>
        <w:t>(pp. 327-366). Santiago de Cuba: Editorial Oriente.</w:t>
      </w:r>
    </w:p>
    <w:p w14:paraId="19BF06A5"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Lagarde, M. (1996). La multidimensionalidad de la categoría género y del feminismo. </w:t>
      </w:r>
      <w:r w:rsidRPr="008A02D0">
        <w:rPr>
          <w:rFonts w:ascii="Times New Roman" w:hAnsi="Times New Roman" w:cs="Times New Roman"/>
          <w:i/>
          <w:iCs/>
          <w:sz w:val="24"/>
          <w:szCs w:val="24"/>
        </w:rPr>
        <w:t xml:space="preserve">Metodología para los estudios de género, </w:t>
      </w:r>
      <w:r w:rsidRPr="008A02D0">
        <w:rPr>
          <w:rFonts w:ascii="Times New Roman" w:hAnsi="Times New Roman" w:cs="Times New Roman"/>
          <w:sz w:val="24"/>
          <w:szCs w:val="24"/>
        </w:rPr>
        <w:t>48-71. Recuperado de https://antropowiki.alterum.info/index.php/La_multidimensionalidad_de_la_categor%C3%ADa_g%C3%A9nero_y_del_feminismo</w:t>
      </w:r>
    </w:p>
    <w:p w14:paraId="506EA409" w14:textId="77777777" w:rsidR="008A02D0" w:rsidRPr="008A02D0" w:rsidRDefault="008A02D0" w:rsidP="008A02D0">
      <w:pPr>
        <w:pStyle w:val="Prrafodelista"/>
        <w:numPr>
          <w:ilvl w:val="0"/>
          <w:numId w:val="5"/>
        </w:numPr>
        <w:tabs>
          <w:tab w:val="left" w:pos="6149"/>
        </w:tabs>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Martínez Fernández, R. &amp; Martínez Nicolás, M. (2020). Género, poder y comunicación: por un diálogo entre la Economía Política de la Comunicación y la teoría feminista. </w:t>
      </w:r>
      <w:r w:rsidRPr="008A02D0">
        <w:rPr>
          <w:rFonts w:ascii="Times New Roman" w:hAnsi="Times New Roman" w:cs="Times New Roman"/>
          <w:i/>
          <w:sz w:val="24"/>
          <w:szCs w:val="24"/>
        </w:rPr>
        <w:t>Estudios sobre el Mensaje Periodístico</w:t>
      </w:r>
      <w:r w:rsidRPr="008A02D0">
        <w:rPr>
          <w:rFonts w:ascii="Times New Roman" w:hAnsi="Times New Roman" w:cs="Times New Roman"/>
          <w:sz w:val="24"/>
          <w:szCs w:val="24"/>
        </w:rPr>
        <w:t>, 26(4), 1485-1497. Recuperado de https://doi.org/10.5209/esmp.69712</w:t>
      </w:r>
    </w:p>
    <w:p w14:paraId="3F97BAAC" w14:textId="77777777" w:rsidR="008A02D0" w:rsidRPr="008A02D0" w:rsidRDefault="008A02D0" w:rsidP="008A02D0">
      <w:pPr>
        <w:pStyle w:val="Prrafodelista"/>
        <w:numPr>
          <w:ilvl w:val="0"/>
          <w:numId w:val="5"/>
        </w:numPr>
        <w:tabs>
          <w:tab w:val="left" w:pos="6149"/>
        </w:tabs>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Martínez </w:t>
      </w:r>
      <w:proofErr w:type="spellStart"/>
      <w:r w:rsidRPr="008A02D0">
        <w:rPr>
          <w:rFonts w:ascii="Times New Roman" w:hAnsi="Times New Roman" w:cs="Times New Roman"/>
          <w:sz w:val="24"/>
          <w:szCs w:val="24"/>
        </w:rPr>
        <w:t>Pleguezuelos</w:t>
      </w:r>
      <w:proofErr w:type="spellEnd"/>
      <w:r w:rsidRPr="008A02D0">
        <w:rPr>
          <w:rFonts w:ascii="Times New Roman" w:hAnsi="Times New Roman" w:cs="Times New Roman"/>
          <w:sz w:val="24"/>
          <w:szCs w:val="24"/>
        </w:rPr>
        <w:t xml:space="preserve">, A. J., Santamaría Urbieta, A., &amp; </w:t>
      </w:r>
      <w:proofErr w:type="gramStart"/>
      <w:r w:rsidRPr="008A02D0">
        <w:rPr>
          <w:rFonts w:ascii="Times New Roman" w:hAnsi="Times New Roman" w:cs="Times New Roman"/>
          <w:sz w:val="24"/>
          <w:szCs w:val="24"/>
        </w:rPr>
        <w:t>Alcalde</w:t>
      </w:r>
      <w:proofErr w:type="gramEnd"/>
      <w:r w:rsidRPr="008A02D0">
        <w:rPr>
          <w:rFonts w:ascii="Times New Roman" w:hAnsi="Times New Roman" w:cs="Times New Roman"/>
          <w:sz w:val="24"/>
          <w:szCs w:val="24"/>
        </w:rPr>
        <w:t xml:space="preserve"> Peñalver, E. (2019). La importancia de la pragmática en la traducción de textos sobre nuevas identidades de género. </w:t>
      </w:r>
      <w:r w:rsidRPr="008A02D0">
        <w:rPr>
          <w:rFonts w:ascii="Times New Roman" w:hAnsi="Times New Roman" w:cs="Times New Roman"/>
          <w:i/>
          <w:sz w:val="24"/>
          <w:szCs w:val="24"/>
        </w:rPr>
        <w:t>Pragmalingüística</w:t>
      </w:r>
      <w:r w:rsidRPr="008A02D0">
        <w:rPr>
          <w:rFonts w:ascii="Times New Roman" w:hAnsi="Times New Roman" w:cs="Times New Roman"/>
          <w:sz w:val="24"/>
          <w:szCs w:val="24"/>
        </w:rPr>
        <w:t>, (27), 175-190. Recuperado de https://revistas.uca.es/index.php/pragma/article/view/4810</w:t>
      </w:r>
    </w:p>
    <w:p w14:paraId="3AE12450" w14:textId="77777777" w:rsidR="008A02D0" w:rsidRPr="008A02D0" w:rsidRDefault="008A02D0" w:rsidP="008A02D0">
      <w:pPr>
        <w:pStyle w:val="Prrafodelista"/>
        <w:numPr>
          <w:ilvl w:val="0"/>
          <w:numId w:val="5"/>
        </w:numPr>
        <w:tabs>
          <w:tab w:val="left" w:pos="6149"/>
        </w:tabs>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Moreno, J. (2004). Cinco coordenadas para la creación de promociones de bien público. </w:t>
      </w:r>
      <w:r w:rsidRPr="008A02D0">
        <w:rPr>
          <w:rFonts w:ascii="Times New Roman" w:hAnsi="Times New Roman" w:cs="Times New Roman"/>
          <w:i/>
          <w:sz w:val="24"/>
          <w:szCs w:val="24"/>
        </w:rPr>
        <w:t>Revista Universidad de La Habana</w:t>
      </w:r>
      <w:r w:rsidRPr="008A02D0">
        <w:rPr>
          <w:rFonts w:ascii="Times New Roman" w:hAnsi="Times New Roman" w:cs="Times New Roman"/>
          <w:sz w:val="24"/>
          <w:szCs w:val="24"/>
        </w:rPr>
        <w:t>, (259), 169-181.</w:t>
      </w:r>
    </w:p>
    <w:p w14:paraId="6A3AE402"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Moya, I. (2013). </w:t>
      </w:r>
      <w:r w:rsidRPr="008A02D0">
        <w:rPr>
          <w:rFonts w:ascii="Times New Roman" w:hAnsi="Times New Roman" w:cs="Times New Roman"/>
          <w:i/>
          <w:iCs/>
          <w:sz w:val="24"/>
          <w:szCs w:val="24"/>
        </w:rPr>
        <w:t>Reinventar el periodismo: hacia una contracultura feminista en los medios de comunicación</w:t>
      </w:r>
      <w:r w:rsidRPr="008A02D0">
        <w:rPr>
          <w:rFonts w:ascii="Times New Roman" w:hAnsi="Times New Roman" w:cs="Times New Roman"/>
          <w:sz w:val="24"/>
          <w:szCs w:val="24"/>
        </w:rPr>
        <w:t>. Euskadi-Cuba.</w:t>
      </w:r>
    </w:p>
    <w:p w14:paraId="7049FD7C"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O’ </w:t>
      </w:r>
      <w:proofErr w:type="spellStart"/>
      <w:r w:rsidRPr="008A02D0">
        <w:rPr>
          <w:rFonts w:ascii="Times New Roman" w:hAnsi="Times New Roman" w:cs="Times New Roman"/>
          <w:sz w:val="24"/>
          <w:szCs w:val="24"/>
        </w:rPr>
        <w:t>Halloran</w:t>
      </w:r>
      <w:proofErr w:type="spellEnd"/>
      <w:r w:rsidRPr="008A02D0">
        <w:rPr>
          <w:rFonts w:ascii="Times New Roman" w:hAnsi="Times New Roman" w:cs="Times New Roman"/>
          <w:sz w:val="24"/>
          <w:szCs w:val="24"/>
        </w:rPr>
        <w:t xml:space="preserve">, K. L. (2016). Análisis del discurso multimodal. </w:t>
      </w:r>
      <w:r w:rsidRPr="008A02D0">
        <w:rPr>
          <w:rFonts w:ascii="Times New Roman" w:hAnsi="Times New Roman" w:cs="Times New Roman"/>
          <w:i/>
          <w:iCs/>
          <w:sz w:val="24"/>
          <w:szCs w:val="24"/>
        </w:rPr>
        <w:t xml:space="preserve">Revista Latinoamericana de estudios del discurso, </w:t>
      </w:r>
      <w:r w:rsidRPr="008A02D0">
        <w:rPr>
          <w:rFonts w:ascii="Times New Roman" w:hAnsi="Times New Roman" w:cs="Times New Roman"/>
          <w:iCs/>
          <w:sz w:val="24"/>
          <w:szCs w:val="24"/>
        </w:rPr>
        <w:t>12</w:t>
      </w:r>
      <w:r w:rsidRPr="008A02D0">
        <w:rPr>
          <w:rFonts w:ascii="Times New Roman" w:hAnsi="Times New Roman" w:cs="Times New Roman"/>
          <w:sz w:val="24"/>
          <w:szCs w:val="24"/>
        </w:rPr>
        <w:t>(1), 75-97.</w:t>
      </w:r>
    </w:p>
    <w:p w14:paraId="618E794D"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lastRenderedPageBreak/>
        <w:t xml:space="preserve">Partido Comunista de Cuba (2016, 4 de diciembre). </w:t>
      </w:r>
      <w:r w:rsidRPr="008A02D0">
        <w:rPr>
          <w:rFonts w:ascii="Times New Roman" w:hAnsi="Times New Roman" w:cs="Times New Roman"/>
          <w:bCs/>
          <w:sz w:val="24"/>
          <w:szCs w:val="24"/>
        </w:rPr>
        <w:t xml:space="preserve">Lineamientos de la Política Económica y Social del Partido y la Revolución para el período 2016-2021. </w:t>
      </w:r>
      <w:r w:rsidRPr="008A02D0">
        <w:rPr>
          <w:rFonts w:ascii="Times New Roman" w:hAnsi="Times New Roman" w:cs="Times New Roman"/>
          <w:bCs/>
          <w:i/>
          <w:sz w:val="24"/>
          <w:szCs w:val="24"/>
        </w:rPr>
        <w:t>Gaceta Oficial de la República de Cuba</w:t>
      </w:r>
      <w:r w:rsidRPr="008A02D0">
        <w:rPr>
          <w:rFonts w:ascii="Times New Roman" w:hAnsi="Times New Roman" w:cs="Times New Roman"/>
          <w:bCs/>
          <w:sz w:val="24"/>
          <w:szCs w:val="24"/>
        </w:rPr>
        <w:t xml:space="preserve">. </w:t>
      </w:r>
    </w:p>
    <w:p w14:paraId="31D07789"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Pastor Yuste, R. &amp; Iglesias Onofrio, M. (2018). ¿Solo importa el género? Análisis de las percepciones de los parlamentarios españoles sobre la representación política descriptiva y sustantiva. </w:t>
      </w:r>
      <w:r w:rsidRPr="008A02D0">
        <w:rPr>
          <w:rFonts w:ascii="Times New Roman" w:hAnsi="Times New Roman" w:cs="Times New Roman"/>
          <w:i/>
          <w:iCs/>
          <w:sz w:val="24"/>
          <w:szCs w:val="24"/>
        </w:rPr>
        <w:t>Política y Sociedad</w:t>
      </w:r>
      <w:r w:rsidRPr="008A02D0">
        <w:rPr>
          <w:rFonts w:ascii="Times New Roman" w:hAnsi="Times New Roman" w:cs="Times New Roman"/>
          <w:sz w:val="24"/>
          <w:szCs w:val="24"/>
        </w:rPr>
        <w:t xml:space="preserve">, </w:t>
      </w:r>
      <w:r w:rsidRPr="008A02D0">
        <w:rPr>
          <w:rFonts w:ascii="Times New Roman" w:hAnsi="Times New Roman" w:cs="Times New Roman"/>
          <w:iCs/>
          <w:sz w:val="24"/>
          <w:szCs w:val="24"/>
        </w:rPr>
        <w:t>55</w:t>
      </w:r>
      <w:r w:rsidRPr="008A02D0">
        <w:rPr>
          <w:rFonts w:ascii="Times New Roman" w:hAnsi="Times New Roman" w:cs="Times New Roman"/>
          <w:sz w:val="24"/>
          <w:szCs w:val="24"/>
        </w:rPr>
        <w:t>(1), 135-159. Recuperado de https://doi.org/10.5209/POSO.55506</w:t>
      </w:r>
    </w:p>
    <w:p w14:paraId="25868036"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Rodríguez Bazán, G., Rodríguez Ayala, R. &amp; Espinosa Perdomo, L. (2019). Construcción de la imagen país Cuba: análisis de la conformación de la identidad nacional desde el spot publicitario. </w:t>
      </w:r>
      <w:r w:rsidRPr="008A02D0">
        <w:rPr>
          <w:rFonts w:ascii="Times New Roman" w:hAnsi="Times New Roman" w:cs="Times New Roman"/>
          <w:i/>
          <w:iCs/>
          <w:sz w:val="24"/>
          <w:szCs w:val="24"/>
        </w:rPr>
        <w:t xml:space="preserve">Cuadernos. </w:t>
      </w:r>
      <w:proofErr w:type="spellStart"/>
      <w:r w:rsidRPr="008A02D0">
        <w:rPr>
          <w:rFonts w:ascii="Times New Roman" w:hAnsi="Times New Roman" w:cs="Times New Roman"/>
          <w:i/>
          <w:iCs/>
          <w:sz w:val="24"/>
          <w:szCs w:val="24"/>
        </w:rPr>
        <w:t>Info</w:t>
      </w:r>
      <w:proofErr w:type="spellEnd"/>
      <w:r w:rsidRPr="008A02D0">
        <w:rPr>
          <w:rFonts w:ascii="Times New Roman" w:hAnsi="Times New Roman" w:cs="Times New Roman"/>
          <w:i/>
          <w:iCs/>
          <w:sz w:val="24"/>
          <w:szCs w:val="24"/>
        </w:rPr>
        <w:t xml:space="preserve"> </w:t>
      </w:r>
      <w:r w:rsidRPr="008A02D0">
        <w:rPr>
          <w:rFonts w:ascii="Times New Roman" w:hAnsi="Times New Roman" w:cs="Times New Roman"/>
          <w:sz w:val="24"/>
          <w:szCs w:val="24"/>
        </w:rPr>
        <w:t>(44), 241-256. Recuperado de http://ojs.uc.cl/index.php/cdi/article/view/18767</w:t>
      </w:r>
    </w:p>
    <w:p w14:paraId="33F16F5C"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Rodríguez Puzo, M. (2017). Las investigaciones en Cuba acerca de LGBTI. Posibilidades de incursión desde la comunicación. </w:t>
      </w:r>
      <w:proofErr w:type="spellStart"/>
      <w:r w:rsidRPr="008A02D0">
        <w:rPr>
          <w:rFonts w:ascii="Times New Roman" w:hAnsi="Times New Roman" w:cs="Times New Roman"/>
          <w:i/>
          <w:iCs/>
          <w:sz w:val="24"/>
          <w:szCs w:val="24"/>
        </w:rPr>
        <w:t>Question</w:t>
      </w:r>
      <w:proofErr w:type="spellEnd"/>
      <w:r w:rsidRPr="008A02D0">
        <w:rPr>
          <w:rFonts w:ascii="Times New Roman" w:hAnsi="Times New Roman" w:cs="Times New Roman"/>
          <w:sz w:val="24"/>
          <w:szCs w:val="24"/>
        </w:rPr>
        <w:t>, 1(56), 1-19. Recuperado de https://doi.org/10.24215/16696581e014</w:t>
      </w:r>
    </w:p>
    <w:p w14:paraId="5049EACC"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proofErr w:type="spellStart"/>
      <w:r w:rsidRPr="008A02D0">
        <w:rPr>
          <w:rFonts w:ascii="Times New Roman" w:hAnsi="Times New Roman" w:cs="Times New Roman"/>
          <w:sz w:val="24"/>
          <w:szCs w:val="24"/>
        </w:rPr>
        <w:t>Stolke</w:t>
      </w:r>
      <w:proofErr w:type="spellEnd"/>
      <w:r w:rsidRPr="008A02D0">
        <w:rPr>
          <w:rFonts w:ascii="Times New Roman" w:hAnsi="Times New Roman" w:cs="Times New Roman"/>
          <w:sz w:val="24"/>
          <w:szCs w:val="24"/>
        </w:rPr>
        <w:t xml:space="preserve">, V. (2004). La mujer es puro cuento: la cultura del género. </w:t>
      </w:r>
      <w:r w:rsidRPr="008A02D0">
        <w:rPr>
          <w:rFonts w:ascii="Times New Roman" w:hAnsi="Times New Roman" w:cs="Times New Roman"/>
          <w:i/>
          <w:iCs/>
          <w:sz w:val="24"/>
          <w:szCs w:val="24"/>
        </w:rPr>
        <w:t xml:space="preserve">Revista </w:t>
      </w:r>
      <w:proofErr w:type="spellStart"/>
      <w:r w:rsidRPr="008A02D0">
        <w:rPr>
          <w:rFonts w:ascii="Times New Roman" w:hAnsi="Times New Roman" w:cs="Times New Roman"/>
          <w:i/>
          <w:iCs/>
          <w:sz w:val="24"/>
          <w:szCs w:val="24"/>
        </w:rPr>
        <w:t>Estudos</w:t>
      </w:r>
      <w:proofErr w:type="spellEnd"/>
      <w:r w:rsidRPr="008A02D0">
        <w:rPr>
          <w:rFonts w:ascii="Times New Roman" w:hAnsi="Times New Roman" w:cs="Times New Roman"/>
          <w:i/>
          <w:iCs/>
          <w:sz w:val="24"/>
          <w:szCs w:val="24"/>
        </w:rPr>
        <w:t xml:space="preserve"> Feministas, </w:t>
      </w:r>
      <w:r w:rsidRPr="008A02D0">
        <w:rPr>
          <w:rFonts w:ascii="Times New Roman" w:hAnsi="Times New Roman" w:cs="Times New Roman"/>
          <w:iCs/>
          <w:sz w:val="24"/>
          <w:szCs w:val="24"/>
        </w:rPr>
        <w:t>12</w:t>
      </w:r>
      <w:r w:rsidRPr="008A02D0">
        <w:rPr>
          <w:rFonts w:ascii="Times New Roman" w:hAnsi="Times New Roman" w:cs="Times New Roman"/>
          <w:sz w:val="24"/>
          <w:szCs w:val="24"/>
        </w:rPr>
        <w:t>(2), 77-105.</w:t>
      </w:r>
    </w:p>
    <w:p w14:paraId="3EC16DCD"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Van Dijk, T. A. (2000). </w:t>
      </w:r>
      <w:r w:rsidRPr="008A02D0">
        <w:rPr>
          <w:rFonts w:ascii="Times New Roman" w:hAnsi="Times New Roman" w:cs="Times New Roman"/>
          <w:i/>
          <w:iCs/>
          <w:sz w:val="24"/>
          <w:szCs w:val="24"/>
        </w:rPr>
        <w:t xml:space="preserve">El discurso como estructura y proceso. </w:t>
      </w:r>
      <w:r w:rsidRPr="008A02D0">
        <w:rPr>
          <w:rFonts w:ascii="Times New Roman" w:hAnsi="Times New Roman" w:cs="Times New Roman"/>
          <w:sz w:val="24"/>
          <w:szCs w:val="24"/>
        </w:rPr>
        <w:t>Barcelona: Gedisa.</w:t>
      </w:r>
    </w:p>
    <w:p w14:paraId="1D9E1536"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Van Dijk, T. A. (2006). </w:t>
      </w:r>
      <w:r w:rsidRPr="008A02D0">
        <w:rPr>
          <w:rFonts w:ascii="Times New Roman" w:hAnsi="Times New Roman" w:cs="Times New Roman"/>
          <w:i/>
          <w:iCs/>
          <w:sz w:val="24"/>
          <w:szCs w:val="24"/>
        </w:rPr>
        <w:t>Ideología: un enfoque multidisciplinario</w:t>
      </w:r>
      <w:r w:rsidRPr="008A02D0">
        <w:rPr>
          <w:rFonts w:ascii="Times New Roman" w:hAnsi="Times New Roman" w:cs="Times New Roman"/>
          <w:sz w:val="24"/>
          <w:szCs w:val="24"/>
        </w:rPr>
        <w:t>. Barcelona: Gedisa.</w:t>
      </w:r>
    </w:p>
    <w:p w14:paraId="54A073E2"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lang w:val="en-US"/>
        </w:rPr>
      </w:pPr>
      <w:r w:rsidRPr="008A02D0">
        <w:rPr>
          <w:rFonts w:ascii="Times New Roman" w:hAnsi="Times New Roman" w:cs="Times New Roman"/>
          <w:sz w:val="24"/>
          <w:szCs w:val="24"/>
          <w:lang w:val="en-US"/>
        </w:rPr>
        <w:t xml:space="preserve">Van Leeuwen, T. (2005). </w:t>
      </w:r>
      <w:r w:rsidRPr="008A02D0">
        <w:rPr>
          <w:rFonts w:ascii="Times New Roman" w:hAnsi="Times New Roman" w:cs="Times New Roman"/>
          <w:i/>
          <w:iCs/>
          <w:sz w:val="24"/>
          <w:szCs w:val="24"/>
          <w:lang w:val="en-US"/>
        </w:rPr>
        <w:t>Introducing social semiotics</w:t>
      </w:r>
      <w:r w:rsidRPr="008A02D0">
        <w:rPr>
          <w:rFonts w:ascii="Times New Roman" w:hAnsi="Times New Roman" w:cs="Times New Roman"/>
          <w:sz w:val="24"/>
          <w:szCs w:val="24"/>
          <w:lang w:val="en-US"/>
        </w:rPr>
        <w:t>. Psychology Press.</w:t>
      </w:r>
    </w:p>
    <w:p w14:paraId="2A8A98F1" w14:textId="77777777" w:rsidR="008A02D0" w:rsidRPr="008A02D0" w:rsidRDefault="008A02D0" w:rsidP="008A02D0">
      <w:pPr>
        <w:pStyle w:val="Prrafodelista"/>
        <w:numPr>
          <w:ilvl w:val="0"/>
          <w:numId w:val="5"/>
        </w:numPr>
        <w:spacing w:after="0" w:line="360" w:lineRule="auto"/>
        <w:ind w:left="357" w:hanging="357"/>
        <w:jc w:val="both"/>
        <w:rPr>
          <w:rFonts w:ascii="Times New Roman" w:hAnsi="Times New Roman" w:cs="Times New Roman"/>
          <w:sz w:val="24"/>
          <w:szCs w:val="24"/>
        </w:rPr>
      </w:pPr>
      <w:r w:rsidRPr="008A02D0">
        <w:rPr>
          <w:rFonts w:ascii="Times New Roman" w:hAnsi="Times New Roman" w:cs="Times New Roman"/>
          <w:sz w:val="24"/>
          <w:szCs w:val="24"/>
        </w:rPr>
        <w:t xml:space="preserve">Villarreal, A. L. (2010). Publicidad Televisiva. Reproduce cautiverios femeninos. </w:t>
      </w:r>
      <w:r w:rsidRPr="008A02D0">
        <w:rPr>
          <w:rFonts w:ascii="Times New Roman" w:hAnsi="Times New Roman" w:cs="Times New Roman"/>
          <w:i/>
          <w:iCs/>
          <w:sz w:val="24"/>
          <w:szCs w:val="24"/>
        </w:rPr>
        <w:t xml:space="preserve">ESCENA. Revista de las artes, </w:t>
      </w:r>
      <w:r w:rsidRPr="008A02D0">
        <w:rPr>
          <w:rFonts w:ascii="Times New Roman" w:hAnsi="Times New Roman" w:cs="Times New Roman"/>
          <w:iCs/>
          <w:sz w:val="24"/>
          <w:szCs w:val="24"/>
        </w:rPr>
        <w:t>66</w:t>
      </w:r>
      <w:r w:rsidRPr="008A02D0">
        <w:rPr>
          <w:rFonts w:ascii="Times New Roman" w:hAnsi="Times New Roman" w:cs="Times New Roman"/>
          <w:sz w:val="24"/>
          <w:szCs w:val="24"/>
        </w:rPr>
        <w:t>(1), 137-154. Recuperado de https://revistas.ucr.ac.cr/index.php/escena/article/view/8333/7887</w:t>
      </w:r>
    </w:p>
    <w:p w14:paraId="0CB74678" w14:textId="5309F8F5" w:rsidR="00D36D1C" w:rsidRPr="009D5E02" w:rsidRDefault="00D36D1C" w:rsidP="008A02D0">
      <w:pPr>
        <w:spacing w:after="0" w:line="360" w:lineRule="auto"/>
        <w:jc w:val="both"/>
        <w:rPr>
          <w:rFonts w:ascii="Times New Roman" w:hAnsi="Times New Roman" w:cs="Times New Roman"/>
          <w:sz w:val="24"/>
          <w:szCs w:val="24"/>
        </w:rPr>
      </w:pPr>
    </w:p>
    <w:sectPr w:rsidR="00D36D1C" w:rsidRPr="009D5E02" w:rsidSect="00C8585B">
      <w:headerReference w:type="default" r:id="rId15"/>
      <w:footerReference w:type="default" r:id="rId1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FF3EE" w14:textId="77777777" w:rsidR="002036D5" w:rsidRDefault="002036D5" w:rsidP="00C8585B">
      <w:pPr>
        <w:spacing w:after="0" w:line="240" w:lineRule="auto"/>
      </w:pPr>
      <w:r>
        <w:separator/>
      </w:r>
    </w:p>
  </w:endnote>
  <w:endnote w:type="continuationSeparator" w:id="0">
    <w:p w14:paraId="46A7F864" w14:textId="77777777" w:rsidR="002036D5" w:rsidRDefault="002036D5"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121172AC"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4268E6E2" w14:textId="77777777"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14:paraId="4D6E40FF"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19C048C3" w14:textId="77777777"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C80A8" w14:textId="77777777" w:rsidR="002036D5" w:rsidRDefault="002036D5" w:rsidP="00C8585B">
      <w:pPr>
        <w:spacing w:after="0" w:line="240" w:lineRule="auto"/>
      </w:pPr>
      <w:r>
        <w:separator/>
      </w:r>
    </w:p>
  </w:footnote>
  <w:footnote w:type="continuationSeparator" w:id="0">
    <w:p w14:paraId="47562BFA" w14:textId="77777777" w:rsidR="002036D5" w:rsidRDefault="002036D5" w:rsidP="00C8585B">
      <w:pPr>
        <w:spacing w:after="0" w:line="240" w:lineRule="auto"/>
      </w:pPr>
      <w:r>
        <w:continuationSeparator/>
      </w:r>
    </w:p>
  </w:footnote>
  <w:footnote w:id="1">
    <w:p w14:paraId="7999B796" w14:textId="77777777" w:rsidR="0084068B" w:rsidRPr="0084068B" w:rsidRDefault="0084068B" w:rsidP="0084068B">
      <w:pPr>
        <w:pStyle w:val="Textonotapie"/>
        <w:rPr>
          <w:rFonts w:ascii="Times New Roman" w:hAnsi="Times New Roman"/>
        </w:rPr>
      </w:pPr>
      <w:r w:rsidRPr="0084068B">
        <w:rPr>
          <w:rStyle w:val="Refdenotaalpie"/>
          <w:rFonts w:ascii="Times New Roman" w:hAnsi="Times New Roman"/>
        </w:rPr>
        <w:footnoteRef/>
      </w:r>
      <w:r w:rsidRPr="0084068B">
        <w:rPr>
          <w:rFonts w:ascii="Times New Roman" w:hAnsi="Times New Roman"/>
        </w:rPr>
        <w:t xml:space="preserve"> Doctor en Ciencias de la Comunicación, Profesor Titular de la UCLV.</w:t>
      </w:r>
    </w:p>
  </w:footnote>
  <w:footnote w:id="2">
    <w:p w14:paraId="1924DF12" w14:textId="77777777" w:rsidR="0084068B" w:rsidRPr="0084068B" w:rsidRDefault="0084068B" w:rsidP="0084068B">
      <w:pPr>
        <w:pStyle w:val="Textonotapie"/>
        <w:jc w:val="both"/>
        <w:rPr>
          <w:rFonts w:ascii="Times New Roman" w:hAnsi="Times New Roman"/>
        </w:rPr>
      </w:pPr>
      <w:r w:rsidRPr="0084068B">
        <w:rPr>
          <w:rStyle w:val="Refdenotaalpie"/>
          <w:rFonts w:ascii="Times New Roman" w:hAnsi="Times New Roman"/>
        </w:rPr>
        <w:footnoteRef/>
      </w:r>
      <w:r w:rsidRPr="0084068B">
        <w:rPr>
          <w:rFonts w:ascii="Times New Roman" w:eastAsiaTheme="minorEastAsia" w:hAnsi="Times New Roman"/>
          <w:lang w:eastAsia="es-ES"/>
        </w:rPr>
        <w:t xml:space="preserve"> El problema de la ideología ocupa un primer plano en la reflexión filosófica occidental con la obra de Marx y Engels, aun cuando los fundadores del marxismo no realizan una formulación sistemática y estructurada del concepto. En esta investigación no se desconocen tales nociones clásicas de ideología, aunque se asumen los aportes de otros autores (como Van Dijk) ya reconocidos en los análisis discursivos.</w:t>
      </w:r>
    </w:p>
  </w:footnote>
  <w:footnote w:id="3">
    <w:p w14:paraId="5700AB17" w14:textId="77777777" w:rsidR="005C2838" w:rsidRPr="005C2838" w:rsidRDefault="005C2838" w:rsidP="005C2838">
      <w:pPr>
        <w:pStyle w:val="Textonotapie"/>
        <w:jc w:val="both"/>
        <w:rPr>
          <w:rFonts w:ascii="Times New Roman" w:hAnsi="Times New Roman"/>
        </w:rPr>
      </w:pPr>
      <w:r w:rsidRPr="005C2838">
        <w:rPr>
          <w:rStyle w:val="Refdenotaalpie"/>
          <w:rFonts w:ascii="Times New Roman" w:hAnsi="Times New Roman"/>
        </w:rPr>
        <w:footnoteRef/>
      </w:r>
      <w:r w:rsidRPr="005C2838">
        <w:rPr>
          <w:rFonts w:ascii="Times New Roman" w:hAnsi="Times New Roman"/>
        </w:rPr>
        <w:t xml:space="preserve"> Las entrevistas personales numeradas de la 1 a la 5 se realizan a expertos.</w:t>
      </w:r>
    </w:p>
  </w:footnote>
  <w:footnote w:id="4">
    <w:p w14:paraId="4FB07E13" w14:textId="77777777" w:rsidR="005C2838" w:rsidRDefault="005C2838" w:rsidP="005C2838">
      <w:pPr>
        <w:pStyle w:val="Textonotapie"/>
      </w:pPr>
      <w:r w:rsidRPr="005C2838">
        <w:rPr>
          <w:rStyle w:val="Refdenotaalpie"/>
          <w:rFonts w:ascii="Times New Roman" w:hAnsi="Times New Roman"/>
        </w:rPr>
        <w:footnoteRef/>
      </w:r>
      <w:r w:rsidRPr="005C2838">
        <w:rPr>
          <w:rFonts w:ascii="Times New Roman" w:hAnsi="Times New Roman"/>
        </w:rPr>
        <w:t xml:space="preserve"> Las entrevistas personales numeradas de la 6 a la 7 se realizan a emisores.</w:t>
      </w:r>
    </w:p>
  </w:footnote>
  <w:footnote w:id="5">
    <w:p w14:paraId="5F23EFEF" w14:textId="77777777" w:rsidR="005C2838" w:rsidRPr="005C2838" w:rsidRDefault="005C2838" w:rsidP="005C2838">
      <w:pPr>
        <w:pStyle w:val="Textonotapie"/>
        <w:rPr>
          <w:rFonts w:ascii="Times New Roman" w:hAnsi="Times New Roman"/>
        </w:rPr>
      </w:pPr>
      <w:r w:rsidRPr="005C2838">
        <w:rPr>
          <w:rStyle w:val="Refdenotaalpie"/>
          <w:rFonts w:ascii="Times New Roman" w:hAnsi="Times New Roman"/>
        </w:rPr>
        <w:footnoteRef/>
      </w:r>
      <w:r w:rsidRPr="005C2838">
        <w:rPr>
          <w:rFonts w:ascii="Times New Roman" w:hAnsi="Times New Roman"/>
        </w:rPr>
        <w:t xml:space="preserve"> Integrante del Departamento de Comunicación y Marketing de CVI.</w:t>
      </w:r>
    </w:p>
  </w:footnote>
  <w:footnote w:id="6">
    <w:p w14:paraId="00B8914C" w14:textId="77777777" w:rsidR="005C2838" w:rsidRPr="005C2838" w:rsidRDefault="005C2838" w:rsidP="005C2838">
      <w:pPr>
        <w:pStyle w:val="Textonotapie"/>
        <w:jc w:val="both"/>
        <w:rPr>
          <w:rFonts w:ascii="Times New Roman" w:hAnsi="Times New Roman"/>
        </w:rPr>
      </w:pPr>
      <w:r w:rsidRPr="005C2838">
        <w:rPr>
          <w:rStyle w:val="Refdenotaalpie"/>
          <w:rFonts w:ascii="Times New Roman" w:hAnsi="Times New Roman"/>
        </w:rPr>
        <w:footnoteRef/>
      </w:r>
      <w:r w:rsidRPr="005C2838">
        <w:rPr>
          <w:rFonts w:ascii="Times New Roman" w:hAnsi="Times New Roman"/>
        </w:rPr>
        <w:t xml:space="preserve"> Máster en Sexología y Sociedad por la Universidad Médica de La Habana, especialista del Departamento de Investigación y Docencia del Centro Nacional de Educación Sexual en Cuba.</w:t>
      </w:r>
    </w:p>
  </w:footnote>
  <w:footnote w:id="7">
    <w:p w14:paraId="43AAD28C" w14:textId="77777777" w:rsidR="005C2838" w:rsidRDefault="005C2838" w:rsidP="005C2838">
      <w:pPr>
        <w:pStyle w:val="Textonotapie"/>
        <w:jc w:val="both"/>
      </w:pPr>
      <w:r w:rsidRPr="005C2838">
        <w:rPr>
          <w:rStyle w:val="Refdenotaalpie"/>
          <w:rFonts w:ascii="Times New Roman" w:hAnsi="Times New Roman"/>
        </w:rPr>
        <w:footnoteRef/>
      </w:r>
      <w:r w:rsidRPr="005C2838">
        <w:rPr>
          <w:rFonts w:ascii="Times New Roman" w:hAnsi="Times New Roman"/>
        </w:rPr>
        <w:t xml:space="preserve"> Máster en Cultura Latinoamericana, coordinadora del Grupo de Trabajo Científico Estudios de Género (UCLV).</w:t>
      </w:r>
    </w:p>
  </w:footnote>
  <w:footnote w:id="8">
    <w:p w14:paraId="0B5C18B5" w14:textId="77777777" w:rsidR="005C2838" w:rsidRPr="005C2838" w:rsidRDefault="005C2838" w:rsidP="005C2838">
      <w:pPr>
        <w:pStyle w:val="Textonotapie"/>
        <w:rPr>
          <w:rFonts w:ascii="Times New Roman" w:hAnsi="Times New Roman"/>
        </w:rPr>
      </w:pPr>
      <w:r w:rsidRPr="005C2838">
        <w:rPr>
          <w:rStyle w:val="Refdenotaalpie"/>
          <w:rFonts w:ascii="Times New Roman" w:hAnsi="Times New Roman"/>
        </w:rPr>
        <w:footnoteRef/>
      </w:r>
      <w:r w:rsidRPr="005C2838">
        <w:rPr>
          <w:rFonts w:ascii="Times New Roman" w:hAnsi="Times New Roman"/>
        </w:rPr>
        <w:t xml:space="preserve"> Jefa del Departamento de Comunicación y Marketing de CVI.</w:t>
      </w:r>
    </w:p>
  </w:footnote>
  <w:footnote w:id="9">
    <w:p w14:paraId="672CA082" w14:textId="77777777" w:rsidR="005C2838" w:rsidRPr="005C2838" w:rsidRDefault="005C2838" w:rsidP="005C2838">
      <w:pPr>
        <w:pStyle w:val="Textonotapie"/>
        <w:rPr>
          <w:rFonts w:ascii="Times New Roman" w:hAnsi="Times New Roman"/>
        </w:rPr>
      </w:pPr>
      <w:r w:rsidRPr="005C2838">
        <w:rPr>
          <w:rStyle w:val="Refdenotaalpie"/>
          <w:rFonts w:ascii="Times New Roman" w:hAnsi="Times New Roman"/>
        </w:rPr>
        <w:footnoteRef/>
      </w:r>
      <w:r w:rsidRPr="005C2838">
        <w:rPr>
          <w:rFonts w:ascii="Times New Roman" w:hAnsi="Times New Roman"/>
        </w:rPr>
        <w:t xml:space="preserve"> Máster en Cultura Latinoamericana, investigadora de la UCLV especializada en temas de género.</w:t>
      </w:r>
    </w:p>
  </w:footnote>
  <w:footnote w:id="10">
    <w:p w14:paraId="36168361" w14:textId="77777777" w:rsidR="005C2838" w:rsidRPr="000E4BC6" w:rsidRDefault="005C2838" w:rsidP="005C2838">
      <w:pPr>
        <w:pStyle w:val="Textocomentario"/>
        <w:jc w:val="both"/>
        <w:rPr>
          <w:rFonts w:eastAsia="Arial"/>
          <w:lang w:eastAsia="en-US"/>
        </w:rPr>
      </w:pPr>
      <w:r w:rsidRPr="000E4BC6">
        <w:rPr>
          <w:rStyle w:val="Refdenotaalpie"/>
        </w:rPr>
        <w:footnoteRef/>
      </w:r>
      <w:r w:rsidRPr="000E4BC6">
        <w:rPr>
          <w:rFonts w:eastAsia="Arial"/>
          <w:lang w:eastAsia="en-US"/>
        </w:rPr>
        <w:t xml:space="preserve">La cifra de 0% significa que se asume su inclusión en ese grupo por omisión; al no representarlo o incluirlo dentro del </w:t>
      </w:r>
      <w:proofErr w:type="spellStart"/>
      <w:r w:rsidRPr="000E4BC6">
        <w:rPr>
          <w:rFonts w:eastAsia="Arial"/>
          <w:lang w:eastAsia="en-US"/>
        </w:rPr>
        <w:t>endogrupo</w:t>
      </w:r>
      <w:proofErr w:type="spellEnd"/>
      <w:r w:rsidRPr="000E4BC6">
        <w:rPr>
          <w:rFonts w:eastAsia="Arial"/>
          <w:lang w:eastAsia="en-US"/>
        </w:rPr>
        <w:t xml:space="preserve">, se asume entonces como parte del exogrupo aquello que es diferente al canon ya establecido por el </w:t>
      </w:r>
      <w:proofErr w:type="spellStart"/>
      <w:r w:rsidRPr="000E4BC6">
        <w:rPr>
          <w:rFonts w:eastAsia="Arial"/>
          <w:lang w:eastAsia="en-US"/>
        </w:rPr>
        <w:t>endogrupo</w:t>
      </w:r>
      <w:proofErr w:type="spellEnd"/>
      <w:r w:rsidRPr="000E4BC6">
        <w:rPr>
          <w:rFonts w:eastAsia="Arial"/>
          <w:lang w:eastAsia="en-US"/>
        </w:rPr>
        <w:t xml:space="preserve">. </w:t>
      </w:r>
    </w:p>
  </w:footnote>
  <w:footnote w:id="11">
    <w:p w14:paraId="18BAE626" w14:textId="77777777" w:rsidR="005C2838" w:rsidRPr="008A02D0" w:rsidRDefault="005C2838" w:rsidP="005C2838">
      <w:pPr>
        <w:pStyle w:val="Textonotapie"/>
        <w:jc w:val="both"/>
        <w:rPr>
          <w:rFonts w:ascii="Times New Roman" w:hAnsi="Times New Roman"/>
        </w:rPr>
      </w:pPr>
      <w:r w:rsidRPr="008A02D0">
        <w:rPr>
          <w:rStyle w:val="Refdenotaalpie"/>
          <w:rFonts w:ascii="Times New Roman" w:hAnsi="Times New Roman"/>
        </w:rPr>
        <w:footnoteRef/>
      </w:r>
      <w:r w:rsidRPr="008A02D0">
        <w:rPr>
          <w:rFonts w:ascii="Times New Roman" w:hAnsi="Times New Roman"/>
        </w:rPr>
        <w:t xml:space="preserve"> Doctora en Ciencias Psicológicas, más de diez años de experiencia investigativa en violencia y mediación de género en procesos sociales.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409A2A71" w14:textId="77777777" w:rsidTr="00F31B37">
      <w:trPr>
        <w:trHeight w:val="1114"/>
        <w:jc w:val="center"/>
      </w:trPr>
      <w:tc>
        <w:tcPr>
          <w:tcW w:w="1425" w:type="dxa"/>
        </w:tcPr>
        <w:p w14:paraId="73E79456"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5920" behindDoc="1" locked="0" layoutInCell="1" allowOverlap="1" wp14:anchorId="4EA7D919" wp14:editId="18407CCC">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16328CB3" w14:textId="77777777" w:rsidR="00F31B37" w:rsidRDefault="00F31B37" w:rsidP="00F31B37">
          <w:pPr>
            <w:pStyle w:val="Encabezado"/>
            <w:jc w:val="center"/>
            <w:rPr>
              <w:rFonts w:ascii="Verdana" w:hAnsi="Verdana"/>
              <w:b/>
              <w:sz w:val="16"/>
              <w:szCs w:val="16"/>
              <w:lang w:val="es-ES_tradnl"/>
            </w:rPr>
          </w:pPr>
        </w:p>
        <w:p w14:paraId="2C4C6068" w14:textId="77777777" w:rsidR="00F31B37" w:rsidRPr="00C8585B" w:rsidRDefault="000A6EC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14:paraId="091B4429"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76128C38" w14:textId="77777777"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755B12AE"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E6B9A"/>
    <w:multiLevelType w:val="multilevel"/>
    <w:tmpl w:val="163ED00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A8E1364"/>
    <w:multiLevelType w:val="hybridMultilevel"/>
    <w:tmpl w:val="7876A23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FA4420C"/>
    <w:multiLevelType w:val="hybridMultilevel"/>
    <w:tmpl w:val="D136B3D4"/>
    <w:lvl w:ilvl="0" w:tplc="74F65D0C">
      <w:start w:val="1"/>
      <w:numFmt w:val="decimal"/>
      <w:lvlText w:val="%1."/>
      <w:lvlJc w:val="left"/>
      <w:pPr>
        <w:ind w:left="720"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00542AC"/>
    <w:multiLevelType w:val="multilevel"/>
    <w:tmpl w:val="2B141C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85B"/>
    <w:rsid w:val="00046F14"/>
    <w:rsid w:val="000A6EC7"/>
    <w:rsid w:val="000C14DC"/>
    <w:rsid w:val="000E4BC6"/>
    <w:rsid w:val="002036D5"/>
    <w:rsid w:val="002E0882"/>
    <w:rsid w:val="002E272A"/>
    <w:rsid w:val="0031171E"/>
    <w:rsid w:val="00403285"/>
    <w:rsid w:val="00572645"/>
    <w:rsid w:val="005754D8"/>
    <w:rsid w:val="005A43F1"/>
    <w:rsid w:val="005C2838"/>
    <w:rsid w:val="006271E4"/>
    <w:rsid w:val="00667F10"/>
    <w:rsid w:val="00671849"/>
    <w:rsid w:val="007455FF"/>
    <w:rsid w:val="00815971"/>
    <w:rsid w:val="0084068B"/>
    <w:rsid w:val="0088159E"/>
    <w:rsid w:val="008A02D0"/>
    <w:rsid w:val="008A1C16"/>
    <w:rsid w:val="008A48A6"/>
    <w:rsid w:val="009061A5"/>
    <w:rsid w:val="0091621C"/>
    <w:rsid w:val="009B1EF2"/>
    <w:rsid w:val="009B6D9E"/>
    <w:rsid w:val="009D5E02"/>
    <w:rsid w:val="009D67CD"/>
    <w:rsid w:val="00A156A5"/>
    <w:rsid w:val="00A21A1F"/>
    <w:rsid w:val="00A62A14"/>
    <w:rsid w:val="00AE534B"/>
    <w:rsid w:val="00B2024E"/>
    <w:rsid w:val="00B80E97"/>
    <w:rsid w:val="00BC770B"/>
    <w:rsid w:val="00C06306"/>
    <w:rsid w:val="00C17100"/>
    <w:rsid w:val="00C8585B"/>
    <w:rsid w:val="00CD2BC3"/>
    <w:rsid w:val="00D36D1C"/>
    <w:rsid w:val="00D73DE9"/>
    <w:rsid w:val="00DA18C4"/>
    <w:rsid w:val="00E40131"/>
    <w:rsid w:val="00E912D0"/>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3DC289"/>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Mencinsinresolver">
    <w:name w:val="Unresolved Mention"/>
    <w:basedOn w:val="Fuentedeprrafopredeter"/>
    <w:uiPriority w:val="99"/>
    <w:semiHidden/>
    <w:unhideWhenUsed/>
    <w:rsid w:val="008A48A6"/>
    <w:rPr>
      <w:color w:val="605E5C"/>
      <w:shd w:val="clear" w:color="auto" w:fill="E1DFDD"/>
    </w:rPr>
  </w:style>
  <w:style w:type="paragraph" w:styleId="Textonotapie">
    <w:name w:val="footnote text"/>
    <w:basedOn w:val="Normal"/>
    <w:link w:val="TextonotapieCar"/>
    <w:uiPriority w:val="99"/>
    <w:unhideWhenUsed/>
    <w:rsid w:val="0084068B"/>
    <w:pPr>
      <w:spacing w:after="0" w:line="240" w:lineRule="auto"/>
    </w:pPr>
    <w:rPr>
      <w:rFonts w:ascii="Arial" w:eastAsia="Arial" w:hAnsi="Arial" w:cs="Times New Roman"/>
      <w:sz w:val="20"/>
      <w:szCs w:val="20"/>
    </w:rPr>
  </w:style>
  <w:style w:type="character" w:customStyle="1" w:styleId="TextonotapieCar">
    <w:name w:val="Texto nota pie Car"/>
    <w:basedOn w:val="Fuentedeprrafopredeter"/>
    <w:link w:val="Textonotapie"/>
    <w:uiPriority w:val="99"/>
    <w:rsid w:val="0084068B"/>
    <w:rPr>
      <w:rFonts w:ascii="Arial" w:eastAsia="Arial" w:hAnsi="Arial" w:cs="Times New Roman"/>
      <w:sz w:val="20"/>
      <w:szCs w:val="20"/>
    </w:rPr>
  </w:style>
  <w:style w:type="character" w:styleId="Refdenotaalpie">
    <w:name w:val="footnote reference"/>
    <w:uiPriority w:val="99"/>
    <w:rsid w:val="0084068B"/>
    <w:rPr>
      <w:rFonts w:cs="Times New Roman"/>
      <w:vertAlign w:val="superscript"/>
    </w:rPr>
  </w:style>
  <w:style w:type="paragraph" w:styleId="Sangradetextonormal">
    <w:name w:val="Body Text Indent"/>
    <w:basedOn w:val="Normal"/>
    <w:link w:val="SangradetextonormalCar"/>
    <w:rsid w:val="005C2838"/>
    <w:pPr>
      <w:spacing w:after="0" w:line="240" w:lineRule="auto"/>
      <w:ind w:firstLine="567"/>
      <w:jc w:val="both"/>
    </w:pPr>
    <w:rPr>
      <w:rFonts w:ascii="Times New Roman" w:eastAsia="Times New Roman" w:hAnsi="Times New Roman" w:cs="Times New Roman"/>
      <w:sz w:val="24"/>
      <w:szCs w:val="24"/>
      <w:lang w:eastAsia="es-ES"/>
    </w:rPr>
  </w:style>
  <w:style w:type="character" w:customStyle="1" w:styleId="SangradetextonormalCar">
    <w:name w:val="Sangría de texto normal Car"/>
    <w:basedOn w:val="Fuentedeprrafopredeter"/>
    <w:link w:val="Sangradetextonormal"/>
    <w:rsid w:val="005C2838"/>
    <w:rPr>
      <w:rFonts w:ascii="Times New Roman" w:eastAsia="Times New Roman" w:hAnsi="Times New Roman" w:cs="Times New Roman"/>
      <w:sz w:val="24"/>
      <w:szCs w:val="24"/>
      <w:lang w:eastAsia="es-ES"/>
    </w:rPr>
  </w:style>
  <w:style w:type="paragraph" w:styleId="Textocomentario">
    <w:name w:val="annotation text"/>
    <w:basedOn w:val="Normal"/>
    <w:link w:val="TextocomentarioCar"/>
    <w:uiPriority w:val="99"/>
    <w:unhideWhenUsed/>
    <w:rsid w:val="005C2838"/>
    <w:pPr>
      <w:spacing w:after="0" w:line="240" w:lineRule="auto"/>
    </w:pPr>
    <w:rPr>
      <w:rFonts w:ascii="Times New Roman" w:eastAsia="Times New Roman" w:hAnsi="Times New Roman" w:cs="Times New Roman"/>
      <w:sz w:val="20"/>
      <w:szCs w:val="20"/>
      <w:lang w:eastAsia="es-ES_tradnl"/>
    </w:rPr>
  </w:style>
  <w:style w:type="character" w:customStyle="1" w:styleId="TextocomentarioCar">
    <w:name w:val="Texto comentario Car"/>
    <w:basedOn w:val="Fuentedeprrafopredeter"/>
    <w:link w:val="Textocomentario"/>
    <w:uiPriority w:val="99"/>
    <w:rsid w:val="005C2838"/>
    <w:rPr>
      <w:rFonts w:ascii="Times New Roman" w:eastAsia="Times New Roman" w:hAnsi="Times New Roman" w:cs="Times New Roman"/>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rodriguez@icrt.cu"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egpsiteso.wordpress.com/2015/02/25/sexo-vs-gene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21</Pages>
  <Words>6546</Words>
  <Characters>36009</Characters>
  <Application>Microsoft Office Word</Application>
  <DocSecurity>0</DocSecurity>
  <Lines>300</Lines>
  <Paragraphs>84</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42471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SOFIA</cp:lastModifiedBy>
  <cp:revision>13</cp:revision>
  <dcterms:created xsi:type="dcterms:W3CDTF">2021-05-14T03:18:00Z</dcterms:created>
  <dcterms:modified xsi:type="dcterms:W3CDTF">2021-09-18T19:18:00Z</dcterms:modified>
</cp:coreProperties>
</file>