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594F19"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I TALLER INTERNACIONAL PSICOLOGÍA Y DESARROLLO HUMANO </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697B4B" w:rsidRPr="00697B4B" w:rsidRDefault="00697B4B" w:rsidP="00667F10">
      <w:pPr>
        <w:spacing w:after="0"/>
        <w:jc w:val="center"/>
        <w:rPr>
          <w:rFonts w:ascii="Times New Roman" w:hAnsi="Times New Roman" w:cs="Times New Roman"/>
          <w:b/>
          <w:sz w:val="28"/>
          <w:szCs w:val="28"/>
        </w:rPr>
      </w:pPr>
      <w:r w:rsidRPr="00697B4B">
        <w:rPr>
          <w:rFonts w:ascii="Times New Roman" w:hAnsi="Times New Roman" w:cs="Times New Roman"/>
          <w:b/>
          <w:color w:val="000000"/>
          <w:sz w:val="28"/>
          <w:szCs w:val="28"/>
        </w:rPr>
        <w:t xml:space="preserve">Caracterización psicométrica de la </w:t>
      </w:r>
      <w:r w:rsidRPr="00697B4B">
        <w:rPr>
          <w:rFonts w:ascii="Times New Roman" w:hAnsi="Times New Roman" w:cs="Times New Roman"/>
          <w:b/>
          <w:i/>
          <w:iCs/>
          <w:color w:val="000000"/>
          <w:sz w:val="28"/>
          <w:szCs w:val="28"/>
        </w:rPr>
        <w:t>Escala de conocimiento</w:t>
      </w:r>
      <w:r w:rsidRPr="00697B4B">
        <w:rPr>
          <w:rFonts w:ascii="Times New Roman" w:hAnsi="Times New Roman" w:cs="Times New Roman"/>
          <w:b/>
          <w:i/>
          <w:iCs/>
          <w:color w:val="000000"/>
          <w:sz w:val="28"/>
          <w:szCs w:val="28"/>
        </w:rPr>
        <w:br/>
        <w:t xml:space="preserve">sobre Demencia </w:t>
      </w:r>
      <w:r w:rsidRPr="00697B4B">
        <w:rPr>
          <w:rFonts w:ascii="Times New Roman" w:hAnsi="Times New Roman" w:cs="Times New Roman"/>
          <w:b/>
          <w:color w:val="000000"/>
          <w:sz w:val="28"/>
          <w:szCs w:val="28"/>
        </w:rPr>
        <w:t>DKAS-</w:t>
      </w:r>
      <w:proofErr w:type="spellStart"/>
      <w:r w:rsidRPr="00697B4B">
        <w:rPr>
          <w:rFonts w:ascii="Times New Roman" w:hAnsi="Times New Roman" w:cs="Times New Roman"/>
          <w:b/>
          <w:color w:val="000000"/>
          <w:sz w:val="28"/>
          <w:szCs w:val="28"/>
        </w:rPr>
        <w:t>Sp</w:t>
      </w:r>
      <w:proofErr w:type="spellEnd"/>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8A1C16" w:rsidRPr="00697B4B" w:rsidRDefault="00697B4B" w:rsidP="00667F10">
      <w:pPr>
        <w:spacing w:after="0"/>
        <w:jc w:val="center"/>
        <w:rPr>
          <w:rFonts w:ascii="Times New Roman" w:hAnsi="Times New Roman" w:cs="Times New Roman"/>
          <w:b/>
          <w:i/>
          <w:sz w:val="28"/>
          <w:szCs w:val="28"/>
        </w:rPr>
      </w:pPr>
      <w:proofErr w:type="spellStart"/>
      <w:r w:rsidRPr="00697B4B">
        <w:rPr>
          <w:rFonts w:ascii="Times New Roman" w:hAnsi="Times New Roman" w:cs="Times New Roman"/>
          <w:b/>
          <w:i/>
          <w:color w:val="000000"/>
          <w:sz w:val="28"/>
          <w:szCs w:val="28"/>
        </w:rPr>
        <w:t>Psychometric</w:t>
      </w:r>
      <w:proofErr w:type="spellEnd"/>
      <w:r w:rsidRPr="00697B4B">
        <w:rPr>
          <w:rFonts w:ascii="Times New Roman" w:hAnsi="Times New Roman" w:cs="Times New Roman"/>
          <w:b/>
          <w:i/>
          <w:color w:val="000000"/>
          <w:sz w:val="28"/>
          <w:szCs w:val="28"/>
        </w:rPr>
        <w:t xml:space="preserve"> </w:t>
      </w:r>
      <w:proofErr w:type="spellStart"/>
      <w:r w:rsidRPr="00697B4B">
        <w:rPr>
          <w:rFonts w:ascii="Times New Roman" w:hAnsi="Times New Roman" w:cs="Times New Roman"/>
          <w:b/>
          <w:i/>
          <w:color w:val="000000"/>
          <w:sz w:val="28"/>
          <w:szCs w:val="28"/>
        </w:rPr>
        <w:t>properties</w:t>
      </w:r>
      <w:proofErr w:type="spellEnd"/>
      <w:r w:rsidRPr="00697B4B">
        <w:rPr>
          <w:rFonts w:ascii="Times New Roman" w:hAnsi="Times New Roman" w:cs="Times New Roman"/>
          <w:b/>
          <w:i/>
          <w:color w:val="000000"/>
          <w:sz w:val="28"/>
          <w:szCs w:val="28"/>
        </w:rPr>
        <w:t xml:space="preserve"> of </w:t>
      </w:r>
      <w:r w:rsidRPr="00697B4B">
        <w:rPr>
          <w:rFonts w:ascii="Times New Roman" w:hAnsi="Times New Roman" w:cs="Times New Roman"/>
          <w:b/>
          <w:i/>
          <w:iCs/>
          <w:color w:val="000000"/>
          <w:sz w:val="28"/>
          <w:szCs w:val="28"/>
        </w:rPr>
        <w:t>Escala de conocimiento sobre</w:t>
      </w:r>
      <w:r w:rsidRPr="00697B4B">
        <w:rPr>
          <w:rFonts w:ascii="Times New Roman" w:hAnsi="Times New Roman" w:cs="Times New Roman"/>
          <w:b/>
          <w:i/>
          <w:iCs/>
          <w:color w:val="000000"/>
          <w:sz w:val="28"/>
          <w:szCs w:val="28"/>
        </w:rPr>
        <w:br/>
      </w:r>
      <w:proofErr w:type="spellStart"/>
      <w:r w:rsidRPr="00697B4B">
        <w:rPr>
          <w:rFonts w:ascii="Times New Roman" w:hAnsi="Times New Roman" w:cs="Times New Roman"/>
          <w:b/>
          <w:i/>
          <w:iCs/>
          <w:color w:val="000000"/>
          <w:sz w:val="28"/>
          <w:szCs w:val="28"/>
        </w:rPr>
        <w:t>Demecia</w:t>
      </w:r>
      <w:proofErr w:type="spellEnd"/>
      <w:r w:rsidRPr="00697B4B">
        <w:rPr>
          <w:rFonts w:ascii="Times New Roman" w:hAnsi="Times New Roman" w:cs="Times New Roman"/>
          <w:b/>
          <w:i/>
          <w:iCs/>
          <w:color w:val="000000"/>
          <w:sz w:val="28"/>
          <w:szCs w:val="28"/>
        </w:rPr>
        <w:t xml:space="preserve"> </w:t>
      </w:r>
      <w:r w:rsidRPr="00697B4B">
        <w:rPr>
          <w:rFonts w:ascii="Times New Roman" w:hAnsi="Times New Roman" w:cs="Times New Roman"/>
          <w:b/>
          <w:i/>
          <w:color w:val="000000"/>
          <w:sz w:val="28"/>
          <w:szCs w:val="28"/>
        </w:rPr>
        <w:t>DKAS-</w:t>
      </w:r>
      <w:proofErr w:type="spellStart"/>
      <w:r w:rsidRPr="00697B4B">
        <w:rPr>
          <w:rFonts w:ascii="Times New Roman" w:hAnsi="Times New Roman" w:cs="Times New Roman"/>
          <w:b/>
          <w:i/>
          <w:color w:val="000000"/>
          <w:sz w:val="28"/>
          <w:szCs w:val="28"/>
        </w:rPr>
        <w:t>Sp</w:t>
      </w:r>
      <w:proofErr w:type="spellEnd"/>
    </w:p>
    <w:p w:rsidR="002E0882" w:rsidRPr="002E0882" w:rsidRDefault="002E0882" w:rsidP="00FF3346">
      <w:pPr>
        <w:spacing w:after="0" w:line="360" w:lineRule="auto"/>
        <w:rPr>
          <w:rFonts w:ascii="Times New Roman" w:hAnsi="Times New Roman" w:cs="Times New Roman"/>
          <w:sz w:val="24"/>
          <w:szCs w:val="24"/>
        </w:rPr>
      </w:pPr>
    </w:p>
    <w:p w:rsidR="009D5E02" w:rsidRPr="007E4909" w:rsidRDefault="00697B4B" w:rsidP="00971DB0">
      <w:pPr>
        <w:spacing w:after="0" w:line="360" w:lineRule="auto"/>
        <w:jc w:val="center"/>
        <w:rPr>
          <w:rFonts w:ascii="Times New Roman" w:hAnsi="Times New Roman" w:cs="Times New Roman"/>
          <w:sz w:val="24"/>
          <w:szCs w:val="24"/>
          <w:vertAlign w:val="superscript"/>
        </w:rPr>
      </w:pPr>
      <w:proofErr w:type="spellStart"/>
      <w:r>
        <w:rPr>
          <w:rFonts w:ascii="Times New Roman" w:hAnsi="Times New Roman" w:cs="Times New Roman"/>
          <w:b/>
          <w:sz w:val="24"/>
          <w:szCs w:val="24"/>
        </w:rPr>
        <w:t>Meilin</w:t>
      </w:r>
      <w:proofErr w:type="spellEnd"/>
      <w:r>
        <w:rPr>
          <w:rFonts w:ascii="Times New Roman" w:hAnsi="Times New Roman" w:cs="Times New Roman"/>
          <w:b/>
          <w:sz w:val="24"/>
          <w:szCs w:val="24"/>
        </w:rPr>
        <w:t xml:space="preserve"> Fabregat Alonso</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Zoylen Fernández Fleite</w:t>
      </w:r>
      <w:r w:rsidR="009D5E02">
        <w:rPr>
          <w:rFonts w:ascii="Times New Roman" w:hAnsi="Times New Roman" w:cs="Times New Roman"/>
          <w:b/>
          <w:sz w:val="24"/>
          <w:szCs w:val="24"/>
        </w:rPr>
        <w:t>s</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sidR="00BA7E2B">
        <w:rPr>
          <w:rFonts w:ascii="Times New Roman" w:hAnsi="Times New Roman" w:cs="Times New Roman"/>
          <w:b/>
          <w:sz w:val="24"/>
          <w:szCs w:val="24"/>
        </w:rPr>
        <w:t>Elizabeth Jiménez Puig</w:t>
      </w:r>
      <w:r w:rsidR="00BA7E2B">
        <w:rPr>
          <w:rFonts w:ascii="Times New Roman" w:hAnsi="Times New Roman" w:cs="Times New Roman"/>
          <w:b/>
          <w:sz w:val="24"/>
          <w:szCs w:val="24"/>
          <w:vertAlign w:val="superscript"/>
        </w:rPr>
        <w:t>3</w:t>
      </w:r>
      <w:r w:rsidR="00BA7E2B">
        <w:rPr>
          <w:rFonts w:ascii="Times New Roman" w:hAnsi="Times New Roman" w:cs="Times New Roman"/>
          <w:b/>
          <w:sz w:val="24"/>
          <w:szCs w:val="24"/>
        </w:rPr>
        <w:t>, Yunier Broche Pérez</w:t>
      </w:r>
      <w:r w:rsidR="00BA7E2B">
        <w:rPr>
          <w:rFonts w:ascii="Times New Roman" w:hAnsi="Times New Roman" w:cs="Times New Roman"/>
          <w:b/>
          <w:sz w:val="24"/>
          <w:szCs w:val="24"/>
          <w:vertAlign w:val="superscript"/>
        </w:rPr>
        <w:t>4</w:t>
      </w:r>
      <w:r w:rsidR="007E4909" w:rsidRPr="007E4909">
        <w:rPr>
          <w:rFonts w:ascii="Times New Roman" w:hAnsi="Times New Roman" w:cs="Times New Roman"/>
          <w:sz w:val="24"/>
          <w:szCs w:val="24"/>
        </w:rPr>
        <w:t xml:space="preserve">, </w:t>
      </w:r>
      <w:proofErr w:type="spellStart"/>
      <w:r w:rsidR="007E4909" w:rsidRPr="007E4909">
        <w:rPr>
          <w:rFonts w:ascii="Times New Roman" w:hAnsi="Times New Roman" w:cs="Times New Roman"/>
          <w:b/>
          <w:sz w:val="24"/>
          <w:szCs w:val="24"/>
        </w:rPr>
        <w:t>Lidmary</w:t>
      </w:r>
      <w:proofErr w:type="spellEnd"/>
      <w:r w:rsidR="007E4909" w:rsidRPr="007E4909">
        <w:rPr>
          <w:rFonts w:ascii="Times New Roman" w:hAnsi="Times New Roman" w:cs="Times New Roman"/>
          <w:b/>
          <w:sz w:val="24"/>
          <w:szCs w:val="24"/>
        </w:rPr>
        <w:t xml:space="preserve"> </w:t>
      </w:r>
      <w:proofErr w:type="spellStart"/>
      <w:r w:rsidR="007E4909" w:rsidRPr="007E4909">
        <w:rPr>
          <w:rFonts w:ascii="Times New Roman" w:hAnsi="Times New Roman" w:cs="Times New Roman"/>
          <w:b/>
          <w:sz w:val="24"/>
          <w:szCs w:val="24"/>
        </w:rPr>
        <w:t>Estabilez</w:t>
      </w:r>
      <w:proofErr w:type="spellEnd"/>
      <w:r w:rsidR="007E4909" w:rsidRPr="007E4909">
        <w:rPr>
          <w:rFonts w:ascii="Times New Roman" w:hAnsi="Times New Roman" w:cs="Times New Roman"/>
          <w:b/>
          <w:sz w:val="24"/>
          <w:szCs w:val="24"/>
        </w:rPr>
        <w:t xml:space="preserve"> Quesada</w:t>
      </w:r>
      <w:r w:rsidR="007E4909" w:rsidRPr="007E4909">
        <w:rPr>
          <w:rFonts w:ascii="Times New Roman" w:hAnsi="Times New Roman" w:cs="Times New Roman"/>
          <w:b/>
          <w:sz w:val="24"/>
          <w:szCs w:val="24"/>
          <w:vertAlign w:val="superscript"/>
        </w:rPr>
        <w:t>5</w:t>
      </w:r>
      <w:r w:rsidR="007E4909" w:rsidRPr="007E4909">
        <w:rPr>
          <w:rFonts w:ascii="Times New Roman" w:hAnsi="Times New Roman" w:cs="Times New Roman"/>
          <w:b/>
          <w:sz w:val="24"/>
          <w:szCs w:val="24"/>
        </w:rPr>
        <w:t xml:space="preserve">, </w:t>
      </w:r>
      <w:proofErr w:type="spellStart"/>
      <w:r w:rsidR="007E4909" w:rsidRPr="007E4909">
        <w:rPr>
          <w:rFonts w:ascii="Times New Roman" w:hAnsi="Times New Roman" w:cs="Times New Roman"/>
          <w:b/>
          <w:sz w:val="24"/>
          <w:szCs w:val="24"/>
        </w:rPr>
        <w:t>Leidy</w:t>
      </w:r>
      <w:proofErr w:type="spellEnd"/>
      <w:r w:rsidR="007E4909" w:rsidRPr="007E4909">
        <w:rPr>
          <w:rFonts w:ascii="Times New Roman" w:hAnsi="Times New Roman" w:cs="Times New Roman"/>
          <w:b/>
          <w:sz w:val="24"/>
          <w:szCs w:val="24"/>
        </w:rPr>
        <w:t xml:space="preserve"> Marian Arteaga Medina</w:t>
      </w:r>
      <w:r w:rsidR="007E4909" w:rsidRPr="007E4909">
        <w:rPr>
          <w:rFonts w:ascii="Times New Roman" w:hAnsi="Times New Roman" w:cs="Times New Roman"/>
          <w:b/>
          <w:sz w:val="24"/>
          <w:szCs w:val="24"/>
          <w:vertAlign w:val="superscript"/>
        </w:rPr>
        <w:t>6</w:t>
      </w:r>
      <w:r w:rsidR="007E4909" w:rsidRPr="007E4909">
        <w:rPr>
          <w:rFonts w:ascii="Times New Roman" w:hAnsi="Times New Roman" w:cs="Times New Roman"/>
          <w:b/>
          <w:sz w:val="24"/>
          <w:szCs w:val="24"/>
        </w:rPr>
        <w:t xml:space="preserve">, </w:t>
      </w:r>
      <w:proofErr w:type="spellStart"/>
      <w:r w:rsidR="007E4909" w:rsidRPr="007E4909">
        <w:rPr>
          <w:rFonts w:ascii="Times New Roman" w:hAnsi="Times New Roman" w:cs="Times New Roman"/>
          <w:b/>
          <w:sz w:val="24"/>
          <w:szCs w:val="24"/>
        </w:rPr>
        <w:t>Dalía</w:t>
      </w:r>
      <w:proofErr w:type="spellEnd"/>
      <w:r w:rsidR="007E4909" w:rsidRPr="007E4909">
        <w:rPr>
          <w:rFonts w:ascii="Times New Roman" w:hAnsi="Times New Roman" w:cs="Times New Roman"/>
          <w:b/>
          <w:sz w:val="24"/>
          <w:szCs w:val="24"/>
        </w:rPr>
        <w:t xml:space="preserve"> Rodríguez Cairo</w:t>
      </w:r>
      <w:r w:rsidR="007E4909" w:rsidRPr="007E4909">
        <w:rPr>
          <w:rFonts w:ascii="Times New Roman" w:hAnsi="Times New Roman" w:cs="Times New Roman"/>
          <w:b/>
          <w:sz w:val="24"/>
          <w:szCs w:val="24"/>
          <w:vertAlign w:val="superscript"/>
        </w:rPr>
        <w:t>7</w:t>
      </w: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BA7E2B">
        <w:rPr>
          <w:rFonts w:ascii="Times New Roman" w:hAnsi="Times New Roman" w:cs="Times New Roman"/>
          <w:sz w:val="24"/>
          <w:szCs w:val="24"/>
        </w:rPr>
        <w:t xml:space="preserve">Lic. </w:t>
      </w:r>
      <w:proofErr w:type="spellStart"/>
      <w:r w:rsidR="00BA7E2B">
        <w:rPr>
          <w:rFonts w:ascii="Times New Roman" w:hAnsi="Times New Roman" w:cs="Times New Roman"/>
          <w:sz w:val="24"/>
          <w:szCs w:val="24"/>
        </w:rPr>
        <w:t>Meilin</w:t>
      </w:r>
      <w:proofErr w:type="spellEnd"/>
      <w:r w:rsidR="00BA7E2B">
        <w:rPr>
          <w:rFonts w:ascii="Times New Roman" w:hAnsi="Times New Roman" w:cs="Times New Roman"/>
          <w:sz w:val="24"/>
          <w:szCs w:val="24"/>
        </w:rPr>
        <w:t xml:space="preserve"> Fabregat Alonso. Universidad Central Marta Abreu de las Villas,</w:t>
      </w:r>
      <w:r w:rsidR="00D33960">
        <w:rPr>
          <w:rFonts w:ascii="Times New Roman" w:hAnsi="Times New Roman" w:cs="Times New Roman"/>
          <w:sz w:val="24"/>
          <w:szCs w:val="24"/>
        </w:rPr>
        <w:t xml:space="preserve"> Cuba. </w:t>
      </w:r>
      <w:hyperlink r:id="rId7" w:history="1">
        <w:r w:rsidR="00D33960" w:rsidRPr="00FD7A06">
          <w:rPr>
            <w:rStyle w:val="Hipervnculo"/>
            <w:rFonts w:ascii="Times New Roman" w:hAnsi="Times New Roman" w:cs="Times New Roman"/>
            <w:sz w:val="24"/>
            <w:szCs w:val="24"/>
          </w:rPr>
          <w:t>meilin.fabregat@nauta.cu</w:t>
        </w:r>
      </w:hyperlink>
      <w:r w:rsidR="00D33960">
        <w:rPr>
          <w:rFonts w:ascii="Times New Roman" w:hAnsi="Times New Roman" w:cs="Times New Roman"/>
          <w:sz w:val="24"/>
          <w:szCs w:val="24"/>
        </w:rPr>
        <w:t xml:space="preserve"> </w:t>
      </w:r>
      <w:bookmarkStart w:id="0" w:name="_GoBack"/>
      <w:bookmarkEnd w:id="0"/>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proofErr w:type="spellStart"/>
      <w:r w:rsidR="00024172">
        <w:rPr>
          <w:rFonts w:ascii="Times New Roman" w:hAnsi="Times New Roman" w:cs="Times New Roman"/>
          <w:sz w:val="24"/>
          <w:szCs w:val="24"/>
        </w:rPr>
        <w:t>MSc</w:t>
      </w:r>
      <w:proofErr w:type="spellEnd"/>
      <w:r w:rsidR="00024172">
        <w:rPr>
          <w:rFonts w:ascii="Times New Roman" w:hAnsi="Times New Roman" w:cs="Times New Roman"/>
          <w:sz w:val="24"/>
          <w:szCs w:val="24"/>
        </w:rPr>
        <w:t>. Zoylen Fernández-</w:t>
      </w:r>
      <w:r w:rsidR="00BA7E2B">
        <w:rPr>
          <w:rFonts w:ascii="Times New Roman" w:hAnsi="Times New Roman" w:cs="Times New Roman"/>
          <w:sz w:val="24"/>
          <w:szCs w:val="24"/>
        </w:rPr>
        <w:t xml:space="preserve">Fleites. Universidad Central Marta Abreu de las Villas, Cuba. </w:t>
      </w:r>
      <w:hyperlink r:id="rId8" w:history="1">
        <w:r w:rsidR="009B0D54" w:rsidRPr="00FD7A06">
          <w:rPr>
            <w:rStyle w:val="Hipervnculo"/>
            <w:rFonts w:ascii="Times New Roman" w:hAnsi="Times New Roman" w:cs="Times New Roman"/>
            <w:sz w:val="24"/>
            <w:szCs w:val="24"/>
          </w:rPr>
          <w:t>zfernandez@uclv.cu</w:t>
        </w:r>
      </w:hyperlink>
    </w:p>
    <w:p w:rsidR="00BA7E2B" w:rsidRDefault="00024172"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MS</w:t>
      </w:r>
      <w:r w:rsidR="00BA7E2B">
        <w:rPr>
          <w:rFonts w:ascii="Times New Roman" w:hAnsi="Times New Roman" w:cs="Times New Roman"/>
          <w:sz w:val="24"/>
          <w:szCs w:val="24"/>
        </w:rPr>
        <w:t>c</w:t>
      </w:r>
      <w:proofErr w:type="spellEnd"/>
      <w:r w:rsidR="00BA7E2B">
        <w:rPr>
          <w:rFonts w:ascii="Times New Roman" w:hAnsi="Times New Roman" w:cs="Times New Roman"/>
          <w:sz w:val="24"/>
          <w:szCs w:val="24"/>
        </w:rPr>
        <w:t xml:space="preserve">. Elizabeth Jiménez Puig. Universidad Central Marta Abreu de las Villas, Cuba. </w:t>
      </w:r>
      <w:hyperlink r:id="rId9" w:history="1">
        <w:r w:rsidR="009B0D54" w:rsidRPr="00FD7A06">
          <w:rPr>
            <w:rStyle w:val="Hipervnculo"/>
            <w:rFonts w:ascii="Times New Roman" w:hAnsi="Times New Roman" w:cs="Times New Roman"/>
            <w:sz w:val="24"/>
            <w:szCs w:val="24"/>
          </w:rPr>
          <w:t>ejimenez@uclv.cu</w:t>
        </w:r>
      </w:hyperlink>
      <w:r w:rsidR="009B0D54">
        <w:rPr>
          <w:rFonts w:ascii="Times New Roman" w:hAnsi="Times New Roman" w:cs="Times New Roman"/>
          <w:sz w:val="24"/>
          <w:szCs w:val="24"/>
        </w:rPr>
        <w:t xml:space="preserve"> </w:t>
      </w:r>
    </w:p>
    <w:p w:rsidR="00BA7E2B" w:rsidRDefault="00BA7E2B"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00746D36">
        <w:rPr>
          <w:rFonts w:ascii="Times New Roman" w:hAnsi="Times New Roman" w:cs="Times New Roman"/>
          <w:sz w:val="24"/>
          <w:szCs w:val="24"/>
        </w:rPr>
        <w:t xml:space="preserve">–Dr. Yunier Broche Pérez. Universidad Central Marta Abreu de las Villas, Cuba. </w:t>
      </w:r>
      <w:hyperlink r:id="rId10" w:history="1">
        <w:r w:rsidR="00971DB0" w:rsidRPr="003E00E9">
          <w:rPr>
            <w:rStyle w:val="Hipervnculo"/>
            <w:rFonts w:ascii="Times New Roman" w:hAnsi="Times New Roman" w:cs="Times New Roman"/>
            <w:sz w:val="24"/>
            <w:szCs w:val="24"/>
          </w:rPr>
          <w:t>yunierbp@uclv.edu.cu</w:t>
        </w:r>
      </w:hyperlink>
      <w:r w:rsidR="00746D36">
        <w:rPr>
          <w:rFonts w:ascii="Times New Roman" w:hAnsi="Times New Roman" w:cs="Times New Roman"/>
          <w:sz w:val="24"/>
          <w:szCs w:val="24"/>
        </w:rPr>
        <w:t>:</w:t>
      </w:r>
    </w:p>
    <w:p w:rsidR="009B0D54" w:rsidRPr="009B0D54" w:rsidRDefault="00024172"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5-</w:t>
      </w:r>
      <w:r w:rsidR="009B0D54" w:rsidRPr="009B0D54">
        <w:rPr>
          <w:rFonts w:ascii="Times New Roman" w:hAnsi="Times New Roman" w:cs="Times New Roman"/>
          <w:sz w:val="24"/>
          <w:szCs w:val="24"/>
        </w:rPr>
        <w:t xml:space="preserve">Lidmary </w:t>
      </w:r>
      <w:proofErr w:type="spellStart"/>
      <w:r w:rsidR="009B0D54" w:rsidRPr="009B0D54">
        <w:rPr>
          <w:rFonts w:ascii="Times New Roman" w:hAnsi="Times New Roman" w:cs="Times New Roman"/>
          <w:sz w:val="24"/>
          <w:szCs w:val="24"/>
        </w:rPr>
        <w:t>Estabilez</w:t>
      </w:r>
      <w:proofErr w:type="spellEnd"/>
      <w:r w:rsidR="009B0D54" w:rsidRPr="009B0D54">
        <w:rPr>
          <w:rFonts w:ascii="Times New Roman" w:hAnsi="Times New Roman" w:cs="Times New Roman"/>
          <w:sz w:val="24"/>
          <w:szCs w:val="24"/>
        </w:rPr>
        <w:t xml:space="preserve"> Quesada. </w:t>
      </w:r>
      <w:r w:rsidR="009B0D54">
        <w:rPr>
          <w:rFonts w:ascii="Times New Roman" w:hAnsi="Times New Roman" w:cs="Times New Roman"/>
          <w:sz w:val="24"/>
          <w:szCs w:val="24"/>
        </w:rPr>
        <w:t xml:space="preserve">Universidad Central Marta Abreu de las Villas, Cuba. </w:t>
      </w:r>
      <w:hyperlink r:id="rId11" w:history="1">
        <w:r w:rsidR="009B0D54" w:rsidRPr="009B0D54">
          <w:rPr>
            <w:rStyle w:val="Hipervnculo"/>
            <w:rFonts w:ascii="Times New Roman" w:hAnsi="Times New Roman" w:cs="Times New Roman"/>
            <w:sz w:val="24"/>
            <w:szCs w:val="24"/>
          </w:rPr>
          <w:t>lquesada@uclv.cu</w:t>
        </w:r>
      </w:hyperlink>
    </w:p>
    <w:p w:rsidR="009B0D54" w:rsidRPr="009B0D54" w:rsidRDefault="00024172"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6-</w:t>
      </w:r>
      <w:r w:rsidR="009B0D54" w:rsidRPr="009B0D54">
        <w:rPr>
          <w:rFonts w:ascii="Times New Roman" w:hAnsi="Times New Roman" w:cs="Times New Roman"/>
          <w:sz w:val="24"/>
          <w:szCs w:val="24"/>
        </w:rPr>
        <w:t>Leidy Marian Arteaga Medina</w:t>
      </w:r>
      <w:r w:rsidR="009B0D54">
        <w:rPr>
          <w:rFonts w:ascii="Times New Roman" w:hAnsi="Times New Roman" w:cs="Times New Roman"/>
          <w:sz w:val="24"/>
          <w:szCs w:val="24"/>
        </w:rPr>
        <w:t xml:space="preserve">. Universidad Central Marta Abreu de las Villas, Cuba. </w:t>
      </w:r>
      <w:hyperlink r:id="rId12" w:history="1">
        <w:r w:rsidR="009B0D54" w:rsidRPr="009B0D54">
          <w:rPr>
            <w:rStyle w:val="Hipervnculo"/>
            <w:rFonts w:ascii="Times New Roman" w:hAnsi="Times New Roman" w:cs="Times New Roman"/>
            <w:sz w:val="24"/>
            <w:szCs w:val="24"/>
          </w:rPr>
          <w:t>lamedina@uclv.cu</w:t>
        </w:r>
      </w:hyperlink>
      <w:r w:rsidR="009B0D54" w:rsidRPr="009B0D54">
        <w:rPr>
          <w:rFonts w:ascii="Times New Roman" w:hAnsi="Times New Roman" w:cs="Times New Roman"/>
          <w:sz w:val="24"/>
          <w:szCs w:val="24"/>
        </w:rPr>
        <w:t xml:space="preserve"> </w:t>
      </w:r>
    </w:p>
    <w:p w:rsidR="009B0D54" w:rsidRPr="009B0D54" w:rsidRDefault="00024172"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7-</w:t>
      </w:r>
      <w:r w:rsidR="009B0D54" w:rsidRPr="009B0D54">
        <w:rPr>
          <w:rFonts w:ascii="Times New Roman" w:hAnsi="Times New Roman" w:cs="Times New Roman"/>
          <w:sz w:val="24"/>
          <w:szCs w:val="24"/>
        </w:rPr>
        <w:t>Dalía Rodríguez Cairo</w:t>
      </w:r>
      <w:r w:rsidR="009B0D54">
        <w:rPr>
          <w:rFonts w:ascii="Times New Roman" w:hAnsi="Times New Roman" w:cs="Times New Roman"/>
          <w:sz w:val="24"/>
          <w:szCs w:val="24"/>
        </w:rPr>
        <w:t xml:space="preserve">. Universidad Central Marta Abreu de las Villas, Cuba. </w:t>
      </w:r>
      <w:hyperlink r:id="rId13" w:history="1">
        <w:r w:rsidR="009B0D54" w:rsidRPr="009B0D54">
          <w:rPr>
            <w:rStyle w:val="Hipervnculo"/>
            <w:rFonts w:ascii="Times New Roman" w:hAnsi="Times New Roman" w:cs="Times New Roman"/>
            <w:sz w:val="24"/>
            <w:szCs w:val="24"/>
          </w:rPr>
          <w:t>darcairo@uclv.cu</w:t>
        </w:r>
      </w:hyperlink>
      <w:r w:rsidR="009B0D54" w:rsidRPr="009B0D54">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746D36" w:rsidRPr="00746D36" w:rsidRDefault="008A1C16" w:rsidP="00746D36">
      <w:pPr>
        <w:pStyle w:val="Prrafodelista"/>
        <w:numPr>
          <w:ilvl w:val="0"/>
          <w:numId w:val="1"/>
        </w:numPr>
        <w:spacing w:after="0" w:line="360" w:lineRule="auto"/>
        <w:jc w:val="both"/>
        <w:rPr>
          <w:rFonts w:ascii="Times New Roman" w:hAnsi="Times New Roman" w:cs="Times New Roman"/>
          <w:b/>
          <w:sz w:val="24"/>
          <w:szCs w:val="24"/>
        </w:rPr>
      </w:pPr>
      <w:r w:rsidRPr="00746D36">
        <w:rPr>
          <w:rFonts w:ascii="Times New Roman" w:hAnsi="Times New Roman" w:cs="Times New Roman"/>
          <w:b/>
          <w:sz w:val="24"/>
          <w:szCs w:val="24"/>
        </w:rPr>
        <w:t>Problemática:</w:t>
      </w:r>
      <w:r w:rsidR="00746D36" w:rsidRPr="00746D36">
        <w:rPr>
          <w:rFonts w:ascii="Times New Roman" w:hAnsi="Times New Roman" w:cs="Times New Roman"/>
          <w:b/>
          <w:sz w:val="24"/>
          <w:szCs w:val="24"/>
        </w:rPr>
        <w:t xml:space="preserve"> </w:t>
      </w:r>
      <w:r w:rsidR="00746D36">
        <w:rPr>
          <w:rFonts w:ascii="TimesNewRoman" w:hAnsi="TimesNewRoman"/>
          <w:bCs/>
          <w:color w:val="000000"/>
          <w:sz w:val="24"/>
          <w:szCs w:val="24"/>
        </w:rPr>
        <w:t>El</w:t>
      </w:r>
      <w:r w:rsidR="00746D36" w:rsidRPr="003F76B3">
        <w:rPr>
          <w:rFonts w:ascii="TimesNewRoman" w:hAnsi="TimesNewRoman"/>
          <w:bCs/>
          <w:color w:val="000000"/>
          <w:sz w:val="24"/>
          <w:szCs w:val="24"/>
        </w:rPr>
        <w:t xml:space="preserve"> conocimiento adecuado sobre la </w:t>
      </w:r>
      <w:r w:rsidR="00746D36">
        <w:rPr>
          <w:rFonts w:ascii="TimesNewRoman" w:hAnsi="TimesNewRoman"/>
          <w:bCs/>
          <w:color w:val="000000"/>
          <w:sz w:val="24"/>
          <w:szCs w:val="24"/>
        </w:rPr>
        <w:t>demencia</w:t>
      </w:r>
      <w:r w:rsidR="00746D36" w:rsidRPr="003F76B3">
        <w:rPr>
          <w:rFonts w:ascii="TimesNewRoman" w:hAnsi="TimesNewRoman"/>
          <w:bCs/>
          <w:color w:val="000000"/>
          <w:sz w:val="24"/>
          <w:szCs w:val="24"/>
        </w:rPr>
        <w:t xml:space="preserve"> constituye el primer paso para </w:t>
      </w:r>
      <w:r w:rsidR="00746D36">
        <w:rPr>
          <w:rFonts w:ascii="TimesNewRoman" w:hAnsi="TimesNewRoman"/>
          <w:bCs/>
          <w:color w:val="000000"/>
          <w:sz w:val="24"/>
          <w:szCs w:val="24"/>
        </w:rPr>
        <w:t>que el personal de salud garantice la atención y prevención en dicho contexto</w:t>
      </w:r>
      <w:r w:rsidR="00746D36" w:rsidRPr="003F76B3">
        <w:rPr>
          <w:rFonts w:ascii="Times New Roman" w:hAnsi="Times New Roman" w:cs="Times New Roman"/>
          <w:sz w:val="24"/>
          <w:szCs w:val="24"/>
        </w:rPr>
        <w:t>.</w:t>
      </w:r>
      <w:r w:rsidR="00746D36">
        <w:rPr>
          <w:rFonts w:ascii="Times New Roman" w:hAnsi="Times New Roman" w:cs="Times New Roman"/>
          <w:sz w:val="24"/>
          <w:szCs w:val="24"/>
        </w:rPr>
        <w:t xml:space="preserve"> </w:t>
      </w:r>
      <w:r w:rsidR="00746D36" w:rsidRPr="003F76B3">
        <w:rPr>
          <w:rFonts w:ascii="Times New Roman" w:hAnsi="Times New Roman" w:cs="Times New Roman"/>
          <w:sz w:val="24"/>
          <w:szCs w:val="24"/>
        </w:rPr>
        <w:t xml:space="preserve">No obstante, en nuestro país no </w:t>
      </w:r>
      <w:r w:rsidR="00746D36">
        <w:rPr>
          <w:rFonts w:ascii="Times New Roman" w:hAnsi="Times New Roman" w:cs="Times New Roman"/>
          <w:sz w:val="24"/>
          <w:szCs w:val="24"/>
        </w:rPr>
        <w:t>se registra la existencia de</w:t>
      </w:r>
      <w:r w:rsidR="00746D36" w:rsidRPr="003F76B3">
        <w:rPr>
          <w:rFonts w:ascii="Times New Roman" w:hAnsi="Times New Roman" w:cs="Times New Roman"/>
          <w:sz w:val="24"/>
          <w:szCs w:val="24"/>
        </w:rPr>
        <w:t xml:space="preserve"> un </w:t>
      </w:r>
      <w:r w:rsidR="00746D36" w:rsidRPr="003F76B3">
        <w:rPr>
          <w:rFonts w:ascii="Times New Roman" w:hAnsi="Times New Roman" w:cs="Times New Roman"/>
          <w:sz w:val="24"/>
          <w:szCs w:val="24"/>
        </w:rPr>
        <w:lastRenderedPageBreak/>
        <w:t>ins</w:t>
      </w:r>
      <w:r w:rsidR="00746D36">
        <w:rPr>
          <w:rFonts w:ascii="Times New Roman" w:hAnsi="Times New Roman" w:cs="Times New Roman"/>
          <w:sz w:val="24"/>
          <w:szCs w:val="24"/>
        </w:rPr>
        <w:t>trumento válido y confiable que permita la descripción del conocimiento que posee el personal de salud en materia de demencia.</w:t>
      </w:r>
    </w:p>
    <w:p w:rsidR="008A1C16" w:rsidRPr="00746D36" w:rsidRDefault="008A1C16" w:rsidP="00746D36">
      <w:pPr>
        <w:pStyle w:val="Prrafodelista"/>
        <w:numPr>
          <w:ilvl w:val="0"/>
          <w:numId w:val="1"/>
        </w:numPr>
        <w:spacing w:after="0" w:line="360" w:lineRule="auto"/>
        <w:jc w:val="both"/>
        <w:rPr>
          <w:rFonts w:ascii="Times New Roman" w:hAnsi="Times New Roman" w:cs="Times New Roman"/>
          <w:b/>
          <w:sz w:val="24"/>
          <w:szCs w:val="24"/>
        </w:rPr>
      </w:pPr>
      <w:r w:rsidRPr="00746D36">
        <w:rPr>
          <w:rFonts w:ascii="Times New Roman" w:hAnsi="Times New Roman" w:cs="Times New Roman"/>
          <w:b/>
          <w:sz w:val="24"/>
          <w:szCs w:val="24"/>
        </w:rPr>
        <w:t>Objetivo:</w:t>
      </w:r>
      <w:r w:rsidR="00746D36" w:rsidRPr="00746D36">
        <w:rPr>
          <w:rFonts w:ascii="Times New Roman" w:hAnsi="Times New Roman" w:cs="Times New Roman"/>
          <w:b/>
          <w:sz w:val="24"/>
          <w:szCs w:val="24"/>
        </w:rPr>
        <w:t xml:space="preserve"> </w:t>
      </w:r>
      <w:r w:rsidR="00746D36" w:rsidRPr="00746D36">
        <w:rPr>
          <w:rFonts w:ascii="Times New Roman" w:hAnsi="Times New Roman" w:cs="Times New Roman"/>
          <w:sz w:val="24"/>
          <w:szCs w:val="24"/>
          <w:lang w:val="es-US"/>
        </w:rPr>
        <w:t>Caracterizar psicométricamente la Escala de conocimiento sobre demencia-</w:t>
      </w:r>
      <w:proofErr w:type="spellStart"/>
      <w:r w:rsidR="00746D36" w:rsidRPr="00746D36">
        <w:rPr>
          <w:rFonts w:ascii="Times New Roman" w:hAnsi="Times New Roman" w:cs="Times New Roman"/>
          <w:sz w:val="24"/>
          <w:szCs w:val="24"/>
          <w:lang w:val="es-US"/>
        </w:rPr>
        <w:t>Sp</w:t>
      </w:r>
      <w:proofErr w:type="spellEnd"/>
      <w:r w:rsidR="00746D36" w:rsidRPr="00746D36">
        <w:rPr>
          <w:rFonts w:ascii="Times New Roman" w:hAnsi="Times New Roman" w:cs="Times New Roman"/>
          <w:sz w:val="24"/>
          <w:szCs w:val="24"/>
          <w:lang w:val="es-US"/>
        </w:rPr>
        <w:t xml:space="preserve"> (DKAS-</w:t>
      </w:r>
      <w:proofErr w:type="spellStart"/>
      <w:r w:rsidR="00746D36" w:rsidRPr="00746D36">
        <w:rPr>
          <w:rFonts w:ascii="Times New Roman" w:hAnsi="Times New Roman" w:cs="Times New Roman"/>
          <w:sz w:val="24"/>
          <w:szCs w:val="24"/>
          <w:lang w:val="es-US"/>
        </w:rPr>
        <w:t>Sp</w:t>
      </w:r>
      <w:proofErr w:type="spellEnd"/>
      <w:r w:rsidR="00746D36" w:rsidRPr="00746D36">
        <w:rPr>
          <w:rFonts w:ascii="Times New Roman" w:hAnsi="Times New Roman" w:cs="Times New Roman"/>
          <w:sz w:val="24"/>
          <w:szCs w:val="24"/>
          <w:lang w:val="es-US"/>
        </w:rPr>
        <w:t xml:space="preserve">) </w:t>
      </w:r>
      <w:r w:rsidR="00746D36" w:rsidRPr="00746D36">
        <w:rPr>
          <w:rFonts w:ascii="Times New Roman" w:hAnsi="Times New Roman" w:cs="Times New Roman"/>
          <w:color w:val="231F20"/>
          <w:sz w:val="24"/>
          <w:szCs w:val="24"/>
        </w:rPr>
        <w:t>en</w:t>
      </w:r>
      <w:r w:rsidR="00746D36">
        <w:rPr>
          <w:rFonts w:ascii="Times New Roman" w:hAnsi="Times New Roman" w:cs="Times New Roman"/>
          <w:color w:val="231F20"/>
          <w:sz w:val="24"/>
          <w:szCs w:val="24"/>
        </w:rPr>
        <w:t xml:space="preserve"> </w:t>
      </w:r>
      <w:r w:rsidR="00746D36" w:rsidRPr="00746D36">
        <w:rPr>
          <w:rFonts w:ascii="Times New Roman" w:hAnsi="Times New Roman" w:cs="Times New Roman"/>
          <w:sz w:val="24"/>
          <w:szCs w:val="24"/>
        </w:rPr>
        <w:t>los médicos de familia de Santa Clara.</w:t>
      </w:r>
    </w:p>
    <w:p w:rsidR="00746D36" w:rsidRPr="00746D36" w:rsidRDefault="008A1C16" w:rsidP="00746D36">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746D36">
        <w:rPr>
          <w:rFonts w:ascii="Times New Roman" w:hAnsi="Times New Roman" w:cs="Times New Roman"/>
          <w:sz w:val="24"/>
          <w:szCs w:val="24"/>
        </w:rPr>
        <w:t xml:space="preserve"> </w:t>
      </w:r>
      <w:r w:rsidR="00746D36">
        <w:rPr>
          <w:rFonts w:ascii="TimesNewRoman" w:hAnsi="TimesNewRoman"/>
          <w:color w:val="000000"/>
          <w:sz w:val="24"/>
          <w:szCs w:val="24"/>
        </w:rPr>
        <w:t>S</w:t>
      </w:r>
      <w:r w:rsidR="00746D36" w:rsidRPr="00E13DB6">
        <w:rPr>
          <w:rFonts w:ascii="TimesNewRoman" w:hAnsi="TimesNewRoman"/>
          <w:color w:val="000000"/>
          <w:sz w:val="24"/>
          <w:szCs w:val="24"/>
        </w:rPr>
        <w:t xml:space="preserve">e </w:t>
      </w:r>
      <w:r w:rsidR="00746D36">
        <w:rPr>
          <w:rFonts w:ascii="TimesNewRoman" w:hAnsi="TimesNewRoman"/>
          <w:color w:val="000000"/>
          <w:sz w:val="24"/>
          <w:szCs w:val="24"/>
        </w:rPr>
        <w:t>diseñó</w:t>
      </w:r>
      <w:r w:rsidR="00746D36" w:rsidRPr="00E13DB6">
        <w:rPr>
          <w:rFonts w:ascii="TimesNewRoman" w:hAnsi="TimesNewRoman"/>
          <w:color w:val="000000"/>
          <w:sz w:val="24"/>
          <w:szCs w:val="24"/>
        </w:rPr>
        <w:t xml:space="preserve"> un estudio instrumental</w:t>
      </w:r>
      <w:r w:rsidR="00746D36">
        <w:rPr>
          <w:rFonts w:ascii="TimesNewRoman" w:hAnsi="TimesNewRoman"/>
          <w:color w:val="000000"/>
          <w:sz w:val="24"/>
          <w:szCs w:val="24"/>
        </w:rPr>
        <w:t xml:space="preserve"> desde</w:t>
      </w:r>
      <w:r w:rsidR="00746D36" w:rsidRPr="00E13DB6">
        <w:rPr>
          <w:rFonts w:ascii="TimesNewRoman" w:hAnsi="TimesNewRoman"/>
          <w:color w:val="000000"/>
          <w:sz w:val="24"/>
          <w:szCs w:val="24"/>
        </w:rPr>
        <w:t xml:space="preserve"> un paradigma cuantitativo. </w:t>
      </w:r>
      <w:r w:rsidR="00746D36">
        <w:rPr>
          <w:rFonts w:ascii="TimesNewRoman" w:hAnsi="TimesNewRoman"/>
          <w:color w:val="000000"/>
          <w:sz w:val="24"/>
          <w:szCs w:val="24"/>
        </w:rPr>
        <w:t xml:space="preserve">La muestra, aleatoria y probabilística, estuvo conformada por </w:t>
      </w:r>
      <w:r w:rsidR="00746D36" w:rsidRPr="00E13DB6">
        <w:rPr>
          <w:rFonts w:ascii="TimesNewRoman" w:hAnsi="TimesNewRoman"/>
          <w:color w:val="000000"/>
          <w:sz w:val="24"/>
          <w:szCs w:val="24"/>
        </w:rPr>
        <w:t xml:space="preserve">358 médicos </w:t>
      </w:r>
      <w:r w:rsidR="00746D36">
        <w:rPr>
          <w:rFonts w:ascii="TimesNewRoman" w:hAnsi="TimesNewRoman"/>
          <w:color w:val="000000"/>
          <w:sz w:val="24"/>
          <w:szCs w:val="24"/>
        </w:rPr>
        <w:t>de atención primaria de salud</w:t>
      </w:r>
      <w:r w:rsidR="00746D36" w:rsidRPr="00E13DB6">
        <w:rPr>
          <w:rFonts w:ascii="TimesNewRoman" w:hAnsi="TimesNewRoman"/>
          <w:color w:val="000000"/>
          <w:sz w:val="24"/>
          <w:szCs w:val="24"/>
        </w:rPr>
        <w:t>.</w:t>
      </w:r>
      <w:r w:rsidR="00746D36">
        <w:rPr>
          <w:rFonts w:ascii="TimesNewRoman" w:hAnsi="TimesNewRoman"/>
          <w:color w:val="000000"/>
          <w:sz w:val="24"/>
          <w:szCs w:val="24"/>
        </w:rPr>
        <w:t xml:space="preserve"> Se exploró </w:t>
      </w:r>
      <w:r w:rsidR="00746D36">
        <w:rPr>
          <w:rFonts w:ascii="Times New Roman" w:hAnsi="Times New Roman" w:cs="Times New Roman"/>
          <w:sz w:val="24"/>
          <w:szCs w:val="24"/>
        </w:rPr>
        <w:t xml:space="preserve">la estructura factorial del </w:t>
      </w:r>
      <w:r w:rsidR="00746D36">
        <w:rPr>
          <w:rFonts w:ascii="Times New Roman" w:hAnsi="Times New Roman" w:cs="Times New Roman"/>
          <w:sz w:val="24"/>
          <w:szCs w:val="24"/>
          <w:lang w:val="es-US"/>
        </w:rPr>
        <w:t>DKAS-</w:t>
      </w:r>
      <w:r w:rsidR="00746D36" w:rsidRPr="00E13DB6">
        <w:rPr>
          <w:rFonts w:ascii="Times New Roman" w:hAnsi="Times New Roman" w:cs="Times New Roman"/>
          <w:sz w:val="24"/>
          <w:szCs w:val="24"/>
          <w:lang w:val="es-US"/>
        </w:rPr>
        <w:t xml:space="preserve"> </w:t>
      </w:r>
      <w:proofErr w:type="spellStart"/>
      <w:r w:rsidR="00746D36" w:rsidRPr="00E13DB6">
        <w:rPr>
          <w:rFonts w:ascii="Times New Roman" w:hAnsi="Times New Roman" w:cs="Times New Roman"/>
          <w:sz w:val="24"/>
          <w:szCs w:val="24"/>
          <w:lang w:val="es-US"/>
        </w:rPr>
        <w:t>Sp</w:t>
      </w:r>
      <w:proofErr w:type="spellEnd"/>
      <w:r w:rsidR="00746D36">
        <w:rPr>
          <w:rFonts w:ascii="Times New Roman" w:hAnsi="Times New Roman" w:cs="Times New Roman"/>
          <w:sz w:val="24"/>
          <w:szCs w:val="24"/>
          <w:lang w:val="es-US"/>
        </w:rPr>
        <w:t xml:space="preserve"> mediante un Análisis de Componentes principales Categórico, se determinaron los</w:t>
      </w:r>
      <w:r w:rsidR="00746D36" w:rsidRPr="00E13DB6">
        <w:rPr>
          <w:rFonts w:ascii="Times New Roman" w:hAnsi="Times New Roman" w:cs="Times New Roman"/>
          <w:sz w:val="24"/>
          <w:szCs w:val="24"/>
          <w:lang w:val="es-US"/>
        </w:rPr>
        <w:t xml:space="preserve"> niveles de confiabilidad</w:t>
      </w:r>
      <w:r w:rsidR="00746D36">
        <w:rPr>
          <w:rFonts w:ascii="Times New Roman" w:hAnsi="Times New Roman" w:cs="Times New Roman"/>
          <w:sz w:val="24"/>
          <w:szCs w:val="24"/>
        </w:rPr>
        <w:t xml:space="preserve">mediante el alfa de </w:t>
      </w:r>
      <w:proofErr w:type="spellStart"/>
      <w:r w:rsidR="00746D36">
        <w:rPr>
          <w:rFonts w:ascii="Times New Roman" w:hAnsi="Times New Roman" w:cs="Times New Roman"/>
          <w:sz w:val="24"/>
          <w:szCs w:val="24"/>
        </w:rPr>
        <w:t>Cronbach</w:t>
      </w:r>
      <w:proofErr w:type="spellEnd"/>
      <w:r w:rsidR="00746D36">
        <w:rPr>
          <w:rFonts w:ascii="Times New Roman" w:hAnsi="Times New Roman" w:cs="Times New Roman"/>
          <w:sz w:val="24"/>
          <w:szCs w:val="24"/>
        </w:rPr>
        <w:t>.  Se describió el conocimiento sobre la demencia en los profesionales de la salud.</w:t>
      </w:r>
    </w:p>
    <w:p w:rsidR="00746D36" w:rsidRPr="00746D36" w:rsidRDefault="008A1C16" w:rsidP="00746D36">
      <w:pPr>
        <w:pStyle w:val="Prrafodelista"/>
        <w:numPr>
          <w:ilvl w:val="0"/>
          <w:numId w:val="1"/>
        </w:numPr>
        <w:spacing w:after="0" w:line="360" w:lineRule="auto"/>
        <w:jc w:val="both"/>
        <w:rPr>
          <w:rFonts w:ascii="Times New Roman" w:hAnsi="Times New Roman" w:cs="Times New Roman"/>
          <w:b/>
          <w:sz w:val="24"/>
          <w:szCs w:val="24"/>
        </w:rPr>
      </w:pPr>
      <w:r w:rsidRPr="00746D36">
        <w:rPr>
          <w:rFonts w:ascii="Times New Roman" w:hAnsi="Times New Roman" w:cs="Times New Roman"/>
          <w:b/>
          <w:sz w:val="24"/>
          <w:szCs w:val="24"/>
        </w:rPr>
        <w:t>Resultados y discusión:</w:t>
      </w:r>
      <w:r w:rsidR="00746D36" w:rsidRPr="00746D36">
        <w:rPr>
          <w:rFonts w:ascii="Times New Roman" w:hAnsi="Times New Roman" w:cs="Times New Roman"/>
          <w:sz w:val="24"/>
          <w:szCs w:val="24"/>
        </w:rPr>
        <w:t xml:space="preserve"> </w:t>
      </w:r>
      <w:r w:rsidR="00746D36" w:rsidRPr="00746D36">
        <w:rPr>
          <w:rFonts w:ascii="Times New Roman" w:hAnsi="Times New Roman" w:cs="Times New Roman"/>
          <w:bCs/>
          <w:color w:val="000000"/>
          <w:sz w:val="24"/>
          <w:szCs w:val="24"/>
        </w:rPr>
        <w:t>Se obtuvo un modelo de escala unidimensional, eliminándose</w:t>
      </w:r>
      <w:r w:rsidR="00746D36" w:rsidRPr="00746D36">
        <w:rPr>
          <w:rFonts w:ascii="Times New Roman" w:hAnsi="Times New Roman" w:cs="Times New Roman"/>
          <w:sz w:val="24"/>
          <w:szCs w:val="24"/>
        </w:rPr>
        <w:t xml:space="preserve">5 ítems. La dimensión explica una cifra significativa de la varianza explicada (6.60) con un alfa de </w:t>
      </w:r>
      <w:proofErr w:type="spellStart"/>
      <w:r w:rsidR="00746D36" w:rsidRPr="00746D36">
        <w:rPr>
          <w:rFonts w:ascii="Times New Roman" w:hAnsi="Times New Roman" w:cs="Times New Roman"/>
          <w:sz w:val="24"/>
          <w:szCs w:val="24"/>
        </w:rPr>
        <w:t>Cronbach</w:t>
      </w:r>
      <w:proofErr w:type="spellEnd"/>
      <w:r w:rsidR="00746D36" w:rsidRPr="00746D36">
        <w:rPr>
          <w:rFonts w:ascii="Times New Roman" w:hAnsi="Times New Roman" w:cs="Times New Roman"/>
          <w:sz w:val="24"/>
          <w:szCs w:val="24"/>
        </w:rPr>
        <w:t xml:space="preserve"> de .89.  El 45.5% del total de la muestra de médicos poseen un nivel medio de conocimiento, 22.6% un conocimiento alto sobre esta patología y el 31.6% restante, presentan un nivel bajo de conocimiento.</w:t>
      </w:r>
    </w:p>
    <w:p w:rsidR="008A1C16" w:rsidRPr="00746D36" w:rsidRDefault="008A1C16" w:rsidP="00746D36">
      <w:pPr>
        <w:pStyle w:val="Prrafodelista"/>
        <w:numPr>
          <w:ilvl w:val="0"/>
          <w:numId w:val="1"/>
        </w:numPr>
        <w:spacing w:after="0" w:line="360" w:lineRule="auto"/>
        <w:jc w:val="both"/>
        <w:rPr>
          <w:rFonts w:ascii="Times New Roman" w:hAnsi="Times New Roman" w:cs="Times New Roman"/>
          <w:b/>
          <w:sz w:val="24"/>
          <w:szCs w:val="24"/>
        </w:rPr>
      </w:pPr>
      <w:r w:rsidRPr="00746D36">
        <w:rPr>
          <w:rFonts w:ascii="Times New Roman" w:hAnsi="Times New Roman" w:cs="Times New Roman"/>
          <w:b/>
          <w:sz w:val="24"/>
          <w:szCs w:val="24"/>
        </w:rPr>
        <w:t>Conclusiones:</w:t>
      </w:r>
      <w:r w:rsidR="00746D36" w:rsidRPr="00746D36">
        <w:rPr>
          <w:rFonts w:ascii="Times New Roman" w:hAnsi="Times New Roman" w:cs="Times New Roman"/>
          <w:sz w:val="24"/>
          <w:szCs w:val="24"/>
        </w:rPr>
        <w:t xml:space="preserve"> </w:t>
      </w:r>
      <w:r w:rsidR="00746D36" w:rsidRPr="00746D36">
        <w:rPr>
          <w:rFonts w:ascii="TimesNewRoman" w:hAnsi="TimesNewRoman"/>
          <w:bCs/>
          <w:color w:val="000000"/>
          <w:sz w:val="24"/>
          <w:szCs w:val="24"/>
        </w:rPr>
        <w:t>L</w:t>
      </w:r>
      <w:r w:rsidR="00746D36" w:rsidRPr="00746D36">
        <w:rPr>
          <w:rFonts w:ascii="Times New Roman" w:hAnsi="Times New Roman" w:cs="Times New Roman"/>
          <w:sz w:val="24"/>
          <w:szCs w:val="24"/>
        </w:rPr>
        <w:t>a solución de una dimensión</w:t>
      </w:r>
      <w:r w:rsidR="00746D36">
        <w:rPr>
          <w:rFonts w:ascii="Times New Roman" w:hAnsi="Times New Roman" w:cs="Times New Roman"/>
          <w:sz w:val="24"/>
          <w:szCs w:val="24"/>
        </w:rPr>
        <w:t xml:space="preserve"> </w:t>
      </w:r>
      <w:r w:rsidR="00746D36" w:rsidRPr="00746D36">
        <w:rPr>
          <w:rFonts w:ascii="TimesNewRoman" w:hAnsi="TimesNewRoman"/>
          <w:bCs/>
          <w:color w:val="000000"/>
          <w:sz w:val="24"/>
          <w:szCs w:val="24"/>
        </w:rPr>
        <w:t>para el DKAS-</w:t>
      </w:r>
      <w:proofErr w:type="spellStart"/>
      <w:r w:rsidR="00746D36" w:rsidRPr="00746D36">
        <w:rPr>
          <w:rFonts w:ascii="TimesNewRoman" w:hAnsi="TimesNewRoman"/>
          <w:bCs/>
          <w:color w:val="000000"/>
          <w:sz w:val="24"/>
          <w:szCs w:val="24"/>
        </w:rPr>
        <w:t>Sp</w:t>
      </w:r>
      <w:proofErr w:type="spellEnd"/>
      <w:r w:rsidR="00746D36" w:rsidRPr="00746D36">
        <w:rPr>
          <w:rFonts w:ascii="Times New Roman" w:hAnsi="Times New Roman" w:cs="Times New Roman"/>
          <w:sz w:val="24"/>
          <w:szCs w:val="24"/>
        </w:rPr>
        <w:t xml:space="preserve"> se presenta como óptima.  </w:t>
      </w:r>
      <w:r w:rsidR="00746D36" w:rsidRPr="00746D36">
        <w:rPr>
          <w:rFonts w:ascii="TimesNewRoman" w:hAnsi="TimesNewRoman"/>
          <w:color w:val="000000"/>
          <w:sz w:val="24"/>
          <w:szCs w:val="24"/>
        </w:rPr>
        <w:t xml:space="preserve">El instrumento, con un total de 20 ítems, muestra valores adecuados de confiabilidad.  </w:t>
      </w:r>
      <w:r w:rsidR="00746D36" w:rsidRPr="00746D36">
        <w:rPr>
          <w:rFonts w:ascii="TimesNewRoman" w:hAnsi="TimesNewRoman"/>
          <w:color w:val="000000"/>
          <w:sz w:val="24"/>
        </w:rPr>
        <w:t xml:space="preserve">En los profesionales de la salud predomina un nivel medio de conocimientos sobre la demencia. </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746D36" w:rsidRPr="003770B5" w:rsidRDefault="003770B5" w:rsidP="00746D36">
      <w:pPr>
        <w:pStyle w:val="Prrafodelista"/>
        <w:numPr>
          <w:ilvl w:val="0"/>
          <w:numId w:val="10"/>
        </w:numPr>
        <w:spacing w:after="0" w:line="480" w:lineRule="auto"/>
        <w:rPr>
          <w:rFonts w:ascii="Times New Roman" w:hAnsi="Times New Roman" w:cs="Times New Roman"/>
          <w:i/>
          <w:color w:val="000000"/>
          <w:sz w:val="24"/>
          <w:szCs w:val="24"/>
          <w:lang w:val="en-US"/>
        </w:rPr>
      </w:pPr>
      <w:r w:rsidRPr="003770B5">
        <w:rPr>
          <w:rFonts w:ascii="Times New Roman" w:hAnsi="Times New Roman" w:cs="Times New Roman"/>
          <w:b/>
          <w:i/>
          <w:sz w:val="24"/>
          <w:szCs w:val="24"/>
          <w:lang w:val="en-US"/>
        </w:rPr>
        <w:t>Problematic</w:t>
      </w:r>
      <w:r w:rsidR="00746D36" w:rsidRPr="003770B5">
        <w:rPr>
          <w:rFonts w:ascii="Times New Roman" w:hAnsi="Times New Roman" w:cs="Times New Roman"/>
          <w:b/>
          <w:i/>
          <w:sz w:val="24"/>
          <w:szCs w:val="24"/>
          <w:lang w:val="en-US"/>
        </w:rPr>
        <w:t>:</w:t>
      </w:r>
      <w:r w:rsidRPr="003770B5">
        <w:rPr>
          <w:rFonts w:ascii="Times New Roman" w:hAnsi="Times New Roman" w:cs="Times New Roman"/>
          <w:b/>
          <w:i/>
          <w:sz w:val="24"/>
          <w:szCs w:val="24"/>
          <w:lang w:val="en-US"/>
        </w:rPr>
        <w:t xml:space="preserve"> </w:t>
      </w:r>
      <w:r w:rsidR="00746D36" w:rsidRPr="003770B5">
        <w:rPr>
          <w:rFonts w:ascii="Times New Roman" w:hAnsi="Times New Roman" w:cs="Times New Roman"/>
          <w:i/>
          <w:color w:val="000000"/>
          <w:sz w:val="24"/>
          <w:szCs w:val="24"/>
          <w:lang w:val="en-US"/>
        </w:rPr>
        <w:t>Dementia knowledge constitutes the first step in order that health professionals guarantee the attention and disease prevention.  Reliable instruments prove to be indispensable to evaluate the knowledge on dementia in the health professionals.  Nevertheless, the existence of an instrument for this purpose does not get registered in our country.</w:t>
      </w:r>
    </w:p>
    <w:p w:rsidR="00746D36" w:rsidRPr="003770B5" w:rsidRDefault="00746D36" w:rsidP="00746D36">
      <w:pPr>
        <w:pStyle w:val="APAnivel2"/>
        <w:numPr>
          <w:ilvl w:val="0"/>
          <w:numId w:val="10"/>
        </w:numPr>
        <w:rPr>
          <w:b w:val="0"/>
          <w:i/>
        </w:rPr>
      </w:pPr>
      <w:r w:rsidRPr="003770B5">
        <w:rPr>
          <w:i/>
        </w:rPr>
        <w:t>Objective:</w:t>
      </w:r>
      <w:r w:rsidR="003770B5" w:rsidRPr="003770B5">
        <w:rPr>
          <w:i/>
        </w:rPr>
        <w:t xml:space="preserve"> </w:t>
      </w:r>
      <w:r w:rsidRPr="003770B5">
        <w:rPr>
          <w:b w:val="0"/>
          <w:i/>
        </w:rPr>
        <w:t xml:space="preserve">To characterize the psychometric properties of </w:t>
      </w:r>
      <w:proofErr w:type="spellStart"/>
      <w:r w:rsidRPr="003770B5">
        <w:rPr>
          <w:b w:val="0"/>
          <w:i/>
        </w:rPr>
        <w:t>Escala</w:t>
      </w:r>
      <w:proofErr w:type="spellEnd"/>
      <w:r w:rsidRPr="003770B5">
        <w:rPr>
          <w:b w:val="0"/>
          <w:i/>
        </w:rPr>
        <w:t xml:space="preserve"> de </w:t>
      </w:r>
      <w:proofErr w:type="spellStart"/>
      <w:r w:rsidRPr="003770B5">
        <w:rPr>
          <w:b w:val="0"/>
          <w:i/>
        </w:rPr>
        <w:t>conocimiento</w:t>
      </w:r>
      <w:proofErr w:type="spellEnd"/>
      <w:r w:rsidR="003770B5" w:rsidRPr="003770B5">
        <w:rPr>
          <w:b w:val="0"/>
          <w:i/>
        </w:rPr>
        <w:t xml:space="preserve"> </w:t>
      </w:r>
      <w:proofErr w:type="spellStart"/>
      <w:r w:rsidRPr="003770B5">
        <w:rPr>
          <w:b w:val="0"/>
          <w:i/>
        </w:rPr>
        <w:t>sobre</w:t>
      </w:r>
      <w:proofErr w:type="spellEnd"/>
      <w:r w:rsidR="003770B5">
        <w:rPr>
          <w:b w:val="0"/>
          <w:i/>
        </w:rPr>
        <w:t xml:space="preserve"> </w:t>
      </w:r>
      <w:proofErr w:type="spellStart"/>
      <w:r w:rsidRPr="003770B5">
        <w:rPr>
          <w:b w:val="0"/>
          <w:i/>
        </w:rPr>
        <w:t>demencia-Sp</w:t>
      </w:r>
      <w:proofErr w:type="spellEnd"/>
      <w:r w:rsidRPr="003770B5">
        <w:rPr>
          <w:b w:val="0"/>
          <w:i/>
        </w:rPr>
        <w:t xml:space="preserve"> (DKAS-</w:t>
      </w:r>
      <w:proofErr w:type="spellStart"/>
      <w:r w:rsidRPr="003770B5">
        <w:rPr>
          <w:b w:val="0"/>
          <w:i/>
        </w:rPr>
        <w:t>Sp</w:t>
      </w:r>
      <w:proofErr w:type="spellEnd"/>
      <w:r w:rsidRPr="003770B5">
        <w:rPr>
          <w:b w:val="0"/>
          <w:i/>
        </w:rPr>
        <w:t>).</w:t>
      </w:r>
    </w:p>
    <w:p w:rsidR="00746D36" w:rsidRPr="003770B5" w:rsidRDefault="00746D36" w:rsidP="00746D36">
      <w:pPr>
        <w:pStyle w:val="APAnivel2"/>
        <w:numPr>
          <w:ilvl w:val="0"/>
          <w:numId w:val="10"/>
        </w:numPr>
        <w:rPr>
          <w:b w:val="0"/>
          <w:i/>
        </w:rPr>
      </w:pPr>
      <w:r w:rsidRPr="003770B5">
        <w:rPr>
          <w:i/>
        </w:rPr>
        <w:lastRenderedPageBreak/>
        <w:t xml:space="preserve">Methods: </w:t>
      </w:r>
      <w:r w:rsidRPr="003770B5">
        <w:rPr>
          <w:b w:val="0"/>
          <w:i/>
        </w:rPr>
        <w:t>An</w:t>
      </w:r>
      <w:r w:rsidR="003770B5">
        <w:rPr>
          <w:b w:val="0"/>
          <w:i/>
        </w:rPr>
        <w:t xml:space="preserve"> </w:t>
      </w:r>
      <w:r w:rsidRPr="003770B5">
        <w:rPr>
          <w:b w:val="0"/>
          <w:i/>
        </w:rPr>
        <w:t xml:space="preserve">empirical quantitative study was conducted, specifically an instrumental study.  Sample was </w:t>
      </w:r>
      <w:proofErr w:type="spellStart"/>
      <w:r w:rsidRPr="003770B5">
        <w:rPr>
          <w:b w:val="0"/>
          <w:i/>
        </w:rPr>
        <w:t>aleatory</w:t>
      </w:r>
      <w:proofErr w:type="spellEnd"/>
      <w:r w:rsidRPr="003770B5">
        <w:rPr>
          <w:b w:val="0"/>
          <w:i/>
        </w:rPr>
        <w:t xml:space="preserve"> and probabilistic, it</w:t>
      </w:r>
      <w:r w:rsidRPr="003770B5">
        <w:rPr>
          <w:rFonts w:ascii="TimesNewRoman" w:hAnsi="TimesNewRoman" w:cs="TimesNewRoman"/>
          <w:b w:val="0"/>
          <w:i/>
          <w:color w:val="000000"/>
        </w:rPr>
        <w:t xml:space="preserve"> comprised 358 health professionals of primary care.  Categorical Principal Component Analysis (CATPCA) was employed to establish the factorial structure of DKAS-Sp.  Reliability was determined by </w:t>
      </w:r>
      <w:proofErr w:type="spellStart"/>
      <w:r w:rsidRPr="003770B5">
        <w:rPr>
          <w:rFonts w:ascii="TimesNewRoman" w:hAnsi="TimesNewRoman" w:cs="TimesNewRoman"/>
          <w:b w:val="0"/>
          <w:i/>
          <w:color w:val="000000"/>
        </w:rPr>
        <w:t>Cronbach´s</w:t>
      </w:r>
      <w:proofErr w:type="spellEnd"/>
      <w:r w:rsidRPr="003770B5">
        <w:rPr>
          <w:rFonts w:ascii="TimesNewRoman" w:hAnsi="TimesNewRoman" w:cs="TimesNewRoman"/>
          <w:b w:val="0"/>
          <w:i/>
          <w:color w:val="000000"/>
        </w:rPr>
        <w:t xml:space="preserve"> Alpha.  Dementia knowledge on health professionals was also described.</w:t>
      </w:r>
    </w:p>
    <w:p w:rsidR="00746D36" w:rsidRPr="003770B5" w:rsidRDefault="00746D36" w:rsidP="00746D36">
      <w:pPr>
        <w:pStyle w:val="Prrafodelista"/>
        <w:numPr>
          <w:ilvl w:val="0"/>
          <w:numId w:val="10"/>
        </w:numPr>
        <w:spacing w:after="0" w:line="480" w:lineRule="auto"/>
        <w:rPr>
          <w:rFonts w:ascii="Times New Roman" w:hAnsi="Times New Roman" w:cs="Times New Roman"/>
          <w:i/>
          <w:sz w:val="24"/>
          <w:szCs w:val="24"/>
          <w:lang w:val="en-US"/>
        </w:rPr>
      </w:pPr>
      <w:r w:rsidRPr="003770B5">
        <w:rPr>
          <w:rFonts w:ascii="Times New Roman" w:hAnsi="Times New Roman" w:cs="Times New Roman"/>
          <w:b/>
          <w:i/>
          <w:sz w:val="24"/>
          <w:szCs w:val="24"/>
          <w:lang w:val="en-US"/>
        </w:rPr>
        <w:t>Results:</w:t>
      </w:r>
      <w:r w:rsidR="003770B5">
        <w:rPr>
          <w:rFonts w:ascii="Times New Roman" w:hAnsi="Times New Roman" w:cs="Times New Roman"/>
          <w:b/>
          <w:i/>
          <w:sz w:val="24"/>
          <w:szCs w:val="24"/>
          <w:lang w:val="en-US"/>
        </w:rPr>
        <w:t xml:space="preserve"> </w:t>
      </w:r>
      <w:r w:rsidRPr="003770B5">
        <w:rPr>
          <w:rFonts w:ascii="Times New Roman" w:hAnsi="Times New Roman" w:cs="Times New Roman"/>
          <w:i/>
          <w:sz w:val="24"/>
          <w:szCs w:val="24"/>
          <w:lang w:val="en-US"/>
        </w:rPr>
        <w:t xml:space="preserve">A total of 5 items were removed during the CATPCA.  The scale fitted in a </w:t>
      </w:r>
      <w:r w:rsidRPr="003770B5">
        <w:rPr>
          <w:rFonts w:ascii="Times New Roman" w:hAnsi="Times New Roman" w:cs="Times New Roman"/>
          <w:i/>
          <w:color w:val="000000"/>
          <w:sz w:val="24"/>
          <w:szCs w:val="24"/>
          <w:lang w:val="en-US"/>
        </w:rPr>
        <w:t xml:space="preserve">one-dimension scale model.  The only dimension explains a significant number of the explained variance (6.60) and the </w:t>
      </w:r>
      <w:proofErr w:type="spellStart"/>
      <w:r w:rsidRPr="003770B5">
        <w:rPr>
          <w:rFonts w:ascii="Times New Roman" w:hAnsi="Times New Roman" w:cs="Times New Roman"/>
          <w:i/>
          <w:color w:val="000000"/>
          <w:sz w:val="24"/>
          <w:szCs w:val="24"/>
          <w:lang w:val="en-US"/>
        </w:rPr>
        <w:t>Cronbach’s</w:t>
      </w:r>
      <w:proofErr w:type="spellEnd"/>
      <w:r w:rsidRPr="003770B5">
        <w:rPr>
          <w:rFonts w:ascii="Times New Roman" w:hAnsi="Times New Roman" w:cs="Times New Roman"/>
          <w:i/>
          <w:color w:val="000000"/>
          <w:sz w:val="24"/>
          <w:szCs w:val="24"/>
          <w:lang w:val="en-US"/>
        </w:rPr>
        <w:t xml:space="preserve"> coefficient alpha was .89. In sample, 45.5% of professional have a middle level of dementia knowledge, while only the 22.6 % has high level.  It is an alarming fact the </w:t>
      </w:r>
      <w:r w:rsidRPr="003770B5">
        <w:rPr>
          <w:rFonts w:ascii="Times New Roman" w:hAnsi="Times New Roman" w:cs="Times New Roman"/>
          <w:i/>
          <w:sz w:val="24"/>
          <w:szCs w:val="24"/>
          <w:lang w:val="en-US"/>
        </w:rPr>
        <w:t>31.6%</w:t>
      </w:r>
      <w:r w:rsidRPr="003770B5">
        <w:rPr>
          <w:rFonts w:ascii="Times New Roman" w:hAnsi="Times New Roman" w:cs="Times New Roman"/>
          <w:i/>
          <w:color w:val="000000"/>
          <w:sz w:val="24"/>
          <w:szCs w:val="24"/>
          <w:lang w:val="en-US"/>
        </w:rPr>
        <w:t>showed</w:t>
      </w:r>
      <w:r w:rsidRPr="003770B5">
        <w:rPr>
          <w:rFonts w:ascii="Times New Roman" w:hAnsi="Times New Roman" w:cs="Times New Roman"/>
          <w:i/>
          <w:sz w:val="24"/>
          <w:szCs w:val="24"/>
          <w:lang w:val="en-US"/>
        </w:rPr>
        <w:t xml:space="preserve"> low level of dementia knowledge. </w:t>
      </w:r>
    </w:p>
    <w:p w:rsidR="00746D36" w:rsidRPr="003770B5" w:rsidRDefault="00746D36" w:rsidP="00971DB0">
      <w:pPr>
        <w:pStyle w:val="Prrafodelista"/>
        <w:numPr>
          <w:ilvl w:val="0"/>
          <w:numId w:val="10"/>
        </w:numPr>
        <w:spacing w:after="0" w:line="360" w:lineRule="auto"/>
        <w:rPr>
          <w:rFonts w:ascii="Times New Roman" w:hAnsi="Times New Roman" w:cs="Times New Roman"/>
          <w:i/>
          <w:color w:val="000000"/>
          <w:sz w:val="24"/>
          <w:szCs w:val="24"/>
          <w:lang w:val="en-US"/>
        </w:rPr>
      </w:pPr>
      <w:r w:rsidRPr="003770B5">
        <w:rPr>
          <w:rFonts w:ascii="Times New Roman" w:hAnsi="Times New Roman" w:cs="Times New Roman"/>
          <w:b/>
          <w:i/>
          <w:sz w:val="24"/>
          <w:szCs w:val="24"/>
          <w:lang w:val="en-US"/>
        </w:rPr>
        <w:t>Conclusions</w:t>
      </w:r>
      <w:r w:rsidRPr="003770B5">
        <w:rPr>
          <w:rFonts w:ascii="Times New Roman" w:hAnsi="Times New Roman" w:cs="Times New Roman"/>
          <w:i/>
          <w:sz w:val="24"/>
          <w:szCs w:val="24"/>
          <w:lang w:val="en-US"/>
        </w:rPr>
        <w:t xml:space="preserve">: The </w:t>
      </w:r>
      <w:r w:rsidRPr="003770B5">
        <w:rPr>
          <w:rFonts w:ascii="Times New Roman" w:hAnsi="Times New Roman" w:cs="Times New Roman"/>
          <w:i/>
          <w:color w:val="000000"/>
          <w:sz w:val="24"/>
          <w:szCs w:val="24"/>
          <w:lang w:val="en-US"/>
        </w:rPr>
        <w:t xml:space="preserve">one-dimension model was the optimal solution for the scale.  The 20 items scale </w:t>
      </w:r>
      <w:r w:rsidRPr="003770B5">
        <w:rPr>
          <w:rFonts w:ascii="TimesNewRoman" w:hAnsi="TimesNewRoman" w:cs="TimesNewRoman"/>
          <w:i/>
          <w:color w:val="000000"/>
          <w:sz w:val="24"/>
          <w:szCs w:val="24"/>
          <w:lang w:val="en-US"/>
        </w:rPr>
        <w:t>show adequate reliability values.  A</w:t>
      </w:r>
      <w:r w:rsidR="003770B5">
        <w:rPr>
          <w:rFonts w:ascii="TimesNewRoman" w:hAnsi="TimesNewRoman" w:cs="TimesNewRoman"/>
          <w:i/>
          <w:color w:val="000000"/>
          <w:sz w:val="24"/>
          <w:szCs w:val="24"/>
          <w:lang w:val="en-US"/>
        </w:rPr>
        <w:t xml:space="preserve"> </w:t>
      </w:r>
      <w:r w:rsidRPr="003770B5">
        <w:rPr>
          <w:rFonts w:ascii="TimesNewRoman" w:hAnsi="TimesNewRoman" w:cs="TimesNewRoman"/>
          <w:i/>
          <w:color w:val="000000"/>
          <w:sz w:val="24"/>
          <w:szCs w:val="24"/>
          <w:lang w:val="en-US"/>
        </w:rPr>
        <w:t>middle level of dementia knowledge prevails over the health professionals.</w:t>
      </w:r>
    </w:p>
    <w:p w:rsidR="009061A5" w:rsidRPr="009B0D54" w:rsidRDefault="009061A5" w:rsidP="00971DB0">
      <w:pPr>
        <w:spacing w:after="0" w:line="360" w:lineRule="auto"/>
        <w:jc w:val="both"/>
        <w:rPr>
          <w:rFonts w:ascii="Times New Roman" w:hAnsi="Times New Roman" w:cs="Times New Roman"/>
          <w:sz w:val="24"/>
          <w:szCs w:val="24"/>
          <w:lang w:val="en-US"/>
        </w:rPr>
      </w:pPr>
    </w:p>
    <w:p w:rsidR="009061A5" w:rsidRDefault="009061A5" w:rsidP="00971DB0">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3770B5">
        <w:rPr>
          <w:rFonts w:ascii="TimesNewRoman" w:hAnsi="TimesNewRoman"/>
          <w:bCs/>
          <w:sz w:val="24"/>
          <w:szCs w:val="24"/>
        </w:rPr>
        <w:t>Conocimiento sobre Demencia; Personal de Salud; DKAS; Propiedades P</w:t>
      </w:r>
      <w:r w:rsidR="003770B5" w:rsidRPr="00903EB9">
        <w:rPr>
          <w:rFonts w:ascii="TimesNewRoman" w:hAnsi="TimesNewRoman"/>
          <w:bCs/>
          <w:sz w:val="24"/>
          <w:szCs w:val="24"/>
        </w:rPr>
        <w:t>sicométricas</w:t>
      </w:r>
      <w:r w:rsidR="003770B5">
        <w:rPr>
          <w:rFonts w:ascii="TimesNewRoman" w:hAnsi="TimesNewRoman"/>
          <w:bCs/>
          <w:sz w:val="24"/>
          <w:szCs w:val="24"/>
        </w:rPr>
        <w:t>.</w:t>
      </w:r>
      <w:r w:rsidR="003770B5">
        <w:rPr>
          <w:rFonts w:ascii="Times New Roman" w:hAnsi="Times New Roman" w:cs="Times New Roman"/>
          <w:sz w:val="24"/>
          <w:szCs w:val="24"/>
        </w:rPr>
        <w:t xml:space="preserve"> </w:t>
      </w:r>
    </w:p>
    <w:p w:rsidR="009061A5" w:rsidRDefault="009061A5" w:rsidP="00971DB0">
      <w:pPr>
        <w:spacing w:after="0" w:line="360" w:lineRule="auto"/>
        <w:jc w:val="both"/>
        <w:rPr>
          <w:rFonts w:ascii="Times New Roman" w:hAnsi="Times New Roman" w:cs="Times New Roman"/>
          <w:sz w:val="24"/>
          <w:szCs w:val="24"/>
        </w:rPr>
      </w:pPr>
    </w:p>
    <w:p w:rsidR="009061A5" w:rsidRPr="009B0D54" w:rsidRDefault="009061A5" w:rsidP="00971DB0">
      <w:pPr>
        <w:spacing w:after="0" w:line="360" w:lineRule="auto"/>
        <w:jc w:val="both"/>
        <w:rPr>
          <w:rFonts w:ascii="Times New Roman" w:hAnsi="Times New Roman" w:cs="Times New Roman"/>
          <w:sz w:val="24"/>
          <w:szCs w:val="24"/>
          <w:lang w:val="en-US"/>
        </w:rPr>
      </w:pPr>
      <w:r w:rsidRPr="009B0D54">
        <w:rPr>
          <w:rFonts w:ascii="Times New Roman" w:hAnsi="Times New Roman" w:cs="Times New Roman"/>
          <w:b/>
          <w:i/>
          <w:sz w:val="24"/>
          <w:szCs w:val="24"/>
          <w:lang w:val="en-US"/>
        </w:rPr>
        <w:t>Keywords:</w:t>
      </w:r>
      <w:r w:rsidR="003770B5" w:rsidRPr="009B0D54">
        <w:rPr>
          <w:rFonts w:ascii="Times New Roman" w:hAnsi="Times New Roman" w:cs="Times New Roman"/>
          <w:sz w:val="24"/>
          <w:szCs w:val="24"/>
          <w:lang w:val="en-US"/>
        </w:rPr>
        <w:t xml:space="preserve"> </w:t>
      </w:r>
      <w:r w:rsidR="003770B5" w:rsidRPr="003770B5">
        <w:rPr>
          <w:rFonts w:ascii="Times New Roman" w:hAnsi="Times New Roman" w:cs="Times New Roman"/>
          <w:i/>
          <w:sz w:val="24"/>
          <w:szCs w:val="24"/>
          <w:lang w:val="en-US"/>
        </w:rPr>
        <w:t xml:space="preserve">Dementia </w:t>
      </w:r>
      <w:proofErr w:type="spellStart"/>
      <w:r w:rsidR="003770B5" w:rsidRPr="003770B5">
        <w:rPr>
          <w:rFonts w:ascii="Times New Roman" w:hAnsi="Times New Roman" w:cs="Times New Roman"/>
          <w:i/>
          <w:sz w:val="24"/>
          <w:szCs w:val="24"/>
          <w:lang w:val="en-US"/>
        </w:rPr>
        <w:t>Kknowledge</w:t>
      </w:r>
      <w:proofErr w:type="spellEnd"/>
      <w:r w:rsidR="003770B5" w:rsidRPr="003770B5">
        <w:rPr>
          <w:rFonts w:ascii="Times New Roman" w:hAnsi="Times New Roman" w:cs="Times New Roman"/>
          <w:i/>
          <w:sz w:val="24"/>
          <w:szCs w:val="24"/>
          <w:lang w:val="en-US"/>
        </w:rPr>
        <w:t>; Health Professionals; DKAS-</w:t>
      </w:r>
      <w:proofErr w:type="spellStart"/>
      <w:r w:rsidR="003770B5" w:rsidRPr="003770B5">
        <w:rPr>
          <w:rFonts w:ascii="Times New Roman" w:hAnsi="Times New Roman" w:cs="Times New Roman"/>
          <w:i/>
          <w:sz w:val="24"/>
          <w:szCs w:val="24"/>
          <w:lang w:val="en-US"/>
        </w:rPr>
        <w:t>Sp</w:t>
      </w:r>
      <w:proofErr w:type="spellEnd"/>
      <w:r w:rsidR="003770B5" w:rsidRPr="003770B5">
        <w:rPr>
          <w:rFonts w:ascii="Times New Roman" w:hAnsi="Times New Roman" w:cs="Times New Roman"/>
          <w:i/>
          <w:sz w:val="24"/>
          <w:szCs w:val="24"/>
          <w:lang w:val="en-US"/>
        </w:rPr>
        <w:t>; Psychometric Properties.</w:t>
      </w:r>
    </w:p>
    <w:p w:rsidR="00A21A1F" w:rsidRPr="009B0D54" w:rsidRDefault="00A21A1F" w:rsidP="00FF3346">
      <w:pPr>
        <w:spacing w:after="0" w:line="360" w:lineRule="auto"/>
        <w:jc w:val="both"/>
        <w:rPr>
          <w:rFonts w:ascii="Times New Roman" w:hAnsi="Times New Roman" w:cs="Times New Roman"/>
          <w:sz w:val="24"/>
          <w:szCs w:val="24"/>
          <w:lang w:val="en-US"/>
        </w:rPr>
      </w:pPr>
    </w:p>
    <w:p w:rsidR="00A21A1F" w:rsidRPr="003770B5" w:rsidRDefault="00A21A1F" w:rsidP="003770B5">
      <w:pPr>
        <w:pStyle w:val="Prrafodelista"/>
        <w:numPr>
          <w:ilvl w:val="0"/>
          <w:numId w:val="9"/>
        </w:numPr>
        <w:spacing w:after="0" w:line="360" w:lineRule="auto"/>
        <w:jc w:val="both"/>
        <w:rPr>
          <w:rFonts w:ascii="Times New Roman" w:hAnsi="Times New Roman" w:cs="Times New Roman"/>
          <w:b/>
          <w:sz w:val="24"/>
          <w:szCs w:val="24"/>
        </w:rPr>
      </w:pPr>
      <w:r w:rsidRPr="003770B5">
        <w:rPr>
          <w:rFonts w:ascii="Times New Roman" w:hAnsi="Times New Roman" w:cs="Times New Roman"/>
          <w:b/>
          <w:sz w:val="24"/>
          <w:szCs w:val="24"/>
        </w:rPr>
        <w:t>Introducción</w:t>
      </w:r>
    </w:p>
    <w:p w:rsidR="003B6C5C" w:rsidRPr="003770B5" w:rsidRDefault="003B6C5C" w:rsidP="003770B5">
      <w:pPr>
        <w:spacing w:after="0" w:line="360" w:lineRule="auto"/>
        <w:ind w:firstLine="720"/>
        <w:jc w:val="both"/>
        <w:rPr>
          <w:rFonts w:ascii="Times New Roman" w:eastAsia="Times New Roman" w:hAnsi="Times New Roman" w:cs="Times New Roman"/>
          <w:sz w:val="24"/>
          <w:szCs w:val="24"/>
          <w:lang w:eastAsia="es-ES"/>
        </w:rPr>
      </w:pPr>
      <w:r w:rsidRPr="003770B5">
        <w:rPr>
          <w:rFonts w:ascii="Times New Roman" w:hAnsi="Times New Roman" w:cs="Times New Roman"/>
          <w:sz w:val="24"/>
          <w:szCs w:val="24"/>
        </w:rPr>
        <w:t>El envejecimiento poblacional</w:t>
      </w:r>
      <w:r w:rsidRPr="003770B5">
        <w:rPr>
          <w:rStyle w:val="Refdecomentario"/>
          <w:rFonts w:ascii="Times New Roman" w:hAnsi="Times New Roman" w:cs="Times New Roman"/>
          <w:sz w:val="24"/>
          <w:szCs w:val="24"/>
        </w:rPr>
        <w:t xml:space="preserve"> es </w:t>
      </w:r>
      <w:r w:rsidRPr="003770B5">
        <w:rPr>
          <w:rFonts w:ascii="Times New Roman" w:hAnsi="Times New Roman" w:cs="Times New Roman"/>
          <w:sz w:val="24"/>
          <w:szCs w:val="24"/>
        </w:rPr>
        <w:t>una característica sociodemográfica de la sociedad actual; siendo resultado de la disminución de los nacimientos y el aumento de la esperanza de vida, variables que repercuten directamente en dicho fenómeno</w:t>
      </w:r>
    </w:p>
    <w:p w:rsidR="00267499" w:rsidRPr="003770B5" w:rsidRDefault="003B6C5C" w:rsidP="003770B5">
      <w:pPr>
        <w:spacing w:after="0" w:line="360" w:lineRule="auto"/>
        <w:ind w:firstLine="720"/>
        <w:jc w:val="both"/>
        <w:rPr>
          <w:rFonts w:ascii="Times New Roman" w:hAnsi="Times New Roman" w:cs="Times New Roman"/>
          <w:sz w:val="24"/>
          <w:szCs w:val="24"/>
          <w:lang w:val="es-US"/>
        </w:rPr>
      </w:pPr>
      <w:r w:rsidRPr="003770B5">
        <w:rPr>
          <w:rFonts w:ascii="Times New Roman" w:hAnsi="Times New Roman" w:cs="Times New Roman"/>
          <w:color w:val="000000"/>
          <w:sz w:val="24"/>
          <w:szCs w:val="24"/>
        </w:rPr>
        <w:t xml:space="preserve">Específicamente, en el continente americano, de acuerdo con la Organización Panamericana de la Salud (OPS) la esperanza de vida en el último medio siglo, se ha </w:t>
      </w:r>
      <w:r w:rsidRPr="003770B5">
        <w:rPr>
          <w:rFonts w:ascii="Times New Roman" w:hAnsi="Times New Roman" w:cs="Times New Roman"/>
          <w:color w:val="000000"/>
          <w:sz w:val="24"/>
          <w:szCs w:val="24"/>
        </w:rPr>
        <w:lastRenderedPageBreak/>
        <w:t>incrementado en más de 20 años.  La Asociación Internacional para la Enfermedad de</w:t>
      </w:r>
      <w:r w:rsidRPr="003770B5">
        <w:rPr>
          <w:rFonts w:ascii="Times New Roman" w:hAnsi="Times New Roman" w:cs="Times New Roman"/>
          <w:color w:val="000000"/>
          <w:sz w:val="24"/>
          <w:szCs w:val="24"/>
        </w:rPr>
        <w:br/>
        <w:t xml:space="preserve">Alzheimer (ADI, por sus siglas en inglés) pronosticó en su reporte anual que, en el 2020 en América habrá más de 200 millones de adultos mayores y de ellos la mitad viven en Latinoamérica y el Caribe </w:t>
      </w:r>
      <w:r w:rsidRPr="003770B5">
        <w:rPr>
          <w:rFonts w:ascii="Times New Roman" w:hAnsi="Times New Roman" w:cs="Times New Roman"/>
          <w:color w:val="000000"/>
          <w:sz w:val="24"/>
          <w:szCs w:val="24"/>
        </w:rPr>
        <w:fldChar w:fldCharType="begin"/>
      </w:r>
      <w:r w:rsidRPr="003770B5">
        <w:rPr>
          <w:rFonts w:ascii="Times New Roman" w:hAnsi="Times New Roman" w:cs="Times New Roman"/>
          <w:color w:val="000000"/>
          <w:sz w:val="24"/>
          <w:szCs w:val="24"/>
        </w:rPr>
        <w:instrText xml:space="preserve"> ADDIN EN.CITE &lt;EndNote&gt;&lt;Cite&gt;&lt;Author&gt;Informe ADI/Bupa&lt;/Author&gt;&lt;Year&gt;2013&lt;/Year&gt;&lt;RecNum&gt;77&lt;/RecNum&gt;&lt;DisplayText&gt;(Informe ADI/Bupa, 2013)&lt;/DisplayText&gt;&lt;record&gt;&lt;rec-number&gt;77&lt;/rec-number&gt;&lt;foreign-keys&gt;&lt;key app="EN" db-id="5rvpf2da7ssvs8e5ww1pz9tp5tdttsdwvfzv" timestamp="0"&gt;77&lt;/key&gt;&lt;/foreign-keys&gt;&lt;ref-type name="Thesis"&gt;32&lt;/ref-type&gt;&lt;contributors&gt;&lt;authors&gt;&lt;author&gt;Informe ADI/Bupa, &lt;/author&gt;&lt;/authors&gt;&lt;/contributors&gt;&lt;titles&gt;&lt;title&gt;La demencia en América: El coste y la prevalencia del Alzheimer y otros tipos de demencia&lt;/title&gt;&lt;/titles&gt;&lt;dates&gt;&lt;year&gt;2013&lt;/year&gt;&lt;/dates&gt;&lt;pub-location&gt;London: Alzheimer´s Disease International&lt;/pub-location&gt;&lt;urls&gt;&lt;related-urls&gt;&lt;url&gt;https://www.alz.co.uk/sites/default/files/pdfs/dementia-in-the-americasSPANISH.pdf 18-12-2017&lt;/url&gt;&lt;/related-urls&gt;&lt;/urls&gt;&lt;/record&gt;&lt;/Cite&gt;&lt;/EndNote&gt;</w:instrText>
      </w:r>
      <w:r w:rsidRPr="003770B5">
        <w:rPr>
          <w:rFonts w:ascii="Times New Roman" w:hAnsi="Times New Roman" w:cs="Times New Roman"/>
          <w:color w:val="000000"/>
          <w:sz w:val="24"/>
          <w:szCs w:val="24"/>
        </w:rPr>
        <w:fldChar w:fldCharType="separate"/>
      </w:r>
      <w:r w:rsidRPr="003770B5">
        <w:rPr>
          <w:rFonts w:ascii="Times New Roman" w:hAnsi="Times New Roman" w:cs="Times New Roman"/>
          <w:noProof/>
          <w:color w:val="000000"/>
          <w:sz w:val="24"/>
          <w:szCs w:val="24"/>
        </w:rPr>
        <w:t>(</w:t>
      </w:r>
      <w:hyperlink w:anchor="_ENREF_40" w:tooltip="Informe ADI/Bupa, 2013 #77" w:history="1">
        <w:r w:rsidRPr="003770B5">
          <w:rPr>
            <w:rFonts w:ascii="Times New Roman" w:hAnsi="Times New Roman" w:cs="Times New Roman"/>
            <w:noProof/>
            <w:color w:val="000000"/>
            <w:sz w:val="24"/>
            <w:szCs w:val="24"/>
          </w:rPr>
          <w:t>Informe ADI/Bupa, 2013</w:t>
        </w:r>
      </w:hyperlink>
      <w:r w:rsidRPr="003770B5">
        <w:rPr>
          <w:rFonts w:ascii="Times New Roman" w:hAnsi="Times New Roman" w:cs="Times New Roman"/>
          <w:noProof/>
          <w:color w:val="000000"/>
          <w:sz w:val="24"/>
          <w:szCs w:val="24"/>
        </w:rPr>
        <w:t>)</w:t>
      </w:r>
      <w:r w:rsidRPr="003770B5">
        <w:rPr>
          <w:rFonts w:ascii="Times New Roman" w:hAnsi="Times New Roman" w:cs="Times New Roman"/>
          <w:color w:val="000000"/>
          <w:sz w:val="24"/>
          <w:szCs w:val="24"/>
        </w:rPr>
        <w:fldChar w:fldCharType="end"/>
      </w:r>
      <w:r w:rsidRPr="003770B5">
        <w:rPr>
          <w:rFonts w:ascii="Times New Roman" w:hAnsi="Times New Roman" w:cs="Times New Roman"/>
          <w:sz w:val="24"/>
          <w:szCs w:val="24"/>
          <w:lang w:val="es-US"/>
        </w:rPr>
        <w:t xml:space="preserve">.  </w:t>
      </w:r>
    </w:p>
    <w:p w:rsidR="003B6C5C" w:rsidRPr="003770B5" w:rsidRDefault="003B6C5C" w:rsidP="003770B5">
      <w:pPr>
        <w:spacing w:after="0" w:line="360" w:lineRule="auto"/>
        <w:ind w:firstLine="720"/>
        <w:jc w:val="both"/>
        <w:rPr>
          <w:rFonts w:ascii="Times New Roman" w:hAnsi="Times New Roman" w:cs="Times New Roman"/>
          <w:sz w:val="24"/>
          <w:szCs w:val="24"/>
          <w:lang w:eastAsia="es-ES"/>
        </w:rPr>
      </w:pPr>
      <w:r w:rsidRPr="003770B5">
        <w:rPr>
          <w:rFonts w:ascii="Times New Roman" w:hAnsi="Times New Roman" w:cs="Times New Roman"/>
          <w:sz w:val="24"/>
          <w:szCs w:val="24"/>
          <w:lang w:val="es-US"/>
        </w:rPr>
        <w:t xml:space="preserve">En el caso de Cuba la esperanza de vida al nacer supera actualmente los 77 años, por lo que las estimaciones para el 2025, plantearon que el 25% de la población general tendrá 60 años o más.  Las razones anteriores permiten considerar a Cuba como el país con mayor proporción de adultos mayores en Latinoamérica </w:t>
      </w:r>
      <w:r w:rsidRPr="003770B5">
        <w:rPr>
          <w:rFonts w:ascii="Times New Roman" w:hAnsi="Times New Roman" w:cs="Times New Roman"/>
          <w:sz w:val="24"/>
          <w:szCs w:val="24"/>
          <w:lang w:val="es-US"/>
        </w:rPr>
        <w:fldChar w:fldCharType="begin"/>
      </w:r>
      <w:r w:rsidRPr="003770B5">
        <w:rPr>
          <w:rFonts w:ascii="Times New Roman" w:hAnsi="Times New Roman" w:cs="Times New Roman"/>
          <w:sz w:val="24"/>
          <w:szCs w:val="24"/>
          <w:lang w:val="es-US"/>
        </w:rPr>
        <w:instrText xml:space="preserve"> ADDIN EN.CITE &lt;EndNote&gt;&lt;Cite&gt;&lt;Author&gt;Bayard&lt;/Author&gt;&lt;Year&gt;2019&lt;/Year&gt;&lt;RecNum&gt;23&lt;/RecNum&gt;&lt;DisplayText&gt;(Bayard et al., 2019)&lt;/DisplayText&gt;&lt;record&gt;&lt;rec-number&gt;23&lt;/rec-number&gt;&lt;foreign-keys&gt;&lt;key app="EN" db-id="5rvpf2da7ssvs8e5ww1pz9tp5tdttsdwvfzv" timestamp="0"&gt;23&lt;/key&gt;&lt;/foreign-keys&gt;&lt;ref-type name="Journal Article"&gt;17&lt;/ref-type&gt;&lt;contributors&gt;&lt;authors&gt;&lt;author&gt;Bayard, R.B.&lt;/author&gt;&lt;author&gt;Aspiazú, M.B.&lt;/author&gt;&lt;author&gt;Llerena, T.&lt;/author&gt;&lt;author&gt;Ulloan, E.H.&lt;/author&gt;&lt;author&gt;Orihuela, L.B.&lt;/author&gt;&lt;author&gt;Azcuy, O.H.&lt;/author&gt;&lt;/authors&gt;&lt;/contributors&gt;&lt;titles&gt;&lt;title&gt;Percepción del estudiante de Medicina de la forma en que recibe el conocimiento sobre la demencia&lt;/title&gt;&lt;secondary-title&gt;Panorama. Cuba y Salud &lt;/secondary-title&gt;&lt;/titles&gt;&lt;pages&gt;6-11&lt;/pages&gt;&lt;volume&gt;14&lt;/volume&gt;&lt;number&gt;1&lt;/number&gt;&lt;dates&gt;&lt;year&gt;2019&lt;/year&gt;&lt;/dates&gt;&lt;urls&gt;&lt;/urls&gt;&lt;electronic-resource-num&gt;1991-2684, RNPS: 2136&lt;/electronic-resource-num&gt;&lt;/record&gt;&lt;/Cite&gt;&lt;/EndNote&gt;</w:instrText>
      </w:r>
      <w:r w:rsidRPr="003770B5">
        <w:rPr>
          <w:rFonts w:ascii="Times New Roman" w:hAnsi="Times New Roman" w:cs="Times New Roman"/>
          <w:sz w:val="24"/>
          <w:szCs w:val="24"/>
          <w:lang w:val="es-US"/>
        </w:rPr>
        <w:fldChar w:fldCharType="separate"/>
      </w:r>
      <w:r w:rsidRPr="003770B5">
        <w:rPr>
          <w:rFonts w:ascii="Times New Roman" w:hAnsi="Times New Roman" w:cs="Times New Roman"/>
          <w:noProof/>
          <w:sz w:val="24"/>
          <w:szCs w:val="24"/>
          <w:lang w:val="es-US"/>
        </w:rPr>
        <w:t>(</w:t>
      </w:r>
      <w:hyperlink w:anchor="_ENREF_11" w:tooltip="Bayard, 2019 #23" w:history="1">
        <w:r w:rsidRPr="003770B5">
          <w:rPr>
            <w:rFonts w:ascii="Times New Roman" w:hAnsi="Times New Roman" w:cs="Times New Roman"/>
            <w:noProof/>
            <w:sz w:val="24"/>
            <w:szCs w:val="24"/>
            <w:lang w:val="es-US"/>
          </w:rPr>
          <w:t>Bayard et al., 2019</w:t>
        </w:r>
      </w:hyperlink>
      <w:r w:rsidRPr="003770B5">
        <w:rPr>
          <w:rFonts w:ascii="Times New Roman" w:hAnsi="Times New Roman" w:cs="Times New Roman"/>
          <w:noProof/>
          <w:sz w:val="24"/>
          <w:szCs w:val="24"/>
          <w:lang w:val="es-US"/>
        </w:rPr>
        <w:t>)</w:t>
      </w:r>
      <w:r w:rsidRPr="003770B5">
        <w:rPr>
          <w:rFonts w:ascii="Times New Roman" w:hAnsi="Times New Roman" w:cs="Times New Roman"/>
          <w:sz w:val="24"/>
          <w:szCs w:val="24"/>
          <w:lang w:val="es-US"/>
        </w:rPr>
        <w:fldChar w:fldCharType="end"/>
      </w:r>
      <w:r w:rsidRPr="003770B5">
        <w:rPr>
          <w:rFonts w:ascii="Times New Roman" w:hAnsi="Times New Roman" w:cs="Times New Roman"/>
          <w:sz w:val="24"/>
          <w:szCs w:val="24"/>
          <w:lang w:val="es-US"/>
        </w:rPr>
        <w:t xml:space="preserve">.  La Oficina Nacional de Estadísticas e Información (ONEI) ubica a la provincia de Villa Clara como una de las más envejecidas de país, representando un grado de envejecimiento de 22.8% </w:t>
      </w:r>
      <w:r w:rsidRPr="003770B5">
        <w:rPr>
          <w:rFonts w:ascii="Times New Roman" w:hAnsi="Times New Roman" w:cs="Times New Roman"/>
          <w:sz w:val="24"/>
          <w:szCs w:val="24"/>
          <w:lang w:val="es-US"/>
        </w:rPr>
        <w:fldChar w:fldCharType="begin"/>
      </w:r>
      <w:r w:rsidRPr="003770B5">
        <w:rPr>
          <w:rFonts w:ascii="Times New Roman" w:hAnsi="Times New Roman" w:cs="Times New Roman"/>
          <w:sz w:val="24"/>
          <w:szCs w:val="24"/>
          <w:lang w:val="es-US"/>
        </w:rPr>
        <w:instrText xml:space="preserve"> ADDIN EN.CITE &lt;EndNote&gt;&lt;Cite&gt;&lt;Author&gt;ONEI&lt;/Author&gt;&lt;Year&gt;2016&lt;/Year&gt;&lt;RecNum&gt;79&lt;/RecNum&gt;&lt;DisplayText&gt;(ONEI, 2016a)&lt;/DisplayText&gt;&lt;record&gt;&lt;rec-number&gt;79&lt;/rec-number&gt;&lt;foreign-keys&gt;&lt;key app="EN" db-id="5rvpf2da7ssvs8e5ww1pz9tp5tdttsdwvfzv" timestamp="0"&gt;79&lt;/key&gt;&lt;/foreign-keys&gt;&lt;ref-type name="Report"&gt;27&lt;/ref-type&gt;&lt;contributors&gt;&lt;authors&gt;&lt;author&gt;ONEI&lt;/author&gt;&lt;/authors&gt;&lt;/contributors&gt;&lt;titles&gt;&lt;title&gt;Anuario Demográfico de Cuba, 2015&lt;/title&gt;&lt;/titles&gt;&lt;pages&gt;37&lt;/pages&gt;&lt;dates&gt;&lt;year&gt;2016&lt;/year&gt;&lt;/dates&gt;&lt;publisher&gt;Centro de Estudios de Población y Desarrollo, CEPDE&lt;/publisher&gt;&lt;urls&gt;&lt;/urls&gt;&lt;/record&gt;&lt;/Cite&gt;&lt;/EndNote&gt;</w:instrText>
      </w:r>
      <w:r w:rsidRPr="003770B5">
        <w:rPr>
          <w:rFonts w:ascii="Times New Roman" w:hAnsi="Times New Roman" w:cs="Times New Roman"/>
          <w:sz w:val="24"/>
          <w:szCs w:val="24"/>
          <w:lang w:val="es-US"/>
        </w:rPr>
        <w:fldChar w:fldCharType="separate"/>
      </w:r>
      <w:r w:rsidRPr="003770B5">
        <w:rPr>
          <w:rFonts w:ascii="Times New Roman" w:hAnsi="Times New Roman" w:cs="Times New Roman"/>
          <w:noProof/>
          <w:sz w:val="24"/>
          <w:szCs w:val="24"/>
          <w:lang w:val="es-US"/>
        </w:rPr>
        <w:t>(</w:t>
      </w:r>
      <w:hyperlink w:anchor="_ENREF_57" w:tooltip="ONEI, 2016 #79" w:history="1">
        <w:r w:rsidRPr="003770B5">
          <w:rPr>
            <w:rFonts w:ascii="Times New Roman" w:hAnsi="Times New Roman" w:cs="Times New Roman"/>
            <w:noProof/>
            <w:sz w:val="24"/>
            <w:szCs w:val="24"/>
            <w:lang w:val="es-US"/>
          </w:rPr>
          <w:t>ONEI, 2016a</w:t>
        </w:r>
      </w:hyperlink>
      <w:r w:rsidRPr="003770B5">
        <w:rPr>
          <w:rFonts w:ascii="Times New Roman" w:hAnsi="Times New Roman" w:cs="Times New Roman"/>
          <w:noProof/>
          <w:sz w:val="24"/>
          <w:szCs w:val="24"/>
          <w:lang w:val="es-US"/>
        </w:rPr>
        <w:t>)</w:t>
      </w:r>
      <w:r w:rsidRPr="003770B5">
        <w:rPr>
          <w:rFonts w:ascii="Times New Roman" w:hAnsi="Times New Roman" w:cs="Times New Roman"/>
          <w:sz w:val="24"/>
          <w:szCs w:val="24"/>
          <w:lang w:val="es-US"/>
        </w:rPr>
        <w:fldChar w:fldCharType="end"/>
      </w:r>
      <w:r w:rsidRPr="003770B5">
        <w:rPr>
          <w:rFonts w:ascii="Times New Roman" w:hAnsi="Times New Roman" w:cs="Times New Roman"/>
          <w:sz w:val="24"/>
          <w:szCs w:val="24"/>
          <w:lang w:val="es-US"/>
        </w:rPr>
        <w:t xml:space="preserve">.  En el </w:t>
      </w:r>
      <w:r w:rsidRPr="003770B5">
        <w:rPr>
          <w:rFonts w:ascii="Times New Roman" w:hAnsi="Times New Roman" w:cs="Times New Roman"/>
          <w:sz w:val="24"/>
          <w:szCs w:val="24"/>
          <w:lang w:eastAsia="es-ES"/>
        </w:rPr>
        <w:t xml:space="preserve">Anuario Estadístico de esta provincia se plantea además que de 791300 habitantes, 179847 tiene 60 años o más, representando el 22.7% respecto a la población total </w:t>
      </w:r>
      <w:r w:rsidRPr="003770B5">
        <w:rPr>
          <w:rFonts w:ascii="Times New Roman" w:hAnsi="Times New Roman" w:cs="Times New Roman"/>
          <w:sz w:val="24"/>
          <w:szCs w:val="24"/>
          <w:lang w:eastAsia="es-ES"/>
        </w:rPr>
        <w:fldChar w:fldCharType="begin"/>
      </w:r>
      <w:r w:rsidRPr="003770B5">
        <w:rPr>
          <w:rFonts w:ascii="Times New Roman" w:hAnsi="Times New Roman" w:cs="Times New Roman"/>
          <w:sz w:val="24"/>
          <w:szCs w:val="24"/>
          <w:lang w:eastAsia="es-ES"/>
        </w:rPr>
        <w:instrText xml:space="preserve"> ADDIN EN.CITE &lt;EndNote&gt;&lt;Cite&gt;&lt;Author&gt;ONEI&lt;/Author&gt;&lt;Year&gt;2016&lt;/Year&gt;&lt;RecNum&gt;80&lt;/RecNum&gt;&lt;DisplayText&gt;(ONEI, 2016b)&lt;/DisplayText&gt;&lt;record&gt;&lt;rec-number&gt;80&lt;/rec-number&gt;&lt;foreign-keys&gt;&lt;key app="EN" db-id="5rvpf2da7ssvs8e5ww1pz9tp5tdttsdwvfzv" timestamp="0"&gt;80&lt;/key&gt;&lt;/foreign-keys&gt;&lt;ref-type name="Report"&gt;27&lt;/ref-type&gt;&lt;contributors&gt;&lt;authors&gt;&lt;author&gt;ONEI&lt;/author&gt;&lt;/authors&gt;&lt;/contributors&gt;&lt;titles&gt;&lt;title&gt;Anuario Estadístico de Villa Clara&lt;/title&gt;&lt;/titles&gt;&lt;pages&gt;8&lt;/pages&gt;&lt;volume&gt;Capítulo 3: Población&lt;/volume&gt;&lt;dates&gt;&lt;year&gt;2016&lt;/year&gt;&lt;/dates&gt;&lt;urls&gt;&lt;/urls&gt;&lt;/record&gt;&lt;/Cite&gt;&lt;/EndNote&gt;</w:instrText>
      </w:r>
      <w:r w:rsidRPr="003770B5">
        <w:rPr>
          <w:rFonts w:ascii="Times New Roman" w:hAnsi="Times New Roman" w:cs="Times New Roman"/>
          <w:sz w:val="24"/>
          <w:szCs w:val="24"/>
          <w:lang w:eastAsia="es-ES"/>
        </w:rPr>
        <w:fldChar w:fldCharType="separate"/>
      </w:r>
      <w:r w:rsidRPr="003770B5">
        <w:rPr>
          <w:rFonts w:ascii="Times New Roman" w:hAnsi="Times New Roman" w:cs="Times New Roman"/>
          <w:noProof/>
          <w:sz w:val="24"/>
          <w:szCs w:val="24"/>
          <w:lang w:eastAsia="es-ES"/>
        </w:rPr>
        <w:t>(</w:t>
      </w:r>
      <w:hyperlink w:anchor="_ENREF_58" w:tooltip="ONEI, 2016 #80" w:history="1">
        <w:r w:rsidRPr="003770B5">
          <w:rPr>
            <w:rFonts w:ascii="Times New Roman" w:hAnsi="Times New Roman" w:cs="Times New Roman"/>
            <w:noProof/>
            <w:sz w:val="24"/>
            <w:szCs w:val="24"/>
            <w:lang w:eastAsia="es-ES"/>
          </w:rPr>
          <w:t>ONEI, 2016b</w:t>
        </w:r>
      </w:hyperlink>
      <w:r w:rsidRPr="003770B5">
        <w:rPr>
          <w:rFonts w:ascii="Times New Roman" w:hAnsi="Times New Roman" w:cs="Times New Roman"/>
          <w:noProof/>
          <w:sz w:val="24"/>
          <w:szCs w:val="24"/>
          <w:lang w:eastAsia="es-ES"/>
        </w:rPr>
        <w:t>)</w:t>
      </w:r>
      <w:r w:rsidRPr="003770B5">
        <w:rPr>
          <w:rFonts w:ascii="Times New Roman" w:hAnsi="Times New Roman" w:cs="Times New Roman"/>
          <w:sz w:val="24"/>
          <w:szCs w:val="24"/>
          <w:lang w:eastAsia="es-ES"/>
        </w:rPr>
        <w:fldChar w:fldCharType="end"/>
      </w:r>
      <w:r w:rsidRPr="003770B5">
        <w:rPr>
          <w:rFonts w:ascii="Times New Roman" w:hAnsi="Times New Roman" w:cs="Times New Roman"/>
          <w:sz w:val="24"/>
          <w:szCs w:val="24"/>
          <w:lang w:eastAsia="es-ES"/>
        </w:rPr>
        <w:t>, resultando cifras significativas.</w:t>
      </w:r>
    </w:p>
    <w:p w:rsidR="003B6C5C" w:rsidRPr="003770B5" w:rsidRDefault="003B6C5C" w:rsidP="003770B5">
      <w:pPr>
        <w:spacing w:after="0" w:line="360" w:lineRule="auto"/>
        <w:ind w:firstLine="720"/>
        <w:jc w:val="both"/>
        <w:rPr>
          <w:rFonts w:ascii="Times New Roman" w:hAnsi="Times New Roman" w:cs="Times New Roman"/>
          <w:sz w:val="24"/>
          <w:szCs w:val="24"/>
          <w:lang w:val="es-US"/>
        </w:rPr>
      </w:pPr>
      <w:r w:rsidRPr="003770B5">
        <w:rPr>
          <w:rFonts w:ascii="Times New Roman" w:hAnsi="Times New Roman" w:cs="Times New Roman"/>
          <w:sz w:val="24"/>
          <w:szCs w:val="24"/>
        </w:rPr>
        <w:t xml:space="preserve">El envejecimiento por sí mismo no constituye un problema de salud, aunque si puede coexistir con un grupo de enfermedades crónicas y degenerativas, así como una serie de limitaciones funcionales.  Dentro de las primeras se destaca, por su incidencia y repercusión, la demencia </w:t>
      </w:r>
      <w:r w:rsidRPr="003770B5">
        <w:rPr>
          <w:rFonts w:ascii="Times New Roman" w:hAnsi="Times New Roman" w:cs="Times New Roman"/>
          <w:noProof/>
          <w:sz w:val="24"/>
          <w:szCs w:val="24"/>
        </w:rPr>
        <w:fldChar w:fldCharType="begin"/>
      </w:r>
      <w:r w:rsidRPr="003770B5">
        <w:rPr>
          <w:rFonts w:ascii="Times New Roman" w:hAnsi="Times New Roman" w:cs="Times New Roman"/>
          <w:noProof/>
          <w:sz w:val="24"/>
          <w:szCs w:val="24"/>
        </w:rPr>
        <w:instrText xml:space="preserve"> ADDIN EN.CITE &lt;EndNote&gt;&lt;Cite&gt;&lt;Author&gt;Velásquez-Rodríguez&lt;/Author&gt;&lt;Year&gt;2011&lt;/Year&gt;&lt;RecNum&gt;67&lt;/RecNum&gt;&lt;DisplayText&gt;(Velásquez-Rodríguez, 2011)&lt;/DisplayText&gt;&lt;record&gt;&lt;rec-number&gt;67&lt;/rec-number&gt;&lt;foreign-keys&gt;&lt;key app="EN" db-id="5rvpf2da7ssvs8e5ww1pz9tp5tdttsdwvfzv" timestamp="0"&gt;67&lt;/key&gt;&lt;/foreign-keys&gt;&lt;ref-type name="Thesis"&gt;32&lt;/ref-type&gt;&lt;contributors&gt;&lt;authors&gt;&lt;author&gt;Velásquez-Rodríguez, C.J.&lt;/author&gt;&lt;/authors&gt;&lt;/contributors&gt;&lt;titles&gt;&lt;title&gt;Prevalencia de demencia y factores asocciados en adultos mayores de la ciudad de La Paz, la Paz &lt;/title&gt;&lt;secondary-title&gt;Facultad de Ciencias Medicas UNAH &lt;/secondary-title&gt;&lt;/titles&gt;&lt;pages&gt;49&lt;/pages&gt;&lt;volume&gt;Publicado&lt;/volume&gt;&lt;dates&gt;&lt;year&gt;2011&lt;/year&gt;&lt;/dates&gt;&lt;pub-location&gt;Honduras&lt;/pub-location&gt;&lt;publisher&gt;Universidad Nacional Autónoma de Honduras&lt;/publisher&gt;&lt;urls&gt;&lt;/urls&gt;&lt;/record&gt;&lt;/Cite&gt;&lt;/EndNote&gt;</w:instrText>
      </w:r>
      <w:r w:rsidRPr="003770B5">
        <w:rPr>
          <w:rFonts w:ascii="Times New Roman" w:hAnsi="Times New Roman" w:cs="Times New Roman"/>
          <w:noProof/>
          <w:sz w:val="24"/>
          <w:szCs w:val="24"/>
        </w:rPr>
        <w:fldChar w:fldCharType="separate"/>
      </w:r>
      <w:r w:rsidRPr="003770B5">
        <w:rPr>
          <w:rFonts w:ascii="Times New Roman" w:hAnsi="Times New Roman" w:cs="Times New Roman"/>
          <w:noProof/>
          <w:sz w:val="24"/>
          <w:szCs w:val="24"/>
        </w:rPr>
        <w:t>(</w:t>
      </w:r>
      <w:hyperlink w:anchor="_ENREF_74" w:tooltip="Velásquez-Rodríguez, 2011 #67" w:history="1">
        <w:r w:rsidRPr="003770B5">
          <w:rPr>
            <w:rFonts w:ascii="Times New Roman" w:hAnsi="Times New Roman" w:cs="Times New Roman"/>
            <w:noProof/>
            <w:sz w:val="24"/>
            <w:szCs w:val="24"/>
          </w:rPr>
          <w:t>Velásquez-Rodríguez, 2011</w:t>
        </w:r>
      </w:hyperlink>
      <w:r w:rsidRPr="003770B5">
        <w:rPr>
          <w:rFonts w:ascii="Times New Roman" w:hAnsi="Times New Roman" w:cs="Times New Roman"/>
          <w:noProof/>
          <w:sz w:val="24"/>
          <w:szCs w:val="24"/>
        </w:rPr>
        <w:t>)</w:t>
      </w:r>
      <w:r w:rsidRPr="003770B5">
        <w:rPr>
          <w:rFonts w:ascii="Times New Roman" w:hAnsi="Times New Roman" w:cs="Times New Roman"/>
          <w:noProof/>
          <w:sz w:val="24"/>
          <w:szCs w:val="24"/>
        </w:rPr>
        <w:fldChar w:fldCharType="end"/>
      </w:r>
      <w:r w:rsidRPr="003770B5">
        <w:rPr>
          <w:rFonts w:ascii="Times New Roman" w:hAnsi="Times New Roman" w:cs="Times New Roman"/>
          <w:noProof/>
          <w:sz w:val="24"/>
          <w:szCs w:val="24"/>
        </w:rPr>
        <w:t>.</w:t>
      </w:r>
    </w:p>
    <w:p w:rsidR="003B6C5C" w:rsidRPr="003770B5" w:rsidRDefault="003B6C5C" w:rsidP="003770B5">
      <w:pPr>
        <w:spacing w:after="0" w:line="360" w:lineRule="auto"/>
        <w:ind w:firstLine="720"/>
        <w:jc w:val="both"/>
        <w:rPr>
          <w:rFonts w:ascii="Times New Roman" w:hAnsi="Times New Roman" w:cs="Times New Roman"/>
          <w:color w:val="000000"/>
          <w:sz w:val="24"/>
          <w:szCs w:val="24"/>
        </w:rPr>
      </w:pPr>
      <w:r w:rsidRPr="003770B5">
        <w:rPr>
          <w:rFonts w:ascii="Times New Roman" w:hAnsi="Times New Roman" w:cs="Times New Roman"/>
          <w:color w:val="000000"/>
          <w:sz w:val="24"/>
          <w:szCs w:val="24"/>
        </w:rPr>
        <w:t xml:space="preserve">En la provincia de Villa Clara también se reconoce la incidencia de la demencia, específicamente de la enfermedad de Alzheimer.  En uno de sus municipios Santa Clara, en un estudio del síndrome demencial realizado en el 2010, se confirmó la prevalencia de la demencia (7.1 %) y se encontró, como causa principal, la enfermedad de Alzheimer (56.7 %), seguida de las demencias vasculares.  También se identificó un grupo importante de pacientes con trastornos cognitivos (5.4 %), en riesgo de desarrollar una demencia </w:t>
      </w:r>
      <w:r w:rsidRPr="003770B5">
        <w:rPr>
          <w:rFonts w:ascii="Times New Roman" w:hAnsi="Times New Roman" w:cs="Times New Roman"/>
          <w:color w:val="000000"/>
          <w:sz w:val="24"/>
          <w:szCs w:val="24"/>
        </w:rPr>
        <w:fldChar w:fldCharType="begin"/>
      </w:r>
      <w:r w:rsidRPr="003770B5">
        <w:rPr>
          <w:rFonts w:ascii="Times New Roman" w:hAnsi="Times New Roman" w:cs="Times New Roman"/>
          <w:color w:val="000000"/>
          <w:sz w:val="24"/>
          <w:szCs w:val="24"/>
        </w:rPr>
        <w:instrText xml:space="preserve"> ADDIN EN.CITE &lt;EndNote&gt;&lt;Cite&gt;&lt;Author&gt;Benítez&lt;/Author&gt;&lt;Year&gt;2015&lt;/Year&gt;&lt;RecNum&gt;21&lt;/RecNum&gt;&lt;DisplayText&gt;(Benítez &amp;amp; Guevara de León, 2015)&lt;/DisplayText&gt;&lt;record&gt;&lt;rec-number&gt;21&lt;/rec-number&gt;&lt;foreign-keys&gt;&lt;key app="EN" db-id="5rvpf2da7ssvs8e5ww1pz9tp5tdttsdwvfzv" timestamp="0"&gt;21&lt;/key&gt;&lt;/foreign-keys&gt;&lt;ref-type name="Journal Article"&gt;17&lt;/ref-type&gt;&lt;contributors&gt;&lt;authors&gt;&lt;author&gt;Benítez, M.S&lt;/author&gt;&lt;author&gt;Guevara de León, T.&lt;/author&gt;&lt;/authors&gt;&lt;/contributors&gt;&lt;titles&gt;&lt;title&gt;Síndrome demencial en adultos mayores&lt;/title&gt;&lt;secondary-title&gt;Medicent Electrón.&lt;/secondary-title&gt;&lt;/titles&gt;&lt;volume&gt;19(3)&lt;/volume&gt;&lt;dates&gt;&lt;year&gt;2015&lt;/year&gt;&lt;pub-dates&gt;&lt;date&gt;jul.-sep&lt;/date&gt;&lt;/pub-dates&gt;&lt;/dates&gt;&lt;urls&gt;&lt;/urls&gt;&lt;/record&gt;&lt;/Cite&gt;&lt;/EndNote&gt;</w:instrText>
      </w:r>
      <w:r w:rsidRPr="003770B5">
        <w:rPr>
          <w:rFonts w:ascii="Times New Roman" w:hAnsi="Times New Roman" w:cs="Times New Roman"/>
          <w:color w:val="000000"/>
          <w:sz w:val="24"/>
          <w:szCs w:val="24"/>
        </w:rPr>
        <w:fldChar w:fldCharType="separate"/>
      </w:r>
      <w:r w:rsidRPr="003770B5">
        <w:rPr>
          <w:rFonts w:ascii="Times New Roman" w:hAnsi="Times New Roman" w:cs="Times New Roman"/>
          <w:noProof/>
          <w:color w:val="000000"/>
          <w:sz w:val="24"/>
          <w:szCs w:val="24"/>
        </w:rPr>
        <w:t>(</w:t>
      </w:r>
      <w:hyperlink w:anchor="_ENREF_14" w:tooltip="Benítez, 2015 #21" w:history="1">
        <w:r w:rsidRPr="003770B5">
          <w:rPr>
            <w:rFonts w:ascii="Times New Roman" w:hAnsi="Times New Roman" w:cs="Times New Roman"/>
            <w:noProof/>
            <w:color w:val="000000"/>
            <w:sz w:val="24"/>
            <w:szCs w:val="24"/>
          </w:rPr>
          <w:t>Benítez &amp; Guevara de León, 2015</w:t>
        </w:r>
      </w:hyperlink>
      <w:r w:rsidRPr="003770B5">
        <w:rPr>
          <w:rFonts w:ascii="Times New Roman" w:hAnsi="Times New Roman" w:cs="Times New Roman"/>
          <w:noProof/>
          <w:color w:val="000000"/>
          <w:sz w:val="24"/>
          <w:szCs w:val="24"/>
        </w:rPr>
        <w:t>)</w:t>
      </w:r>
      <w:r w:rsidRPr="003770B5">
        <w:rPr>
          <w:rFonts w:ascii="Times New Roman" w:hAnsi="Times New Roman" w:cs="Times New Roman"/>
          <w:color w:val="000000"/>
          <w:sz w:val="24"/>
          <w:szCs w:val="24"/>
        </w:rPr>
        <w:fldChar w:fldCharType="end"/>
      </w:r>
      <w:r w:rsidRPr="003770B5">
        <w:rPr>
          <w:rFonts w:ascii="Times New Roman" w:hAnsi="Times New Roman" w:cs="Times New Roman"/>
          <w:color w:val="000000"/>
          <w:sz w:val="24"/>
          <w:szCs w:val="24"/>
        </w:rPr>
        <w:t>.</w:t>
      </w:r>
    </w:p>
    <w:p w:rsidR="003B6C5C" w:rsidRPr="003770B5" w:rsidRDefault="003B6C5C" w:rsidP="003770B5">
      <w:pPr>
        <w:spacing w:after="0" w:line="360" w:lineRule="auto"/>
        <w:ind w:firstLine="720"/>
        <w:jc w:val="both"/>
        <w:rPr>
          <w:rFonts w:ascii="Times New Roman" w:hAnsi="Times New Roman" w:cs="Times New Roman"/>
          <w:color w:val="000000"/>
          <w:sz w:val="24"/>
          <w:szCs w:val="24"/>
        </w:rPr>
      </w:pPr>
      <w:r w:rsidRPr="003770B5">
        <w:rPr>
          <w:rFonts w:ascii="Times New Roman" w:hAnsi="Times New Roman" w:cs="Times New Roman"/>
          <w:color w:val="000000" w:themeColor="text1"/>
          <w:sz w:val="24"/>
          <w:szCs w:val="24"/>
        </w:rPr>
        <w:t xml:space="preserve">A partir de estos datos la preocupación de la comunidad científica ha ido en aumento.  En este sentido se ha evidenciado por parte de organizaciones internacionales, la necesidad de desarrollar </w:t>
      </w:r>
      <w:r w:rsidRPr="003770B5">
        <w:rPr>
          <w:rFonts w:ascii="Times New Roman" w:eastAsia="Times New Roman" w:hAnsi="Times New Roman" w:cs="Times New Roman"/>
          <w:color w:val="000000" w:themeColor="text1"/>
          <w:sz w:val="24"/>
          <w:szCs w:val="24"/>
          <w:lang w:eastAsia="es-ES"/>
        </w:rPr>
        <w:t xml:space="preserve">estrategias globales para un mejor diagnóstico, compensación, tratamientos, intervenciones </w:t>
      </w:r>
      <w:proofErr w:type="spellStart"/>
      <w:r w:rsidRPr="003770B5">
        <w:rPr>
          <w:rFonts w:ascii="Times New Roman" w:eastAsia="Times New Roman" w:hAnsi="Times New Roman" w:cs="Times New Roman"/>
          <w:color w:val="000000" w:themeColor="text1"/>
          <w:sz w:val="24"/>
          <w:szCs w:val="24"/>
          <w:lang w:eastAsia="es-ES"/>
        </w:rPr>
        <w:t>neurocognitivas</w:t>
      </w:r>
      <w:proofErr w:type="spellEnd"/>
      <w:r w:rsidRPr="003770B5">
        <w:rPr>
          <w:rFonts w:ascii="Times New Roman" w:eastAsia="Times New Roman" w:hAnsi="Times New Roman" w:cs="Times New Roman"/>
          <w:color w:val="000000" w:themeColor="text1"/>
          <w:sz w:val="24"/>
          <w:szCs w:val="24"/>
          <w:lang w:eastAsia="es-ES"/>
        </w:rPr>
        <w:t xml:space="preserve"> y prevención de esta enfermedad.</w:t>
      </w:r>
    </w:p>
    <w:p w:rsidR="003B6C5C" w:rsidRPr="003770B5" w:rsidRDefault="003B6C5C" w:rsidP="003770B5">
      <w:pPr>
        <w:spacing w:after="0" w:line="360" w:lineRule="auto"/>
        <w:ind w:firstLine="720"/>
        <w:jc w:val="both"/>
        <w:rPr>
          <w:rFonts w:ascii="Times New Roman" w:eastAsia="Times New Roman" w:hAnsi="Times New Roman" w:cs="Times New Roman"/>
          <w:bCs/>
          <w:sz w:val="24"/>
          <w:szCs w:val="24"/>
          <w:lang w:eastAsia="es-ES"/>
        </w:rPr>
      </w:pPr>
      <w:r w:rsidRPr="003770B5">
        <w:rPr>
          <w:rFonts w:ascii="Times New Roman" w:eastAsia="Times New Roman" w:hAnsi="Times New Roman" w:cs="Times New Roman"/>
          <w:sz w:val="24"/>
          <w:szCs w:val="24"/>
          <w:lang w:eastAsia="es-ES"/>
        </w:rPr>
        <w:t>Como parte de la respuesta que ha dado Cuba a este llamado internacional, se ha desarrollado la Estrategia Nacional de Demencia</w:t>
      </w:r>
      <w:r w:rsidRPr="003770B5">
        <w:rPr>
          <w:rFonts w:ascii="Times New Roman" w:eastAsia="Times New Roman" w:hAnsi="Times New Roman" w:cs="Times New Roman"/>
          <w:bCs/>
          <w:sz w:val="24"/>
          <w:szCs w:val="24"/>
          <w:lang w:eastAsia="es-ES"/>
        </w:rPr>
        <w:t xml:space="preserve">, una de sus líneas fundamentales se orienta hacia la necesidad de lograr </w:t>
      </w:r>
      <w:r w:rsidRPr="003770B5">
        <w:rPr>
          <w:rFonts w:ascii="Times New Roman" w:eastAsia="Times New Roman" w:hAnsi="Times New Roman" w:cs="Times New Roman"/>
          <w:sz w:val="24"/>
          <w:szCs w:val="24"/>
          <w:lang w:eastAsia="es-ES"/>
        </w:rPr>
        <w:t xml:space="preserve">la detección temprana y el tratamiento </w:t>
      </w:r>
      <w:r w:rsidRPr="003770B5">
        <w:rPr>
          <w:rFonts w:ascii="Times New Roman" w:eastAsia="Times New Roman" w:hAnsi="Times New Roman" w:cs="Times New Roman"/>
          <w:sz w:val="24"/>
          <w:szCs w:val="24"/>
          <w:lang w:eastAsia="es-ES"/>
        </w:rPr>
        <w:lastRenderedPageBreak/>
        <w:t>interdisciplinario de la demencia a través de periódicos chequeos a los adultos mayores, el control de enfermedades crónicas no transmisibles y la rehabilitación integral y mental, mediante actividades sociales y estimulación cognitiva, todo ello como parte de los objetivos del personal de salud desde la atención primaria</w:t>
      </w:r>
      <w:r w:rsidR="00267499" w:rsidRPr="003770B5">
        <w:rPr>
          <w:rFonts w:ascii="Times New Roman" w:eastAsia="Times New Roman" w:hAnsi="Times New Roman" w:cs="Times New Roman"/>
          <w:sz w:val="24"/>
          <w:szCs w:val="24"/>
          <w:lang w:eastAsia="es-ES"/>
        </w:rPr>
        <w:t xml:space="preserve"> </w:t>
      </w:r>
      <w:r w:rsidRPr="003770B5">
        <w:rPr>
          <w:rFonts w:ascii="Times New Roman" w:eastAsia="Times New Roman" w:hAnsi="Times New Roman" w:cs="Times New Roman"/>
          <w:sz w:val="24"/>
          <w:szCs w:val="24"/>
          <w:lang w:eastAsia="es-ES"/>
        </w:rPr>
        <w:fldChar w:fldCharType="begin"/>
      </w:r>
      <w:r w:rsidRPr="003770B5">
        <w:rPr>
          <w:rFonts w:ascii="Times New Roman" w:eastAsia="Times New Roman" w:hAnsi="Times New Roman" w:cs="Times New Roman"/>
          <w:sz w:val="24"/>
          <w:szCs w:val="24"/>
          <w:lang w:eastAsia="es-ES"/>
        </w:rPr>
        <w:instrText xml:space="preserve"> ADDIN EN.CITE &lt;EndNote&gt;&lt;Cite&gt;&lt;Author&gt;Bayard&lt;/Author&gt;&lt;Year&gt;2016&lt;/Year&gt;&lt;RecNum&gt;48&lt;/RecNum&gt;&lt;DisplayText&gt;(Bayard et al., 2016)&lt;/DisplayText&gt;&lt;record&gt;&lt;rec-number&gt;48&lt;/rec-number&gt;&lt;foreign-keys&gt;&lt;key app="EN" db-id="5rvpf2da7ssvs8e5ww1pz9tp5tdttsdwvfzv" timestamp="0"&gt;48&lt;/key&gt;&lt;/foreign-keys&gt;&lt;ref-type name="Journal Article"&gt;17&lt;/ref-type&gt;&lt;contributors&gt;&lt;authors&gt;&lt;author&gt;Bayard, R.B.&lt;/author&gt;&lt;author&gt;Llibre, J.&lt;/author&gt;&lt;author&gt;Seco, A.&lt;/author&gt;&lt;author&gt;Calzadilla, C.&lt;/author&gt;&lt;author&gt;García, M. &lt;/author&gt;&lt;author&gt;Llerena, T. &lt;/author&gt;&lt;/authors&gt;&lt;/contributors&gt;&lt;titles&gt;&lt;title&gt;Cuba’s strategy for alzheimer disease and dementia syndromes&lt;/title&gt;&lt;secondary-title&gt;MEDICC Rev&lt;/secondary-title&gt;&lt;/titles&gt;&lt;pages&gt;9-13&lt;/pages&gt;&lt;volume&gt;18&lt;/volume&gt;&lt;number&gt;3&lt;/number&gt;&lt;dates&gt;&lt;year&gt;2016&lt;/year&gt;&lt;/dates&gt;&lt;urls&gt;&lt;/urls&gt;&lt;electronic-resource-num&gt;10.1017/S1041610209009430&lt;/electronic-resource-num&gt;&lt;/record&gt;&lt;/Cite&gt;&lt;/EndNote&gt;</w:instrText>
      </w:r>
      <w:r w:rsidRPr="003770B5">
        <w:rPr>
          <w:rFonts w:ascii="Times New Roman" w:eastAsia="Times New Roman" w:hAnsi="Times New Roman" w:cs="Times New Roman"/>
          <w:sz w:val="24"/>
          <w:szCs w:val="24"/>
          <w:lang w:eastAsia="es-ES"/>
        </w:rPr>
        <w:fldChar w:fldCharType="separate"/>
      </w:r>
      <w:r w:rsidRPr="003770B5">
        <w:rPr>
          <w:rFonts w:ascii="Times New Roman" w:eastAsia="Times New Roman" w:hAnsi="Times New Roman" w:cs="Times New Roman"/>
          <w:noProof/>
          <w:sz w:val="24"/>
          <w:szCs w:val="24"/>
          <w:lang w:eastAsia="es-ES"/>
        </w:rPr>
        <w:t>(</w:t>
      </w:r>
      <w:hyperlink w:anchor="_ENREF_12" w:tooltip="Bayard, 2016 #48" w:history="1">
        <w:r w:rsidRPr="003770B5">
          <w:rPr>
            <w:rFonts w:ascii="Times New Roman" w:eastAsia="Times New Roman" w:hAnsi="Times New Roman" w:cs="Times New Roman"/>
            <w:noProof/>
            <w:sz w:val="24"/>
            <w:szCs w:val="24"/>
            <w:lang w:eastAsia="es-ES"/>
          </w:rPr>
          <w:t>Bayard et al., 2016</w:t>
        </w:r>
      </w:hyperlink>
      <w:r w:rsidRPr="003770B5">
        <w:rPr>
          <w:rFonts w:ascii="Times New Roman" w:eastAsia="Times New Roman" w:hAnsi="Times New Roman" w:cs="Times New Roman"/>
          <w:noProof/>
          <w:sz w:val="24"/>
          <w:szCs w:val="24"/>
          <w:lang w:eastAsia="es-ES"/>
        </w:rPr>
        <w:t>)</w:t>
      </w:r>
      <w:r w:rsidRPr="003770B5">
        <w:rPr>
          <w:rFonts w:ascii="Times New Roman" w:eastAsia="Times New Roman" w:hAnsi="Times New Roman" w:cs="Times New Roman"/>
          <w:sz w:val="24"/>
          <w:szCs w:val="24"/>
          <w:lang w:eastAsia="es-ES"/>
        </w:rPr>
        <w:fldChar w:fldCharType="end"/>
      </w:r>
      <w:r w:rsidRPr="003770B5">
        <w:rPr>
          <w:rFonts w:ascii="Times New Roman" w:eastAsia="Times New Roman" w:hAnsi="Times New Roman" w:cs="Times New Roman"/>
          <w:sz w:val="24"/>
          <w:szCs w:val="24"/>
          <w:lang w:eastAsia="es-ES"/>
        </w:rPr>
        <w:t>.</w:t>
      </w:r>
    </w:p>
    <w:p w:rsidR="003B6C5C" w:rsidRPr="003770B5" w:rsidRDefault="003B6C5C" w:rsidP="003770B5">
      <w:pPr>
        <w:spacing w:after="0" w:line="360" w:lineRule="auto"/>
        <w:ind w:firstLine="720"/>
        <w:jc w:val="both"/>
        <w:rPr>
          <w:rFonts w:ascii="Times New Roman" w:hAnsi="Times New Roman" w:cs="Times New Roman"/>
          <w:iCs/>
          <w:sz w:val="24"/>
          <w:szCs w:val="24"/>
        </w:rPr>
      </w:pPr>
      <w:r w:rsidRPr="003770B5">
        <w:rPr>
          <w:rFonts w:ascii="Times New Roman" w:hAnsi="Times New Roman" w:cs="Times New Roman"/>
          <w:sz w:val="24"/>
          <w:szCs w:val="24"/>
        </w:rPr>
        <w:t xml:space="preserve">El cumplimiento efectivo de estos objetivos demanda un nivel adecuado </w:t>
      </w:r>
      <w:r w:rsidRPr="003770B5">
        <w:rPr>
          <w:rFonts w:ascii="Times New Roman" w:eastAsia="Times New Roman" w:hAnsi="Times New Roman" w:cs="Times New Roman"/>
          <w:sz w:val="24"/>
          <w:szCs w:val="24"/>
          <w:lang w:eastAsia="es-ES"/>
        </w:rPr>
        <w:t xml:space="preserve">de competencias del personal médico en materia de demencia </w:t>
      </w:r>
      <w:r w:rsidRPr="003770B5">
        <w:rPr>
          <w:rFonts w:ascii="Times New Roman" w:eastAsia="Times New Roman" w:hAnsi="Times New Roman" w:cs="Times New Roman"/>
          <w:sz w:val="24"/>
          <w:szCs w:val="24"/>
          <w:lang w:eastAsia="es-ES"/>
        </w:rPr>
        <w:fldChar w:fldCharType="begin"/>
      </w:r>
      <w:r w:rsidRPr="003770B5">
        <w:rPr>
          <w:rFonts w:ascii="Times New Roman" w:eastAsia="Times New Roman" w:hAnsi="Times New Roman" w:cs="Times New Roman"/>
          <w:sz w:val="24"/>
          <w:szCs w:val="24"/>
          <w:lang w:eastAsia="es-ES"/>
        </w:rPr>
        <w:instrText xml:space="preserve"> ADDIN EN.CITE &lt;EndNote&gt;&lt;Cite&gt;&lt;Author&gt;Miller&lt;/Author&gt;&lt;Year&gt;2017&lt;/Year&gt;&lt;RecNum&gt;24&lt;/RecNum&gt;&lt;DisplayText&gt;(Miller, 2017)&lt;/DisplayText&gt;&lt;record&gt;&lt;rec-number&gt;24&lt;/rec-number&gt;&lt;foreign-keys&gt;&lt;key app="EN" db-id="5rvpf2da7ssvs8e5ww1pz9tp5tdttsdwvfzv" timestamp="0"&gt;24&lt;/key&gt;&lt;/foreign-keys&gt;&lt;ref-type name="Thesis"&gt;32&lt;/ref-type&gt;&lt;contributors&gt;&lt;authors&gt;&lt;author&gt;Miller, S.E. &lt;/author&gt;&lt;/authors&gt;&lt;/contributors&gt;&lt;titles&gt;&lt;title&gt;Linking Key Factors of Quality Dementia Care: Knowledge and Self-Efcacy&lt;/title&gt;&lt;secondary-title&gt;Bachelor of Science Occupational Therapy&lt;/secondary-title&gt;&lt;/titles&gt;&lt;pages&gt;40&lt;/pages&gt;&lt;dates&gt;&lt;year&gt;2017&lt;/year&gt;&lt;/dates&gt;&lt;pub-location&gt;San Rafael, California&lt;/pub-location&gt;&lt;publisher&gt;Dominican University of California&lt;/publisher&gt;&lt;urls&gt;&lt;/urls&gt;&lt;electronic-resource-num&gt;htps://scholar.dominican.edu/honors-theses/23&lt;/electronic-resource-num&gt;&lt;/record&gt;&lt;/Cite&gt;&lt;Cite&gt;&lt;Author&gt;Miller&lt;/Author&gt;&lt;Year&gt;2017&lt;/Year&gt;&lt;RecNum&gt;24&lt;/RecNum&gt;&lt;record&gt;&lt;rec-number&gt;24&lt;/rec-number&gt;&lt;foreign-keys&gt;&lt;key app="EN" db-id="5rvpf2da7ssvs8e5ww1pz9tp5tdttsdwvfzv" timestamp="0"&gt;24&lt;/key&gt;&lt;/foreign-keys&gt;&lt;ref-type name="Thesis"&gt;32&lt;/ref-type&gt;&lt;contributors&gt;&lt;authors&gt;&lt;author&gt;Miller, S.E. &lt;/author&gt;&lt;/authors&gt;&lt;/contributors&gt;&lt;titles&gt;&lt;title&gt;Linking Key Factors of Quality Dementia Care: Knowledge and Self-Efcacy&lt;/title&gt;&lt;secondary-title&gt;Bachelor of Science Occupational Therapy&lt;/secondary-title&gt;&lt;/titles&gt;&lt;pages&gt;40&lt;/pages&gt;&lt;dates&gt;&lt;year&gt;2017&lt;/year&gt;&lt;/dates&gt;&lt;pub-location&gt;San Rafael, California&lt;/pub-location&gt;&lt;publisher&gt;Dominican University of California&lt;/publisher&gt;&lt;urls&gt;&lt;/urls&gt;&lt;electronic-resource-num&gt;htps://scholar.dominican.edu/honors-theses/23&lt;/electronic-resource-num&gt;&lt;/record&gt;&lt;/Cite&gt;&lt;/EndNote&gt;</w:instrText>
      </w:r>
      <w:r w:rsidRPr="003770B5">
        <w:rPr>
          <w:rFonts w:ascii="Times New Roman" w:eastAsia="Times New Roman" w:hAnsi="Times New Roman" w:cs="Times New Roman"/>
          <w:sz w:val="24"/>
          <w:szCs w:val="24"/>
          <w:lang w:eastAsia="es-ES"/>
        </w:rPr>
        <w:fldChar w:fldCharType="separate"/>
      </w:r>
      <w:r w:rsidRPr="003770B5">
        <w:rPr>
          <w:rFonts w:ascii="Times New Roman" w:eastAsia="Times New Roman" w:hAnsi="Times New Roman" w:cs="Times New Roman"/>
          <w:noProof/>
          <w:sz w:val="24"/>
          <w:szCs w:val="24"/>
          <w:lang w:eastAsia="es-ES"/>
        </w:rPr>
        <w:t>(</w:t>
      </w:r>
      <w:hyperlink w:anchor="_ENREF_49" w:tooltip="Miller, 2017 #24" w:history="1">
        <w:r w:rsidRPr="003770B5">
          <w:rPr>
            <w:rFonts w:ascii="Times New Roman" w:eastAsia="Times New Roman" w:hAnsi="Times New Roman" w:cs="Times New Roman"/>
            <w:noProof/>
            <w:sz w:val="24"/>
            <w:szCs w:val="24"/>
            <w:lang w:eastAsia="es-ES"/>
          </w:rPr>
          <w:t>Miller, 2017</w:t>
        </w:r>
      </w:hyperlink>
      <w:r w:rsidRPr="003770B5">
        <w:rPr>
          <w:rFonts w:ascii="Times New Roman" w:eastAsia="Times New Roman" w:hAnsi="Times New Roman" w:cs="Times New Roman"/>
          <w:noProof/>
          <w:sz w:val="24"/>
          <w:szCs w:val="24"/>
          <w:lang w:eastAsia="es-ES"/>
        </w:rPr>
        <w:t>)</w:t>
      </w:r>
      <w:r w:rsidRPr="003770B5">
        <w:rPr>
          <w:rFonts w:ascii="Times New Roman" w:eastAsia="Times New Roman" w:hAnsi="Times New Roman" w:cs="Times New Roman"/>
          <w:sz w:val="24"/>
          <w:szCs w:val="24"/>
          <w:lang w:eastAsia="es-ES"/>
        </w:rPr>
        <w:fldChar w:fldCharType="end"/>
      </w:r>
      <w:r w:rsidRPr="003770B5">
        <w:rPr>
          <w:rFonts w:ascii="Times New Roman" w:eastAsia="Times New Roman" w:hAnsi="Times New Roman" w:cs="Times New Roman"/>
          <w:sz w:val="24"/>
          <w:szCs w:val="24"/>
          <w:lang w:eastAsia="es-ES"/>
        </w:rPr>
        <w:t xml:space="preserve">.  Ello constituye garantía de una eficiente atención a los pacientes y el apoyo para lograr una mejor calidad de vida </w:t>
      </w:r>
      <w:r w:rsidRPr="003770B5">
        <w:rPr>
          <w:rFonts w:ascii="Times New Roman" w:eastAsia="Times New Roman" w:hAnsi="Times New Roman" w:cs="Times New Roman"/>
          <w:sz w:val="24"/>
          <w:szCs w:val="24"/>
          <w:lang w:eastAsia="es-ES"/>
        </w:rPr>
        <w:fldChar w:fldCharType="begin"/>
      </w:r>
      <w:r w:rsidRPr="003770B5">
        <w:rPr>
          <w:rFonts w:ascii="Times New Roman" w:eastAsia="Times New Roman" w:hAnsi="Times New Roman" w:cs="Times New Roman"/>
          <w:sz w:val="24"/>
          <w:szCs w:val="24"/>
          <w:lang w:eastAsia="es-ES"/>
        </w:rPr>
        <w:instrText xml:space="preserve"> ADDIN EN.CITE &lt;EndNote&gt;&lt;Cite&gt;&lt;Author&gt;Bayard&lt;/Author&gt;&lt;Year&gt;2019&lt;/Year&gt;&lt;RecNum&gt;23&lt;/RecNum&gt;&lt;DisplayText&gt;(Bayard et al., 2019)&lt;/DisplayText&gt;&lt;record&gt;&lt;rec-number&gt;23&lt;/rec-number&gt;&lt;foreign-keys&gt;&lt;key app="EN" db-id="5rvpf2da7ssvs8e5ww1pz9tp5tdttsdwvfzv" timestamp="0"&gt;23&lt;/key&gt;&lt;/foreign-keys&gt;&lt;ref-type name="Journal Article"&gt;17&lt;/ref-type&gt;&lt;contributors&gt;&lt;authors&gt;&lt;author&gt;Bayard, R.B.&lt;/author&gt;&lt;author&gt;Aspiazú, M.B.&lt;/author&gt;&lt;author&gt;Llerena, T.&lt;/author&gt;&lt;author&gt;Ulloan, E.H.&lt;/author&gt;&lt;author&gt;Orihuela, L.B.&lt;/author&gt;&lt;author&gt;Azcuy, O.H.&lt;/author&gt;&lt;/authors&gt;&lt;/contributors&gt;&lt;titles&gt;&lt;title&gt;Percepción del estudiante de Medicina de la forma en que recibe el conocimiento sobre la demencia&lt;/title&gt;&lt;secondary-title&gt;Panorama. Cuba y Salud &lt;/secondary-title&gt;&lt;/titles&gt;&lt;pages&gt;6-11&lt;/pages&gt;&lt;volume&gt;14&lt;/volume&gt;&lt;number&gt;1&lt;/number&gt;&lt;dates&gt;&lt;year&gt;2019&lt;/year&gt;&lt;/dates&gt;&lt;urls&gt;&lt;/urls&gt;&lt;electronic-resource-num&gt;1991-2684, RNPS: 2136&lt;/electronic-resource-num&gt;&lt;/record&gt;&lt;/Cite&gt;&lt;Cite&gt;&lt;Author&gt;Bayard&lt;/Author&gt;&lt;Year&gt;2019&lt;/Year&gt;&lt;RecNum&gt;23&lt;/RecNum&gt;&lt;record&gt;&lt;rec-number&gt;23&lt;/rec-number&gt;&lt;foreign-keys&gt;&lt;key app="EN" db-id="5rvpf2da7ssvs8e5ww1pz9tp5tdttsdwvfzv" timestamp="0"&gt;23&lt;/key&gt;&lt;/foreign-keys&gt;&lt;ref-type name="Journal Article"&gt;17&lt;/ref-type&gt;&lt;contributors&gt;&lt;authors&gt;&lt;author&gt;Bayard, R.B.&lt;/author&gt;&lt;author&gt;Aspiazú, M.B.&lt;/author&gt;&lt;author&gt;Llerena, T.&lt;/author&gt;&lt;author&gt;Ulloan, E.H.&lt;/author&gt;&lt;author&gt;Orihuela, L.B.&lt;/author&gt;&lt;author&gt;Azcuy, O.H.&lt;/author&gt;&lt;/authors&gt;&lt;/contributors&gt;&lt;titles&gt;&lt;title&gt;Percepción del estudiante de Medicina de la forma en que recibe el conocimiento sobre la demencia&lt;/title&gt;&lt;secondary-title&gt;Panorama. Cuba y Salud &lt;/secondary-title&gt;&lt;/titles&gt;&lt;pages&gt;6-11&lt;/pages&gt;&lt;volume&gt;14&lt;/volume&gt;&lt;number&gt;1&lt;/number&gt;&lt;dates&gt;&lt;year&gt;2019&lt;/year&gt;&lt;/dates&gt;&lt;urls&gt;&lt;/urls&gt;&lt;electronic-resource-num&gt;1991-2684, RNPS: 2136&lt;/electronic-resource-num&gt;&lt;/record&gt;&lt;/Cite&gt;&lt;/EndNote&gt;</w:instrText>
      </w:r>
      <w:r w:rsidRPr="003770B5">
        <w:rPr>
          <w:rFonts w:ascii="Times New Roman" w:eastAsia="Times New Roman" w:hAnsi="Times New Roman" w:cs="Times New Roman"/>
          <w:sz w:val="24"/>
          <w:szCs w:val="24"/>
          <w:lang w:eastAsia="es-ES"/>
        </w:rPr>
        <w:fldChar w:fldCharType="separate"/>
      </w:r>
      <w:r w:rsidRPr="003770B5">
        <w:rPr>
          <w:rFonts w:ascii="Times New Roman" w:eastAsia="Times New Roman" w:hAnsi="Times New Roman" w:cs="Times New Roman"/>
          <w:noProof/>
          <w:sz w:val="24"/>
          <w:szCs w:val="24"/>
          <w:lang w:eastAsia="es-ES"/>
        </w:rPr>
        <w:t>(</w:t>
      </w:r>
      <w:hyperlink w:anchor="_ENREF_11" w:tooltip="Bayard, 2019 #23" w:history="1">
        <w:r w:rsidRPr="003770B5">
          <w:rPr>
            <w:rFonts w:ascii="Times New Roman" w:eastAsia="Times New Roman" w:hAnsi="Times New Roman" w:cs="Times New Roman"/>
            <w:noProof/>
            <w:sz w:val="24"/>
            <w:szCs w:val="24"/>
            <w:lang w:eastAsia="es-ES"/>
          </w:rPr>
          <w:t>Bayard et al., 2019</w:t>
        </w:r>
      </w:hyperlink>
      <w:r w:rsidRPr="003770B5">
        <w:rPr>
          <w:rFonts w:ascii="Times New Roman" w:eastAsia="Times New Roman" w:hAnsi="Times New Roman" w:cs="Times New Roman"/>
          <w:noProof/>
          <w:sz w:val="24"/>
          <w:szCs w:val="24"/>
          <w:lang w:eastAsia="es-ES"/>
        </w:rPr>
        <w:t>)</w:t>
      </w:r>
      <w:r w:rsidRPr="003770B5">
        <w:rPr>
          <w:rFonts w:ascii="Times New Roman" w:eastAsia="Times New Roman" w:hAnsi="Times New Roman" w:cs="Times New Roman"/>
          <w:sz w:val="24"/>
          <w:szCs w:val="24"/>
          <w:lang w:eastAsia="es-ES"/>
        </w:rPr>
        <w:fldChar w:fldCharType="end"/>
      </w:r>
      <w:r w:rsidRPr="003770B5">
        <w:rPr>
          <w:rFonts w:ascii="Times New Roman" w:eastAsia="Times New Roman" w:hAnsi="Times New Roman" w:cs="Times New Roman"/>
          <w:sz w:val="24"/>
          <w:szCs w:val="24"/>
          <w:lang w:eastAsia="es-ES"/>
        </w:rPr>
        <w:t xml:space="preserve">.  </w:t>
      </w:r>
      <w:r w:rsidRPr="003770B5">
        <w:rPr>
          <w:rFonts w:ascii="Times New Roman" w:hAnsi="Times New Roman" w:cs="Times New Roman"/>
          <w:sz w:val="24"/>
          <w:szCs w:val="24"/>
        </w:rPr>
        <w:t xml:space="preserve">El primer paso para garantizar el nivel adecuado de competencias es un nivel adecuado de conocimientos, por lo que se impone su exploración en el personal de salud </w:t>
      </w:r>
      <w:r w:rsidRPr="003770B5">
        <w:rPr>
          <w:rFonts w:ascii="Times New Roman" w:hAnsi="Times New Roman" w:cs="Times New Roman"/>
          <w:sz w:val="24"/>
          <w:szCs w:val="24"/>
        </w:rPr>
        <w:fldChar w:fldCharType="begin"/>
      </w:r>
      <w:r w:rsidRPr="003770B5">
        <w:rPr>
          <w:rFonts w:ascii="Times New Roman" w:hAnsi="Times New Roman" w:cs="Times New Roman"/>
          <w:sz w:val="24"/>
          <w:szCs w:val="24"/>
        </w:rPr>
        <w:instrText xml:space="preserve"> ADDIN EN.CITE &lt;EndNote&gt;&lt;Cite&gt;&lt;Author&gt;Matsuda&lt;/Author&gt;&lt;Year&gt;2018&lt;/Year&gt;&lt;RecNum&gt;33&lt;/RecNum&gt;&lt;DisplayText&gt;(Matsuda, Hashimoto, Takemoto, &amp;amp; Yoshioka, 2018)&lt;/DisplayText&gt;&lt;record&gt;&lt;rec-number&gt;33&lt;/rec-number&gt;&lt;foreign-keys&gt;&lt;key app="EN" db-id="5rvpf2da7ssvs8e5ww1pz9tp5tdttsdwvfzv" timestamp="0"&gt;33&lt;/key&gt;&lt;/foreign-keys&gt;&lt;ref-type name="Journal Article"&gt;17&lt;/ref-type&gt;&lt;contributors&gt;&lt;authors&gt;&lt;author&gt;Matsuda, Y.&lt;/author&gt;&lt;author&gt;Hashimoto, R.&lt;/author&gt;&lt;author&gt;Takemoto, S.&lt;/author&gt;&lt;author&gt;Yoshioka, Y. &lt;/author&gt;&lt;/authors&gt;&lt;/contributors&gt;&lt;titles&gt;&lt;title&gt;Educational benefits for nurses and nursing students of the dementia supporter training program in Japan&lt;/title&gt;&lt;secondary-title&gt;PLoS ONE &lt;/secondary-title&gt;&lt;/titles&gt;&lt;pages&gt;1-12&lt;/pages&gt;&lt;volume&gt;13&lt;/volume&gt;&lt;number&gt;7&lt;/number&gt;&lt;dates&gt;&lt;year&gt;2018&lt;/year&gt;&lt;/dates&gt;&lt;urls&gt;&lt;/urls&gt;&lt;electronic-resource-num&gt;10.1371/journal.pone.0200586&lt;/electronic-resource-num&gt;&lt;/record&gt;&lt;/Cite&gt;&lt;/EndNote&gt;</w:instrText>
      </w:r>
      <w:r w:rsidRPr="003770B5">
        <w:rPr>
          <w:rFonts w:ascii="Times New Roman" w:hAnsi="Times New Roman" w:cs="Times New Roman"/>
          <w:sz w:val="24"/>
          <w:szCs w:val="24"/>
        </w:rPr>
        <w:fldChar w:fldCharType="separate"/>
      </w:r>
      <w:r w:rsidRPr="003770B5">
        <w:rPr>
          <w:rFonts w:ascii="Times New Roman" w:hAnsi="Times New Roman" w:cs="Times New Roman"/>
          <w:noProof/>
          <w:sz w:val="24"/>
          <w:szCs w:val="24"/>
        </w:rPr>
        <w:t>(</w:t>
      </w:r>
      <w:hyperlink w:anchor="_ENREF_47" w:tooltip="Matsuda, 2018 #33" w:history="1">
        <w:r w:rsidRPr="003770B5">
          <w:rPr>
            <w:rFonts w:ascii="Times New Roman" w:hAnsi="Times New Roman" w:cs="Times New Roman"/>
            <w:noProof/>
            <w:sz w:val="24"/>
            <w:szCs w:val="24"/>
          </w:rPr>
          <w:t>Matsuda, Hashimoto, Takemoto, &amp; Yoshioka, 2018</w:t>
        </w:r>
      </w:hyperlink>
      <w:r w:rsidRPr="003770B5">
        <w:rPr>
          <w:rFonts w:ascii="Times New Roman" w:hAnsi="Times New Roman" w:cs="Times New Roman"/>
          <w:noProof/>
          <w:sz w:val="24"/>
          <w:szCs w:val="24"/>
        </w:rPr>
        <w:t>)</w:t>
      </w:r>
      <w:r w:rsidRPr="003770B5">
        <w:rPr>
          <w:rFonts w:ascii="Times New Roman" w:hAnsi="Times New Roman" w:cs="Times New Roman"/>
          <w:sz w:val="24"/>
          <w:szCs w:val="24"/>
        </w:rPr>
        <w:fldChar w:fldCharType="end"/>
      </w:r>
      <w:r w:rsidRPr="003770B5">
        <w:rPr>
          <w:rFonts w:ascii="Times New Roman" w:hAnsi="Times New Roman" w:cs="Times New Roman"/>
          <w:sz w:val="24"/>
          <w:szCs w:val="24"/>
        </w:rPr>
        <w:t xml:space="preserve">. </w:t>
      </w:r>
    </w:p>
    <w:p w:rsidR="003B6C5C" w:rsidRPr="003770B5" w:rsidRDefault="003B6C5C" w:rsidP="003770B5">
      <w:pPr>
        <w:spacing w:after="0" w:line="360" w:lineRule="auto"/>
        <w:ind w:firstLine="720"/>
        <w:jc w:val="both"/>
        <w:rPr>
          <w:rFonts w:ascii="Times New Roman" w:eastAsia="Times New Roman" w:hAnsi="Times New Roman" w:cs="Times New Roman"/>
          <w:sz w:val="24"/>
          <w:szCs w:val="24"/>
          <w:lang w:eastAsia="es-ES"/>
        </w:rPr>
      </w:pPr>
      <w:r w:rsidRPr="003770B5">
        <w:rPr>
          <w:rFonts w:ascii="Times New Roman" w:hAnsi="Times New Roman" w:cs="Times New Roman"/>
          <w:iCs/>
          <w:sz w:val="24"/>
          <w:szCs w:val="24"/>
        </w:rPr>
        <w:t xml:space="preserve">Por ejemplo, en países como Australia y Japón el conocimiento sobre la demencia en el personal de salud se ha evaluado usando el </w:t>
      </w:r>
      <w:proofErr w:type="spellStart"/>
      <w:r w:rsidRPr="003770B5">
        <w:rPr>
          <w:rFonts w:ascii="Times New Roman" w:hAnsi="Times New Roman" w:cs="Times New Roman"/>
          <w:i/>
          <w:sz w:val="24"/>
          <w:szCs w:val="24"/>
        </w:rPr>
        <w:t>Dementia</w:t>
      </w:r>
      <w:proofErr w:type="spellEnd"/>
      <w:r w:rsidR="00267499" w:rsidRPr="003770B5">
        <w:rPr>
          <w:rFonts w:ascii="Times New Roman" w:hAnsi="Times New Roman" w:cs="Times New Roman"/>
          <w:i/>
          <w:sz w:val="24"/>
          <w:szCs w:val="24"/>
        </w:rPr>
        <w:t xml:space="preserve"> </w:t>
      </w:r>
      <w:proofErr w:type="spellStart"/>
      <w:r w:rsidRPr="003770B5">
        <w:rPr>
          <w:rFonts w:ascii="Times New Roman" w:hAnsi="Times New Roman" w:cs="Times New Roman"/>
          <w:i/>
          <w:sz w:val="24"/>
          <w:szCs w:val="24"/>
        </w:rPr>
        <w:t>Knowledge</w:t>
      </w:r>
      <w:proofErr w:type="spellEnd"/>
      <w:r w:rsidR="00267499" w:rsidRPr="003770B5">
        <w:rPr>
          <w:rFonts w:ascii="Times New Roman" w:hAnsi="Times New Roman" w:cs="Times New Roman"/>
          <w:i/>
          <w:sz w:val="24"/>
          <w:szCs w:val="24"/>
        </w:rPr>
        <w:t xml:space="preserve"> </w:t>
      </w:r>
      <w:proofErr w:type="spellStart"/>
      <w:r w:rsidRPr="003770B5">
        <w:rPr>
          <w:rFonts w:ascii="Times New Roman" w:hAnsi="Times New Roman" w:cs="Times New Roman"/>
          <w:i/>
          <w:sz w:val="24"/>
          <w:szCs w:val="24"/>
        </w:rPr>
        <w:t>Assessment</w:t>
      </w:r>
      <w:proofErr w:type="spellEnd"/>
      <w:r w:rsidR="00267499" w:rsidRPr="003770B5">
        <w:rPr>
          <w:rFonts w:ascii="Times New Roman" w:hAnsi="Times New Roman" w:cs="Times New Roman"/>
          <w:i/>
          <w:sz w:val="24"/>
          <w:szCs w:val="24"/>
        </w:rPr>
        <w:t xml:space="preserve"> </w:t>
      </w:r>
      <w:proofErr w:type="spellStart"/>
      <w:r w:rsidRPr="003770B5">
        <w:rPr>
          <w:rFonts w:ascii="Times New Roman" w:hAnsi="Times New Roman" w:cs="Times New Roman"/>
          <w:i/>
          <w:sz w:val="24"/>
          <w:szCs w:val="24"/>
        </w:rPr>
        <w:t>Scale</w:t>
      </w:r>
      <w:proofErr w:type="spellEnd"/>
      <w:r w:rsidR="00C13B3D">
        <w:rPr>
          <w:rFonts w:ascii="Times New Roman" w:hAnsi="Times New Roman" w:cs="Times New Roman"/>
          <w:i/>
          <w:sz w:val="24"/>
          <w:szCs w:val="24"/>
        </w:rPr>
        <w:t xml:space="preserve"> </w:t>
      </w:r>
      <w:r w:rsidRPr="003770B5">
        <w:rPr>
          <w:rFonts w:ascii="Times New Roman" w:hAnsi="Times New Roman" w:cs="Times New Roman"/>
          <w:sz w:val="24"/>
          <w:szCs w:val="24"/>
        </w:rPr>
        <w:t>(</w:t>
      </w:r>
      <w:r w:rsidRPr="003770B5">
        <w:rPr>
          <w:rFonts w:ascii="Times New Roman" w:hAnsi="Times New Roman" w:cs="Times New Roman"/>
          <w:iCs/>
          <w:sz w:val="24"/>
          <w:szCs w:val="24"/>
        </w:rPr>
        <w:t xml:space="preserve">DKAS).  </w:t>
      </w:r>
      <w:r w:rsidRPr="003770B5">
        <w:rPr>
          <w:rFonts w:ascii="Times New Roman" w:eastAsia="Times New Roman" w:hAnsi="Times New Roman" w:cs="Times New Roman"/>
          <w:sz w:val="24"/>
          <w:szCs w:val="24"/>
          <w:lang w:eastAsia="es-US"/>
        </w:rPr>
        <w:t xml:space="preserve">El DKAS es una escala actualizada que toma en cuenta y trasciende las limitaciones de otros instrumentos existentes.  </w:t>
      </w:r>
      <w:r w:rsidRPr="003770B5">
        <w:rPr>
          <w:rFonts w:ascii="Times New Roman" w:eastAsia="Times New Roman" w:hAnsi="Times New Roman" w:cs="Times New Roman"/>
          <w:sz w:val="24"/>
          <w:szCs w:val="24"/>
          <w:lang w:eastAsia="es-ES"/>
        </w:rPr>
        <w:t xml:space="preserve">Es un instrumento fiable que contempla aspectos relativos al cuidado y el tratamiento de las personas portadoras de dicha patología.  </w:t>
      </w:r>
      <w:r w:rsidRPr="003770B5">
        <w:rPr>
          <w:rFonts w:ascii="Times New Roman" w:eastAsia="Times New Roman" w:hAnsi="Times New Roman" w:cs="Times New Roman"/>
          <w:sz w:val="24"/>
          <w:szCs w:val="24"/>
          <w:lang w:eastAsia="es-US"/>
        </w:rPr>
        <w:t xml:space="preserve">Este contiene información detallada a nivel de ítem, lo que permite indagar en las deficiencias que pueden existir en dicho conocimiento.  </w:t>
      </w:r>
      <w:r w:rsidRPr="003770B5">
        <w:rPr>
          <w:rFonts w:ascii="Times New Roman" w:eastAsia="Times New Roman" w:hAnsi="Times New Roman" w:cs="Times New Roman"/>
          <w:sz w:val="24"/>
          <w:szCs w:val="24"/>
          <w:lang w:eastAsia="es-ES"/>
        </w:rPr>
        <w:t xml:space="preserve">Además, es la primera escala que mide el conocimiento sobre la demencia que ha sido desarrollada, usando una medida de validez factorial </w:t>
      </w:r>
      <w:r w:rsidRPr="003770B5">
        <w:rPr>
          <w:rFonts w:ascii="Times New Roman" w:eastAsia="Times New Roman" w:hAnsi="Times New Roman" w:cs="Times New Roman"/>
          <w:sz w:val="24"/>
          <w:szCs w:val="24"/>
          <w:lang w:eastAsia="es-ES"/>
        </w:rPr>
        <w:fldChar w:fldCharType="begin"/>
      </w:r>
      <w:r w:rsidRPr="003770B5">
        <w:rPr>
          <w:rFonts w:ascii="Times New Roman" w:eastAsia="Times New Roman" w:hAnsi="Times New Roman" w:cs="Times New Roman"/>
          <w:sz w:val="24"/>
          <w:szCs w:val="24"/>
          <w:lang w:eastAsia="es-ES"/>
        </w:rPr>
        <w:instrText xml:space="preserve"> ADDIN EN.CITE &lt;EndNote&gt;&lt;Cite&gt;&lt;Author&gt;Annear&lt;/Author&gt;&lt;Year&gt;2015&lt;/Year&gt;&lt;RecNum&gt;42&lt;/RecNum&gt;&lt;DisplayText&gt;(Annear, Toye, Eccleston, et al., 2015)&lt;/DisplayText&gt;&lt;record&gt;&lt;rec-number&gt;42&lt;/rec-number&gt;&lt;foreign-keys&gt;&lt;key app="EN" db-id="5rvpf2da7ssvs8e5ww1pz9tp5tdttsdwvfzv" timestamp="0"&gt;42&lt;/key&gt;&lt;/foreign-keys&gt;&lt;ref-type name="Journal Article"&gt;17&lt;/ref-type&gt;&lt;contributors&gt;&lt;authors&gt;&lt;author&gt;Annear, M.&lt;/author&gt;&lt;author&gt;Toye, C.&lt;/author&gt;&lt;author&gt;Eccleston, C.&lt;/author&gt;&lt;author&gt;McInerney, F.&lt;/author&gt;&lt;author&gt;Elliott, K.E. &lt;/author&gt;&lt;author&gt;Tranter, B.&lt;/author&gt;&lt;author&gt;Hartley, T.&lt;/author&gt;&lt;author&gt;Robinson, A.&lt;/author&gt;&lt;/authors&gt;&lt;/contributors&gt;&lt;titles&gt;&lt;title&gt;Dementia Knowledge Assessment Scale: Development and Preliminary Psychometric Properties&lt;/title&gt;&lt;secondary-title&gt;Medical Sciences&lt;/secondary-title&gt;&lt;/titles&gt;&lt;pages&gt;2373-2381&lt;/pages&gt;&lt;volume&gt;63&lt;/volume&gt;&lt;number&gt;11&lt;/number&gt;&lt;dates&gt;&lt;year&gt;2015&lt;/year&gt;&lt;/dates&gt;&lt;urls&gt;&lt;/urls&gt;&lt;electronic-resource-num&gt;10.1111/jgs.137&lt;/electronic-resource-num&gt;&lt;/record&gt;&lt;/Cite&gt;&lt;/EndNote&gt;</w:instrText>
      </w:r>
      <w:r w:rsidRPr="003770B5">
        <w:rPr>
          <w:rFonts w:ascii="Times New Roman" w:eastAsia="Times New Roman" w:hAnsi="Times New Roman" w:cs="Times New Roman"/>
          <w:sz w:val="24"/>
          <w:szCs w:val="24"/>
          <w:lang w:eastAsia="es-ES"/>
        </w:rPr>
        <w:fldChar w:fldCharType="separate"/>
      </w:r>
      <w:r w:rsidRPr="003770B5">
        <w:rPr>
          <w:rFonts w:ascii="Times New Roman" w:eastAsia="Times New Roman" w:hAnsi="Times New Roman" w:cs="Times New Roman"/>
          <w:noProof/>
          <w:sz w:val="24"/>
          <w:szCs w:val="24"/>
          <w:lang w:eastAsia="es-ES"/>
        </w:rPr>
        <w:t>(</w:t>
      </w:r>
      <w:hyperlink w:anchor="_ENREF_4" w:tooltip="Annear, 2015 #42" w:history="1">
        <w:r w:rsidRPr="003770B5">
          <w:rPr>
            <w:rFonts w:ascii="Times New Roman" w:eastAsia="Times New Roman" w:hAnsi="Times New Roman" w:cs="Times New Roman"/>
            <w:noProof/>
            <w:sz w:val="24"/>
            <w:szCs w:val="24"/>
            <w:lang w:eastAsia="es-ES"/>
          </w:rPr>
          <w:t>Annear, Toye, Eccleston, et al., 2015</w:t>
        </w:r>
      </w:hyperlink>
      <w:r w:rsidRPr="003770B5">
        <w:rPr>
          <w:rFonts w:ascii="Times New Roman" w:eastAsia="Times New Roman" w:hAnsi="Times New Roman" w:cs="Times New Roman"/>
          <w:noProof/>
          <w:sz w:val="24"/>
          <w:szCs w:val="24"/>
          <w:lang w:eastAsia="es-ES"/>
        </w:rPr>
        <w:t>)</w:t>
      </w:r>
      <w:r w:rsidRPr="003770B5">
        <w:rPr>
          <w:rFonts w:ascii="Times New Roman" w:eastAsia="Times New Roman" w:hAnsi="Times New Roman" w:cs="Times New Roman"/>
          <w:sz w:val="24"/>
          <w:szCs w:val="24"/>
          <w:lang w:eastAsia="es-ES"/>
        </w:rPr>
        <w:fldChar w:fldCharType="end"/>
      </w:r>
      <w:r w:rsidRPr="003770B5">
        <w:rPr>
          <w:rFonts w:ascii="Times New Roman" w:eastAsia="Times New Roman" w:hAnsi="Times New Roman" w:cs="Times New Roman"/>
          <w:sz w:val="24"/>
          <w:szCs w:val="24"/>
          <w:lang w:eastAsia="es-ES"/>
        </w:rPr>
        <w:t xml:space="preserve">.  El DKAS se muestra como un </w:t>
      </w:r>
      <w:r w:rsidRPr="003770B5">
        <w:rPr>
          <w:rFonts w:ascii="Times New Roman" w:hAnsi="Times New Roman" w:cs="Times New Roman"/>
          <w:iCs/>
          <w:sz w:val="24"/>
          <w:szCs w:val="24"/>
        </w:rPr>
        <w:t>instrumento válido y confiable, con excelentes propiedades psicométricas y que ha permitido obtener buenos resultados en los estudios donde ha sido empleado</w:t>
      </w:r>
      <w:r w:rsidRPr="003770B5">
        <w:rPr>
          <w:rFonts w:ascii="Times New Roman" w:hAnsi="Times New Roman" w:cs="Times New Roman"/>
          <w:iCs/>
          <w:sz w:val="24"/>
          <w:szCs w:val="24"/>
        </w:rPr>
        <w:fldChar w:fldCharType="begin"/>
      </w:r>
      <w:r w:rsidRPr="003770B5">
        <w:rPr>
          <w:rFonts w:ascii="Times New Roman" w:hAnsi="Times New Roman" w:cs="Times New Roman"/>
          <w:iCs/>
          <w:sz w:val="24"/>
          <w:szCs w:val="24"/>
        </w:rPr>
        <w:instrText xml:space="preserve"> ADDIN EN.CITE &lt;EndNote&gt;&lt;Cite&gt;&lt;Author&gt;Annear&lt;/Author&gt;&lt;Year&gt;2017&lt;/Year&gt;&lt;RecNum&gt;43&lt;/RecNum&gt;&lt;DisplayText&gt;(Annear et al., 2017)&lt;/DisplayText&gt;&lt;record&gt;&lt;rec-number&gt;43&lt;/rec-number&gt;&lt;foreign-keys&gt;&lt;key app="EN" db-id="5rvpf2da7ssvs8e5ww1pz9tp5tdttsdwvfzv" timestamp="0"&gt;43&lt;/key&gt;&lt;/foreign-keys&gt;&lt;ref-type name="Journal Article"&gt;17&lt;/ref-type&gt;&lt;contributors&gt;&lt;authors&gt;&lt;author&gt;Annear, M.&lt;/author&gt;&lt;author&gt;Toye, C.&lt;/author&gt;&lt;author&gt;Elliott, K.&lt;/author&gt;&lt;author&gt;McInerney, F.&lt;/author&gt;&lt;author&gt;Eccleston, C.&lt;/author&gt;&lt;author&gt;Robinson, A.&lt;/author&gt;&lt;/authors&gt;&lt;/contributors&gt;&lt;titles&gt;&lt;title&gt;Dementia knowledge assessment scale (DKAS): confirmatory factor analysis and comparative subscale scores among an international cohort&lt;/title&gt;&lt;secondary-title&gt;BMC Geriatric&lt;/secondary-title&gt;&lt;/titles&gt;&lt;pages&gt;2-11&lt;/pages&gt;&lt;volume&gt;17&lt;/volume&gt;&lt;number&gt;168&lt;/number&gt;&lt;dates&gt;&lt;year&gt;2017&lt;/year&gt;&lt;/dates&gt;&lt;urls&gt;&lt;/urls&gt;&lt;electronic-resource-num&gt;10.1186/s12877-017-0552-y&lt;/electronic-resource-num&gt;&lt;/record&gt;&lt;/Cite&gt;&lt;/EndNote&gt;</w:instrText>
      </w:r>
      <w:r w:rsidRPr="003770B5">
        <w:rPr>
          <w:rFonts w:ascii="Times New Roman" w:hAnsi="Times New Roman" w:cs="Times New Roman"/>
          <w:iCs/>
          <w:sz w:val="24"/>
          <w:szCs w:val="24"/>
        </w:rPr>
        <w:fldChar w:fldCharType="separate"/>
      </w:r>
      <w:r w:rsidRPr="003770B5">
        <w:rPr>
          <w:rFonts w:ascii="Times New Roman" w:hAnsi="Times New Roman" w:cs="Times New Roman"/>
          <w:iCs/>
          <w:noProof/>
          <w:sz w:val="24"/>
          <w:szCs w:val="24"/>
        </w:rPr>
        <w:t>(</w:t>
      </w:r>
      <w:hyperlink w:anchor="_ENREF_5" w:tooltip="Annear, 2017 #43" w:history="1">
        <w:r w:rsidRPr="003770B5">
          <w:rPr>
            <w:rFonts w:ascii="Times New Roman" w:hAnsi="Times New Roman" w:cs="Times New Roman"/>
            <w:iCs/>
            <w:noProof/>
            <w:sz w:val="24"/>
            <w:szCs w:val="24"/>
          </w:rPr>
          <w:t>Annear et al., 2017</w:t>
        </w:r>
      </w:hyperlink>
      <w:r w:rsidRPr="003770B5">
        <w:rPr>
          <w:rFonts w:ascii="Times New Roman" w:hAnsi="Times New Roman" w:cs="Times New Roman"/>
          <w:iCs/>
          <w:noProof/>
          <w:sz w:val="24"/>
          <w:szCs w:val="24"/>
        </w:rPr>
        <w:t>)</w:t>
      </w:r>
      <w:r w:rsidRPr="003770B5">
        <w:rPr>
          <w:rFonts w:ascii="Times New Roman" w:hAnsi="Times New Roman" w:cs="Times New Roman"/>
          <w:iCs/>
          <w:sz w:val="24"/>
          <w:szCs w:val="24"/>
        </w:rPr>
        <w:fldChar w:fldCharType="end"/>
      </w:r>
      <w:r w:rsidRPr="003770B5">
        <w:rPr>
          <w:rFonts w:ascii="Times New Roman" w:hAnsi="Times New Roman" w:cs="Times New Roman"/>
          <w:iCs/>
          <w:sz w:val="24"/>
          <w:szCs w:val="24"/>
        </w:rPr>
        <w:t>.  En nuestro país no se registra la existencia de un instrumento que permita de forma general evaluar en los médicos el conocimiento que estos poseen sobre la demencia y su prevención.</w:t>
      </w:r>
    </w:p>
    <w:p w:rsidR="003B6C5C" w:rsidRPr="003770B5" w:rsidRDefault="003B6C5C" w:rsidP="003770B5">
      <w:pPr>
        <w:spacing w:after="0" w:line="360" w:lineRule="auto"/>
        <w:ind w:firstLine="720"/>
        <w:jc w:val="both"/>
        <w:rPr>
          <w:rFonts w:ascii="Times New Roman" w:hAnsi="Times New Roman" w:cs="Times New Roman"/>
          <w:iCs/>
          <w:color w:val="231F20"/>
          <w:sz w:val="24"/>
          <w:szCs w:val="24"/>
          <w:lang w:val="es-US"/>
        </w:rPr>
      </w:pPr>
      <w:r w:rsidRPr="003770B5">
        <w:rPr>
          <w:rFonts w:ascii="Times New Roman" w:hAnsi="Times New Roman" w:cs="Times New Roman"/>
          <w:sz w:val="24"/>
          <w:szCs w:val="24"/>
        </w:rPr>
        <w:t xml:space="preserve">Por tales motivos, el presente estudio se orienta a partir de la pregunta </w:t>
      </w:r>
      <w:r w:rsidRPr="003770B5">
        <w:rPr>
          <w:rFonts w:ascii="Times New Roman" w:hAnsi="Times New Roman" w:cs="Times New Roman"/>
          <w:sz w:val="24"/>
          <w:szCs w:val="24"/>
          <w:lang w:val="es-US"/>
        </w:rPr>
        <w:t>de investigación:</w:t>
      </w:r>
    </w:p>
    <w:p w:rsidR="003B6C5C" w:rsidRPr="003770B5" w:rsidRDefault="003B6C5C" w:rsidP="003770B5">
      <w:pPr>
        <w:spacing w:after="0" w:line="360" w:lineRule="auto"/>
        <w:ind w:firstLine="720"/>
        <w:jc w:val="both"/>
        <w:rPr>
          <w:rFonts w:ascii="Times New Roman" w:hAnsi="Times New Roman" w:cs="Times New Roman"/>
          <w:iCs/>
          <w:color w:val="231F20"/>
          <w:sz w:val="24"/>
          <w:szCs w:val="24"/>
          <w:lang w:val="es-US"/>
        </w:rPr>
      </w:pPr>
      <w:r w:rsidRPr="003770B5">
        <w:rPr>
          <w:rFonts w:ascii="Times New Roman" w:hAnsi="Times New Roman" w:cs="Times New Roman"/>
          <w:sz w:val="24"/>
          <w:szCs w:val="24"/>
          <w:lang w:val="es-US"/>
        </w:rPr>
        <w:t>¿Qué propiedades psicométricas posee la Escala de conocimiento sobre demencia-</w:t>
      </w:r>
      <w:proofErr w:type="spellStart"/>
      <w:r w:rsidRPr="003770B5">
        <w:rPr>
          <w:rFonts w:ascii="Times New Roman" w:hAnsi="Times New Roman" w:cs="Times New Roman"/>
          <w:sz w:val="24"/>
          <w:szCs w:val="24"/>
          <w:lang w:val="es-US"/>
        </w:rPr>
        <w:t>Sp</w:t>
      </w:r>
      <w:proofErr w:type="spellEnd"/>
      <w:r w:rsidRPr="003770B5">
        <w:rPr>
          <w:rFonts w:ascii="Times New Roman" w:hAnsi="Times New Roman" w:cs="Times New Roman"/>
          <w:sz w:val="24"/>
          <w:szCs w:val="24"/>
          <w:lang w:val="es-US"/>
        </w:rPr>
        <w:t xml:space="preserve"> para los médicos de familia d</w:t>
      </w:r>
      <w:proofErr w:type="spellStart"/>
      <w:r w:rsidRPr="003770B5">
        <w:rPr>
          <w:rFonts w:ascii="Times New Roman" w:hAnsi="Times New Roman" w:cs="Times New Roman"/>
          <w:color w:val="231F20"/>
          <w:sz w:val="24"/>
          <w:szCs w:val="24"/>
        </w:rPr>
        <w:t>e</w:t>
      </w:r>
      <w:proofErr w:type="spellEnd"/>
      <w:r w:rsidRPr="003770B5">
        <w:rPr>
          <w:rFonts w:ascii="Times New Roman" w:hAnsi="Times New Roman" w:cs="Times New Roman"/>
          <w:color w:val="231F20"/>
          <w:sz w:val="24"/>
          <w:szCs w:val="24"/>
        </w:rPr>
        <w:t xml:space="preserve"> Santa Clara?</w:t>
      </w:r>
    </w:p>
    <w:p w:rsidR="003B6C5C" w:rsidRPr="003770B5" w:rsidRDefault="003B6C5C" w:rsidP="003770B5">
      <w:pPr>
        <w:spacing w:after="0" w:line="360" w:lineRule="auto"/>
        <w:ind w:firstLine="720"/>
        <w:jc w:val="both"/>
        <w:rPr>
          <w:rFonts w:ascii="Times New Roman" w:hAnsi="Times New Roman" w:cs="Times New Roman"/>
          <w:b/>
          <w:sz w:val="24"/>
          <w:szCs w:val="24"/>
          <w:lang w:val="es-US"/>
        </w:rPr>
      </w:pPr>
      <w:r w:rsidRPr="003770B5">
        <w:rPr>
          <w:rFonts w:ascii="Times New Roman" w:hAnsi="Times New Roman" w:cs="Times New Roman"/>
          <w:b/>
          <w:sz w:val="24"/>
          <w:szCs w:val="24"/>
          <w:lang w:val="es-US"/>
        </w:rPr>
        <w:t xml:space="preserve">Objetivo General: </w:t>
      </w:r>
    </w:p>
    <w:p w:rsidR="003B6C5C" w:rsidRPr="003770B5" w:rsidRDefault="003B6C5C" w:rsidP="003770B5">
      <w:pPr>
        <w:spacing w:after="0" w:line="360" w:lineRule="auto"/>
        <w:ind w:firstLine="720"/>
        <w:jc w:val="both"/>
        <w:rPr>
          <w:rFonts w:ascii="Times New Roman" w:hAnsi="Times New Roman" w:cs="Times New Roman"/>
          <w:sz w:val="24"/>
          <w:szCs w:val="24"/>
          <w:lang w:val="es-US"/>
        </w:rPr>
      </w:pPr>
      <w:r w:rsidRPr="003770B5">
        <w:rPr>
          <w:rFonts w:ascii="Times New Roman" w:hAnsi="Times New Roman" w:cs="Times New Roman"/>
          <w:sz w:val="24"/>
          <w:szCs w:val="24"/>
          <w:lang w:val="es-US"/>
        </w:rPr>
        <w:t>Caracterizar psicométricamente la Escala de conocimiento sobre demencia-</w:t>
      </w:r>
      <w:proofErr w:type="spellStart"/>
      <w:r w:rsidRPr="003770B5">
        <w:rPr>
          <w:rFonts w:ascii="Times New Roman" w:hAnsi="Times New Roman" w:cs="Times New Roman"/>
          <w:sz w:val="24"/>
          <w:szCs w:val="24"/>
          <w:lang w:val="es-US"/>
        </w:rPr>
        <w:t>Sp</w:t>
      </w:r>
      <w:proofErr w:type="spellEnd"/>
      <w:r w:rsidRPr="003770B5">
        <w:rPr>
          <w:rFonts w:ascii="Times New Roman" w:hAnsi="Times New Roman" w:cs="Times New Roman"/>
          <w:sz w:val="24"/>
          <w:szCs w:val="24"/>
          <w:lang w:val="es-US"/>
        </w:rPr>
        <w:t xml:space="preserve"> </w:t>
      </w:r>
      <w:r w:rsidRPr="003770B5">
        <w:rPr>
          <w:rFonts w:ascii="Times New Roman" w:hAnsi="Times New Roman" w:cs="Times New Roman"/>
          <w:color w:val="231F20"/>
          <w:sz w:val="24"/>
          <w:szCs w:val="24"/>
        </w:rPr>
        <w:t>para los médicos de familia de Santa Clara</w:t>
      </w:r>
    </w:p>
    <w:p w:rsidR="003B6C5C" w:rsidRPr="003770B5" w:rsidRDefault="003B6C5C" w:rsidP="003770B5">
      <w:pPr>
        <w:spacing w:after="0" w:line="360" w:lineRule="auto"/>
        <w:ind w:firstLine="720"/>
        <w:jc w:val="both"/>
        <w:rPr>
          <w:rFonts w:ascii="Times New Roman" w:hAnsi="Times New Roman" w:cs="Times New Roman"/>
          <w:b/>
          <w:sz w:val="24"/>
          <w:szCs w:val="24"/>
          <w:lang w:val="es-US"/>
        </w:rPr>
      </w:pPr>
      <w:r w:rsidRPr="003770B5">
        <w:rPr>
          <w:rFonts w:ascii="Times New Roman" w:hAnsi="Times New Roman" w:cs="Times New Roman"/>
          <w:b/>
          <w:sz w:val="24"/>
          <w:szCs w:val="24"/>
          <w:lang w:val="es-US"/>
        </w:rPr>
        <w:lastRenderedPageBreak/>
        <w:t>Objetivos específicos:</w:t>
      </w:r>
    </w:p>
    <w:p w:rsidR="003B6C5C" w:rsidRPr="003770B5" w:rsidRDefault="003B6C5C" w:rsidP="003770B5">
      <w:pPr>
        <w:pStyle w:val="Prrafodelista"/>
        <w:numPr>
          <w:ilvl w:val="0"/>
          <w:numId w:val="8"/>
        </w:numPr>
        <w:spacing w:after="0" w:line="360" w:lineRule="auto"/>
        <w:ind w:left="0" w:firstLine="720"/>
        <w:jc w:val="both"/>
        <w:rPr>
          <w:rFonts w:ascii="Times New Roman" w:hAnsi="Times New Roman" w:cs="Times New Roman"/>
          <w:sz w:val="24"/>
          <w:szCs w:val="24"/>
        </w:rPr>
      </w:pPr>
      <w:r w:rsidRPr="003770B5">
        <w:rPr>
          <w:rFonts w:ascii="Times New Roman" w:hAnsi="Times New Roman" w:cs="Times New Roman"/>
          <w:sz w:val="24"/>
          <w:szCs w:val="24"/>
        </w:rPr>
        <w:t xml:space="preserve">Explorar la estructura factorial de </w:t>
      </w:r>
      <w:r w:rsidRPr="003770B5">
        <w:rPr>
          <w:rFonts w:ascii="Times New Roman" w:hAnsi="Times New Roman" w:cs="Times New Roman"/>
          <w:sz w:val="24"/>
          <w:szCs w:val="24"/>
          <w:lang w:val="es-US"/>
        </w:rPr>
        <w:t>la Escala de conocimiento sobre demencia-</w:t>
      </w:r>
      <w:proofErr w:type="spellStart"/>
      <w:r w:rsidRPr="003770B5">
        <w:rPr>
          <w:rFonts w:ascii="Times New Roman" w:hAnsi="Times New Roman" w:cs="Times New Roman"/>
          <w:sz w:val="24"/>
          <w:szCs w:val="24"/>
          <w:lang w:val="es-US"/>
        </w:rPr>
        <w:t>Sp</w:t>
      </w:r>
      <w:proofErr w:type="spellEnd"/>
      <w:r w:rsidRPr="003770B5">
        <w:rPr>
          <w:rFonts w:ascii="Times New Roman" w:hAnsi="Times New Roman" w:cs="Times New Roman"/>
          <w:sz w:val="24"/>
          <w:szCs w:val="24"/>
          <w:lang w:val="es-US"/>
        </w:rPr>
        <w:t xml:space="preserve"> </w:t>
      </w:r>
      <w:r w:rsidRPr="003770B5">
        <w:rPr>
          <w:rFonts w:ascii="Times New Roman" w:hAnsi="Times New Roman" w:cs="Times New Roman"/>
          <w:color w:val="231F20"/>
          <w:sz w:val="24"/>
          <w:szCs w:val="24"/>
        </w:rPr>
        <w:t>para los médicos de familia</w:t>
      </w:r>
    </w:p>
    <w:p w:rsidR="003B6C5C" w:rsidRPr="003770B5" w:rsidRDefault="003B6C5C" w:rsidP="003770B5">
      <w:pPr>
        <w:pStyle w:val="Prrafodelista"/>
        <w:numPr>
          <w:ilvl w:val="0"/>
          <w:numId w:val="8"/>
        </w:numPr>
        <w:spacing w:after="0" w:line="360" w:lineRule="auto"/>
        <w:ind w:left="0" w:firstLine="720"/>
        <w:jc w:val="both"/>
        <w:rPr>
          <w:rFonts w:ascii="Times New Roman" w:hAnsi="Times New Roman" w:cs="Times New Roman"/>
          <w:sz w:val="24"/>
          <w:szCs w:val="24"/>
        </w:rPr>
      </w:pPr>
      <w:r w:rsidRPr="003770B5">
        <w:rPr>
          <w:rFonts w:ascii="Times New Roman" w:hAnsi="Times New Roman" w:cs="Times New Roman"/>
          <w:sz w:val="24"/>
          <w:szCs w:val="24"/>
          <w:lang w:val="es-US"/>
        </w:rPr>
        <w:t xml:space="preserve">Determinar los niveles de confiabilidad </w:t>
      </w:r>
      <w:r w:rsidRPr="003770B5">
        <w:rPr>
          <w:rFonts w:ascii="Times New Roman" w:hAnsi="Times New Roman" w:cs="Times New Roman"/>
          <w:sz w:val="24"/>
          <w:szCs w:val="24"/>
        </w:rPr>
        <w:t xml:space="preserve">de </w:t>
      </w:r>
      <w:r w:rsidRPr="003770B5">
        <w:rPr>
          <w:rFonts w:ascii="Times New Roman" w:hAnsi="Times New Roman" w:cs="Times New Roman"/>
          <w:sz w:val="24"/>
          <w:szCs w:val="24"/>
          <w:lang w:val="es-US"/>
        </w:rPr>
        <w:t>la Escala de conocimiento sobre demencia-</w:t>
      </w:r>
      <w:proofErr w:type="spellStart"/>
      <w:r w:rsidRPr="003770B5">
        <w:rPr>
          <w:rFonts w:ascii="Times New Roman" w:hAnsi="Times New Roman" w:cs="Times New Roman"/>
          <w:sz w:val="24"/>
          <w:szCs w:val="24"/>
          <w:lang w:val="es-US"/>
        </w:rPr>
        <w:t>Sp</w:t>
      </w:r>
      <w:proofErr w:type="spellEnd"/>
      <w:r w:rsidRPr="003770B5">
        <w:rPr>
          <w:rFonts w:ascii="Times New Roman" w:hAnsi="Times New Roman" w:cs="Times New Roman"/>
          <w:sz w:val="24"/>
          <w:szCs w:val="24"/>
          <w:lang w:val="es-US"/>
        </w:rPr>
        <w:t xml:space="preserve"> </w:t>
      </w:r>
      <w:r w:rsidRPr="003770B5">
        <w:rPr>
          <w:rFonts w:ascii="Times New Roman" w:hAnsi="Times New Roman" w:cs="Times New Roman"/>
          <w:sz w:val="24"/>
          <w:szCs w:val="24"/>
        </w:rPr>
        <w:t>para los médicos de familia</w:t>
      </w:r>
    </w:p>
    <w:p w:rsidR="003B6C5C" w:rsidRPr="003770B5" w:rsidRDefault="003B6C5C" w:rsidP="003770B5">
      <w:pPr>
        <w:pStyle w:val="Prrafodelista"/>
        <w:numPr>
          <w:ilvl w:val="0"/>
          <w:numId w:val="8"/>
        </w:numPr>
        <w:spacing w:after="0" w:line="360" w:lineRule="auto"/>
        <w:ind w:left="0" w:firstLine="720"/>
        <w:jc w:val="both"/>
        <w:rPr>
          <w:rFonts w:ascii="Times New Roman" w:hAnsi="Times New Roman" w:cs="Times New Roman"/>
          <w:sz w:val="24"/>
          <w:szCs w:val="24"/>
        </w:rPr>
      </w:pPr>
      <w:r w:rsidRPr="003770B5">
        <w:rPr>
          <w:rFonts w:ascii="Times New Roman" w:hAnsi="Times New Roman" w:cs="Times New Roman"/>
          <w:sz w:val="24"/>
          <w:szCs w:val="24"/>
        </w:rPr>
        <w:t>Describir el conocimiento sobre la demencia en los médicos de familia</w:t>
      </w:r>
    </w:p>
    <w:p w:rsidR="00A21A1F" w:rsidRPr="003770B5" w:rsidRDefault="003B6C5C" w:rsidP="003770B5">
      <w:pPr>
        <w:spacing w:after="0" w:line="360" w:lineRule="auto"/>
        <w:ind w:firstLine="720"/>
        <w:jc w:val="both"/>
        <w:rPr>
          <w:rFonts w:ascii="Times New Roman" w:hAnsi="Times New Roman" w:cs="Times New Roman"/>
          <w:sz w:val="24"/>
          <w:szCs w:val="24"/>
          <w:lang w:val="es-US"/>
        </w:rPr>
      </w:pPr>
      <w:r w:rsidRPr="003770B5">
        <w:rPr>
          <w:rFonts w:ascii="Times New Roman" w:hAnsi="Times New Roman" w:cs="Times New Roman"/>
          <w:sz w:val="24"/>
          <w:szCs w:val="24"/>
          <w:lang w:val="es-US"/>
        </w:rPr>
        <w:t xml:space="preserve">Explorar los conocimientos que, sobre la demencia y su prevención, poseen los médicos de la familia del municipio de Santa Clara, permite el desarrollo más eficaz de su labor preventiva en la población, </w:t>
      </w:r>
      <w:r w:rsidRPr="003770B5">
        <w:rPr>
          <w:rFonts w:ascii="Times New Roman" w:hAnsi="Times New Roman" w:cs="Times New Roman"/>
          <w:sz w:val="24"/>
          <w:szCs w:val="24"/>
        </w:rPr>
        <w:t xml:space="preserve">contribuir a que se brinde una atención integral al paciente </w:t>
      </w:r>
      <w:proofErr w:type="spellStart"/>
      <w:r w:rsidRPr="003770B5">
        <w:rPr>
          <w:rFonts w:ascii="Times New Roman" w:hAnsi="Times New Roman" w:cs="Times New Roman"/>
          <w:sz w:val="24"/>
          <w:szCs w:val="24"/>
        </w:rPr>
        <w:t>demenciado</w:t>
      </w:r>
      <w:proofErr w:type="spellEnd"/>
      <w:r w:rsidRPr="003770B5">
        <w:rPr>
          <w:rFonts w:ascii="Times New Roman" w:hAnsi="Times New Roman" w:cs="Times New Roman"/>
          <w:sz w:val="24"/>
          <w:szCs w:val="24"/>
        </w:rPr>
        <w:t xml:space="preserve">, </w:t>
      </w:r>
      <w:r w:rsidRPr="003770B5">
        <w:rPr>
          <w:rFonts w:ascii="Times New Roman" w:hAnsi="Times New Roman" w:cs="Times New Roman"/>
          <w:sz w:val="24"/>
          <w:szCs w:val="24"/>
          <w:lang w:val="es-US"/>
        </w:rPr>
        <w:t xml:space="preserve">y proponer en estudios futuros la implementación de </w:t>
      </w:r>
      <w:r w:rsidRPr="003770B5">
        <w:rPr>
          <w:rFonts w:ascii="Times New Roman" w:hAnsi="Times New Roman" w:cs="Times New Roman"/>
          <w:sz w:val="24"/>
          <w:szCs w:val="24"/>
        </w:rPr>
        <w:t>estrategias de entrenamiento y capacitación.</w:t>
      </w:r>
    </w:p>
    <w:p w:rsidR="00A21A1F" w:rsidRPr="003770B5" w:rsidRDefault="00A21A1F" w:rsidP="003770B5">
      <w:pPr>
        <w:spacing w:after="0" w:line="360" w:lineRule="auto"/>
        <w:jc w:val="both"/>
        <w:rPr>
          <w:rFonts w:ascii="Times New Roman" w:hAnsi="Times New Roman" w:cs="Times New Roman"/>
          <w:b/>
          <w:sz w:val="24"/>
          <w:szCs w:val="24"/>
        </w:rPr>
      </w:pPr>
      <w:r w:rsidRPr="003770B5">
        <w:rPr>
          <w:rFonts w:ascii="Times New Roman" w:hAnsi="Times New Roman" w:cs="Times New Roman"/>
          <w:b/>
          <w:sz w:val="24"/>
          <w:szCs w:val="24"/>
        </w:rPr>
        <w:t>2. Metodología</w:t>
      </w:r>
    </w:p>
    <w:p w:rsidR="00C8347C" w:rsidRPr="00971DB0" w:rsidRDefault="00C8347C" w:rsidP="003770B5">
      <w:pPr>
        <w:spacing w:after="0" w:line="360" w:lineRule="auto"/>
        <w:ind w:firstLine="706"/>
        <w:jc w:val="both"/>
        <w:rPr>
          <w:rStyle w:val="fontstyle01"/>
          <w:rFonts w:ascii="Times New Roman" w:hAnsi="Times New Roman" w:cs="Times New Roman"/>
        </w:rPr>
      </w:pPr>
      <w:r w:rsidRPr="003770B5">
        <w:rPr>
          <w:rFonts w:ascii="Times New Roman" w:hAnsi="Times New Roman" w:cs="Times New Roman"/>
          <w:sz w:val="24"/>
          <w:szCs w:val="24"/>
        </w:rPr>
        <w:t>Para la exploración psicométrica del DKAS, se empleó un paradigma de investigación cuantitativo.</w:t>
      </w:r>
      <w:r w:rsidRPr="003770B5">
        <w:rPr>
          <w:rFonts w:ascii="Times New Roman" w:hAnsi="Times New Roman" w:cs="Times New Roman"/>
          <w:color w:val="000000"/>
          <w:sz w:val="24"/>
          <w:szCs w:val="24"/>
        </w:rPr>
        <w:t xml:space="preserve">  </w:t>
      </w:r>
      <w:r w:rsidRPr="003770B5">
        <w:rPr>
          <w:rStyle w:val="fontstyle01"/>
          <w:rFonts w:ascii="Times New Roman" w:hAnsi="Times New Roman" w:cs="Times New Roman"/>
        </w:rPr>
        <w:t xml:space="preserve">La presente investigación se encamina al desarrollo de un instrumento para el contexto cubano, específicamente a su adaptación y validación; de ahí que se optase por un diseño instrumental de acuerdo </w:t>
      </w:r>
      <w:r w:rsidRPr="00971DB0">
        <w:rPr>
          <w:rStyle w:val="fontstyle01"/>
          <w:rFonts w:ascii="Times New Roman" w:hAnsi="Times New Roman" w:cs="Times New Roman"/>
        </w:rPr>
        <w:t>con León y Montero (2002).</w:t>
      </w:r>
      <w:r w:rsidRPr="00971DB0">
        <w:rPr>
          <w:rStyle w:val="fontstyle01"/>
          <w:rFonts w:ascii="Times New Roman" w:hAnsi="Times New Roman" w:cs="Times New Roman"/>
        </w:rPr>
        <w:fldChar w:fldCharType="begin"/>
      </w:r>
      <w:r w:rsidRPr="00971DB0">
        <w:rPr>
          <w:rStyle w:val="fontstyle01"/>
          <w:rFonts w:ascii="Times New Roman" w:hAnsi="Times New Roman" w:cs="Times New Roman"/>
        </w:rPr>
        <w:instrText xml:space="preserve"> ADDIN EN.CITE &lt;EndNote&gt;&lt;Cite Hidden="1"&gt;&lt;Author&gt;León&lt;/Author&gt;&lt;Year&gt;2002&lt;/Year&gt;&lt;RecNum&gt;94&lt;/RecNum&gt;&lt;record&gt;&lt;rec-number&gt;94&lt;/rec-number&gt;&lt;foreign-keys&gt;&lt;key app="EN" db-id="5rvpf2da7ssvs8e5ww1pz9tp5tdttsdwvfzv" timestamp="0"&gt;94&lt;/key&gt;&lt;/foreign-keys&gt;&lt;ref-type name="Journal Article"&gt;17&lt;/ref-type&gt;&lt;contributors&gt;&lt;authors&gt;&lt;author&gt;León, O.G.&lt;/author&gt;&lt;author&gt;Montero, I.&lt;/author&gt;&lt;/authors&gt;&lt;/contributors&gt;&lt;titles&gt;&lt;title&gt;Clasificación y descripción de las metodologías de investigación en Psicología&lt;/title&gt;&lt;secondary-title&gt;International Journal of Clinical and Health Psychology&lt;/secondary-title&gt;&lt;/titles&gt;&lt;pages&gt;503-508&lt;/pages&gt;&lt;volume&gt;2&lt;/volume&gt;&lt;number&gt;3&lt;/number&gt;&lt;dates&gt;&lt;year&gt;2002&lt;/year&gt;&lt;/dates&gt;&lt;isbn&gt;1576-7329&lt;/isbn&gt;&lt;urls&gt;&lt;/urls&gt;&lt;/record&gt;&lt;/Cite&gt;&lt;Cite AuthorYear="1"&gt;&lt;Author&gt;León&lt;/Author&gt;&lt;Year&gt;2002&lt;/Year&gt;&lt;RecNum&gt;94&lt;/RecNum&gt;&lt;record&gt;&lt;rec-number&gt;94&lt;/rec-number&gt;&lt;foreign-keys&gt;&lt;key app="EN" db-id="5rvpf2da7ssvs8e5ww1pz9tp5tdttsdwvfzv" timestamp="0"&gt;94&lt;/key&gt;&lt;/foreign-keys&gt;&lt;ref-type name="Journal Article"&gt;17&lt;/ref-type&gt;&lt;contributors&gt;&lt;authors&gt;&lt;author&gt;León, O.G.&lt;/author&gt;&lt;author&gt;Montero, I.&lt;/author&gt;&lt;/authors&gt;&lt;/contributors&gt;&lt;titles&gt;&lt;title&gt;Clasificación y descripción de las metodologías de investigación en Psicología&lt;/title&gt;&lt;secondary-title&gt;International Journal of Clinical and Health Psychology&lt;/secondary-title&gt;&lt;/titles&gt;&lt;pages&gt;503-508&lt;/pages&gt;&lt;volume&gt;2&lt;/volume&gt;&lt;number&gt;3&lt;/number&gt;&lt;dates&gt;&lt;year&gt;2002&lt;/year&gt;&lt;/dates&gt;&lt;isbn&gt;1576-7329&lt;/isbn&gt;&lt;urls&gt;&lt;/urls&gt;&lt;/record&gt;&lt;/Cite&gt;&lt;/EndNote&gt;</w:instrText>
      </w:r>
      <w:r w:rsidRPr="00971DB0">
        <w:rPr>
          <w:rStyle w:val="fontstyle01"/>
          <w:rFonts w:ascii="Times New Roman" w:hAnsi="Times New Roman" w:cs="Times New Roman"/>
        </w:rPr>
        <w:fldChar w:fldCharType="end"/>
      </w:r>
    </w:p>
    <w:p w:rsidR="00C8347C" w:rsidRPr="00971DB0" w:rsidRDefault="00C8347C" w:rsidP="003770B5">
      <w:pPr>
        <w:spacing w:after="0" w:line="360" w:lineRule="auto"/>
        <w:jc w:val="both"/>
        <w:outlineLvl w:val="1"/>
        <w:rPr>
          <w:rStyle w:val="fontstyle01"/>
          <w:rFonts w:ascii="Times New Roman" w:hAnsi="Times New Roman" w:cs="Times New Roman"/>
          <w:b/>
        </w:rPr>
      </w:pPr>
      <w:bookmarkStart w:id="1" w:name="_Toc39130742"/>
      <w:bookmarkStart w:id="2" w:name="_Toc39130767"/>
      <w:bookmarkStart w:id="3" w:name="_Toc42715864"/>
      <w:bookmarkStart w:id="4" w:name="_Toc42716430"/>
      <w:r w:rsidRPr="00971DB0">
        <w:rPr>
          <w:rStyle w:val="fontstyle01"/>
          <w:rFonts w:ascii="Times New Roman" w:hAnsi="Times New Roman" w:cs="Times New Roman"/>
          <w:b/>
        </w:rPr>
        <w:t xml:space="preserve"> Etapas de la investigación</w:t>
      </w:r>
      <w:bookmarkEnd w:id="1"/>
      <w:bookmarkEnd w:id="2"/>
      <w:bookmarkEnd w:id="3"/>
      <w:bookmarkEnd w:id="4"/>
    </w:p>
    <w:p w:rsidR="00C8347C" w:rsidRPr="003770B5" w:rsidRDefault="00C8347C" w:rsidP="003770B5">
      <w:pPr>
        <w:spacing w:after="0" w:line="360" w:lineRule="auto"/>
        <w:ind w:firstLine="720"/>
        <w:jc w:val="both"/>
        <w:rPr>
          <w:rFonts w:ascii="Times New Roman" w:hAnsi="Times New Roman" w:cs="Times New Roman"/>
          <w:b/>
          <w:sz w:val="24"/>
          <w:szCs w:val="24"/>
        </w:rPr>
      </w:pPr>
      <w:r w:rsidRPr="00971DB0">
        <w:rPr>
          <w:rFonts w:ascii="Times New Roman" w:hAnsi="Times New Roman" w:cs="Times New Roman"/>
          <w:color w:val="000000"/>
          <w:sz w:val="24"/>
          <w:szCs w:val="24"/>
        </w:rPr>
        <w:t xml:space="preserve">La investigación presentada responde a las directrices descritas por </w:t>
      </w:r>
      <w:hyperlink w:anchor="_ENREF_52" w:tooltip="Muñiz, 2013 #44" w:history="1">
        <w:r w:rsidRPr="00971DB0">
          <w:rPr>
            <w:rFonts w:ascii="Times New Roman" w:hAnsi="Times New Roman" w:cs="Times New Roman"/>
            <w:color w:val="000000"/>
            <w:sz w:val="24"/>
            <w:szCs w:val="24"/>
          </w:rPr>
          <w:fldChar w:fldCharType="begin"/>
        </w:r>
        <w:r w:rsidRPr="00971DB0">
          <w:rPr>
            <w:rFonts w:ascii="Times New Roman" w:hAnsi="Times New Roman" w:cs="Times New Roman"/>
            <w:color w:val="000000"/>
            <w:sz w:val="24"/>
            <w:szCs w:val="24"/>
          </w:rPr>
          <w:instrText xml:space="preserve"> ADDIN EN.CITE &lt;EndNote&gt;&lt;Cite AuthorYear="1"&gt;&lt;Author&gt;Muñiz&lt;/Author&gt;&lt;Year&gt;2013&lt;/Year&gt;&lt;RecNum&gt;44&lt;/RecNum&gt;&lt;DisplayText&gt;Muñiz et al. (2013)&lt;/DisplayText&gt;&lt;record&gt;&lt;rec-number&gt;44&lt;/rec-number&gt;&lt;foreign-keys&gt;&lt;key app="EN" db-id="5rvpf2da7ssvs8e5ww1pz9tp5tdttsdwvfzv" timestamp="0"&gt;44&lt;/key&gt;&lt;/foreign-keys&gt;&lt;ref-type name="Journal Article"&gt;17&lt;/ref-type&gt;&lt;contributors&gt;&lt;authors&gt;&lt;author&gt;Muñiz, J.&lt;/author&gt;&lt;author&gt;Elosua, P.&lt;/author&gt;&lt;author&gt;Hambleton, R.K.&lt;/author&gt;&lt;/authors&gt;&lt;/contributors&gt;&lt;titles&gt;&lt;title&gt;Directrices para la traducción y adaptación de los tests: segunda edición &lt;/title&gt;&lt;secondary-title&gt;Psicotema &lt;/secondary-title&gt;&lt;/titles&gt;&lt;pages&gt;151-157 &lt;/pages&gt;&lt;volume&gt;25&lt;/volume&gt;&lt;number&gt;2&lt;/number&gt;&lt;dates&gt;&lt;year&gt;2013&lt;/year&gt;&lt;/dates&gt;&lt;urls&gt;&lt;/urls&gt;&lt;electronic-resource-num&gt;10.7334/psicothema2013.24&lt;/electronic-resource-num&gt;&lt;/record&gt;&lt;/Cite&gt;&lt;/EndNote&gt;</w:instrText>
        </w:r>
        <w:r w:rsidRPr="00971DB0">
          <w:rPr>
            <w:rFonts w:ascii="Times New Roman" w:hAnsi="Times New Roman" w:cs="Times New Roman"/>
            <w:color w:val="000000"/>
            <w:sz w:val="24"/>
            <w:szCs w:val="24"/>
          </w:rPr>
          <w:fldChar w:fldCharType="separate"/>
        </w:r>
        <w:r w:rsidRPr="00971DB0">
          <w:rPr>
            <w:rFonts w:ascii="Times New Roman" w:hAnsi="Times New Roman" w:cs="Times New Roman"/>
            <w:noProof/>
            <w:color w:val="000000"/>
            <w:sz w:val="24"/>
            <w:szCs w:val="24"/>
          </w:rPr>
          <w:t>Muñiz et al. (2013)</w:t>
        </w:r>
        <w:r w:rsidRPr="00971DB0">
          <w:rPr>
            <w:rFonts w:ascii="Times New Roman" w:hAnsi="Times New Roman" w:cs="Times New Roman"/>
            <w:color w:val="000000"/>
            <w:sz w:val="24"/>
            <w:szCs w:val="24"/>
          </w:rPr>
          <w:fldChar w:fldCharType="end"/>
        </w:r>
      </w:hyperlink>
      <w:r w:rsidRPr="00971DB0">
        <w:rPr>
          <w:rFonts w:ascii="Times New Roman" w:hAnsi="Times New Roman" w:cs="Times New Roman"/>
          <w:color w:val="000000"/>
          <w:sz w:val="24"/>
          <w:szCs w:val="24"/>
        </w:rPr>
        <w:t xml:space="preserve"> para la adaptación y validación de instrumentos psicológicos.</w:t>
      </w:r>
      <w:r w:rsidRPr="003770B5">
        <w:rPr>
          <w:rFonts w:ascii="Times New Roman" w:hAnsi="Times New Roman" w:cs="Times New Roman"/>
          <w:color w:val="000000"/>
          <w:sz w:val="24"/>
          <w:szCs w:val="24"/>
        </w:rPr>
        <w:t xml:space="preserve">  </w:t>
      </w:r>
      <w:r w:rsidRPr="003770B5">
        <w:rPr>
          <w:rFonts w:ascii="Times New Roman" w:hAnsi="Times New Roman" w:cs="Times New Roman"/>
          <w:color w:val="231F20"/>
          <w:sz w:val="24"/>
          <w:szCs w:val="24"/>
        </w:rPr>
        <w:br/>
      </w:r>
      <w:r w:rsidRPr="003770B5">
        <w:rPr>
          <w:rFonts w:ascii="Times New Roman" w:hAnsi="Times New Roman" w:cs="Times New Roman"/>
          <w:b/>
          <w:sz w:val="24"/>
          <w:szCs w:val="24"/>
        </w:rPr>
        <w:t xml:space="preserve"> Etapa previa: Marco legal, diseño y evaluación del constructo</w:t>
      </w:r>
    </w:p>
    <w:p w:rsidR="00C8347C" w:rsidRPr="003770B5" w:rsidRDefault="00C8347C" w:rsidP="003770B5">
      <w:pPr>
        <w:spacing w:after="0" w:line="360" w:lineRule="auto"/>
        <w:ind w:firstLine="720"/>
        <w:jc w:val="both"/>
        <w:rPr>
          <w:rFonts w:ascii="Times New Roman" w:hAnsi="Times New Roman" w:cs="Times New Roman"/>
          <w:sz w:val="24"/>
          <w:szCs w:val="24"/>
        </w:rPr>
      </w:pPr>
      <w:r w:rsidRPr="003770B5">
        <w:rPr>
          <w:rFonts w:ascii="Times New Roman" w:hAnsi="Times New Roman" w:cs="Times New Roman"/>
          <w:sz w:val="24"/>
          <w:szCs w:val="24"/>
        </w:rPr>
        <w:t xml:space="preserve">Como parte del proceso de obtención de los permisos para la validación, se estableció contacto vía correo electrónico con Claire </w:t>
      </w:r>
      <w:proofErr w:type="spellStart"/>
      <w:r w:rsidRPr="003770B5">
        <w:rPr>
          <w:rFonts w:ascii="Times New Roman" w:hAnsi="Times New Roman" w:cs="Times New Roman"/>
          <w:sz w:val="24"/>
          <w:szCs w:val="24"/>
        </w:rPr>
        <w:t>Eckleston</w:t>
      </w:r>
      <w:proofErr w:type="spellEnd"/>
      <w:r w:rsidRPr="003770B5">
        <w:rPr>
          <w:rFonts w:ascii="Times New Roman" w:hAnsi="Times New Roman" w:cs="Times New Roman"/>
          <w:sz w:val="24"/>
          <w:szCs w:val="24"/>
        </w:rPr>
        <w:t xml:space="preserve">, profesora del </w:t>
      </w:r>
      <w:proofErr w:type="spellStart"/>
      <w:r w:rsidRPr="003770B5">
        <w:rPr>
          <w:rFonts w:ascii="Times New Roman" w:hAnsi="Times New Roman" w:cs="Times New Roman"/>
          <w:i/>
          <w:sz w:val="24"/>
          <w:szCs w:val="24"/>
        </w:rPr>
        <w:t>Wicking</w:t>
      </w:r>
      <w:proofErr w:type="spellEnd"/>
      <w:r w:rsidR="00396584" w:rsidRPr="003770B5">
        <w:rPr>
          <w:rFonts w:ascii="Times New Roman" w:hAnsi="Times New Roman" w:cs="Times New Roman"/>
          <w:i/>
          <w:sz w:val="24"/>
          <w:szCs w:val="24"/>
        </w:rPr>
        <w:t xml:space="preserve"> </w:t>
      </w:r>
      <w:proofErr w:type="spellStart"/>
      <w:r w:rsidRPr="003770B5">
        <w:rPr>
          <w:rFonts w:ascii="Times New Roman" w:hAnsi="Times New Roman" w:cs="Times New Roman"/>
          <w:i/>
          <w:sz w:val="24"/>
          <w:szCs w:val="24"/>
        </w:rPr>
        <w:t>Dementia</w:t>
      </w:r>
      <w:proofErr w:type="spellEnd"/>
      <w:r w:rsidR="00396584" w:rsidRPr="003770B5">
        <w:rPr>
          <w:rFonts w:ascii="Times New Roman" w:hAnsi="Times New Roman" w:cs="Times New Roman"/>
          <w:i/>
          <w:sz w:val="24"/>
          <w:szCs w:val="24"/>
        </w:rPr>
        <w:t xml:space="preserve"> </w:t>
      </w:r>
      <w:proofErr w:type="spellStart"/>
      <w:r w:rsidRPr="003770B5">
        <w:rPr>
          <w:rFonts w:ascii="Times New Roman" w:hAnsi="Times New Roman" w:cs="Times New Roman"/>
          <w:i/>
          <w:sz w:val="24"/>
          <w:szCs w:val="24"/>
        </w:rPr>
        <w:t>Research</w:t>
      </w:r>
      <w:proofErr w:type="spellEnd"/>
      <w:r w:rsidRPr="003770B5">
        <w:rPr>
          <w:rFonts w:ascii="Times New Roman" w:hAnsi="Times New Roman" w:cs="Times New Roman"/>
          <w:i/>
          <w:sz w:val="24"/>
          <w:szCs w:val="24"/>
        </w:rPr>
        <w:t xml:space="preserve"> and </w:t>
      </w:r>
      <w:proofErr w:type="spellStart"/>
      <w:r w:rsidRPr="003770B5">
        <w:rPr>
          <w:rFonts w:ascii="Times New Roman" w:hAnsi="Times New Roman" w:cs="Times New Roman"/>
          <w:i/>
          <w:sz w:val="24"/>
          <w:szCs w:val="24"/>
        </w:rPr>
        <w:t>Education</w:t>
      </w:r>
      <w:proofErr w:type="spellEnd"/>
      <w:r w:rsidRPr="003770B5">
        <w:rPr>
          <w:rFonts w:ascii="Times New Roman" w:hAnsi="Times New Roman" w:cs="Times New Roman"/>
          <w:i/>
          <w:sz w:val="24"/>
          <w:szCs w:val="24"/>
        </w:rPr>
        <w:t xml:space="preserve"> Centre</w:t>
      </w:r>
      <w:r w:rsidRPr="003770B5">
        <w:rPr>
          <w:rFonts w:ascii="Times New Roman" w:hAnsi="Times New Roman" w:cs="Times New Roman"/>
          <w:sz w:val="24"/>
          <w:szCs w:val="24"/>
        </w:rPr>
        <w:t xml:space="preserve">, instituto vinculado a la Universidad de Tasmania, Australia.  Previa concesión </w:t>
      </w:r>
      <w:r w:rsidR="003770B5">
        <w:rPr>
          <w:rFonts w:ascii="Times New Roman" w:hAnsi="Times New Roman" w:cs="Times New Roman"/>
          <w:sz w:val="24"/>
          <w:szCs w:val="24"/>
        </w:rPr>
        <w:t xml:space="preserve">del permiso para la adaptación </w:t>
      </w:r>
      <w:r w:rsidRPr="003770B5">
        <w:rPr>
          <w:rFonts w:ascii="Times New Roman" w:hAnsi="Times New Roman" w:cs="Times New Roman"/>
          <w:sz w:val="24"/>
          <w:szCs w:val="24"/>
        </w:rPr>
        <w:t xml:space="preserve">se establecieron los marcos legales para el proceso de traducción y adaptación, estando ambas partes de acuerdo con seguir el protocolo de </w:t>
      </w:r>
      <w:hyperlink w:anchor="_ENREF_41" w:tooltip="Lenz, 2017 #68" w:history="1">
        <w:r w:rsidRPr="003770B5">
          <w:rPr>
            <w:rFonts w:ascii="Times New Roman" w:hAnsi="Times New Roman" w:cs="Times New Roman"/>
            <w:sz w:val="24"/>
            <w:szCs w:val="24"/>
          </w:rPr>
          <w:fldChar w:fldCharType="begin"/>
        </w:r>
        <w:r w:rsidRPr="003770B5">
          <w:rPr>
            <w:rFonts w:ascii="Times New Roman" w:hAnsi="Times New Roman" w:cs="Times New Roman"/>
            <w:sz w:val="24"/>
            <w:szCs w:val="24"/>
          </w:rPr>
          <w:instrText xml:space="preserve"> ADDIN EN.CITE &lt;EndNote&gt;&lt;Cite AuthorYear="1"&gt;&lt;Author&gt;Lenz&lt;/Author&gt;&lt;Year&gt;2017&lt;/Year&gt;&lt;RecNum&gt;68&lt;/RecNum&gt;&lt;DisplayText&gt;Lenz et al. (2017)&lt;/DisplayText&gt;&lt;record&gt;&lt;rec-number&gt;68&lt;/rec-number&gt;&lt;foreign-keys&gt;&lt;key app="EN" db-id="5rvpf2da7ssvs8e5ww1pz9tp5tdttsdwvfzv" timestamp="0"&gt;68&lt;/key&gt;&lt;/foreign-keys&gt;&lt;ref-type name="Journal Article"&gt;17&lt;/ref-type&gt;&lt;contributors&gt;&lt;authors&gt;&lt;author&gt;Lenz, A.S.&lt;/author&gt;&lt;author&gt;Gómez, I. &lt;/author&gt;&lt;author&gt;Dell&amp;apos;Aquilla, J.&lt;/author&gt;&lt;author&gt;Martinez, U.&lt;/author&gt;&lt;/authors&gt;&lt;/contributors&gt;&lt;titles&gt;&lt;title&gt;Translation and Cross-Cultural Adaptation of Assessments for Use in Counseling Research&lt;/title&gt;&lt;secondary-title&gt;Measurement and Evaluation in Counseling and Development&lt;/secondary-title&gt;&lt;/titles&gt;&lt;pages&gt;224-231&lt;/pages&gt;&lt;volume&gt;50&lt;/volume&gt;&lt;number&gt;4&lt;/number&gt;&lt;dates&gt;&lt;year&gt;2017&lt;/year&gt;&lt;/dates&gt;&lt;isbn&gt;0748-1756 &lt;/isbn&gt;&lt;urls&gt;&lt;/urls&gt;&lt;electronic-resource-num&gt;10.1080/07481756.2017.1320947&lt;/electronic-resource-num&gt;&lt;/record&gt;&lt;/Cite&gt;&lt;/EndNote&gt;</w:instrText>
        </w:r>
        <w:r w:rsidRPr="003770B5">
          <w:rPr>
            <w:rFonts w:ascii="Times New Roman" w:hAnsi="Times New Roman" w:cs="Times New Roman"/>
            <w:sz w:val="24"/>
            <w:szCs w:val="24"/>
          </w:rPr>
          <w:fldChar w:fldCharType="separate"/>
        </w:r>
        <w:r w:rsidRPr="003770B5">
          <w:rPr>
            <w:rFonts w:ascii="Times New Roman" w:hAnsi="Times New Roman" w:cs="Times New Roman"/>
            <w:noProof/>
            <w:sz w:val="24"/>
            <w:szCs w:val="24"/>
          </w:rPr>
          <w:t>Lenz et al. (2017)</w:t>
        </w:r>
        <w:r w:rsidRPr="003770B5">
          <w:rPr>
            <w:rFonts w:ascii="Times New Roman" w:hAnsi="Times New Roman" w:cs="Times New Roman"/>
            <w:sz w:val="24"/>
            <w:szCs w:val="24"/>
          </w:rPr>
          <w:fldChar w:fldCharType="end"/>
        </w:r>
      </w:hyperlink>
    </w:p>
    <w:p w:rsidR="00C8347C" w:rsidRPr="003770B5" w:rsidRDefault="00C8347C" w:rsidP="003770B5">
      <w:pPr>
        <w:spacing w:after="0" w:line="360" w:lineRule="auto"/>
        <w:ind w:firstLine="706"/>
        <w:jc w:val="both"/>
        <w:rPr>
          <w:rFonts w:ascii="Times New Roman" w:hAnsi="Times New Roman" w:cs="Times New Roman"/>
          <w:sz w:val="24"/>
          <w:szCs w:val="24"/>
        </w:rPr>
      </w:pPr>
      <w:r w:rsidRPr="003770B5">
        <w:rPr>
          <w:rFonts w:ascii="Times New Roman" w:hAnsi="Times New Roman" w:cs="Times New Roman"/>
          <w:sz w:val="24"/>
          <w:szCs w:val="24"/>
        </w:rPr>
        <w:t xml:space="preserve">Para el proceso de adaptación y validación del instrumento, se tomaron como referencias las prácticas profesionales asumidas desde el Departamento de Psicología de la Universidad “Marta Abreu” de Las Villas (UCLV), institución desde la que se desarrolló el diseño de investigación, así como las prácticas relativas al </w:t>
      </w:r>
      <w:proofErr w:type="spellStart"/>
      <w:r w:rsidRPr="003770B5">
        <w:rPr>
          <w:rFonts w:ascii="Times New Roman" w:hAnsi="Times New Roman" w:cs="Times New Roman"/>
          <w:i/>
          <w:sz w:val="24"/>
          <w:szCs w:val="24"/>
        </w:rPr>
        <w:t>Wicking</w:t>
      </w:r>
      <w:proofErr w:type="spellEnd"/>
      <w:r w:rsidRPr="003770B5">
        <w:rPr>
          <w:rFonts w:ascii="Times New Roman" w:hAnsi="Times New Roman" w:cs="Times New Roman"/>
          <w:i/>
          <w:sz w:val="24"/>
          <w:szCs w:val="24"/>
        </w:rPr>
        <w:t xml:space="preserve"> </w:t>
      </w:r>
      <w:proofErr w:type="spellStart"/>
      <w:r w:rsidRPr="003770B5">
        <w:rPr>
          <w:rFonts w:ascii="Times New Roman" w:hAnsi="Times New Roman" w:cs="Times New Roman"/>
          <w:i/>
          <w:sz w:val="24"/>
          <w:szCs w:val="24"/>
        </w:rPr>
        <w:t>Dementia</w:t>
      </w:r>
      <w:proofErr w:type="spellEnd"/>
      <w:r w:rsidRPr="003770B5">
        <w:rPr>
          <w:rFonts w:ascii="Times New Roman" w:hAnsi="Times New Roman" w:cs="Times New Roman"/>
          <w:i/>
          <w:sz w:val="24"/>
          <w:szCs w:val="24"/>
        </w:rPr>
        <w:t xml:space="preserve"> </w:t>
      </w:r>
      <w:proofErr w:type="spellStart"/>
      <w:r w:rsidRPr="003770B5">
        <w:rPr>
          <w:rFonts w:ascii="Times New Roman" w:hAnsi="Times New Roman" w:cs="Times New Roman"/>
          <w:i/>
          <w:sz w:val="24"/>
          <w:szCs w:val="24"/>
        </w:rPr>
        <w:t>Research</w:t>
      </w:r>
      <w:proofErr w:type="spellEnd"/>
      <w:r w:rsidRPr="003770B5">
        <w:rPr>
          <w:rFonts w:ascii="Times New Roman" w:hAnsi="Times New Roman" w:cs="Times New Roman"/>
          <w:i/>
          <w:sz w:val="24"/>
          <w:szCs w:val="24"/>
        </w:rPr>
        <w:t xml:space="preserve"> and </w:t>
      </w:r>
      <w:proofErr w:type="spellStart"/>
      <w:r w:rsidRPr="003770B5">
        <w:rPr>
          <w:rFonts w:ascii="Times New Roman" w:hAnsi="Times New Roman" w:cs="Times New Roman"/>
          <w:i/>
          <w:sz w:val="24"/>
          <w:szCs w:val="24"/>
        </w:rPr>
        <w:t>Education</w:t>
      </w:r>
      <w:proofErr w:type="spellEnd"/>
      <w:r w:rsidRPr="003770B5">
        <w:rPr>
          <w:rFonts w:ascii="Times New Roman" w:hAnsi="Times New Roman" w:cs="Times New Roman"/>
          <w:i/>
          <w:sz w:val="24"/>
          <w:szCs w:val="24"/>
        </w:rPr>
        <w:t xml:space="preserve"> Centre.  </w:t>
      </w:r>
    </w:p>
    <w:p w:rsidR="00C8347C" w:rsidRPr="003770B5" w:rsidRDefault="00C8347C" w:rsidP="003770B5">
      <w:pPr>
        <w:spacing w:after="0" w:line="360" w:lineRule="auto"/>
        <w:jc w:val="both"/>
        <w:rPr>
          <w:rFonts w:ascii="Times New Roman" w:eastAsia="Times New Roman" w:hAnsi="Times New Roman" w:cs="Times New Roman"/>
          <w:b/>
          <w:bCs/>
          <w:color w:val="231F20"/>
          <w:sz w:val="24"/>
          <w:szCs w:val="24"/>
          <w:lang w:eastAsia="es-ES"/>
        </w:rPr>
      </w:pPr>
      <w:r w:rsidRPr="003770B5">
        <w:rPr>
          <w:rFonts w:ascii="Times New Roman" w:hAnsi="Times New Roman" w:cs="Times New Roman"/>
          <w:b/>
          <w:sz w:val="24"/>
          <w:szCs w:val="24"/>
        </w:rPr>
        <w:t xml:space="preserve"> Etapa de Desarrollo:</w:t>
      </w:r>
      <w:r w:rsidRPr="003770B5">
        <w:rPr>
          <w:rFonts w:ascii="Times New Roman" w:eastAsia="Times New Roman" w:hAnsi="Times New Roman" w:cs="Times New Roman"/>
          <w:b/>
          <w:bCs/>
          <w:color w:val="231F20"/>
          <w:sz w:val="24"/>
          <w:szCs w:val="24"/>
          <w:lang w:eastAsia="es-ES"/>
        </w:rPr>
        <w:t xml:space="preserve"> Adaptación lingüística y cultural.  Estudios piloto</w:t>
      </w:r>
    </w:p>
    <w:p w:rsidR="00C8347C" w:rsidRPr="003770B5" w:rsidRDefault="00C8347C" w:rsidP="003770B5">
      <w:pPr>
        <w:spacing w:after="0" w:line="360" w:lineRule="auto"/>
        <w:ind w:firstLine="706"/>
        <w:jc w:val="both"/>
        <w:rPr>
          <w:rFonts w:ascii="Times New Roman" w:hAnsi="Times New Roman" w:cs="Times New Roman"/>
          <w:sz w:val="24"/>
          <w:szCs w:val="24"/>
        </w:rPr>
      </w:pPr>
      <w:r w:rsidRPr="003770B5">
        <w:rPr>
          <w:rFonts w:ascii="Times New Roman" w:hAnsi="Times New Roman" w:cs="Times New Roman"/>
          <w:sz w:val="24"/>
          <w:szCs w:val="24"/>
        </w:rPr>
        <w:lastRenderedPageBreak/>
        <w:t xml:space="preserve">Durante el proceso de adaptación se contó con la colaboración de varios expertos en el idioma de referencia del instrumento (inglés) y Neuropsicología como garantía para la adaptación lingüística, psicológica y cultural.  Para ello se empleó el procedimiento recomendado por </w:t>
      </w:r>
      <w:hyperlink w:anchor="_ENREF_41" w:tooltip="Lenz, 2017 #68" w:history="1">
        <w:r w:rsidRPr="003770B5">
          <w:rPr>
            <w:rFonts w:ascii="Times New Roman" w:hAnsi="Times New Roman" w:cs="Times New Roman"/>
            <w:sz w:val="24"/>
            <w:szCs w:val="24"/>
          </w:rPr>
          <w:fldChar w:fldCharType="begin"/>
        </w:r>
        <w:r w:rsidRPr="003770B5">
          <w:rPr>
            <w:rFonts w:ascii="Times New Roman" w:hAnsi="Times New Roman" w:cs="Times New Roman"/>
            <w:sz w:val="24"/>
            <w:szCs w:val="24"/>
          </w:rPr>
          <w:instrText xml:space="preserve"> ADDIN EN.CITE &lt;EndNote&gt;&lt;Cite AuthorYear="1"&gt;&lt;Author&gt;Lenz&lt;/Author&gt;&lt;Year&gt;2017&lt;/Year&gt;&lt;RecNum&gt;68&lt;/RecNum&gt;&lt;DisplayText&gt;Lenz et al. (2017)&lt;/DisplayText&gt;&lt;record&gt;&lt;rec-number&gt;68&lt;/rec-number&gt;&lt;foreign-keys&gt;&lt;key app="EN" db-id="5rvpf2da7ssvs8e5ww1pz9tp5tdttsdwvfzv" timestamp="0"&gt;68&lt;/key&gt;&lt;/foreign-keys&gt;&lt;ref-type name="Journal Article"&gt;17&lt;/ref-type&gt;&lt;contributors&gt;&lt;authors&gt;&lt;author&gt;Lenz, A.S.&lt;/author&gt;&lt;author&gt;Gómez, I. &lt;/author&gt;&lt;author&gt;Dell&amp;apos;Aquilla, J.&lt;/author&gt;&lt;author&gt;Martinez, U.&lt;/author&gt;&lt;/authors&gt;&lt;/contributors&gt;&lt;titles&gt;&lt;title&gt;Translation and Cross-Cultural Adaptation of Assessments for Use in Counseling Research&lt;/title&gt;&lt;secondary-title&gt;Measurement and Evaluation in Counseling and Development&lt;/secondary-title&gt;&lt;/titles&gt;&lt;pages&gt;224-231&lt;/pages&gt;&lt;volume&gt;50&lt;/volume&gt;&lt;number&gt;4&lt;/number&gt;&lt;dates&gt;&lt;year&gt;2017&lt;/year&gt;&lt;/dates&gt;&lt;isbn&gt;0748-1756 &lt;/isbn&gt;&lt;urls&gt;&lt;/urls&gt;&lt;electronic-resource-num&gt;10.1080/07481756.2017.1320947&lt;/electronic-resource-num&gt;&lt;/record&gt;&lt;/Cite&gt;&lt;/EndNote&gt;</w:instrText>
        </w:r>
        <w:r w:rsidRPr="003770B5">
          <w:rPr>
            <w:rFonts w:ascii="Times New Roman" w:hAnsi="Times New Roman" w:cs="Times New Roman"/>
            <w:sz w:val="24"/>
            <w:szCs w:val="24"/>
          </w:rPr>
          <w:fldChar w:fldCharType="separate"/>
        </w:r>
        <w:r w:rsidRPr="003770B5">
          <w:rPr>
            <w:rFonts w:ascii="Times New Roman" w:hAnsi="Times New Roman" w:cs="Times New Roman"/>
            <w:noProof/>
            <w:sz w:val="24"/>
            <w:szCs w:val="24"/>
          </w:rPr>
          <w:t>Lenz et al. (2017)</w:t>
        </w:r>
        <w:r w:rsidRPr="003770B5">
          <w:rPr>
            <w:rFonts w:ascii="Times New Roman" w:hAnsi="Times New Roman" w:cs="Times New Roman"/>
            <w:sz w:val="24"/>
            <w:szCs w:val="24"/>
          </w:rPr>
          <w:fldChar w:fldCharType="end"/>
        </w:r>
      </w:hyperlink>
      <w:r w:rsidRPr="003770B5">
        <w:rPr>
          <w:rFonts w:ascii="Times New Roman" w:hAnsi="Times New Roman" w:cs="Times New Roman"/>
          <w:sz w:val="24"/>
          <w:szCs w:val="24"/>
        </w:rPr>
        <w:t>.</w:t>
      </w:r>
    </w:p>
    <w:p w:rsidR="00C8347C" w:rsidRPr="003770B5" w:rsidRDefault="00C8347C" w:rsidP="003770B5">
      <w:pPr>
        <w:spacing w:after="0" w:line="360" w:lineRule="auto"/>
        <w:ind w:firstLine="706"/>
        <w:jc w:val="both"/>
        <w:rPr>
          <w:rFonts w:ascii="Times New Roman" w:hAnsi="Times New Roman" w:cs="Times New Roman"/>
          <w:sz w:val="24"/>
          <w:szCs w:val="24"/>
        </w:rPr>
      </w:pPr>
      <w:r w:rsidRPr="003770B5">
        <w:rPr>
          <w:rFonts w:ascii="Times New Roman" w:hAnsi="Times New Roman" w:cs="Times New Roman"/>
          <w:sz w:val="24"/>
          <w:szCs w:val="24"/>
        </w:rPr>
        <w:t xml:space="preserve">Inicialmente se realizó la traducción directa del DKAS por parte de dos investigadores vinculados al Departamento de Psicología de la Universidad Central “Marta Abreu” de las Villas.  Esta traducción fue revisada, de modo tal que se identificaron algunos términos que, una vez realizada la traducción directa, carecían de familiaridad cultural.  Esta segunda versión, con la adaptación cultural de los términos, fue sometida a una nueva revisión por dos especialistas en lengua Inglesa del Centro de Idioma de la UCLV.  Ambas versiones, la traducción con adaptación cultural y la </w:t>
      </w:r>
      <w:proofErr w:type="spellStart"/>
      <w:r w:rsidRPr="003770B5">
        <w:rPr>
          <w:rFonts w:ascii="Times New Roman" w:hAnsi="Times New Roman" w:cs="Times New Roman"/>
          <w:sz w:val="24"/>
          <w:szCs w:val="24"/>
        </w:rPr>
        <w:t>retrotraducción</w:t>
      </w:r>
      <w:proofErr w:type="spellEnd"/>
      <w:r w:rsidRPr="003770B5">
        <w:rPr>
          <w:rFonts w:ascii="Times New Roman" w:hAnsi="Times New Roman" w:cs="Times New Roman"/>
          <w:sz w:val="24"/>
          <w:szCs w:val="24"/>
        </w:rPr>
        <w:t xml:space="preserve"> realizadas en dicha institución fueron valoradas por expertos del </w:t>
      </w:r>
      <w:proofErr w:type="spellStart"/>
      <w:r w:rsidRPr="003770B5">
        <w:rPr>
          <w:rFonts w:ascii="Times New Roman" w:hAnsi="Times New Roman" w:cs="Times New Roman"/>
          <w:i/>
          <w:sz w:val="24"/>
          <w:szCs w:val="24"/>
        </w:rPr>
        <w:t>Wicking</w:t>
      </w:r>
      <w:proofErr w:type="spellEnd"/>
      <w:r w:rsidR="00971DB0">
        <w:rPr>
          <w:rFonts w:ascii="Times New Roman" w:hAnsi="Times New Roman" w:cs="Times New Roman"/>
          <w:i/>
          <w:sz w:val="24"/>
          <w:szCs w:val="24"/>
        </w:rPr>
        <w:t xml:space="preserve"> </w:t>
      </w:r>
      <w:proofErr w:type="spellStart"/>
      <w:r w:rsidRPr="003770B5">
        <w:rPr>
          <w:rFonts w:ascii="Times New Roman" w:hAnsi="Times New Roman" w:cs="Times New Roman"/>
          <w:i/>
          <w:sz w:val="24"/>
          <w:szCs w:val="24"/>
        </w:rPr>
        <w:t>Dementia</w:t>
      </w:r>
      <w:proofErr w:type="spellEnd"/>
      <w:r w:rsidR="00971DB0">
        <w:rPr>
          <w:rFonts w:ascii="Times New Roman" w:hAnsi="Times New Roman" w:cs="Times New Roman"/>
          <w:i/>
          <w:sz w:val="24"/>
          <w:szCs w:val="24"/>
        </w:rPr>
        <w:t xml:space="preserve"> </w:t>
      </w:r>
      <w:proofErr w:type="spellStart"/>
      <w:r w:rsidRPr="003770B5">
        <w:rPr>
          <w:rFonts w:ascii="Times New Roman" w:hAnsi="Times New Roman" w:cs="Times New Roman"/>
          <w:i/>
          <w:sz w:val="24"/>
          <w:szCs w:val="24"/>
        </w:rPr>
        <w:t>Research</w:t>
      </w:r>
      <w:proofErr w:type="spellEnd"/>
      <w:r w:rsidRPr="003770B5">
        <w:rPr>
          <w:rFonts w:ascii="Times New Roman" w:hAnsi="Times New Roman" w:cs="Times New Roman"/>
          <w:i/>
          <w:sz w:val="24"/>
          <w:szCs w:val="24"/>
        </w:rPr>
        <w:t xml:space="preserve"> and </w:t>
      </w:r>
      <w:proofErr w:type="spellStart"/>
      <w:r w:rsidRPr="003770B5">
        <w:rPr>
          <w:rFonts w:ascii="Times New Roman" w:hAnsi="Times New Roman" w:cs="Times New Roman"/>
          <w:i/>
          <w:sz w:val="24"/>
          <w:szCs w:val="24"/>
        </w:rPr>
        <w:t>Education</w:t>
      </w:r>
      <w:proofErr w:type="spellEnd"/>
      <w:r w:rsidRPr="003770B5">
        <w:rPr>
          <w:rFonts w:ascii="Times New Roman" w:hAnsi="Times New Roman" w:cs="Times New Roman"/>
          <w:i/>
          <w:sz w:val="24"/>
          <w:szCs w:val="24"/>
        </w:rPr>
        <w:t xml:space="preserve"> Centre. </w:t>
      </w:r>
    </w:p>
    <w:p w:rsidR="00C8347C" w:rsidRPr="003770B5" w:rsidRDefault="00C8347C" w:rsidP="003770B5">
      <w:pPr>
        <w:spacing w:after="0" w:line="360" w:lineRule="auto"/>
        <w:ind w:firstLine="720"/>
        <w:jc w:val="both"/>
        <w:rPr>
          <w:rFonts w:ascii="Times New Roman" w:hAnsi="Times New Roman" w:cs="Times New Roman"/>
          <w:sz w:val="24"/>
          <w:szCs w:val="24"/>
        </w:rPr>
      </w:pPr>
      <w:r w:rsidRPr="003770B5">
        <w:rPr>
          <w:rFonts w:ascii="Times New Roman" w:eastAsia="Times New Roman" w:hAnsi="Times New Roman" w:cs="Times New Roman"/>
          <w:sz w:val="24"/>
          <w:szCs w:val="24"/>
          <w:lang w:eastAsia="es-US"/>
        </w:rPr>
        <w:t xml:space="preserve">A continuación se realizó la </w:t>
      </w:r>
      <w:r w:rsidRPr="003770B5">
        <w:rPr>
          <w:rFonts w:ascii="Times New Roman" w:eastAsia="Times New Roman" w:hAnsi="Times New Roman" w:cs="Times New Roman"/>
          <w:bCs/>
          <w:iCs/>
          <w:sz w:val="24"/>
          <w:szCs w:val="24"/>
          <w:lang w:eastAsia="es-US"/>
        </w:rPr>
        <w:t>revisión de la tr</w:t>
      </w:r>
      <w:r w:rsidR="00E6503A">
        <w:rPr>
          <w:rFonts w:ascii="Times New Roman" w:eastAsia="Times New Roman" w:hAnsi="Times New Roman" w:cs="Times New Roman"/>
          <w:bCs/>
          <w:iCs/>
          <w:sz w:val="24"/>
          <w:szCs w:val="24"/>
          <w:lang w:eastAsia="es-US"/>
        </w:rPr>
        <w:t xml:space="preserve">aducción y posterior </w:t>
      </w:r>
      <w:r w:rsidRPr="003770B5">
        <w:rPr>
          <w:rFonts w:ascii="Times New Roman" w:eastAsia="Times New Roman" w:hAnsi="Times New Roman" w:cs="Times New Roman"/>
          <w:sz w:val="24"/>
          <w:szCs w:val="24"/>
          <w:lang w:eastAsia="es-US"/>
        </w:rPr>
        <w:t>a esto se realizó la t</w:t>
      </w:r>
      <w:r w:rsidRPr="003770B5">
        <w:rPr>
          <w:rFonts w:ascii="Times New Roman" w:eastAsia="Times New Roman" w:hAnsi="Times New Roman" w:cs="Times New Roman"/>
          <w:bCs/>
          <w:iCs/>
          <w:sz w:val="24"/>
          <w:szCs w:val="24"/>
          <w:lang w:eastAsia="es-US"/>
        </w:rPr>
        <w:t>raducción inversa</w:t>
      </w:r>
      <w:r w:rsidRPr="003770B5">
        <w:rPr>
          <w:rFonts w:ascii="Times New Roman" w:eastAsia="Times New Roman" w:hAnsi="Times New Roman" w:cs="Times New Roman"/>
          <w:sz w:val="24"/>
          <w:szCs w:val="24"/>
          <w:lang w:eastAsia="es-US"/>
        </w:rPr>
        <w:t xml:space="preserve"> que implica la conversión de la traducción del idioma de destino al idioma de origen.  Luego se llevó a cabo la r</w:t>
      </w:r>
      <w:r w:rsidRPr="003770B5">
        <w:rPr>
          <w:rFonts w:ascii="Times New Roman" w:eastAsia="Times New Roman" w:hAnsi="Times New Roman" w:cs="Times New Roman"/>
          <w:bCs/>
          <w:iCs/>
          <w:sz w:val="24"/>
          <w:szCs w:val="24"/>
          <w:lang w:eastAsia="es-US"/>
        </w:rPr>
        <w:t>evisión y posterior adaptación cultural</w:t>
      </w:r>
      <w:r w:rsidRPr="003770B5">
        <w:rPr>
          <w:rFonts w:ascii="Times New Roman" w:eastAsia="Times New Roman" w:hAnsi="Times New Roman" w:cs="Times New Roman"/>
          <w:sz w:val="24"/>
          <w:szCs w:val="24"/>
          <w:lang w:eastAsia="es-US"/>
        </w:rPr>
        <w:t xml:space="preserve"> donde el equipo de trabajo revisó la versión traducida en reversa en referencia al documento original y reenvió la traducción para hacer más adaptaciones culturales al documento original, hasta que entre los expertos se alcanzó un consenso general sobre la representatividad de las instrucciones, artículos y respuestas.  </w:t>
      </w:r>
      <w:r w:rsidRPr="003770B5">
        <w:rPr>
          <w:rFonts w:ascii="Times New Roman" w:hAnsi="Times New Roman" w:cs="Times New Roman"/>
          <w:sz w:val="24"/>
          <w:szCs w:val="24"/>
        </w:rPr>
        <w:t>Finalmente, teniendo en cuenta los elementos anteriores, se contó con la aprobación para la implementación por parte de los autores del instrumento</w:t>
      </w:r>
      <w:r w:rsidR="00E6503A">
        <w:rPr>
          <w:rFonts w:ascii="Times New Roman" w:hAnsi="Times New Roman" w:cs="Times New Roman"/>
          <w:sz w:val="24"/>
          <w:szCs w:val="24"/>
        </w:rPr>
        <w:t>.</w:t>
      </w:r>
    </w:p>
    <w:p w:rsidR="00C8347C" w:rsidRPr="003770B5" w:rsidRDefault="00C8347C" w:rsidP="003770B5">
      <w:pPr>
        <w:spacing w:after="0" w:line="360" w:lineRule="auto"/>
        <w:ind w:firstLine="706"/>
        <w:jc w:val="both"/>
        <w:rPr>
          <w:rFonts w:ascii="Times New Roman" w:hAnsi="Times New Roman" w:cs="Times New Roman"/>
          <w:sz w:val="24"/>
          <w:szCs w:val="24"/>
        </w:rPr>
      </w:pPr>
      <w:r w:rsidRPr="003770B5">
        <w:rPr>
          <w:rFonts w:ascii="Times New Roman" w:hAnsi="Times New Roman" w:cs="Times New Roman"/>
          <w:sz w:val="24"/>
          <w:szCs w:val="24"/>
        </w:rPr>
        <w:t>Durante esta etapa se realizó el pilotaje del DKA</w:t>
      </w:r>
      <w:r w:rsidR="00A44E76">
        <w:rPr>
          <w:rFonts w:ascii="Times New Roman" w:hAnsi="Times New Roman" w:cs="Times New Roman"/>
          <w:sz w:val="24"/>
          <w:szCs w:val="24"/>
        </w:rPr>
        <w:t>,</w:t>
      </w:r>
      <w:r w:rsidRPr="003770B5">
        <w:rPr>
          <w:rFonts w:ascii="Times New Roman" w:hAnsi="Times New Roman" w:cs="Times New Roman"/>
          <w:sz w:val="24"/>
          <w:szCs w:val="24"/>
        </w:rPr>
        <w:t xml:space="preserve"> a partir de las recomendaciones de </w:t>
      </w:r>
      <w:hyperlink w:anchor="_ENREF_45" w:tooltip="Martinez, 2005 #459" w:history="1">
        <w:r w:rsidRPr="003770B5">
          <w:rPr>
            <w:rFonts w:ascii="Times New Roman" w:hAnsi="Times New Roman" w:cs="Times New Roman"/>
            <w:sz w:val="24"/>
            <w:szCs w:val="24"/>
          </w:rPr>
          <w:fldChar w:fldCharType="begin"/>
        </w:r>
        <w:r w:rsidRPr="003770B5">
          <w:rPr>
            <w:rFonts w:ascii="Times New Roman" w:hAnsi="Times New Roman" w:cs="Times New Roman"/>
            <w:sz w:val="24"/>
            <w:szCs w:val="24"/>
          </w:rPr>
          <w:instrText xml:space="preserve"> ADDIN EN.CITE &lt;EndNote&gt;&lt;Cite AuthorYear="1"&gt;&lt;Author&gt;Martinez&lt;/Author&gt;&lt;Year&gt;2005&lt;/Year&gt;&lt;RecNum&gt;459&lt;/RecNum&gt;&lt;DisplayText&gt;Martinez (2005)&lt;/DisplayText&gt;&lt;record&gt;&lt;rec-number&gt;459&lt;/rec-number&gt;&lt;foreign-keys&gt;&lt;key app="EN" db-id="ew5zv90595pe0ier0xlpxr0p5f0rra0svtpa" timestamp="1546177896"&gt;459&lt;/key&gt;&lt;/foreign-keys&gt;&lt;ref-type name="Book"&gt;6&lt;/ref-type&gt;&lt;contributors&gt;&lt;authors&gt;&lt;author&gt;Martinez, R.&lt;/author&gt;&lt;/authors&gt;&lt;/contributors&gt;&lt;titles&gt;&lt;title&gt;Psicometría: teoría de los tests psicológicos y educativos&lt;/title&gt;&lt;secondary-title&gt;Metodología de las Ciencias del Comportamiento&lt;/secondary-title&gt;&lt;/titles&gt;&lt;dates&gt;&lt;year&gt;2005&lt;/year&gt;&lt;/dates&gt;&lt;pub-location&gt;Madrid, España&lt;/pub-location&gt;&lt;publisher&gt;Sintesis Psicológica&lt;/publisher&gt;&lt;isbn&gt;84-7738-271-9&lt;/isbn&gt;&lt;urls&gt;&lt;/urls&gt;&lt;/record&gt;&lt;/Cite&gt;&lt;/EndNote&gt;</w:instrText>
        </w:r>
        <w:r w:rsidRPr="003770B5">
          <w:rPr>
            <w:rFonts w:ascii="Times New Roman" w:hAnsi="Times New Roman" w:cs="Times New Roman"/>
            <w:sz w:val="24"/>
            <w:szCs w:val="24"/>
          </w:rPr>
          <w:fldChar w:fldCharType="separate"/>
        </w:r>
        <w:r w:rsidRPr="003770B5">
          <w:rPr>
            <w:rFonts w:ascii="Times New Roman" w:hAnsi="Times New Roman" w:cs="Times New Roman"/>
            <w:noProof/>
            <w:sz w:val="24"/>
            <w:szCs w:val="24"/>
          </w:rPr>
          <w:t>Martinez (2005)</w:t>
        </w:r>
        <w:r w:rsidRPr="003770B5">
          <w:rPr>
            <w:rFonts w:ascii="Times New Roman" w:hAnsi="Times New Roman" w:cs="Times New Roman"/>
            <w:sz w:val="24"/>
            <w:szCs w:val="24"/>
          </w:rPr>
          <w:fldChar w:fldCharType="end"/>
        </w:r>
      </w:hyperlink>
      <w:r w:rsidRPr="003770B5">
        <w:rPr>
          <w:rFonts w:ascii="Times New Roman" w:hAnsi="Times New Roman" w:cs="Times New Roman"/>
          <w:sz w:val="24"/>
          <w:szCs w:val="24"/>
        </w:rPr>
        <w:t>.  La muestra estuvo conformada por</w:t>
      </w:r>
      <w:r w:rsidR="00396584" w:rsidRPr="003770B5">
        <w:rPr>
          <w:rFonts w:ascii="Times New Roman" w:hAnsi="Times New Roman" w:cs="Times New Roman"/>
          <w:sz w:val="24"/>
          <w:szCs w:val="24"/>
        </w:rPr>
        <w:t xml:space="preserve"> </w:t>
      </w:r>
      <w:r w:rsidRPr="003770B5">
        <w:rPr>
          <w:rFonts w:ascii="Times New Roman" w:hAnsi="Times New Roman" w:cs="Times New Roman"/>
          <w:sz w:val="24"/>
          <w:szCs w:val="24"/>
        </w:rPr>
        <w:t xml:space="preserve">médicos, enfermeros, profesores y estudiantes de medicina y enfermería para un total de 75 personas.  El nivel de conocimiento sobre las causas de la demencia, así como de la comunicación y el comportamiento de personas con demencia se evaluaron de insuficiente.  En cuanto al conocimiento sobre el cuidado de pacientes con demencia, este indicador mostró los más altos índices de conocimiento.  El conocimiento identificado sobre los factores de riesgo, la prevención y promoción de salud es calificado de muy pobre siendo este el tema de peor preparación en estas personas.  De manera general se caracterizó el conocimiento sobre la demencia en el personal de salud </w:t>
      </w:r>
      <w:r w:rsidRPr="003770B5">
        <w:rPr>
          <w:rFonts w:ascii="Times New Roman" w:hAnsi="Times New Roman" w:cs="Times New Roman"/>
          <w:sz w:val="24"/>
          <w:szCs w:val="24"/>
        </w:rPr>
        <w:lastRenderedPageBreak/>
        <w:t>en Santa Clara como deficiente.  Adicionalmente las valoraciones acerca de la calidad del instrumento fueron en su mayoría favorables.</w:t>
      </w:r>
    </w:p>
    <w:p w:rsidR="00C8347C" w:rsidRPr="003770B5" w:rsidRDefault="00C8347C" w:rsidP="003770B5">
      <w:pPr>
        <w:spacing w:after="0" w:line="360" w:lineRule="auto"/>
        <w:jc w:val="both"/>
        <w:rPr>
          <w:rFonts w:ascii="Times New Roman" w:hAnsi="Times New Roman" w:cs="Times New Roman"/>
          <w:sz w:val="24"/>
          <w:szCs w:val="24"/>
        </w:rPr>
      </w:pPr>
      <w:r w:rsidRPr="003770B5">
        <w:rPr>
          <w:rFonts w:ascii="Times New Roman" w:hAnsi="Times New Roman" w:cs="Times New Roman"/>
          <w:b/>
          <w:sz w:val="24"/>
          <w:szCs w:val="24"/>
        </w:rPr>
        <w:t xml:space="preserve"> Etapa de Confirmación.  </w:t>
      </w:r>
      <w:r w:rsidRPr="003770B5">
        <w:rPr>
          <w:rFonts w:ascii="Times New Roman" w:eastAsia="Times New Roman" w:hAnsi="Times New Roman" w:cs="Times New Roman"/>
          <w:b/>
          <w:bCs/>
          <w:color w:val="231F20"/>
          <w:sz w:val="24"/>
          <w:szCs w:val="24"/>
          <w:lang w:eastAsia="es-ES"/>
        </w:rPr>
        <w:t>Recogida de datos.  Equivalencia, fiabilidad y validación</w:t>
      </w:r>
    </w:p>
    <w:p w:rsidR="00C8347C" w:rsidRPr="003770B5" w:rsidRDefault="00C8347C" w:rsidP="003770B5">
      <w:pPr>
        <w:spacing w:after="0" w:line="360" w:lineRule="auto"/>
        <w:ind w:firstLine="720"/>
        <w:jc w:val="both"/>
        <w:rPr>
          <w:rFonts w:ascii="Times New Roman" w:hAnsi="Times New Roman" w:cs="Times New Roman"/>
          <w:color w:val="000000"/>
          <w:sz w:val="24"/>
          <w:szCs w:val="24"/>
        </w:rPr>
      </w:pPr>
      <w:r w:rsidRPr="003770B5">
        <w:rPr>
          <w:rFonts w:ascii="Times New Roman" w:hAnsi="Times New Roman" w:cs="Times New Roman"/>
          <w:sz w:val="24"/>
          <w:szCs w:val="24"/>
        </w:rPr>
        <w:t xml:space="preserve">Para la etapa de confirmación se trabajó con </w:t>
      </w:r>
      <w:r w:rsidRPr="003770B5">
        <w:rPr>
          <w:rFonts w:ascii="Times New Roman" w:hAnsi="Times New Roman" w:cs="Times New Roman"/>
          <w:color w:val="000000"/>
          <w:sz w:val="24"/>
          <w:szCs w:val="24"/>
        </w:rPr>
        <w:t xml:space="preserve">médicos de familia vinculados a la atención primaria de salud de los seis policlínicos del municipio de Santa Clara.  La aplicación se efectuó desde el mes de diciembre del 2019 hasta marzo del 2020.  La muestra fue probabilística y el muestreo empleado fue de tipo </w:t>
      </w:r>
      <w:r w:rsidRPr="003770B5">
        <w:rPr>
          <w:rFonts w:ascii="Times New Roman" w:hAnsi="Times New Roman" w:cs="Times New Roman"/>
          <w:sz w:val="24"/>
          <w:szCs w:val="24"/>
          <w:lang w:val="es-MX"/>
        </w:rPr>
        <w:t xml:space="preserve">aleatorio simple </w:t>
      </w:r>
      <w:r w:rsidRPr="003770B5">
        <w:rPr>
          <w:rFonts w:ascii="Times New Roman" w:hAnsi="Times New Roman" w:cs="Times New Roman"/>
          <w:sz w:val="24"/>
          <w:szCs w:val="24"/>
          <w:lang w:val="es-MX"/>
        </w:rPr>
        <w:fldChar w:fldCharType="begin"/>
      </w:r>
      <w:r w:rsidRPr="003770B5">
        <w:rPr>
          <w:rFonts w:ascii="Times New Roman" w:hAnsi="Times New Roman" w:cs="Times New Roman"/>
          <w:sz w:val="24"/>
          <w:szCs w:val="24"/>
          <w:lang w:val="es-MX"/>
        </w:rPr>
        <w:instrText xml:space="preserve"> ADDIN EN.CITE &lt;EndNote&gt;&lt;Cite&gt;&lt;Author&gt;Hernández-Sampieri&lt;/Author&gt;&lt;Year&gt;2014&lt;/Year&gt;&lt;RecNum&gt;691&lt;/RecNum&gt;&lt;DisplayText&gt;(Hernández-Sampieri, Fernández, &amp;amp; Baptista, 2014; Morales-Vallejo, 2011)&lt;/DisplayText&gt;&lt;record&gt;&lt;rec-number&gt;691&lt;/rec-number&gt;&lt;foreign-keys&gt;&lt;key app="EN" db-id="ew5zv90595pe0ier0xlpxr0p5f0rra0svtpa" timestamp="1582139237"&gt;691&lt;/key&gt;&lt;/foreign-keys&gt;&lt;ref-type name="Book"&gt;6&lt;/ref-type&gt;&lt;contributors&gt;&lt;authors&gt;&lt;author&gt;Hernández-Sampieri, R.&lt;/author&gt;&lt;author&gt;Fernández, C.&lt;/author&gt;&lt;author&gt;Baptista, P.&lt;/author&gt;&lt;/authors&gt;&lt;/contributors&gt;&lt;titles&gt;&lt;title&gt;Metodología de la investigación&lt;/title&gt;&lt;/titles&gt;&lt;edition&gt;6&lt;/edition&gt;&lt;dates&gt;&lt;year&gt;2014&lt;/year&gt;&lt;/dates&gt;&lt;pub-location&gt;México&lt;/pub-location&gt;&lt;publisher&gt;Mc Graw Hill &lt;/publisher&gt;&lt;isbn&gt;978-1-4562-2396-0&lt;/isbn&gt;&lt;urls&gt;&lt;/urls&gt;&lt;/record&gt;&lt;/Cite&gt;&lt;Cite&gt;&lt;Author&gt;Morales-Vallejo&lt;/Author&gt;&lt;Year&gt;2011&lt;/Year&gt;&lt;RecNum&gt;243&lt;/RecNum&gt;&lt;record&gt;&lt;rec-number&gt;243&lt;/rec-number&gt;&lt;foreign-keys&gt;&lt;key app="EN" db-id="ew5zv90595pe0ier0xlpxr0p5f0rra0svtpa" timestamp="1512912010"&gt;243&lt;/key&gt;&lt;/foreign-keys&gt;&lt;ref-type name="Electronic Article"&gt;43&lt;/ref-type&gt;&lt;contributors&gt;&lt;authors&gt;&lt;author&gt;Morales-Vallejo, P.&lt;/author&gt;&lt;/authors&gt;&lt;/contributors&gt;&lt;titles&gt;&lt;title&gt;Tamaño necesario de la muestra: ¿Cuántos sujetos necesitamos?&lt;/title&gt;&lt;secondary-title&gt;Estadística aplicada a las Ciencias Sociales&lt;/secondary-title&gt;&lt;/titles&gt;&lt;periodical&gt;&lt;full-title&gt;Estadística aplicada a las Ciencias Sociales&lt;/full-title&gt;&lt;/periodical&gt;&lt;dates&gt;&lt;year&gt;2011&lt;/year&gt;&lt;/dates&gt;&lt;pub-location&gt;Madrid&lt;/pub-location&gt;&lt;publisher&gt;Universidad Pontificia Comillas, Facultad de Humanidades&lt;/publisher&gt;&lt;urls&gt;&lt;related-urls&gt;&lt;url&gt; http://www.upcomillas.es/personal/peter/investigacion/Tama%F1oMuestra.pdf&lt;/url&gt;&lt;/related-urls&gt;&lt;/urls&gt;&lt;/record&gt;&lt;/Cite&gt;&lt;/EndNote&gt;</w:instrText>
      </w:r>
      <w:r w:rsidRPr="003770B5">
        <w:rPr>
          <w:rFonts w:ascii="Times New Roman" w:hAnsi="Times New Roman" w:cs="Times New Roman"/>
          <w:sz w:val="24"/>
          <w:szCs w:val="24"/>
          <w:lang w:val="es-MX"/>
        </w:rPr>
        <w:fldChar w:fldCharType="separate"/>
      </w:r>
      <w:r w:rsidRPr="003770B5">
        <w:rPr>
          <w:rFonts w:ascii="Times New Roman" w:hAnsi="Times New Roman" w:cs="Times New Roman"/>
          <w:noProof/>
          <w:sz w:val="24"/>
          <w:szCs w:val="24"/>
          <w:lang w:val="es-MX"/>
        </w:rPr>
        <w:t>(</w:t>
      </w:r>
      <w:hyperlink w:anchor="_ENREF_37" w:tooltip="Hernández-Sampieri, 2014 #691" w:history="1">
        <w:r w:rsidRPr="003770B5">
          <w:rPr>
            <w:rFonts w:ascii="Times New Roman" w:hAnsi="Times New Roman" w:cs="Times New Roman"/>
            <w:noProof/>
            <w:sz w:val="24"/>
            <w:szCs w:val="24"/>
            <w:lang w:val="es-MX"/>
          </w:rPr>
          <w:t>Hernández-Sampieri, Fernández, &amp; Baptista, 2014</w:t>
        </w:r>
      </w:hyperlink>
      <w:r w:rsidRPr="003770B5">
        <w:rPr>
          <w:rFonts w:ascii="Times New Roman" w:hAnsi="Times New Roman" w:cs="Times New Roman"/>
          <w:noProof/>
          <w:sz w:val="24"/>
          <w:szCs w:val="24"/>
          <w:lang w:val="es-MX"/>
        </w:rPr>
        <w:t xml:space="preserve">; </w:t>
      </w:r>
      <w:hyperlink w:anchor="_ENREF_51" w:tooltip="Morales-Vallejo, 2011 #243" w:history="1">
        <w:r w:rsidRPr="003770B5">
          <w:rPr>
            <w:rFonts w:ascii="Times New Roman" w:hAnsi="Times New Roman" w:cs="Times New Roman"/>
            <w:noProof/>
            <w:sz w:val="24"/>
            <w:szCs w:val="24"/>
            <w:lang w:val="es-MX"/>
          </w:rPr>
          <w:t>Morales-Vallejo, 2011</w:t>
        </w:r>
      </w:hyperlink>
      <w:r w:rsidRPr="003770B5">
        <w:rPr>
          <w:rFonts w:ascii="Times New Roman" w:hAnsi="Times New Roman" w:cs="Times New Roman"/>
          <w:noProof/>
          <w:sz w:val="24"/>
          <w:szCs w:val="24"/>
          <w:lang w:val="es-MX"/>
        </w:rPr>
        <w:t>)</w:t>
      </w:r>
      <w:r w:rsidRPr="003770B5">
        <w:rPr>
          <w:rFonts w:ascii="Times New Roman" w:hAnsi="Times New Roman" w:cs="Times New Roman"/>
          <w:sz w:val="24"/>
          <w:szCs w:val="24"/>
          <w:lang w:val="es-MX"/>
        </w:rPr>
        <w:fldChar w:fldCharType="end"/>
      </w:r>
      <w:r w:rsidRPr="003770B5">
        <w:rPr>
          <w:rFonts w:ascii="Times New Roman" w:hAnsi="Times New Roman" w:cs="Times New Roman"/>
          <w:sz w:val="24"/>
          <w:szCs w:val="24"/>
          <w:lang w:val="es-MX"/>
        </w:rPr>
        <w:t>.</w:t>
      </w:r>
    </w:p>
    <w:p w:rsidR="00C8347C" w:rsidRPr="00E6503A" w:rsidRDefault="00C8347C" w:rsidP="00E6503A">
      <w:pPr>
        <w:spacing w:after="0" w:line="360" w:lineRule="auto"/>
        <w:ind w:firstLine="706"/>
        <w:jc w:val="both"/>
        <w:rPr>
          <w:rFonts w:ascii="Times New Roman" w:hAnsi="Times New Roman" w:cs="Times New Roman"/>
          <w:noProof/>
          <w:sz w:val="24"/>
          <w:szCs w:val="24"/>
          <w:lang w:eastAsia="es-MX"/>
        </w:rPr>
      </w:pPr>
      <w:r w:rsidRPr="003770B5">
        <w:rPr>
          <w:rFonts w:ascii="Times New Roman" w:hAnsi="Times New Roman" w:cs="Times New Roman"/>
          <w:sz w:val="24"/>
          <w:szCs w:val="24"/>
        </w:rPr>
        <w:t>Se obtuvo una población real de 576 médicos de familia</w:t>
      </w:r>
      <w:r w:rsidR="00E6503A">
        <w:rPr>
          <w:rFonts w:ascii="Times New Roman" w:hAnsi="Times New Roman" w:cs="Times New Roman"/>
          <w:noProof/>
          <w:sz w:val="24"/>
          <w:szCs w:val="24"/>
          <w:lang w:eastAsia="es-MX"/>
        </w:rPr>
        <w:t xml:space="preserve">. </w:t>
      </w:r>
      <w:r w:rsidRPr="003770B5">
        <w:rPr>
          <w:rFonts w:ascii="Times New Roman" w:hAnsi="Times New Roman" w:cs="Times New Roman"/>
          <w:sz w:val="24"/>
          <w:szCs w:val="24"/>
        </w:rPr>
        <w:t>La muestra final estuvo compu</w:t>
      </w:r>
      <w:r w:rsidR="00EA41E3">
        <w:rPr>
          <w:rFonts w:ascii="Times New Roman" w:hAnsi="Times New Roman" w:cs="Times New Roman"/>
          <w:sz w:val="24"/>
          <w:szCs w:val="24"/>
        </w:rPr>
        <w:t>esta por 358 casos</w:t>
      </w:r>
      <w:r w:rsidR="00E6503A">
        <w:rPr>
          <w:rFonts w:ascii="Times New Roman" w:hAnsi="Times New Roman" w:cs="Times New Roman"/>
          <w:sz w:val="24"/>
          <w:szCs w:val="24"/>
        </w:rPr>
        <w:t xml:space="preserve">. </w:t>
      </w:r>
      <w:r w:rsidRPr="003770B5">
        <w:rPr>
          <w:rFonts w:ascii="Times New Roman" w:hAnsi="Times New Roman" w:cs="Times New Roman"/>
          <w:sz w:val="24"/>
          <w:szCs w:val="24"/>
        </w:rPr>
        <w:t>La misma garantiza una potencia estadística superior al 99%</w:t>
      </w:r>
      <w:r w:rsidR="00E6503A">
        <w:rPr>
          <w:rFonts w:ascii="Times New Roman" w:hAnsi="Times New Roman" w:cs="Times New Roman"/>
          <w:sz w:val="24"/>
          <w:szCs w:val="24"/>
        </w:rPr>
        <w:t>.</w:t>
      </w:r>
    </w:p>
    <w:p w:rsidR="00C8347C" w:rsidRPr="003770B5" w:rsidRDefault="00C8347C" w:rsidP="003770B5">
      <w:pPr>
        <w:spacing w:after="0" w:line="360" w:lineRule="auto"/>
        <w:ind w:firstLine="706"/>
        <w:jc w:val="both"/>
        <w:rPr>
          <w:rFonts w:ascii="Times New Roman" w:hAnsi="Times New Roman" w:cs="Times New Roman"/>
          <w:color w:val="231F20"/>
          <w:sz w:val="24"/>
          <w:szCs w:val="24"/>
        </w:rPr>
      </w:pPr>
      <w:r w:rsidRPr="003770B5">
        <w:rPr>
          <w:rFonts w:ascii="Times New Roman" w:hAnsi="Times New Roman" w:cs="Times New Roman"/>
          <w:sz w:val="24"/>
          <w:szCs w:val="24"/>
        </w:rPr>
        <w:t>Para la exploración de la estructura factorial de la escala se empleó el Análisis Factorial CATPCA (</w:t>
      </w:r>
      <w:proofErr w:type="spellStart"/>
      <w:r w:rsidRPr="003770B5">
        <w:rPr>
          <w:rFonts w:ascii="Times New Roman" w:hAnsi="Times New Roman" w:cs="Times New Roman"/>
          <w:i/>
          <w:sz w:val="24"/>
          <w:szCs w:val="24"/>
        </w:rPr>
        <w:t>Categorical</w:t>
      </w:r>
      <w:proofErr w:type="spellEnd"/>
      <w:r w:rsidRPr="003770B5">
        <w:rPr>
          <w:rFonts w:ascii="Times New Roman" w:hAnsi="Times New Roman" w:cs="Times New Roman"/>
          <w:i/>
          <w:sz w:val="24"/>
          <w:szCs w:val="24"/>
        </w:rPr>
        <w:t xml:space="preserve"> Principal </w:t>
      </w:r>
      <w:proofErr w:type="spellStart"/>
      <w:r w:rsidRPr="003770B5">
        <w:rPr>
          <w:rFonts w:ascii="Times New Roman" w:hAnsi="Times New Roman" w:cs="Times New Roman"/>
          <w:i/>
          <w:sz w:val="24"/>
          <w:szCs w:val="24"/>
        </w:rPr>
        <w:t>Component</w:t>
      </w:r>
      <w:proofErr w:type="spellEnd"/>
      <w:r w:rsidR="00E6503A">
        <w:rPr>
          <w:rFonts w:ascii="Times New Roman" w:hAnsi="Times New Roman" w:cs="Times New Roman"/>
          <w:i/>
          <w:sz w:val="24"/>
          <w:szCs w:val="24"/>
        </w:rPr>
        <w:t xml:space="preserve"> </w:t>
      </w:r>
      <w:proofErr w:type="spellStart"/>
      <w:r w:rsidRPr="003770B5">
        <w:rPr>
          <w:rFonts w:ascii="Times New Roman" w:hAnsi="Times New Roman" w:cs="Times New Roman"/>
          <w:i/>
          <w:sz w:val="24"/>
          <w:szCs w:val="24"/>
        </w:rPr>
        <w:t>Analysis</w:t>
      </w:r>
      <w:proofErr w:type="spellEnd"/>
      <w:r w:rsidRPr="003770B5">
        <w:rPr>
          <w:rFonts w:ascii="Times New Roman" w:hAnsi="Times New Roman" w:cs="Times New Roman"/>
          <w:sz w:val="24"/>
          <w:szCs w:val="24"/>
        </w:rPr>
        <w:t>).</w:t>
      </w:r>
      <w:r w:rsidR="00A70941" w:rsidRPr="003770B5">
        <w:rPr>
          <w:rFonts w:ascii="Times New Roman" w:hAnsi="Times New Roman" w:cs="Times New Roman"/>
          <w:sz w:val="24"/>
          <w:szCs w:val="24"/>
        </w:rPr>
        <w:t xml:space="preserve"> </w:t>
      </w:r>
      <w:r w:rsidRPr="003770B5">
        <w:rPr>
          <w:rFonts w:ascii="Times New Roman" w:hAnsi="Times New Roman" w:cs="Times New Roman"/>
          <w:sz w:val="24"/>
          <w:szCs w:val="24"/>
        </w:rPr>
        <w:t>Se realizaron además análisis descriptivos de frecuencias.</w:t>
      </w:r>
      <w:r w:rsidR="00396584" w:rsidRPr="003770B5">
        <w:rPr>
          <w:rFonts w:ascii="Times New Roman" w:hAnsi="Times New Roman" w:cs="Times New Roman"/>
          <w:sz w:val="24"/>
          <w:szCs w:val="24"/>
        </w:rPr>
        <w:t xml:space="preserve"> </w:t>
      </w:r>
      <w:r w:rsidRPr="003770B5">
        <w:rPr>
          <w:rFonts w:ascii="Times New Roman" w:hAnsi="Times New Roman" w:cs="Times New Roman"/>
          <w:sz w:val="24"/>
          <w:szCs w:val="24"/>
        </w:rPr>
        <w:t>El procesamiento se llevó a cabo en el SPSS/Windows, versión 21.</w:t>
      </w:r>
    </w:p>
    <w:p w:rsidR="00C8347C" w:rsidRPr="003770B5" w:rsidRDefault="00C8347C" w:rsidP="003770B5">
      <w:pPr>
        <w:spacing w:after="0" w:line="360" w:lineRule="auto"/>
        <w:jc w:val="both"/>
        <w:rPr>
          <w:rFonts w:ascii="Times New Roman" w:hAnsi="Times New Roman" w:cs="Times New Roman"/>
          <w:b/>
          <w:sz w:val="24"/>
          <w:szCs w:val="24"/>
        </w:rPr>
      </w:pPr>
      <w:r w:rsidRPr="003770B5">
        <w:rPr>
          <w:rFonts w:ascii="Times New Roman" w:hAnsi="Times New Roman" w:cs="Times New Roman"/>
          <w:b/>
          <w:sz w:val="24"/>
          <w:szCs w:val="24"/>
        </w:rPr>
        <w:t>Etapa de aplicación.  Administración</w:t>
      </w:r>
    </w:p>
    <w:p w:rsidR="00C8347C" w:rsidRPr="003770B5" w:rsidRDefault="00C8347C" w:rsidP="003770B5">
      <w:pPr>
        <w:spacing w:after="0" w:line="360" w:lineRule="auto"/>
        <w:ind w:firstLine="720"/>
        <w:jc w:val="both"/>
        <w:rPr>
          <w:rFonts w:ascii="Times New Roman" w:hAnsi="Times New Roman" w:cs="Times New Roman"/>
          <w:color w:val="000000"/>
          <w:sz w:val="24"/>
          <w:szCs w:val="24"/>
        </w:rPr>
      </w:pPr>
      <w:r w:rsidRPr="003770B5">
        <w:rPr>
          <w:rFonts w:ascii="Times New Roman" w:hAnsi="Times New Roman" w:cs="Times New Roman"/>
          <w:color w:val="000000"/>
          <w:sz w:val="24"/>
          <w:szCs w:val="24"/>
        </w:rPr>
        <w:t>La aplicación del instrumento se realizó en la ciudad de Santa Clara en los seis policlínicos correspondientes</w:t>
      </w:r>
      <w:r w:rsidR="00A70941" w:rsidRPr="003770B5">
        <w:rPr>
          <w:rFonts w:ascii="Times New Roman" w:hAnsi="Times New Roman" w:cs="Times New Roman"/>
          <w:color w:val="000000"/>
          <w:sz w:val="24"/>
          <w:szCs w:val="24"/>
        </w:rPr>
        <w:t xml:space="preserve">. </w:t>
      </w:r>
      <w:r w:rsidRPr="003770B5">
        <w:rPr>
          <w:rFonts w:ascii="Times New Roman" w:hAnsi="Times New Roman" w:cs="Times New Roman"/>
          <w:color w:val="000000"/>
          <w:sz w:val="24"/>
          <w:szCs w:val="24"/>
        </w:rPr>
        <w:t>El instrumento fue aplicado en el horario de la tarde, en el espacio de las reuniones mensuales de los Grupos Básico de Trab</w:t>
      </w:r>
      <w:r w:rsidR="00E6503A">
        <w:rPr>
          <w:rFonts w:ascii="Times New Roman" w:hAnsi="Times New Roman" w:cs="Times New Roman"/>
          <w:color w:val="000000"/>
          <w:sz w:val="24"/>
          <w:szCs w:val="24"/>
        </w:rPr>
        <w:t xml:space="preserve">ajo y de los puestos de mando. </w:t>
      </w:r>
      <w:r w:rsidRPr="003770B5">
        <w:rPr>
          <w:rFonts w:ascii="Times New Roman" w:hAnsi="Times New Roman" w:cs="Times New Roman"/>
          <w:color w:val="000000"/>
          <w:sz w:val="24"/>
          <w:szCs w:val="24"/>
        </w:rPr>
        <w:t xml:space="preserve">La aplicación del instrumento se realizó de forma individual en aulas preparadas para este fin. </w:t>
      </w:r>
    </w:p>
    <w:p w:rsidR="00C8347C" w:rsidRPr="003770B5" w:rsidRDefault="00C8347C" w:rsidP="003770B5">
      <w:pPr>
        <w:spacing w:after="0" w:line="360" w:lineRule="auto"/>
        <w:ind w:firstLine="706"/>
        <w:jc w:val="both"/>
        <w:rPr>
          <w:rFonts w:ascii="Times New Roman" w:hAnsi="Times New Roman" w:cs="Times New Roman"/>
          <w:sz w:val="24"/>
          <w:szCs w:val="24"/>
        </w:rPr>
      </w:pPr>
      <w:r w:rsidRPr="003770B5">
        <w:rPr>
          <w:rFonts w:ascii="Times New Roman" w:hAnsi="Times New Roman" w:cs="Times New Roman"/>
          <w:sz w:val="24"/>
          <w:szCs w:val="24"/>
        </w:rPr>
        <w:t xml:space="preserve">La etapa de aplicación e implementación es seguida por las etapas de </w:t>
      </w:r>
      <w:r w:rsidRPr="003770B5">
        <w:rPr>
          <w:rFonts w:ascii="Times New Roman" w:hAnsi="Times New Roman" w:cs="Times New Roman"/>
          <w:i/>
          <w:sz w:val="24"/>
          <w:szCs w:val="24"/>
        </w:rPr>
        <w:t>interpretación de las puntuaciones y comparabilidad</w:t>
      </w:r>
      <w:r w:rsidRPr="003770B5">
        <w:rPr>
          <w:rFonts w:ascii="Times New Roman" w:hAnsi="Times New Roman" w:cs="Times New Roman"/>
          <w:sz w:val="24"/>
          <w:szCs w:val="24"/>
        </w:rPr>
        <w:t xml:space="preserve"> y de </w:t>
      </w:r>
      <w:r w:rsidRPr="003770B5">
        <w:rPr>
          <w:rFonts w:ascii="Times New Roman" w:hAnsi="Times New Roman" w:cs="Times New Roman"/>
          <w:i/>
          <w:sz w:val="24"/>
          <w:szCs w:val="24"/>
        </w:rPr>
        <w:t>documentación</w:t>
      </w:r>
      <w:r w:rsidRPr="003770B5">
        <w:rPr>
          <w:rFonts w:ascii="Times New Roman" w:hAnsi="Times New Roman" w:cs="Times New Roman"/>
          <w:sz w:val="24"/>
          <w:szCs w:val="24"/>
        </w:rPr>
        <w:t>.  Por las características de las mismas, son expuestas como parte del capítulo tercero del presente informe.  En cuanto a la comparabilidad, este apartado se exime del presente informe ya que la presente validación se realiza para una única población.</w:t>
      </w:r>
    </w:p>
    <w:p w:rsidR="00C8347C" w:rsidRPr="003770B5" w:rsidRDefault="00C8347C" w:rsidP="003770B5">
      <w:pPr>
        <w:spacing w:line="360" w:lineRule="auto"/>
        <w:jc w:val="both"/>
        <w:outlineLvl w:val="1"/>
        <w:rPr>
          <w:rFonts w:ascii="Times New Roman" w:hAnsi="Times New Roman" w:cs="Times New Roman"/>
          <w:b/>
          <w:sz w:val="24"/>
          <w:szCs w:val="24"/>
        </w:rPr>
      </w:pPr>
      <w:bookmarkStart w:id="5" w:name="_Toc39130744"/>
      <w:bookmarkStart w:id="6" w:name="_Toc39130769"/>
      <w:bookmarkStart w:id="7" w:name="_Toc42715866"/>
      <w:bookmarkStart w:id="8" w:name="_Toc42716432"/>
      <w:r w:rsidRPr="003770B5">
        <w:rPr>
          <w:rFonts w:ascii="Times New Roman" w:hAnsi="Times New Roman" w:cs="Times New Roman"/>
          <w:b/>
          <w:sz w:val="24"/>
          <w:szCs w:val="24"/>
        </w:rPr>
        <w:t>2.3 Descripción del instrumento</w:t>
      </w:r>
      <w:bookmarkEnd w:id="5"/>
      <w:bookmarkEnd w:id="6"/>
      <w:bookmarkEnd w:id="7"/>
      <w:bookmarkEnd w:id="8"/>
    </w:p>
    <w:p w:rsidR="00C8347C" w:rsidRPr="003770B5" w:rsidRDefault="00C8347C" w:rsidP="003770B5">
      <w:pPr>
        <w:spacing w:line="360" w:lineRule="auto"/>
        <w:ind w:firstLine="706"/>
        <w:jc w:val="both"/>
        <w:rPr>
          <w:rFonts w:ascii="Times New Roman" w:eastAsia="Times New Roman" w:hAnsi="Times New Roman" w:cs="Times New Roman"/>
          <w:color w:val="000000"/>
          <w:sz w:val="24"/>
          <w:szCs w:val="24"/>
          <w:lang w:eastAsia="es-MX"/>
        </w:rPr>
      </w:pPr>
      <w:r w:rsidRPr="003770B5">
        <w:rPr>
          <w:rFonts w:ascii="Times New Roman" w:eastAsia="Times New Roman" w:hAnsi="Times New Roman" w:cs="Times New Roman"/>
          <w:sz w:val="24"/>
          <w:szCs w:val="24"/>
          <w:lang w:eastAsia="es-MX"/>
        </w:rPr>
        <w:t>La versión adaptada al español del DKAS, la Escala de conocimientos sobre demencia, cuenta con tres partes: primeramente, contiene las instrucciones para completar el instrumento</w:t>
      </w:r>
      <w:r w:rsidR="00E6503A">
        <w:rPr>
          <w:rFonts w:ascii="Times New Roman" w:eastAsia="Times New Roman" w:hAnsi="Times New Roman" w:cs="Times New Roman"/>
          <w:sz w:val="24"/>
          <w:szCs w:val="24"/>
          <w:lang w:eastAsia="es-MX"/>
        </w:rPr>
        <w:t xml:space="preserve">. </w:t>
      </w:r>
      <w:r w:rsidRPr="003770B5">
        <w:rPr>
          <w:rFonts w:ascii="Times New Roman" w:eastAsia="Times New Roman" w:hAnsi="Times New Roman" w:cs="Times New Roman"/>
          <w:sz w:val="24"/>
          <w:szCs w:val="24"/>
          <w:lang w:eastAsia="es-MX"/>
        </w:rPr>
        <w:t>Luego en la parte izquierda de la hoja presenta los enunciados que hacen referencia a las formas más comunes de demencia, con un total de 25 ítems.  A continuación</w:t>
      </w:r>
      <w:r w:rsidRPr="003770B5">
        <w:rPr>
          <w:rFonts w:ascii="Times New Roman" w:eastAsia="Times New Roman" w:hAnsi="Times New Roman" w:cs="Times New Roman"/>
          <w:color w:val="000000"/>
          <w:sz w:val="24"/>
          <w:szCs w:val="24"/>
          <w:lang w:eastAsia="es-MX"/>
        </w:rPr>
        <w:t xml:space="preserve">, son presentadas las opciones de respuesta: falsa, probablemente falsa, probablemente verdadera, verdadera y no sé, en ese orden, las cuales deben marcarse </w:t>
      </w:r>
      <w:r w:rsidRPr="003770B5">
        <w:rPr>
          <w:rFonts w:ascii="Times New Roman" w:eastAsia="Times New Roman" w:hAnsi="Times New Roman" w:cs="Times New Roman"/>
          <w:color w:val="000000"/>
          <w:sz w:val="24"/>
          <w:szCs w:val="24"/>
          <w:lang w:eastAsia="es-MX"/>
        </w:rPr>
        <w:lastRenderedPageBreak/>
        <w:t>para cada ítem en específico</w:t>
      </w:r>
      <w:r w:rsidRPr="003770B5">
        <w:rPr>
          <w:rFonts w:ascii="Times New Roman" w:eastAsia="Times New Roman" w:hAnsi="Times New Roman" w:cs="Times New Roman"/>
          <w:b/>
          <w:color w:val="000000"/>
          <w:sz w:val="24"/>
          <w:szCs w:val="24"/>
          <w:lang w:eastAsia="es-MX"/>
        </w:rPr>
        <w:t xml:space="preserve">.  </w:t>
      </w:r>
      <w:r w:rsidRPr="003770B5">
        <w:rPr>
          <w:rFonts w:ascii="Times New Roman" w:eastAsia="Times New Roman" w:hAnsi="Times New Roman" w:cs="Times New Roman"/>
          <w:color w:val="000000"/>
          <w:sz w:val="24"/>
          <w:szCs w:val="24"/>
          <w:lang w:eastAsia="es-MX"/>
        </w:rPr>
        <w:t>Cada enunciado debe ser contestado seleccionando una única opción.</w:t>
      </w:r>
    </w:p>
    <w:p w:rsidR="00C8347C" w:rsidRPr="003770B5" w:rsidRDefault="00C8347C" w:rsidP="003770B5">
      <w:pPr>
        <w:spacing w:line="360" w:lineRule="auto"/>
        <w:ind w:firstLine="706"/>
        <w:jc w:val="both"/>
        <w:rPr>
          <w:rFonts w:ascii="Times New Roman" w:eastAsia="Times New Roman" w:hAnsi="Times New Roman" w:cs="Times New Roman"/>
          <w:color w:val="000000"/>
          <w:sz w:val="24"/>
          <w:szCs w:val="24"/>
          <w:lang w:eastAsia="es-MX"/>
        </w:rPr>
      </w:pPr>
      <w:r w:rsidRPr="003770B5">
        <w:rPr>
          <w:rFonts w:ascii="Times New Roman" w:eastAsia="Times New Roman" w:hAnsi="Times New Roman" w:cs="Times New Roman"/>
          <w:color w:val="000000"/>
          <w:sz w:val="24"/>
          <w:szCs w:val="24"/>
          <w:lang w:eastAsia="es-MX"/>
        </w:rPr>
        <w:t>En cuanto a la calificación, la encuesta presenta 11 enunciados verdaderos (ítem: 2, 8, 10, 11, 17, 18, 21, 22, 23, 24, 25) y 14 enunciados falsos (ítem: 1, 3, 4, 5, 6, 7, 9, 12, 13, 14, 15, 16, 19, 20)</w:t>
      </w:r>
      <w:r w:rsidRPr="003770B5">
        <w:rPr>
          <w:rFonts w:ascii="Times New Roman" w:eastAsia="Times New Roman" w:hAnsi="Times New Roman" w:cs="Times New Roman"/>
          <w:sz w:val="24"/>
          <w:szCs w:val="24"/>
          <w:lang w:eastAsia="es-MX"/>
        </w:rPr>
        <w:fldChar w:fldCharType="begin"/>
      </w:r>
      <w:r w:rsidRPr="003770B5">
        <w:rPr>
          <w:rFonts w:ascii="Times New Roman" w:eastAsia="Times New Roman" w:hAnsi="Times New Roman" w:cs="Times New Roman"/>
          <w:sz w:val="24"/>
          <w:szCs w:val="24"/>
          <w:lang w:eastAsia="es-MX"/>
        </w:rPr>
        <w:instrText xml:space="preserve"> ADDIN EN.CITE &lt;EndNote&gt;&lt;Cite&gt;&lt;Author&gt;Annear&lt;/Author&gt;&lt;Year&gt;2017&lt;/Year&gt;&lt;RecNum&gt;43&lt;/RecNum&gt;&lt;DisplayText&gt;(Annear et al., 2017)&lt;/DisplayText&gt;&lt;record&gt;&lt;rec-number&gt;43&lt;/rec-number&gt;&lt;foreign-keys&gt;&lt;key app="EN" db-id="5rvpf2da7ssvs8e5ww1pz9tp5tdttsdwvfzv" timestamp="0"&gt;43&lt;/key&gt;&lt;/foreign-keys&gt;&lt;ref-type name="Journal Article"&gt;17&lt;/ref-type&gt;&lt;contributors&gt;&lt;authors&gt;&lt;author&gt;Annear, M.&lt;/author&gt;&lt;author&gt;Toye, C.&lt;/author&gt;&lt;author&gt;Elliott, K.&lt;/author&gt;&lt;author&gt;McInerney, F.&lt;/author&gt;&lt;author&gt;Eccleston, C.&lt;/author&gt;&lt;author&gt;Robinson, A.&lt;/author&gt;&lt;/authors&gt;&lt;/contributors&gt;&lt;titles&gt;&lt;title&gt;Dementia knowledge assessment scale (DKAS): confirmatory factor analysis and comparative subscale scores among an international cohort&lt;/title&gt;&lt;secondary-title&gt;BMC Geriatric&lt;/secondary-title&gt;&lt;/titles&gt;&lt;pages&gt;2-11&lt;/pages&gt;&lt;volume&gt;17&lt;/volume&gt;&lt;number&gt;168&lt;/number&gt;&lt;dates&gt;&lt;year&gt;2017&lt;/year&gt;&lt;/dates&gt;&lt;urls&gt;&lt;/urls&gt;&lt;electronic-resource-num&gt;10.1186/s12877-017-0552-y&lt;/electronic-resource-num&gt;&lt;/record&gt;&lt;/Cite&gt;&lt;/EndNote&gt;</w:instrText>
      </w:r>
      <w:r w:rsidRPr="003770B5">
        <w:rPr>
          <w:rFonts w:ascii="Times New Roman" w:eastAsia="Times New Roman" w:hAnsi="Times New Roman" w:cs="Times New Roman"/>
          <w:sz w:val="24"/>
          <w:szCs w:val="24"/>
          <w:lang w:eastAsia="es-MX"/>
        </w:rPr>
        <w:fldChar w:fldCharType="separate"/>
      </w:r>
      <w:r w:rsidRPr="003770B5">
        <w:rPr>
          <w:rFonts w:ascii="Times New Roman" w:eastAsia="Times New Roman" w:hAnsi="Times New Roman" w:cs="Times New Roman"/>
          <w:noProof/>
          <w:sz w:val="24"/>
          <w:szCs w:val="24"/>
          <w:lang w:eastAsia="es-MX"/>
        </w:rPr>
        <w:t>(</w:t>
      </w:r>
      <w:hyperlink w:anchor="_ENREF_5" w:tooltip="Annear, 2017 #43" w:history="1">
        <w:r w:rsidRPr="003770B5">
          <w:rPr>
            <w:rFonts w:ascii="Times New Roman" w:eastAsia="Times New Roman" w:hAnsi="Times New Roman" w:cs="Times New Roman"/>
            <w:noProof/>
            <w:sz w:val="24"/>
            <w:szCs w:val="24"/>
            <w:lang w:eastAsia="es-MX"/>
          </w:rPr>
          <w:t>Annear et al., 2017</w:t>
        </w:r>
      </w:hyperlink>
      <w:r w:rsidRPr="003770B5">
        <w:rPr>
          <w:rFonts w:ascii="Times New Roman" w:eastAsia="Times New Roman" w:hAnsi="Times New Roman" w:cs="Times New Roman"/>
          <w:noProof/>
          <w:sz w:val="24"/>
          <w:szCs w:val="24"/>
          <w:lang w:eastAsia="es-MX"/>
        </w:rPr>
        <w:t>)</w:t>
      </w:r>
      <w:r w:rsidRPr="003770B5">
        <w:rPr>
          <w:rFonts w:ascii="Times New Roman" w:eastAsia="Times New Roman" w:hAnsi="Times New Roman" w:cs="Times New Roman"/>
          <w:sz w:val="24"/>
          <w:szCs w:val="24"/>
          <w:lang w:eastAsia="es-MX"/>
        </w:rPr>
        <w:fldChar w:fldCharType="end"/>
      </w:r>
      <w:r w:rsidRPr="003770B5">
        <w:rPr>
          <w:rFonts w:ascii="Times New Roman" w:eastAsia="Times New Roman" w:hAnsi="Times New Roman" w:cs="Times New Roman"/>
          <w:sz w:val="24"/>
          <w:szCs w:val="24"/>
          <w:lang w:eastAsia="es-MX"/>
        </w:rPr>
        <w:t>.</w:t>
      </w:r>
    </w:p>
    <w:p w:rsidR="00C8347C" w:rsidRPr="003770B5" w:rsidRDefault="00C8347C" w:rsidP="003770B5">
      <w:pPr>
        <w:spacing w:after="0" w:line="360" w:lineRule="auto"/>
        <w:ind w:firstLine="706"/>
        <w:jc w:val="both"/>
        <w:rPr>
          <w:rFonts w:ascii="Times New Roman" w:eastAsia="Times New Roman" w:hAnsi="Times New Roman" w:cs="Times New Roman"/>
          <w:color w:val="000000"/>
          <w:sz w:val="24"/>
          <w:szCs w:val="24"/>
          <w:lang w:eastAsia="es-MX"/>
        </w:rPr>
      </w:pPr>
      <w:r w:rsidRPr="003770B5">
        <w:rPr>
          <w:rFonts w:ascii="Times New Roman" w:eastAsia="Times New Roman" w:hAnsi="Times New Roman" w:cs="Times New Roman"/>
          <w:sz w:val="24"/>
          <w:szCs w:val="24"/>
          <w:lang w:eastAsia="es-MX"/>
        </w:rPr>
        <w:t xml:space="preserve">Para la codificación del DKAS se </w:t>
      </w:r>
      <w:r w:rsidRPr="003770B5">
        <w:rPr>
          <w:rFonts w:ascii="Times New Roman" w:eastAsia="Times New Roman" w:hAnsi="Times New Roman" w:cs="Times New Roman"/>
          <w:color w:val="000000"/>
          <w:sz w:val="24"/>
          <w:szCs w:val="24"/>
          <w:lang w:eastAsia="es-MX"/>
        </w:rPr>
        <w:t xml:space="preserve">tiene en cuenta la siguiente puntuación, facilitada por los autores del instrumento </w:t>
      </w:r>
      <w:r w:rsidRPr="003770B5">
        <w:rPr>
          <w:rFonts w:ascii="Times New Roman" w:eastAsia="Times New Roman" w:hAnsi="Times New Roman" w:cs="Times New Roman"/>
          <w:color w:val="000000"/>
          <w:sz w:val="24"/>
          <w:szCs w:val="24"/>
          <w:lang w:eastAsia="es-MX"/>
        </w:rPr>
        <w:fldChar w:fldCharType="begin"/>
      </w:r>
      <w:r w:rsidRPr="003770B5">
        <w:rPr>
          <w:rFonts w:ascii="Times New Roman" w:eastAsia="Times New Roman" w:hAnsi="Times New Roman" w:cs="Times New Roman"/>
          <w:color w:val="000000"/>
          <w:sz w:val="24"/>
          <w:szCs w:val="24"/>
          <w:lang w:eastAsia="es-MX"/>
        </w:rPr>
        <w:instrText xml:space="preserve"> ADDIN EN.CITE &lt;EndNote&gt;&lt;Cite&gt;&lt;Author&gt;Annear&lt;/Author&gt;&lt;Year&gt;2017&lt;/Year&gt;&lt;RecNum&gt;43&lt;/RecNum&gt;&lt;DisplayText&gt;(Annear et al., 2017)&lt;/DisplayText&gt;&lt;record&gt;&lt;rec-number&gt;43&lt;/rec-number&gt;&lt;foreign-keys&gt;&lt;key app="EN" db-id="5rvpf2da7ssvs8e5ww1pz9tp5tdttsdwvfzv" timestamp="0"&gt;43&lt;/key&gt;&lt;/foreign-keys&gt;&lt;ref-type name="Journal Article"&gt;17&lt;/ref-type&gt;&lt;contributors&gt;&lt;authors&gt;&lt;author&gt;Annear, M.&lt;/author&gt;&lt;author&gt;Toye, C.&lt;/author&gt;&lt;author&gt;Elliott, K.&lt;/author&gt;&lt;author&gt;McInerney, F.&lt;/author&gt;&lt;author&gt;Eccleston, C.&lt;/author&gt;&lt;author&gt;Robinson, A.&lt;/author&gt;&lt;/authors&gt;&lt;/contributors&gt;&lt;titles&gt;&lt;title&gt;Dementia knowledge assessment scale (DKAS): confirmatory factor analysis and comparative subscale scores among an international cohort&lt;/title&gt;&lt;secondary-title&gt;BMC Geriatric&lt;/secondary-title&gt;&lt;/titles&gt;&lt;pages&gt;2-11&lt;/pages&gt;&lt;volume&gt;17&lt;/volume&gt;&lt;number&gt;168&lt;/number&gt;&lt;dates&gt;&lt;year&gt;2017&lt;/year&gt;&lt;/dates&gt;&lt;urls&gt;&lt;/urls&gt;&lt;electronic-resource-num&gt;10.1186/s12877-017-0552-y&lt;/electronic-resource-num&gt;&lt;/record&gt;&lt;/Cite&gt;&lt;/EndNote&gt;</w:instrText>
      </w:r>
      <w:r w:rsidRPr="003770B5">
        <w:rPr>
          <w:rFonts w:ascii="Times New Roman" w:eastAsia="Times New Roman" w:hAnsi="Times New Roman" w:cs="Times New Roman"/>
          <w:color w:val="000000"/>
          <w:sz w:val="24"/>
          <w:szCs w:val="24"/>
          <w:lang w:eastAsia="es-MX"/>
        </w:rPr>
        <w:fldChar w:fldCharType="separate"/>
      </w:r>
      <w:r w:rsidRPr="003770B5">
        <w:rPr>
          <w:rFonts w:ascii="Times New Roman" w:eastAsia="Times New Roman" w:hAnsi="Times New Roman" w:cs="Times New Roman"/>
          <w:noProof/>
          <w:color w:val="000000"/>
          <w:sz w:val="24"/>
          <w:szCs w:val="24"/>
          <w:lang w:eastAsia="es-MX"/>
        </w:rPr>
        <w:t>(</w:t>
      </w:r>
      <w:hyperlink w:anchor="_ENREF_5" w:tooltip="Annear, 2017 #43" w:history="1">
        <w:r w:rsidRPr="003770B5">
          <w:rPr>
            <w:rFonts w:ascii="Times New Roman" w:eastAsia="Times New Roman" w:hAnsi="Times New Roman" w:cs="Times New Roman"/>
            <w:noProof/>
            <w:color w:val="000000"/>
            <w:sz w:val="24"/>
            <w:szCs w:val="24"/>
            <w:lang w:eastAsia="es-MX"/>
          </w:rPr>
          <w:t>Annear et al., 2017</w:t>
        </w:r>
      </w:hyperlink>
      <w:r w:rsidRPr="003770B5">
        <w:rPr>
          <w:rFonts w:ascii="Times New Roman" w:eastAsia="Times New Roman" w:hAnsi="Times New Roman" w:cs="Times New Roman"/>
          <w:noProof/>
          <w:color w:val="000000"/>
          <w:sz w:val="24"/>
          <w:szCs w:val="24"/>
          <w:lang w:eastAsia="es-MX"/>
        </w:rPr>
        <w:t>)</w:t>
      </w:r>
      <w:r w:rsidRPr="003770B5">
        <w:rPr>
          <w:rFonts w:ascii="Times New Roman" w:eastAsia="Times New Roman" w:hAnsi="Times New Roman" w:cs="Times New Roman"/>
          <w:color w:val="000000"/>
          <w:sz w:val="24"/>
          <w:szCs w:val="24"/>
          <w:lang w:eastAsia="es-MX"/>
        </w:rPr>
        <w:fldChar w:fldCharType="end"/>
      </w:r>
      <w:r w:rsidRPr="003770B5">
        <w:rPr>
          <w:rFonts w:ascii="Times New Roman" w:eastAsia="Times New Roman" w:hAnsi="Times New Roman" w:cs="Times New Roman"/>
          <w:color w:val="000000"/>
          <w:sz w:val="24"/>
          <w:szCs w:val="24"/>
          <w:lang w:eastAsia="es-MX"/>
        </w:rPr>
        <w:t>:</w:t>
      </w:r>
    </w:p>
    <w:p w:rsidR="00C8347C" w:rsidRPr="003770B5" w:rsidRDefault="00C8347C" w:rsidP="003770B5">
      <w:pPr>
        <w:pStyle w:val="Prrafodelista"/>
        <w:numPr>
          <w:ilvl w:val="0"/>
          <w:numId w:val="4"/>
        </w:numPr>
        <w:spacing w:after="0" w:line="360" w:lineRule="auto"/>
        <w:jc w:val="both"/>
        <w:rPr>
          <w:rFonts w:ascii="Times New Roman" w:eastAsia="Times New Roman" w:hAnsi="Times New Roman" w:cs="Times New Roman"/>
          <w:color w:val="000000"/>
          <w:sz w:val="24"/>
          <w:szCs w:val="24"/>
          <w:lang w:eastAsia="es-MX"/>
        </w:rPr>
      </w:pPr>
      <w:r w:rsidRPr="003770B5">
        <w:rPr>
          <w:rFonts w:ascii="Times New Roman" w:hAnsi="Times New Roman" w:cs="Times New Roman"/>
          <w:color w:val="000000"/>
          <w:sz w:val="24"/>
          <w:szCs w:val="24"/>
        </w:rPr>
        <w:t xml:space="preserve">2 puntos por responder </w:t>
      </w:r>
      <w:r w:rsidRPr="003770B5">
        <w:rPr>
          <w:rFonts w:ascii="Times New Roman" w:hAnsi="Times New Roman" w:cs="Times New Roman"/>
          <w:i/>
          <w:color w:val="000000"/>
          <w:sz w:val="24"/>
          <w:szCs w:val="24"/>
        </w:rPr>
        <w:t>verdadero</w:t>
      </w:r>
      <w:r w:rsidRPr="003770B5">
        <w:rPr>
          <w:rFonts w:ascii="Times New Roman" w:hAnsi="Times New Roman" w:cs="Times New Roman"/>
          <w:color w:val="000000"/>
          <w:sz w:val="24"/>
          <w:szCs w:val="24"/>
        </w:rPr>
        <w:t xml:space="preserve"> a un enunciado </w:t>
      </w:r>
      <w:r w:rsidRPr="003770B5">
        <w:rPr>
          <w:rFonts w:ascii="Times New Roman" w:hAnsi="Times New Roman" w:cs="Times New Roman"/>
          <w:i/>
          <w:color w:val="000000"/>
          <w:sz w:val="24"/>
          <w:szCs w:val="24"/>
        </w:rPr>
        <w:t>verdadero</w:t>
      </w:r>
    </w:p>
    <w:p w:rsidR="00C8347C" w:rsidRPr="003770B5" w:rsidRDefault="00C8347C" w:rsidP="003770B5">
      <w:pPr>
        <w:pStyle w:val="Prrafodelista"/>
        <w:numPr>
          <w:ilvl w:val="0"/>
          <w:numId w:val="4"/>
        </w:numPr>
        <w:spacing w:after="0" w:line="360" w:lineRule="auto"/>
        <w:jc w:val="both"/>
        <w:rPr>
          <w:rFonts w:ascii="Times New Roman" w:eastAsia="Times New Roman" w:hAnsi="Times New Roman" w:cs="Times New Roman"/>
          <w:color w:val="000000"/>
          <w:sz w:val="24"/>
          <w:szCs w:val="24"/>
          <w:lang w:eastAsia="es-MX"/>
        </w:rPr>
      </w:pPr>
      <w:r w:rsidRPr="003770B5">
        <w:rPr>
          <w:rFonts w:ascii="Times New Roman" w:hAnsi="Times New Roman" w:cs="Times New Roman"/>
          <w:color w:val="000000"/>
          <w:sz w:val="24"/>
          <w:szCs w:val="24"/>
        </w:rPr>
        <w:t xml:space="preserve">2 puntos por responder </w:t>
      </w:r>
      <w:r w:rsidRPr="003770B5">
        <w:rPr>
          <w:rFonts w:ascii="Times New Roman" w:hAnsi="Times New Roman" w:cs="Times New Roman"/>
          <w:i/>
          <w:color w:val="000000"/>
          <w:sz w:val="24"/>
          <w:szCs w:val="24"/>
        </w:rPr>
        <w:t>falso</w:t>
      </w:r>
      <w:r w:rsidRPr="003770B5">
        <w:rPr>
          <w:rFonts w:ascii="Times New Roman" w:hAnsi="Times New Roman" w:cs="Times New Roman"/>
          <w:color w:val="000000"/>
          <w:sz w:val="24"/>
          <w:szCs w:val="24"/>
        </w:rPr>
        <w:t xml:space="preserve"> a un enunciado </w:t>
      </w:r>
      <w:r w:rsidRPr="003770B5">
        <w:rPr>
          <w:rFonts w:ascii="Times New Roman" w:hAnsi="Times New Roman" w:cs="Times New Roman"/>
          <w:i/>
          <w:color w:val="000000"/>
          <w:sz w:val="24"/>
          <w:szCs w:val="24"/>
        </w:rPr>
        <w:t>falso</w:t>
      </w:r>
    </w:p>
    <w:p w:rsidR="00C8347C" w:rsidRPr="003770B5" w:rsidRDefault="00C8347C" w:rsidP="003770B5">
      <w:pPr>
        <w:pStyle w:val="Prrafodelista"/>
        <w:numPr>
          <w:ilvl w:val="0"/>
          <w:numId w:val="4"/>
        </w:numPr>
        <w:spacing w:after="0" w:line="360" w:lineRule="auto"/>
        <w:jc w:val="both"/>
        <w:rPr>
          <w:rFonts w:ascii="Times New Roman" w:eastAsia="Times New Roman" w:hAnsi="Times New Roman" w:cs="Times New Roman"/>
          <w:color w:val="000000"/>
          <w:sz w:val="24"/>
          <w:szCs w:val="24"/>
          <w:lang w:eastAsia="es-MX"/>
        </w:rPr>
      </w:pPr>
      <w:r w:rsidRPr="003770B5">
        <w:rPr>
          <w:rFonts w:ascii="Times New Roman" w:hAnsi="Times New Roman" w:cs="Times New Roman"/>
          <w:color w:val="000000"/>
          <w:sz w:val="24"/>
          <w:szCs w:val="24"/>
        </w:rPr>
        <w:t xml:space="preserve">1 punto por responder </w:t>
      </w:r>
      <w:r w:rsidRPr="003770B5">
        <w:rPr>
          <w:rFonts w:ascii="Times New Roman" w:hAnsi="Times New Roman" w:cs="Times New Roman"/>
          <w:i/>
          <w:color w:val="000000"/>
          <w:sz w:val="24"/>
          <w:szCs w:val="24"/>
        </w:rPr>
        <w:t>probablemente verdadero</w:t>
      </w:r>
      <w:r w:rsidRPr="003770B5">
        <w:rPr>
          <w:rFonts w:ascii="Times New Roman" w:hAnsi="Times New Roman" w:cs="Times New Roman"/>
          <w:color w:val="000000"/>
          <w:sz w:val="24"/>
          <w:szCs w:val="24"/>
        </w:rPr>
        <w:t xml:space="preserve"> a un enunciado </w:t>
      </w:r>
      <w:r w:rsidRPr="003770B5">
        <w:rPr>
          <w:rFonts w:ascii="Times New Roman" w:hAnsi="Times New Roman" w:cs="Times New Roman"/>
          <w:i/>
          <w:color w:val="000000"/>
          <w:sz w:val="24"/>
          <w:szCs w:val="24"/>
        </w:rPr>
        <w:t>verdadero</w:t>
      </w:r>
    </w:p>
    <w:p w:rsidR="00C8347C" w:rsidRPr="003770B5" w:rsidRDefault="00C8347C" w:rsidP="003770B5">
      <w:pPr>
        <w:pStyle w:val="Prrafodelista"/>
        <w:numPr>
          <w:ilvl w:val="0"/>
          <w:numId w:val="4"/>
        </w:numPr>
        <w:spacing w:after="0" w:line="360" w:lineRule="auto"/>
        <w:jc w:val="both"/>
        <w:rPr>
          <w:rFonts w:ascii="Times New Roman" w:eastAsia="Times New Roman" w:hAnsi="Times New Roman" w:cs="Times New Roman"/>
          <w:color w:val="000000"/>
          <w:sz w:val="24"/>
          <w:szCs w:val="24"/>
          <w:lang w:eastAsia="es-MX"/>
        </w:rPr>
      </w:pPr>
      <w:r w:rsidRPr="003770B5">
        <w:rPr>
          <w:rFonts w:ascii="Times New Roman" w:hAnsi="Times New Roman" w:cs="Times New Roman"/>
          <w:color w:val="000000"/>
          <w:sz w:val="24"/>
          <w:szCs w:val="24"/>
        </w:rPr>
        <w:t xml:space="preserve">1 punto por responder </w:t>
      </w:r>
      <w:r w:rsidRPr="003770B5">
        <w:rPr>
          <w:rFonts w:ascii="Times New Roman" w:hAnsi="Times New Roman" w:cs="Times New Roman"/>
          <w:i/>
          <w:color w:val="000000"/>
          <w:sz w:val="24"/>
          <w:szCs w:val="24"/>
        </w:rPr>
        <w:t>probablemente falso</w:t>
      </w:r>
      <w:r w:rsidRPr="003770B5">
        <w:rPr>
          <w:rFonts w:ascii="Times New Roman" w:hAnsi="Times New Roman" w:cs="Times New Roman"/>
          <w:color w:val="000000"/>
          <w:sz w:val="24"/>
          <w:szCs w:val="24"/>
        </w:rPr>
        <w:t xml:space="preserve"> a un enunciado </w:t>
      </w:r>
      <w:r w:rsidRPr="003770B5">
        <w:rPr>
          <w:rFonts w:ascii="Times New Roman" w:hAnsi="Times New Roman" w:cs="Times New Roman"/>
          <w:i/>
          <w:color w:val="000000"/>
          <w:sz w:val="24"/>
          <w:szCs w:val="24"/>
        </w:rPr>
        <w:t>falso</w:t>
      </w:r>
    </w:p>
    <w:p w:rsidR="00C8347C" w:rsidRPr="003770B5" w:rsidRDefault="00C8347C" w:rsidP="003770B5">
      <w:pPr>
        <w:pStyle w:val="Prrafodelista"/>
        <w:numPr>
          <w:ilvl w:val="0"/>
          <w:numId w:val="4"/>
        </w:numPr>
        <w:spacing w:after="0" w:line="360" w:lineRule="auto"/>
        <w:jc w:val="both"/>
        <w:rPr>
          <w:rFonts w:ascii="Times New Roman" w:eastAsia="Times New Roman" w:hAnsi="Times New Roman" w:cs="Times New Roman"/>
          <w:color w:val="000000"/>
          <w:sz w:val="24"/>
          <w:szCs w:val="24"/>
          <w:lang w:eastAsia="es-MX"/>
        </w:rPr>
      </w:pPr>
      <w:r w:rsidRPr="003770B5">
        <w:rPr>
          <w:rFonts w:ascii="Times New Roman" w:hAnsi="Times New Roman" w:cs="Times New Roman"/>
          <w:color w:val="000000"/>
          <w:sz w:val="24"/>
          <w:szCs w:val="24"/>
        </w:rPr>
        <w:t xml:space="preserve"> 0 puntos por responder </w:t>
      </w:r>
      <w:r w:rsidRPr="003770B5">
        <w:rPr>
          <w:rFonts w:ascii="Times New Roman" w:hAnsi="Times New Roman" w:cs="Times New Roman"/>
          <w:i/>
          <w:color w:val="000000"/>
          <w:sz w:val="24"/>
          <w:szCs w:val="24"/>
        </w:rPr>
        <w:t>verdadero</w:t>
      </w:r>
      <w:r w:rsidRPr="003770B5">
        <w:rPr>
          <w:rFonts w:ascii="Times New Roman" w:hAnsi="Times New Roman" w:cs="Times New Roman"/>
          <w:color w:val="000000"/>
          <w:sz w:val="24"/>
          <w:szCs w:val="24"/>
        </w:rPr>
        <w:t xml:space="preserve"> o </w:t>
      </w:r>
      <w:r w:rsidRPr="003770B5">
        <w:rPr>
          <w:rFonts w:ascii="Times New Roman" w:hAnsi="Times New Roman" w:cs="Times New Roman"/>
          <w:i/>
          <w:color w:val="000000"/>
          <w:sz w:val="24"/>
          <w:szCs w:val="24"/>
        </w:rPr>
        <w:t>probablemente verdadero</w:t>
      </w:r>
      <w:r w:rsidRPr="003770B5">
        <w:rPr>
          <w:rFonts w:ascii="Times New Roman" w:hAnsi="Times New Roman" w:cs="Times New Roman"/>
          <w:color w:val="000000"/>
          <w:sz w:val="24"/>
          <w:szCs w:val="24"/>
        </w:rPr>
        <w:t xml:space="preserve"> a un enunciado </w:t>
      </w:r>
      <w:r w:rsidRPr="003770B5">
        <w:rPr>
          <w:rFonts w:ascii="Times New Roman" w:hAnsi="Times New Roman" w:cs="Times New Roman"/>
          <w:i/>
          <w:color w:val="000000"/>
          <w:sz w:val="24"/>
          <w:szCs w:val="24"/>
        </w:rPr>
        <w:t>falso</w:t>
      </w:r>
    </w:p>
    <w:p w:rsidR="00C8347C" w:rsidRPr="003770B5" w:rsidRDefault="00C8347C" w:rsidP="003770B5">
      <w:pPr>
        <w:pStyle w:val="Prrafodelista"/>
        <w:numPr>
          <w:ilvl w:val="0"/>
          <w:numId w:val="4"/>
        </w:numPr>
        <w:spacing w:after="0" w:line="360" w:lineRule="auto"/>
        <w:jc w:val="both"/>
        <w:rPr>
          <w:rFonts w:ascii="Times New Roman" w:eastAsia="Times New Roman" w:hAnsi="Times New Roman" w:cs="Times New Roman"/>
          <w:color w:val="000000"/>
          <w:sz w:val="24"/>
          <w:szCs w:val="24"/>
          <w:lang w:eastAsia="es-MX"/>
        </w:rPr>
      </w:pPr>
      <w:r w:rsidRPr="003770B5">
        <w:rPr>
          <w:rFonts w:ascii="Times New Roman" w:hAnsi="Times New Roman" w:cs="Times New Roman"/>
          <w:color w:val="000000"/>
          <w:sz w:val="24"/>
          <w:szCs w:val="24"/>
        </w:rPr>
        <w:t xml:space="preserve">0 puntos por responder </w:t>
      </w:r>
      <w:r w:rsidRPr="003770B5">
        <w:rPr>
          <w:rFonts w:ascii="Times New Roman" w:hAnsi="Times New Roman" w:cs="Times New Roman"/>
          <w:i/>
          <w:color w:val="000000"/>
          <w:sz w:val="24"/>
          <w:szCs w:val="24"/>
        </w:rPr>
        <w:t>falso</w:t>
      </w:r>
      <w:r w:rsidRPr="003770B5">
        <w:rPr>
          <w:rFonts w:ascii="Times New Roman" w:hAnsi="Times New Roman" w:cs="Times New Roman"/>
          <w:color w:val="000000"/>
          <w:sz w:val="24"/>
          <w:szCs w:val="24"/>
        </w:rPr>
        <w:t xml:space="preserve"> o </w:t>
      </w:r>
      <w:r w:rsidRPr="003770B5">
        <w:rPr>
          <w:rFonts w:ascii="Times New Roman" w:hAnsi="Times New Roman" w:cs="Times New Roman"/>
          <w:i/>
          <w:color w:val="000000"/>
          <w:sz w:val="24"/>
          <w:szCs w:val="24"/>
        </w:rPr>
        <w:t>probablemente falso</w:t>
      </w:r>
      <w:r w:rsidRPr="003770B5">
        <w:rPr>
          <w:rFonts w:ascii="Times New Roman" w:hAnsi="Times New Roman" w:cs="Times New Roman"/>
          <w:color w:val="000000"/>
          <w:sz w:val="24"/>
          <w:szCs w:val="24"/>
        </w:rPr>
        <w:t xml:space="preserve"> a un enunciado </w:t>
      </w:r>
      <w:r w:rsidRPr="003770B5">
        <w:rPr>
          <w:rFonts w:ascii="Times New Roman" w:hAnsi="Times New Roman" w:cs="Times New Roman"/>
          <w:i/>
          <w:color w:val="000000"/>
          <w:sz w:val="24"/>
          <w:szCs w:val="24"/>
        </w:rPr>
        <w:t>verdadero</w:t>
      </w:r>
    </w:p>
    <w:p w:rsidR="00C8347C" w:rsidRPr="003770B5" w:rsidRDefault="00C8347C" w:rsidP="003770B5">
      <w:pPr>
        <w:pStyle w:val="Prrafodelista"/>
        <w:numPr>
          <w:ilvl w:val="0"/>
          <w:numId w:val="4"/>
        </w:numPr>
        <w:spacing w:after="0" w:line="360" w:lineRule="auto"/>
        <w:jc w:val="both"/>
        <w:rPr>
          <w:rFonts w:ascii="Times New Roman" w:eastAsia="Times New Roman" w:hAnsi="Times New Roman" w:cs="Times New Roman"/>
          <w:color w:val="000000"/>
          <w:sz w:val="24"/>
          <w:szCs w:val="24"/>
          <w:lang w:eastAsia="es-MX"/>
        </w:rPr>
      </w:pPr>
      <w:r w:rsidRPr="003770B5">
        <w:rPr>
          <w:rFonts w:ascii="Times New Roman" w:hAnsi="Times New Roman" w:cs="Times New Roman"/>
          <w:color w:val="000000"/>
          <w:sz w:val="24"/>
          <w:szCs w:val="24"/>
        </w:rPr>
        <w:t xml:space="preserve">0 puntos por responder </w:t>
      </w:r>
      <w:r w:rsidRPr="003770B5">
        <w:rPr>
          <w:rFonts w:ascii="Times New Roman" w:hAnsi="Times New Roman" w:cs="Times New Roman"/>
          <w:i/>
          <w:color w:val="000000"/>
          <w:sz w:val="24"/>
          <w:szCs w:val="24"/>
        </w:rPr>
        <w:t>no sé</w:t>
      </w:r>
      <w:r w:rsidRPr="003770B5">
        <w:rPr>
          <w:rFonts w:ascii="Times New Roman" w:hAnsi="Times New Roman" w:cs="Times New Roman"/>
          <w:color w:val="000000"/>
          <w:sz w:val="24"/>
          <w:szCs w:val="24"/>
        </w:rPr>
        <w:t>.</w:t>
      </w:r>
    </w:p>
    <w:p w:rsidR="00A21A1F" w:rsidRPr="003770B5" w:rsidRDefault="00A21A1F" w:rsidP="003770B5">
      <w:pPr>
        <w:spacing w:after="0" w:line="360" w:lineRule="auto"/>
        <w:jc w:val="both"/>
        <w:rPr>
          <w:rFonts w:ascii="Times New Roman" w:hAnsi="Times New Roman" w:cs="Times New Roman"/>
          <w:sz w:val="24"/>
          <w:szCs w:val="24"/>
        </w:rPr>
      </w:pPr>
    </w:p>
    <w:p w:rsidR="00A21A1F" w:rsidRPr="003770B5" w:rsidRDefault="00A21A1F" w:rsidP="003770B5">
      <w:pPr>
        <w:spacing w:after="0" w:line="360" w:lineRule="auto"/>
        <w:jc w:val="both"/>
        <w:rPr>
          <w:rFonts w:ascii="Times New Roman" w:hAnsi="Times New Roman" w:cs="Times New Roman"/>
          <w:b/>
          <w:sz w:val="24"/>
          <w:szCs w:val="24"/>
        </w:rPr>
      </w:pPr>
      <w:r w:rsidRPr="003770B5">
        <w:rPr>
          <w:rFonts w:ascii="Times New Roman" w:hAnsi="Times New Roman" w:cs="Times New Roman"/>
          <w:b/>
          <w:sz w:val="24"/>
          <w:szCs w:val="24"/>
        </w:rPr>
        <w:t>3. Resultados y discusión</w:t>
      </w:r>
    </w:p>
    <w:p w:rsidR="00396584" w:rsidRPr="003770B5" w:rsidRDefault="00396584" w:rsidP="003770B5">
      <w:pPr>
        <w:spacing w:after="0" w:line="360" w:lineRule="auto"/>
        <w:jc w:val="both"/>
        <w:outlineLvl w:val="2"/>
        <w:rPr>
          <w:rFonts w:ascii="Times New Roman" w:hAnsi="Times New Roman" w:cs="Times New Roman"/>
          <w:b/>
          <w:sz w:val="24"/>
          <w:szCs w:val="24"/>
        </w:rPr>
      </w:pPr>
      <w:r w:rsidRPr="003770B5">
        <w:rPr>
          <w:rFonts w:ascii="Times New Roman" w:hAnsi="Times New Roman" w:cs="Times New Roman"/>
          <w:b/>
          <w:sz w:val="24"/>
          <w:szCs w:val="24"/>
        </w:rPr>
        <w:t>Etapa de Confirmación.  Recogida de datos.  Equivalencia, fiabilidad y validación</w:t>
      </w:r>
    </w:p>
    <w:p w:rsidR="00396584" w:rsidRPr="003770B5" w:rsidRDefault="00396584" w:rsidP="003770B5">
      <w:pPr>
        <w:spacing w:after="0" w:line="360" w:lineRule="auto"/>
        <w:ind w:firstLine="706"/>
        <w:jc w:val="both"/>
        <w:rPr>
          <w:rFonts w:ascii="Times New Roman" w:hAnsi="Times New Roman" w:cs="Times New Roman"/>
          <w:sz w:val="24"/>
          <w:szCs w:val="24"/>
        </w:rPr>
      </w:pPr>
      <w:r w:rsidRPr="003770B5">
        <w:rPr>
          <w:rFonts w:ascii="Times New Roman" w:hAnsi="Times New Roman" w:cs="Times New Roman"/>
          <w:sz w:val="24"/>
          <w:szCs w:val="24"/>
        </w:rPr>
        <w:t>La información referida a la recogida de datos fue expuesta en el epígrafe anterior (Marco Metodológico).  En el presente acápite se presentan los datos referentes a la fiabilidad del test a través del análisis de sus propiedades psicométricas</w:t>
      </w:r>
      <w:r w:rsidRPr="003770B5">
        <w:rPr>
          <w:rFonts w:ascii="Times New Roman" w:hAnsi="Times New Roman" w:cs="Times New Roman"/>
          <w:color w:val="C00000"/>
          <w:sz w:val="24"/>
          <w:szCs w:val="24"/>
        </w:rPr>
        <w:t>.</w:t>
      </w:r>
    </w:p>
    <w:p w:rsidR="00E6503A" w:rsidRPr="00E6503A" w:rsidRDefault="00396584" w:rsidP="00E6503A">
      <w:pPr>
        <w:pStyle w:val="APAnivel4"/>
      </w:pPr>
      <w:bookmarkStart w:id="9" w:name="_Toc42715871"/>
      <w:r w:rsidRPr="00E6503A">
        <w:t xml:space="preserve"> Valoración de las propiedades psicométricas de la Escala de conocimiento sobre demencia (DKAS-</w:t>
      </w:r>
      <w:proofErr w:type="spellStart"/>
      <w:r w:rsidRPr="00E6503A">
        <w:t>Sp</w:t>
      </w:r>
      <w:proofErr w:type="spellEnd"/>
      <w:r w:rsidRPr="00E6503A">
        <w:t>) (dimensiones y confiabilidad).</w:t>
      </w:r>
    </w:p>
    <w:p w:rsidR="00396584" w:rsidRPr="00E6503A" w:rsidRDefault="00396584" w:rsidP="00E6503A">
      <w:pPr>
        <w:pStyle w:val="APAnivel4"/>
      </w:pPr>
      <w:r w:rsidRPr="00E6503A">
        <w:t>Se aplicó un Análisis Factorial de Componentes Principales de variables categóricas (CATPCA, por sus siglas en inglés) a los resultados de la Escala de conocimiento sobre demencia (DKAS-</w:t>
      </w:r>
      <w:proofErr w:type="spellStart"/>
      <w:r w:rsidRPr="00E6503A">
        <w:t>Sp</w:t>
      </w:r>
      <w:proofErr w:type="spellEnd"/>
      <w:r w:rsidRPr="00E6503A">
        <w:t xml:space="preserve">).  Intervinieron 358 casos, el 100 por ciento de la muestra.  Teniendo en cuenta los resultados reportados con anterioridad </w:t>
      </w:r>
      <w:r w:rsidRPr="00E6503A">
        <w:fldChar w:fldCharType="begin">
          <w:fldData xml:space="preserve">PEVuZE5vdGU+PENpdGU+PEF1dGhvcj5Bbm5lYXI8L0F1dGhvcj48WWVhcj4yMDE1PC9ZZWFyPjxS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</w:fldData>
        </w:fldChar>
      </w:r>
      <w:r w:rsidRPr="00E6503A">
        <w:instrText xml:space="preserve"> ADDIN EN.CITE </w:instrText>
      </w:r>
      <w:r w:rsidRPr="00E6503A">
        <w:fldChar w:fldCharType="begin">
          <w:fldData xml:space="preserve">PEVuZE5vdGU+PENpdGU+PEF1dGhvcj5Bbm5lYXI8L0F1dGhvcj48WWVhcj4yMDE1PC9ZZWFyPjxS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</w:fldData>
        </w:fldChar>
      </w:r>
      <w:r w:rsidRPr="00E6503A">
        <w:instrText xml:space="preserve"> ADDIN EN.CITE.DATA </w:instrText>
      </w:r>
      <w:r w:rsidRPr="00E6503A">
        <w:fldChar w:fldCharType="end"/>
      </w:r>
      <w:r w:rsidRPr="00E6503A">
        <w:fldChar w:fldCharType="separate"/>
      </w:r>
      <w:r w:rsidRPr="00E6503A">
        <w:rPr>
          <w:noProof/>
        </w:rPr>
        <w:t>(</w:t>
      </w:r>
      <w:hyperlink w:anchor="_ENREF_3" w:tooltip="Annear, 2016 #73" w:history="1">
        <w:r w:rsidRPr="00E6503A">
          <w:rPr>
            <w:noProof/>
          </w:rPr>
          <w:t>Annear, Otani, et al., 2016</w:t>
        </w:r>
      </w:hyperlink>
      <w:r w:rsidRPr="00E6503A">
        <w:rPr>
          <w:noProof/>
        </w:rPr>
        <w:t xml:space="preserve">; </w:t>
      </w:r>
      <w:hyperlink w:anchor="_ENREF_4" w:tooltip="Annear, 2015 #42" w:history="1">
        <w:r w:rsidRPr="00E6503A">
          <w:rPr>
            <w:noProof/>
          </w:rPr>
          <w:t>Annear, Toye, Eccleston, et al., 2015</w:t>
        </w:r>
      </w:hyperlink>
      <w:r w:rsidRPr="00E6503A">
        <w:rPr>
          <w:noProof/>
        </w:rPr>
        <w:t xml:space="preserve">; </w:t>
      </w:r>
      <w:hyperlink w:anchor="_ENREF_5" w:tooltip="Annear, 2017 #43" w:history="1">
        <w:r w:rsidRPr="00E6503A">
          <w:rPr>
            <w:noProof/>
          </w:rPr>
          <w:t>Annear et al., 2017</w:t>
        </w:r>
      </w:hyperlink>
      <w:r w:rsidRPr="00E6503A">
        <w:rPr>
          <w:noProof/>
        </w:rPr>
        <w:t>)</w:t>
      </w:r>
      <w:r w:rsidRPr="00E6503A">
        <w:fldChar w:fldCharType="end"/>
      </w:r>
      <w:r w:rsidRPr="00E6503A">
        <w:t xml:space="preserve">, el procesamiento fue ensayado con cuatro, dos y una dimensiones y los mejores resultados </w:t>
      </w:r>
      <w:r w:rsidRPr="00E6503A">
        <w:lastRenderedPageBreak/>
        <w:t>se obtuvieron con una dimensión</w:t>
      </w:r>
      <w:r w:rsidR="00E6503A">
        <w:t xml:space="preserve">, </w:t>
      </w:r>
      <w:r w:rsidRPr="00E6503A">
        <w:t xml:space="preserve">lo que corresponde con los resultados reportados por </w:t>
      </w:r>
      <w:hyperlink w:anchor="_ENREF_3" w:tooltip="Annear, 2016 #73" w:history="1">
        <w:r w:rsidRPr="00E6503A">
          <w:fldChar w:fldCharType="begin"/>
        </w:r>
        <w:r w:rsidRPr="00E6503A">
          <w:instrText xml:space="preserve"> ADDIN EN.CITE &lt;EndNote&gt;&lt;Cite AuthorYear="1"&gt;&lt;Author&gt;Annear&lt;/Author&gt;&lt;Year&gt;2016&lt;/Year&gt;&lt;RecNum&gt;73&lt;/RecNum&gt;&lt;DisplayText&gt;Annear, Otani, et al. (2016)&lt;/DisplayText&gt;&lt;record&gt;&lt;rec-number&gt;73&lt;/rec-number&gt;&lt;foreign-keys&gt;&lt;key app="EN" db-id="5rvpf2da7ssvs8e5ww1pz9tp5tdttsdwvfzv" timestamp="0"&gt;73&lt;/key&gt;&lt;/foreign-keys&gt;&lt;ref-type name="Journal Article"&gt;17&lt;/ref-type&gt;&lt;contributors&gt;&lt;authors&gt;&lt;author&gt;Annear, M.&lt;/author&gt;&lt;author&gt;Otani, J.&lt;/author&gt;&lt;author&gt;Li, J.&lt;/author&gt;&lt;/authors&gt;&lt;/contributors&gt;&lt;titles&gt;&lt;title&gt;Japanese-language Dementia Knowledge Assessment Scale: Psychometric performance, and health student and professional understanding&lt;/title&gt;&lt;secondary-title&gt;Geriatr Gerontol Int&lt;/secondary-title&gt;&lt;/titles&gt;&lt;pages&gt;2-6&lt;/pages&gt;&lt;dates&gt;&lt;year&gt;2016&lt;/year&gt;&lt;/dates&gt;&lt;urls&gt;&lt;/urls&gt;&lt;electronic-resource-num&gt;10.1111/ggi.12911&lt;/electronic-resource-num&gt;&lt;/record&gt;&lt;/Cite&gt;&lt;/EndNote&gt;</w:instrText>
        </w:r>
        <w:r w:rsidRPr="00E6503A">
          <w:fldChar w:fldCharType="separate"/>
        </w:r>
        <w:r w:rsidRPr="00E6503A">
          <w:rPr>
            <w:noProof/>
          </w:rPr>
          <w:t>Annear, Otani, et al. (2016)</w:t>
        </w:r>
        <w:r w:rsidRPr="00E6503A">
          <w:fldChar w:fldCharType="end"/>
        </w:r>
      </w:hyperlink>
      <w:r w:rsidRPr="00E6503A">
        <w:t>.</w:t>
      </w:r>
      <w:bookmarkEnd w:id="9"/>
    </w:p>
    <w:p w:rsidR="00396584" w:rsidRPr="003770B5" w:rsidRDefault="00396584" w:rsidP="003770B5">
      <w:pPr>
        <w:pStyle w:val="Sangradetextonormal"/>
        <w:spacing w:after="0" w:line="360" w:lineRule="auto"/>
        <w:jc w:val="both"/>
        <w:rPr>
          <w:szCs w:val="24"/>
        </w:rPr>
      </w:pPr>
      <w:r w:rsidRPr="003770B5">
        <w:rPr>
          <w:rFonts w:eastAsiaTheme="minorHAnsi"/>
          <w:szCs w:val="24"/>
          <w:lang w:val="es-ES"/>
        </w:rPr>
        <w:t xml:space="preserve">Se eliminaron los ítems 1, 5, 6, 7, y 8 por poseer valores de saturación inferiores al mínimo establecido (.279, -.035, .289, -.030, .299).  La dimensión explica una cifra significativa de la varianza explicada 6.604 con un alfa de </w:t>
      </w:r>
      <w:proofErr w:type="spellStart"/>
      <w:r w:rsidRPr="003770B5">
        <w:rPr>
          <w:rFonts w:eastAsiaTheme="minorHAnsi"/>
          <w:szCs w:val="24"/>
          <w:lang w:val="es-ES"/>
        </w:rPr>
        <w:t>Cronbach</w:t>
      </w:r>
      <w:proofErr w:type="spellEnd"/>
      <w:r w:rsidRPr="003770B5">
        <w:rPr>
          <w:rFonts w:eastAsiaTheme="minorHAnsi"/>
          <w:szCs w:val="24"/>
          <w:lang w:val="es-ES"/>
        </w:rPr>
        <w:t xml:space="preserve"> de .893.  </w:t>
      </w:r>
    </w:p>
    <w:p w:rsidR="00396584" w:rsidRPr="003770B5" w:rsidRDefault="00396584" w:rsidP="003770B5">
      <w:pPr>
        <w:spacing w:after="0" w:line="360" w:lineRule="auto"/>
        <w:ind w:firstLine="706"/>
        <w:jc w:val="both"/>
        <w:rPr>
          <w:rFonts w:ascii="Times New Roman" w:hAnsi="Times New Roman" w:cs="Times New Roman"/>
          <w:sz w:val="24"/>
          <w:szCs w:val="24"/>
        </w:rPr>
      </w:pPr>
      <w:r w:rsidRPr="003770B5">
        <w:rPr>
          <w:rFonts w:ascii="Times New Roman" w:hAnsi="Times New Roman" w:cs="Times New Roman"/>
          <w:sz w:val="24"/>
          <w:szCs w:val="24"/>
        </w:rPr>
        <w:t>A partir de las saturaciones de las cargas, la dimensión está especialmente correlacionada positivamente con todos los ítems, mostrando saturaciones por encima de .5 para los ítems 2, 7, 8, 10, 11, 12, 14, 15, 16, 17, 18, 19, 20.  Para el resto mostró correlaciones igualmente positivas, con valores superiores a .3.</w:t>
      </w:r>
    </w:p>
    <w:p w:rsidR="00E6503A" w:rsidRDefault="00E6503A" w:rsidP="00E6503A">
      <w:pPr>
        <w:spacing w:after="0" w:line="360" w:lineRule="auto"/>
        <w:jc w:val="both"/>
        <w:outlineLvl w:val="3"/>
        <w:rPr>
          <w:rFonts w:ascii="Times New Roman" w:hAnsi="Times New Roman" w:cs="Times New Roman"/>
          <w:sz w:val="24"/>
          <w:szCs w:val="24"/>
        </w:rPr>
      </w:pPr>
      <w:bookmarkStart w:id="10" w:name="_Toc42715872"/>
      <w:r>
        <w:rPr>
          <w:rFonts w:ascii="Times New Roman" w:hAnsi="Times New Roman" w:cs="Times New Roman"/>
          <w:sz w:val="24"/>
          <w:szCs w:val="24"/>
        </w:rPr>
        <w:t xml:space="preserve">           </w:t>
      </w:r>
      <w:r w:rsidR="00396584" w:rsidRPr="003770B5">
        <w:rPr>
          <w:rFonts w:ascii="Times New Roman" w:hAnsi="Times New Roman" w:cs="Times New Roman"/>
          <w:sz w:val="24"/>
          <w:szCs w:val="24"/>
        </w:rPr>
        <w:t xml:space="preserve"> Descripción del conocimiento sobre la demencia en los médicos de familia.</w:t>
      </w:r>
      <w:r w:rsidR="003070F1" w:rsidRPr="003770B5">
        <w:rPr>
          <w:rFonts w:ascii="Times New Roman" w:hAnsi="Times New Roman" w:cs="Times New Roman"/>
          <w:sz w:val="24"/>
          <w:szCs w:val="24"/>
        </w:rPr>
        <w:t xml:space="preserve"> </w:t>
      </w:r>
    </w:p>
    <w:bookmarkEnd w:id="10"/>
    <w:p w:rsidR="00396584" w:rsidRPr="003770B5" w:rsidRDefault="00396584" w:rsidP="003770B5">
      <w:pPr>
        <w:spacing w:after="0" w:line="360" w:lineRule="auto"/>
        <w:ind w:firstLine="706"/>
        <w:jc w:val="both"/>
        <w:rPr>
          <w:rFonts w:ascii="Times New Roman" w:hAnsi="Times New Roman" w:cs="Times New Roman"/>
          <w:sz w:val="24"/>
          <w:szCs w:val="24"/>
        </w:rPr>
      </w:pPr>
      <w:r w:rsidRPr="003770B5">
        <w:rPr>
          <w:rFonts w:ascii="Times New Roman" w:hAnsi="Times New Roman" w:cs="Times New Roman"/>
          <w:sz w:val="24"/>
          <w:szCs w:val="24"/>
        </w:rPr>
        <w:t xml:space="preserve">En sentido general, los ítems fueron valorados como </w:t>
      </w:r>
      <w:r w:rsidRPr="003770B5">
        <w:rPr>
          <w:rFonts w:ascii="Times New Roman" w:hAnsi="Times New Roman" w:cs="Times New Roman"/>
          <w:i/>
          <w:sz w:val="24"/>
          <w:szCs w:val="24"/>
        </w:rPr>
        <w:t>verdadero</w:t>
      </w:r>
      <w:r w:rsidRPr="003770B5">
        <w:rPr>
          <w:rFonts w:ascii="Times New Roman" w:hAnsi="Times New Roman" w:cs="Times New Roman"/>
          <w:sz w:val="24"/>
          <w:szCs w:val="24"/>
        </w:rPr>
        <w:t xml:space="preserve"> o </w:t>
      </w:r>
      <w:r w:rsidRPr="003770B5">
        <w:rPr>
          <w:rFonts w:ascii="Times New Roman" w:hAnsi="Times New Roman" w:cs="Times New Roman"/>
          <w:i/>
          <w:sz w:val="24"/>
          <w:szCs w:val="24"/>
        </w:rPr>
        <w:t>falso</w:t>
      </w:r>
      <w:r w:rsidRPr="003770B5">
        <w:rPr>
          <w:rFonts w:ascii="Times New Roman" w:hAnsi="Times New Roman" w:cs="Times New Roman"/>
          <w:sz w:val="24"/>
          <w:szCs w:val="24"/>
        </w:rPr>
        <w:t xml:space="preserve"> con mucha más frecuencia que para el resto de las opciones de respuesta.  Por ejemplo, en el caso de los ítems 9 (es imposible comunicarse con una persona que tiene demencia avanzada); 10 (por lo general, una persona que experimenta demencia avanzada no responde a los cambios en su ambiente físico); 11 (cuando una persona con demencia se muestra confundida, es importante corregirla); 12 (generalmente, las personas con demencia avanzada se comunican a través del lenguaje corporal); 13 (por lo general, los comportamientos inusuales en una persona que presenta demencia son una respuesta a las necesidades no satisfechas) se observa la selección con mayor frecuencia tanto de respuestas falsas como verdaderas.</w:t>
      </w:r>
    </w:p>
    <w:p w:rsidR="00396584" w:rsidRPr="003770B5" w:rsidRDefault="00396584" w:rsidP="003770B5">
      <w:pPr>
        <w:spacing w:after="0" w:line="360" w:lineRule="auto"/>
        <w:ind w:firstLine="706"/>
        <w:jc w:val="both"/>
        <w:rPr>
          <w:rFonts w:ascii="Times New Roman" w:hAnsi="Times New Roman" w:cs="Times New Roman"/>
          <w:sz w:val="24"/>
          <w:szCs w:val="24"/>
        </w:rPr>
      </w:pPr>
      <w:r w:rsidRPr="003770B5">
        <w:rPr>
          <w:rFonts w:ascii="Times New Roman" w:hAnsi="Times New Roman" w:cs="Times New Roman"/>
          <w:sz w:val="24"/>
          <w:szCs w:val="24"/>
        </w:rPr>
        <w:t>Adicionalmente, existe un grupo de ítems donde las respuestas se polarizan para solo una de estas opciones. Por ejemplo, en los ítems 2 (las personas pueden recuperarse de las formas más comunes de demencia); 3 (la demencia no es el resultado de cambios físicos en el cerebro) y 4 (mantener un estilo de vida saludable no reduce el riesgo de desarrollar las formas más frecuentes de demencia); 7 (el diagnóstico precoz de demencia por lo general no mejora la calidad de vida de las personas que sufren esta enfermedad); 14 (los medicamentos son el modo más efectivo de tratar los síntomas comportamentales de la demencia) y 15 (por lo general, las personas que experimentan demencia no tienen problemas para tomar decisiones) predominan las respuestas falsas.</w:t>
      </w:r>
    </w:p>
    <w:p w:rsidR="00396584" w:rsidRPr="003770B5" w:rsidRDefault="00396584" w:rsidP="003770B5">
      <w:pPr>
        <w:spacing w:after="0" w:line="360" w:lineRule="auto"/>
        <w:ind w:firstLine="706"/>
        <w:jc w:val="both"/>
        <w:rPr>
          <w:rFonts w:ascii="Times New Roman" w:hAnsi="Times New Roman" w:cs="Times New Roman"/>
          <w:sz w:val="24"/>
          <w:szCs w:val="24"/>
        </w:rPr>
      </w:pPr>
      <w:r w:rsidRPr="003770B5">
        <w:rPr>
          <w:rFonts w:ascii="Times New Roman" w:hAnsi="Times New Roman" w:cs="Times New Roman"/>
          <w:sz w:val="24"/>
          <w:szCs w:val="24"/>
        </w:rPr>
        <w:t xml:space="preserve">Por otra parte, los ítems 1 (la enfermedad de Alzheimer es la forma más común de demencia); 5 (los síntomas de la depresión pueden confundirse con los síntomas de la demencia); 6 (por lo general el ejercicio es beneficioso para las personas que </w:t>
      </w:r>
      <w:r w:rsidRPr="003770B5">
        <w:rPr>
          <w:rFonts w:ascii="Times New Roman" w:hAnsi="Times New Roman" w:cs="Times New Roman"/>
          <w:sz w:val="24"/>
          <w:szCs w:val="24"/>
        </w:rPr>
        <w:lastRenderedPageBreak/>
        <w:t xml:space="preserve">presentan demencia); 8 (la aparición repentina de problemas cognitivos es característico de las formas más comunes de demencia); 16-20 (abarcan consideraciones para el cuidado de personas con demencia) predominan las respuestas verdaderas.  Así mismo, la opción </w:t>
      </w:r>
      <w:r w:rsidRPr="003770B5">
        <w:rPr>
          <w:rFonts w:ascii="Times New Roman" w:hAnsi="Times New Roman" w:cs="Times New Roman"/>
          <w:i/>
          <w:sz w:val="24"/>
          <w:szCs w:val="24"/>
        </w:rPr>
        <w:t xml:space="preserve">no sé </w:t>
      </w:r>
      <w:r w:rsidRPr="003770B5">
        <w:rPr>
          <w:rFonts w:ascii="Times New Roman" w:hAnsi="Times New Roman" w:cs="Times New Roman"/>
          <w:sz w:val="24"/>
          <w:szCs w:val="24"/>
        </w:rPr>
        <w:t>apenas</w:t>
      </w:r>
      <w:r w:rsidR="00EA41E3">
        <w:rPr>
          <w:rFonts w:ascii="Times New Roman" w:hAnsi="Times New Roman" w:cs="Times New Roman"/>
          <w:sz w:val="24"/>
          <w:szCs w:val="24"/>
        </w:rPr>
        <w:t xml:space="preserve"> </w:t>
      </w:r>
      <w:r w:rsidRPr="003770B5">
        <w:rPr>
          <w:rFonts w:ascii="Times New Roman" w:hAnsi="Times New Roman" w:cs="Times New Roman"/>
          <w:sz w:val="24"/>
          <w:szCs w:val="24"/>
        </w:rPr>
        <w:t>fue empleada como respuesta, pues muestra los valores más bajos de frecuencia para todos los ítems.</w:t>
      </w:r>
    </w:p>
    <w:p w:rsidR="00396584" w:rsidRPr="003770B5" w:rsidRDefault="00396584" w:rsidP="003770B5">
      <w:pPr>
        <w:pStyle w:val="Sangradetextonormal"/>
        <w:spacing w:after="0" w:line="360" w:lineRule="auto"/>
        <w:jc w:val="both"/>
        <w:rPr>
          <w:szCs w:val="24"/>
        </w:rPr>
      </w:pPr>
      <w:r w:rsidRPr="003770B5">
        <w:rPr>
          <w:szCs w:val="24"/>
        </w:rPr>
        <w:t>Del total de ítems, 11 de ellos (2-4, 6, 7, 15-20) poseen frecuencias de selección de la respuesta correcta superiores al 50%.  Lo cual significa que en aspectos como la afectación en actividades básicas e instrumentales (implicando el movimiento, el habla, el aprendizaje, comer y beber), y la efectividad de los cuidados para el manejo de la persona con demencia, más de la mitad de la muestra logra responder correctamente, mostrando un conocimiento adecuado en dichas temáticas (ítems 4, 6 y 16-20).</w:t>
      </w:r>
    </w:p>
    <w:p w:rsidR="00396584" w:rsidRPr="003770B5" w:rsidRDefault="00396584" w:rsidP="003770B5">
      <w:pPr>
        <w:pStyle w:val="Sangradetextonormal"/>
        <w:spacing w:after="0" w:line="360" w:lineRule="auto"/>
        <w:jc w:val="both"/>
        <w:rPr>
          <w:szCs w:val="24"/>
        </w:rPr>
      </w:pPr>
      <w:r w:rsidRPr="003770B5">
        <w:rPr>
          <w:szCs w:val="24"/>
        </w:rPr>
        <w:t>En el caso de los ítems 8, 10-13 muestran las frecuencias más bajas de respuestas correctas. Este resultado resulta aún más llamativo a la luz de la muestra con la que se trabajó pues indican que, en los aspectos relativos a la aparición de los síntomas de la enfermedad, los riesgos y promoción de salud, así como a los comportamientos y la comunicación de la persona con demencia, se muestran las principales deficiencias en el conocimiento y por ende las principales dificultades. Las bajas frecuencias de respuesta correctas para estos ítems, inferior a al 35 por ciento para todos los casos, indica que más de la mitad de la muestra posee conocimientos incorrectos sobre estas temáticas.</w:t>
      </w:r>
      <w:bookmarkStart w:id="11" w:name="_Toc39130748"/>
      <w:bookmarkStart w:id="12" w:name="_Toc39130773"/>
      <w:bookmarkStart w:id="13" w:name="_Toc42715873"/>
      <w:bookmarkStart w:id="14" w:name="_Toc42716437"/>
    </w:p>
    <w:p w:rsidR="00396584" w:rsidRPr="003770B5" w:rsidRDefault="00396584" w:rsidP="003770B5">
      <w:pPr>
        <w:pStyle w:val="Sangradetextonormal"/>
        <w:spacing w:after="0" w:line="360" w:lineRule="auto"/>
        <w:ind w:firstLine="0"/>
        <w:jc w:val="both"/>
        <w:rPr>
          <w:szCs w:val="24"/>
          <w:lang w:val="es-MX"/>
        </w:rPr>
      </w:pPr>
      <w:r w:rsidRPr="003770B5">
        <w:rPr>
          <w:b/>
          <w:szCs w:val="24"/>
        </w:rPr>
        <w:t xml:space="preserve">Etapa de puntuación e interpretación.  </w:t>
      </w:r>
      <w:r w:rsidRPr="003770B5">
        <w:rPr>
          <w:rFonts w:eastAsia="Times New Roman"/>
          <w:b/>
          <w:bCs/>
          <w:szCs w:val="24"/>
          <w:lang w:eastAsia="es-ES"/>
        </w:rPr>
        <w:t>Interpretación de las puntuaciones</w:t>
      </w:r>
      <w:bookmarkEnd w:id="11"/>
      <w:bookmarkEnd w:id="12"/>
      <w:bookmarkEnd w:id="13"/>
      <w:bookmarkEnd w:id="14"/>
    </w:p>
    <w:p w:rsidR="00396584" w:rsidRPr="00E6503A" w:rsidRDefault="00396584" w:rsidP="003770B5">
      <w:pPr>
        <w:spacing w:after="0" w:line="360" w:lineRule="auto"/>
        <w:ind w:firstLine="706"/>
        <w:jc w:val="both"/>
        <w:rPr>
          <w:rFonts w:ascii="Times New Roman" w:eastAsia="Times New Roman" w:hAnsi="Times New Roman" w:cs="Times New Roman"/>
          <w:bCs/>
          <w:sz w:val="24"/>
          <w:szCs w:val="24"/>
          <w:highlight w:val="yellow"/>
          <w:lang w:val="es-MX" w:eastAsia="es-ES"/>
        </w:rPr>
      </w:pPr>
      <w:r w:rsidRPr="003770B5">
        <w:rPr>
          <w:rFonts w:ascii="Times New Roman" w:eastAsia="Times New Roman" w:hAnsi="Times New Roman" w:cs="Times New Roman"/>
          <w:bCs/>
          <w:sz w:val="24"/>
          <w:szCs w:val="24"/>
          <w:lang w:val="es-MX" w:eastAsia="es-ES"/>
        </w:rPr>
        <w:t xml:space="preserve">La puntuación de las respuestas se realizó de acuerdo a las orientaciones de los autores del instrumento </w:t>
      </w:r>
      <w:r w:rsidRPr="003770B5">
        <w:rPr>
          <w:rFonts w:ascii="Times New Roman" w:eastAsia="Times New Roman" w:hAnsi="Times New Roman" w:cs="Times New Roman"/>
          <w:bCs/>
          <w:sz w:val="24"/>
          <w:szCs w:val="24"/>
          <w:lang w:val="es-MX" w:eastAsia="es-ES"/>
        </w:rPr>
        <w:fldChar w:fldCharType="begin"/>
      </w:r>
      <w:r w:rsidRPr="003770B5">
        <w:rPr>
          <w:rFonts w:ascii="Times New Roman" w:eastAsia="Times New Roman" w:hAnsi="Times New Roman" w:cs="Times New Roman"/>
          <w:bCs/>
          <w:sz w:val="24"/>
          <w:szCs w:val="24"/>
          <w:lang w:val="es-MX" w:eastAsia="es-ES"/>
        </w:rPr>
        <w:instrText xml:space="preserve"> ADDIN EN.CITE &lt;EndNote&gt;&lt;Cite&gt;&lt;Author&gt;Annear&lt;/Author&gt;&lt;Year&gt;2017&lt;/Year&gt;&lt;RecNum&gt;43&lt;/RecNum&gt;&lt;DisplayText&gt;(Annear et al., 2017)&lt;/DisplayText&gt;&lt;record&gt;&lt;rec-number&gt;43&lt;/rec-number&gt;&lt;foreign-keys&gt;&lt;key app="EN" db-id="5rvpf2da7ssvs8e5ww1pz9tp5tdttsdwvfzv" timestamp="0"&gt;43&lt;/key&gt;&lt;/foreign-keys&gt;&lt;ref-type name="Journal Article"&gt;17&lt;/ref-type&gt;&lt;contributors&gt;&lt;authors&gt;&lt;author&gt;Annear, M.&lt;/author&gt;&lt;author&gt;Toye, C.&lt;/author&gt;&lt;author&gt;Elliott, K.&lt;/author&gt;&lt;author&gt;McInerney, F.&lt;/author&gt;&lt;author&gt;Eccleston, C.&lt;/author&gt;&lt;author&gt;Robinson, A.&lt;/author&gt;&lt;/authors&gt;&lt;/contributors&gt;&lt;titles&gt;&lt;title&gt;Dementia knowledge assessment scale (DKAS): confirmatory factor analysis and comparative subscale scores among an international cohort&lt;/title&gt;&lt;secondary-title&gt;BMC Geriatric&lt;/secondary-title&gt;&lt;/titles&gt;&lt;pages&gt;2-11&lt;/pages&gt;&lt;volume&gt;17&lt;/volume&gt;&lt;number&gt;168&lt;/number&gt;&lt;dates&gt;&lt;year&gt;2017&lt;/year&gt;&lt;/dates&gt;&lt;urls&gt;&lt;/urls&gt;&lt;electronic-resource-num&gt;10.1186/s12877-017-0552-y&lt;/electronic-resource-num&gt;&lt;/record&gt;&lt;/Cite&gt;&lt;/EndNote&gt;</w:instrText>
      </w:r>
      <w:r w:rsidRPr="003770B5">
        <w:rPr>
          <w:rFonts w:ascii="Times New Roman" w:eastAsia="Times New Roman" w:hAnsi="Times New Roman" w:cs="Times New Roman"/>
          <w:bCs/>
          <w:sz w:val="24"/>
          <w:szCs w:val="24"/>
          <w:lang w:val="es-MX" w:eastAsia="es-ES"/>
        </w:rPr>
        <w:fldChar w:fldCharType="separate"/>
      </w:r>
      <w:r w:rsidRPr="003770B5">
        <w:rPr>
          <w:rFonts w:ascii="Times New Roman" w:eastAsia="Times New Roman" w:hAnsi="Times New Roman" w:cs="Times New Roman"/>
          <w:bCs/>
          <w:noProof/>
          <w:sz w:val="24"/>
          <w:szCs w:val="24"/>
          <w:lang w:val="es-MX" w:eastAsia="es-ES"/>
        </w:rPr>
        <w:t>(</w:t>
      </w:r>
      <w:hyperlink w:anchor="_ENREF_5" w:tooltip="Annear, 2017 #43" w:history="1">
        <w:r w:rsidRPr="003770B5">
          <w:rPr>
            <w:rFonts w:ascii="Times New Roman" w:eastAsia="Times New Roman" w:hAnsi="Times New Roman" w:cs="Times New Roman"/>
            <w:bCs/>
            <w:noProof/>
            <w:sz w:val="24"/>
            <w:szCs w:val="24"/>
            <w:lang w:val="es-MX" w:eastAsia="es-ES"/>
          </w:rPr>
          <w:t>Annear et al., 2017</w:t>
        </w:r>
      </w:hyperlink>
      <w:r w:rsidRPr="003770B5">
        <w:rPr>
          <w:rFonts w:ascii="Times New Roman" w:eastAsia="Times New Roman" w:hAnsi="Times New Roman" w:cs="Times New Roman"/>
          <w:bCs/>
          <w:noProof/>
          <w:sz w:val="24"/>
          <w:szCs w:val="24"/>
          <w:lang w:val="es-MX" w:eastAsia="es-ES"/>
        </w:rPr>
        <w:t>)</w:t>
      </w:r>
      <w:r w:rsidRPr="003770B5">
        <w:rPr>
          <w:rFonts w:ascii="Times New Roman" w:eastAsia="Times New Roman" w:hAnsi="Times New Roman" w:cs="Times New Roman"/>
          <w:bCs/>
          <w:sz w:val="24"/>
          <w:szCs w:val="24"/>
          <w:lang w:val="es-MX" w:eastAsia="es-ES"/>
        </w:rPr>
        <w:fldChar w:fldCharType="end"/>
      </w:r>
      <w:r w:rsidRPr="003770B5">
        <w:rPr>
          <w:rFonts w:ascii="Times New Roman" w:eastAsia="Times New Roman" w:hAnsi="Times New Roman" w:cs="Times New Roman"/>
          <w:bCs/>
          <w:sz w:val="24"/>
          <w:szCs w:val="24"/>
          <w:lang w:val="es-MX" w:eastAsia="es-ES"/>
        </w:rPr>
        <w:t>.</w:t>
      </w:r>
      <w:r w:rsidRPr="003770B5">
        <w:rPr>
          <w:rStyle w:val="Refdecomentario"/>
          <w:rFonts w:ascii="Times New Roman" w:hAnsi="Times New Roman" w:cs="Times New Roman"/>
          <w:sz w:val="24"/>
          <w:szCs w:val="24"/>
        </w:rPr>
        <w:t xml:space="preserve">  L</w:t>
      </w:r>
      <w:r w:rsidRPr="003770B5">
        <w:rPr>
          <w:rFonts w:ascii="Times New Roman" w:eastAsia="Times New Roman" w:hAnsi="Times New Roman" w:cs="Times New Roman"/>
          <w:bCs/>
          <w:sz w:val="24"/>
          <w:szCs w:val="24"/>
          <w:lang w:val="es-MX" w:eastAsia="es-ES"/>
        </w:rPr>
        <w:t xml:space="preserve">a puntuación global del instrumento es de 40 puntos y se obtuvo de la sumatoria de las respuestas por ítem.  También se establecieron, a partir de los percentiles de la muestra, los valores para resultados bajos, medio y </w:t>
      </w:r>
      <w:r w:rsidR="00E6503A">
        <w:rPr>
          <w:rFonts w:ascii="Times New Roman" w:eastAsia="Times New Roman" w:hAnsi="Times New Roman" w:cs="Times New Roman"/>
          <w:bCs/>
          <w:sz w:val="24"/>
          <w:szCs w:val="24"/>
          <w:lang w:val="es-MX" w:eastAsia="es-ES"/>
        </w:rPr>
        <w:t xml:space="preserve">altos de la población </w:t>
      </w:r>
      <w:r w:rsidR="00E6503A" w:rsidRPr="00EA41E3">
        <w:rPr>
          <w:rFonts w:ascii="Times New Roman" w:eastAsia="Times New Roman" w:hAnsi="Times New Roman" w:cs="Times New Roman"/>
          <w:bCs/>
          <w:sz w:val="24"/>
          <w:szCs w:val="24"/>
          <w:lang w:val="es-MX" w:eastAsia="es-ES"/>
        </w:rPr>
        <w:t>(tabla</w:t>
      </w:r>
      <w:r w:rsidR="001A03B7" w:rsidRPr="00EA41E3">
        <w:rPr>
          <w:rFonts w:ascii="Times New Roman" w:eastAsia="Times New Roman" w:hAnsi="Times New Roman" w:cs="Times New Roman"/>
          <w:bCs/>
          <w:sz w:val="24"/>
          <w:szCs w:val="24"/>
          <w:lang w:val="es-MX" w:eastAsia="es-ES"/>
        </w:rPr>
        <w:t xml:space="preserve"> 1</w:t>
      </w:r>
      <w:r w:rsidR="00A70941" w:rsidRPr="00EA41E3">
        <w:rPr>
          <w:rFonts w:ascii="Times New Roman" w:eastAsia="Times New Roman" w:hAnsi="Times New Roman" w:cs="Times New Roman"/>
          <w:bCs/>
          <w:sz w:val="24"/>
          <w:szCs w:val="24"/>
          <w:lang w:val="es-MX" w:eastAsia="es-ES"/>
        </w:rPr>
        <w:t>)</w:t>
      </w:r>
    </w:p>
    <w:tbl>
      <w:tblPr>
        <w:tblStyle w:val="Tablaconcuadrcula"/>
        <w:tblW w:w="0" w:type="auto"/>
        <w:jc w:val="center"/>
        <w:tblLook w:val="04A0" w:firstRow="1" w:lastRow="0" w:firstColumn="1" w:lastColumn="0" w:noHBand="0" w:noVBand="1"/>
      </w:tblPr>
      <w:tblGrid>
        <w:gridCol w:w="992"/>
        <w:gridCol w:w="1123"/>
        <w:gridCol w:w="679"/>
        <w:gridCol w:w="791"/>
        <w:gridCol w:w="1248"/>
        <w:gridCol w:w="1217"/>
        <w:gridCol w:w="1251"/>
        <w:gridCol w:w="1217"/>
      </w:tblGrid>
      <w:tr w:rsidR="00396584" w:rsidRPr="003770B5" w:rsidTr="001A03B7">
        <w:trPr>
          <w:trHeight w:val="710"/>
          <w:jc w:val="center"/>
        </w:trPr>
        <w:tc>
          <w:tcPr>
            <w:tcW w:w="8518" w:type="dxa"/>
            <w:gridSpan w:val="8"/>
            <w:tcBorders>
              <w:top w:val="nil"/>
              <w:left w:val="nil"/>
              <w:right w:val="nil"/>
            </w:tcBorders>
          </w:tcPr>
          <w:p w:rsidR="00396584" w:rsidRPr="003770B5" w:rsidRDefault="00396584" w:rsidP="003770B5">
            <w:pPr>
              <w:spacing w:line="360" w:lineRule="auto"/>
              <w:jc w:val="both"/>
              <w:rPr>
                <w:rFonts w:ascii="Times New Roman" w:eastAsia="Times New Roman" w:hAnsi="Times New Roman" w:cs="Times New Roman"/>
                <w:bCs/>
                <w:i/>
                <w:sz w:val="24"/>
                <w:szCs w:val="24"/>
                <w:lang w:val="es-MX" w:eastAsia="es-ES"/>
              </w:rPr>
            </w:pPr>
          </w:p>
        </w:tc>
      </w:tr>
      <w:tr w:rsidR="00396584" w:rsidRPr="003770B5" w:rsidTr="001A03B7">
        <w:trPr>
          <w:trHeight w:val="278"/>
          <w:jc w:val="center"/>
        </w:trPr>
        <w:tc>
          <w:tcPr>
            <w:tcW w:w="3585" w:type="dxa"/>
            <w:gridSpan w:val="4"/>
            <w:tcBorders>
              <w:left w:val="nil"/>
              <w:bottom w:val="nil"/>
              <w:right w:val="nil"/>
            </w:tcBorders>
          </w:tcPr>
          <w:p w:rsidR="00396584" w:rsidRPr="003770B5" w:rsidRDefault="00396584" w:rsidP="003770B5">
            <w:pPr>
              <w:spacing w:line="360" w:lineRule="auto"/>
              <w:jc w:val="both"/>
              <w:rPr>
                <w:rFonts w:ascii="Times New Roman" w:eastAsia="Times New Roman" w:hAnsi="Times New Roman" w:cs="Times New Roman"/>
                <w:b/>
                <w:bCs/>
                <w:sz w:val="24"/>
                <w:szCs w:val="24"/>
                <w:lang w:val="es-MX" w:eastAsia="es-ES"/>
              </w:rPr>
            </w:pPr>
          </w:p>
        </w:tc>
        <w:tc>
          <w:tcPr>
            <w:tcW w:w="1248" w:type="dxa"/>
            <w:tcBorders>
              <w:left w:val="nil"/>
              <w:bottom w:val="nil"/>
              <w:right w:val="nil"/>
            </w:tcBorders>
          </w:tcPr>
          <w:p w:rsidR="00396584" w:rsidRPr="003770B5" w:rsidRDefault="00396584" w:rsidP="003770B5">
            <w:pPr>
              <w:spacing w:line="360" w:lineRule="auto"/>
              <w:jc w:val="both"/>
              <w:rPr>
                <w:rFonts w:ascii="Times New Roman" w:eastAsia="Times New Roman" w:hAnsi="Times New Roman" w:cs="Times New Roman"/>
                <w:b/>
                <w:bCs/>
                <w:sz w:val="24"/>
                <w:szCs w:val="24"/>
                <w:lang w:val="es-MX" w:eastAsia="es-ES"/>
              </w:rPr>
            </w:pPr>
          </w:p>
        </w:tc>
        <w:tc>
          <w:tcPr>
            <w:tcW w:w="3685" w:type="dxa"/>
            <w:gridSpan w:val="3"/>
            <w:tcBorders>
              <w:left w:val="nil"/>
              <w:right w:val="nil"/>
            </w:tcBorders>
          </w:tcPr>
          <w:p w:rsidR="00396584" w:rsidRPr="003770B5" w:rsidRDefault="00396584" w:rsidP="003770B5">
            <w:pPr>
              <w:spacing w:line="360" w:lineRule="auto"/>
              <w:jc w:val="both"/>
              <w:rPr>
                <w:rFonts w:ascii="Times New Roman" w:eastAsia="Times New Roman" w:hAnsi="Times New Roman" w:cs="Times New Roman"/>
                <w:b/>
                <w:bCs/>
                <w:sz w:val="24"/>
                <w:szCs w:val="24"/>
                <w:lang w:val="en-US" w:eastAsia="es-ES"/>
              </w:rPr>
            </w:pPr>
            <w:proofErr w:type="spellStart"/>
            <w:proofErr w:type="gramStart"/>
            <w:r w:rsidRPr="003770B5">
              <w:rPr>
                <w:rFonts w:ascii="Times New Roman" w:eastAsia="Times New Roman" w:hAnsi="Times New Roman" w:cs="Times New Roman"/>
                <w:b/>
                <w:bCs/>
                <w:sz w:val="24"/>
                <w:szCs w:val="24"/>
                <w:lang w:val="en-US" w:eastAsia="es-ES"/>
              </w:rPr>
              <w:t>Nivelesfr</w:t>
            </w:r>
            <w:proofErr w:type="spellEnd"/>
            <w:r w:rsidRPr="003770B5">
              <w:rPr>
                <w:rFonts w:ascii="Times New Roman" w:eastAsia="Times New Roman" w:hAnsi="Times New Roman" w:cs="Times New Roman"/>
                <w:b/>
                <w:bCs/>
                <w:sz w:val="24"/>
                <w:szCs w:val="24"/>
                <w:lang w:val="en-US" w:eastAsia="es-ES"/>
              </w:rPr>
              <w:t>(</w:t>
            </w:r>
            <w:proofErr w:type="gramEnd"/>
            <w:r w:rsidRPr="003770B5">
              <w:rPr>
                <w:rFonts w:ascii="Times New Roman" w:eastAsia="Times New Roman" w:hAnsi="Times New Roman" w:cs="Times New Roman"/>
                <w:b/>
                <w:bCs/>
                <w:sz w:val="24"/>
                <w:szCs w:val="24"/>
                <w:lang w:val="en-US" w:eastAsia="es-ES"/>
              </w:rPr>
              <w:t>%)</w:t>
            </w:r>
          </w:p>
        </w:tc>
      </w:tr>
      <w:tr w:rsidR="00396584" w:rsidRPr="003770B5" w:rsidTr="001A03B7">
        <w:trPr>
          <w:jc w:val="center"/>
        </w:trPr>
        <w:tc>
          <w:tcPr>
            <w:tcW w:w="992" w:type="dxa"/>
            <w:tcBorders>
              <w:top w:val="nil"/>
              <w:left w:val="nil"/>
              <w:bottom w:val="single" w:sz="4" w:space="0" w:color="auto"/>
              <w:right w:val="nil"/>
            </w:tcBorders>
          </w:tcPr>
          <w:p w:rsidR="00396584" w:rsidRPr="003770B5" w:rsidRDefault="00396584" w:rsidP="003770B5">
            <w:pPr>
              <w:spacing w:line="360" w:lineRule="auto"/>
              <w:jc w:val="both"/>
              <w:rPr>
                <w:rFonts w:ascii="Times New Roman" w:eastAsia="Times New Roman" w:hAnsi="Times New Roman" w:cs="Times New Roman"/>
                <w:b/>
                <w:bCs/>
                <w:sz w:val="24"/>
                <w:szCs w:val="24"/>
                <w:lang w:val="es-MX" w:eastAsia="es-ES"/>
              </w:rPr>
            </w:pPr>
            <w:r w:rsidRPr="003770B5">
              <w:rPr>
                <w:rFonts w:ascii="Times New Roman" w:eastAsia="Times New Roman" w:hAnsi="Times New Roman" w:cs="Times New Roman"/>
                <w:b/>
                <w:bCs/>
                <w:sz w:val="24"/>
                <w:szCs w:val="24"/>
                <w:lang w:val="es-MX" w:eastAsia="es-ES"/>
              </w:rPr>
              <w:t>Media</w:t>
            </w:r>
          </w:p>
        </w:tc>
        <w:tc>
          <w:tcPr>
            <w:tcW w:w="1123" w:type="dxa"/>
            <w:tcBorders>
              <w:top w:val="nil"/>
              <w:left w:val="nil"/>
              <w:bottom w:val="single" w:sz="4" w:space="0" w:color="auto"/>
              <w:right w:val="nil"/>
            </w:tcBorders>
          </w:tcPr>
          <w:p w:rsidR="00396584" w:rsidRPr="003770B5" w:rsidRDefault="00396584" w:rsidP="003770B5">
            <w:pPr>
              <w:spacing w:line="360" w:lineRule="auto"/>
              <w:jc w:val="both"/>
              <w:rPr>
                <w:rFonts w:ascii="Times New Roman" w:eastAsia="Times New Roman" w:hAnsi="Times New Roman" w:cs="Times New Roman"/>
                <w:b/>
                <w:bCs/>
                <w:sz w:val="24"/>
                <w:szCs w:val="24"/>
                <w:lang w:val="es-MX" w:eastAsia="es-ES"/>
              </w:rPr>
            </w:pPr>
            <w:r w:rsidRPr="003770B5">
              <w:rPr>
                <w:rFonts w:ascii="Times New Roman" w:eastAsia="Times New Roman" w:hAnsi="Times New Roman" w:cs="Times New Roman"/>
                <w:b/>
                <w:bCs/>
                <w:sz w:val="24"/>
                <w:szCs w:val="24"/>
                <w:lang w:val="es-MX" w:eastAsia="es-ES"/>
              </w:rPr>
              <w:t>Mediana</w:t>
            </w:r>
          </w:p>
        </w:tc>
        <w:tc>
          <w:tcPr>
            <w:tcW w:w="679" w:type="dxa"/>
            <w:tcBorders>
              <w:top w:val="nil"/>
              <w:left w:val="nil"/>
              <w:bottom w:val="single" w:sz="4" w:space="0" w:color="auto"/>
              <w:right w:val="nil"/>
            </w:tcBorders>
          </w:tcPr>
          <w:p w:rsidR="00396584" w:rsidRPr="003770B5" w:rsidRDefault="00396584" w:rsidP="003770B5">
            <w:pPr>
              <w:spacing w:line="360" w:lineRule="auto"/>
              <w:jc w:val="both"/>
              <w:rPr>
                <w:rFonts w:ascii="Times New Roman" w:eastAsia="Times New Roman" w:hAnsi="Times New Roman" w:cs="Times New Roman"/>
                <w:b/>
                <w:bCs/>
                <w:sz w:val="24"/>
                <w:szCs w:val="24"/>
                <w:lang w:val="es-MX" w:eastAsia="es-ES"/>
              </w:rPr>
            </w:pPr>
            <w:r w:rsidRPr="003770B5">
              <w:rPr>
                <w:rFonts w:ascii="Times New Roman" w:eastAsia="Times New Roman" w:hAnsi="Times New Roman" w:cs="Times New Roman"/>
                <w:b/>
                <w:bCs/>
                <w:sz w:val="24"/>
                <w:szCs w:val="24"/>
                <w:lang w:val="es-MX" w:eastAsia="es-ES"/>
              </w:rPr>
              <w:t>DE</w:t>
            </w:r>
          </w:p>
        </w:tc>
        <w:tc>
          <w:tcPr>
            <w:tcW w:w="791" w:type="dxa"/>
            <w:tcBorders>
              <w:top w:val="nil"/>
              <w:left w:val="nil"/>
              <w:bottom w:val="single" w:sz="4" w:space="0" w:color="auto"/>
              <w:right w:val="nil"/>
            </w:tcBorders>
          </w:tcPr>
          <w:p w:rsidR="00396584" w:rsidRPr="003770B5" w:rsidRDefault="00396584" w:rsidP="003770B5">
            <w:pPr>
              <w:spacing w:line="360" w:lineRule="auto"/>
              <w:jc w:val="both"/>
              <w:rPr>
                <w:rFonts w:ascii="Times New Roman" w:eastAsia="Times New Roman" w:hAnsi="Times New Roman" w:cs="Times New Roman"/>
                <w:b/>
                <w:bCs/>
                <w:sz w:val="24"/>
                <w:szCs w:val="24"/>
                <w:lang w:val="es-MX" w:eastAsia="es-ES"/>
              </w:rPr>
            </w:pPr>
            <w:r w:rsidRPr="003770B5">
              <w:rPr>
                <w:rFonts w:ascii="Times New Roman" w:eastAsia="Times New Roman" w:hAnsi="Times New Roman" w:cs="Times New Roman"/>
                <w:b/>
                <w:bCs/>
                <w:sz w:val="24"/>
                <w:szCs w:val="24"/>
                <w:lang w:val="es-MX" w:eastAsia="es-ES"/>
              </w:rPr>
              <w:t>Mín.</w:t>
            </w:r>
          </w:p>
        </w:tc>
        <w:tc>
          <w:tcPr>
            <w:tcW w:w="1248" w:type="dxa"/>
            <w:tcBorders>
              <w:top w:val="nil"/>
              <w:left w:val="nil"/>
              <w:bottom w:val="single" w:sz="4" w:space="0" w:color="auto"/>
              <w:right w:val="nil"/>
            </w:tcBorders>
          </w:tcPr>
          <w:p w:rsidR="00396584" w:rsidRPr="003770B5" w:rsidRDefault="00396584" w:rsidP="003770B5">
            <w:pPr>
              <w:spacing w:line="360" w:lineRule="auto"/>
              <w:jc w:val="both"/>
              <w:rPr>
                <w:rFonts w:ascii="Times New Roman" w:eastAsia="Times New Roman" w:hAnsi="Times New Roman" w:cs="Times New Roman"/>
                <w:b/>
                <w:bCs/>
                <w:sz w:val="24"/>
                <w:szCs w:val="24"/>
                <w:lang w:val="es-MX" w:eastAsia="es-ES"/>
              </w:rPr>
            </w:pPr>
            <w:r w:rsidRPr="003770B5">
              <w:rPr>
                <w:rFonts w:ascii="Times New Roman" w:eastAsia="Times New Roman" w:hAnsi="Times New Roman" w:cs="Times New Roman"/>
                <w:b/>
                <w:bCs/>
                <w:sz w:val="24"/>
                <w:szCs w:val="24"/>
                <w:lang w:val="es-MX" w:eastAsia="es-ES"/>
              </w:rPr>
              <w:t>Máx.</w:t>
            </w:r>
          </w:p>
        </w:tc>
        <w:tc>
          <w:tcPr>
            <w:tcW w:w="1217" w:type="dxa"/>
            <w:tcBorders>
              <w:left w:val="nil"/>
              <w:bottom w:val="single" w:sz="4" w:space="0" w:color="auto"/>
              <w:right w:val="nil"/>
            </w:tcBorders>
          </w:tcPr>
          <w:p w:rsidR="00396584" w:rsidRPr="003770B5" w:rsidRDefault="00396584" w:rsidP="003770B5">
            <w:pPr>
              <w:spacing w:line="360" w:lineRule="auto"/>
              <w:jc w:val="both"/>
              <w:rPr>
                <w:rFonts w:ascii="Times New Roman" w:eastAsia="Times New Roman" w:hAnsi="Times New Roman" w:cs="Times New Roman"/>
                <w:b/>
                <w:bCs/>
                <w:sz w:val="24"/>
                <w:szCs w:val="24"/>
                <w:lang w:val="es-MX" w:eastAsia="es-ES"/>
              </w:rPr>
            </w:pPr>
            <w:r w:rsidRPr="003770B5">
              <w:rPr>
                <w:rFonts w:ascii="Times New Roman" w:eastAsia="Times New Roman" w:hAnsi="Times New Roman" w:cs="Times New Roman"/>
                <w:b/>
                <w:bCs/>
                <w:sz w:val="24"/>
                <w:szCs w:val="24"/>
                <w:lang w:val="es-MX" w:eastAsia="es-ES"/>
              </w:rPr>
              <w:t>Bajo</w:t>
            </w:r>
          </w:p>
        </w:tc>
        <w:tc>
          <w:tcPr>
            <w:tcW w:w="1251" w:type="dxa"/>
            <w:tcBorders>
              <w:left w:val="nil"/>
              <w:bottom w:val="single" w:sz="4" w:space="0" w:color="auto"/>
              <w:right w:val="nil"/>
            </w:tcBorders>
          </w:tcPr>
          <w:p w:rsidR="00396584" w:rsidRPr="003770B5" w:rsidRDefault="00396584" w:rsidP="003770B5">
            <w:pPr>
              <w:spacing w:line="360" w:lineRule="auto"/>
              <w:jc w:val="both"/>
              <w:rPr>
                <w:rFonts w:ascii="Times New Roman" w:eastAsia="Times New Roman" w:hAnsi="Times New Roman" w:cs="Times New Roman"/>
                <w:b/>
                <w:bCs/>
                <w:sz w:val="24"/>
                <w:szCs w:val="24"/>
                <w:lang w:val="es-MX" w:eastAsia="es-ES"/>
              </w:rPr>
            </w:pPr>
            <w:r w:rsidRPr="003770B5">
              <w:rPr>
                <w:rFonts w:ascii="Times New Roman" w:eastAsia="Times New Roman" w:hAnsi="Times New Roman" w:cs="Times New Roman"/>
                <w:b/>
                <w:bCs/>
                <w:sz w:val="24"/>
                <w:szCs w:val="24"/>
                <w:lang w:val="es-MX" w:eastAsia="es-ES"/>
              </w:rPr>
              <w:t>Medio</w:t>
            </w:r>
          </w:p>
        </w:tc>
        <w:tc>
          <w:tcPr>
            <w:tcW w:w="1217" w:type="dxa"/>
            <w:tcBorders>
              <w:left w:val="nil"/>
              <w:bottom w:val="single" w:sz="4" w:space="0" w:color="auto"/>
              <w:right w:val="nil"/>
            </w:tcBorders>
          </w:tcPr>
          <w:p w:rsidR="00396584" w:rsidRPr="003770B5" w:rsidRDefault="00396584" w:rsidP="003770B5">
            <w:pPr>
              <w:spacing w:line="360" w:lineRule="auto"/>
              <w:jc w:val="both"/>
              <w:rPr>
                <w:rFonts w:ascii="Times New Roman" w:eastAsia="Times New Roman" w:hAnsi="Times New Roman" w:cs="Times New Roman"/>
                <w:b/>
                <w:bCs/>
                <w:sz w:val="24"/>
                <w:szCs w:val="24"/>
                <w:lang w:val="es-MX" w:eastAsia="es-ES"/>
              </w:rPr>
            </w:pPr>
            <w:r w:rsidRPr="003770B5">
              <w:rPr>
                <w:rFonts w:ascii="Times New Roman" w:eastAsia="Times New Roman" w:hAnsi="Times New Roman" w:cs="Times New Roman"/>
                <w:b/>
                <w:bCs/>
                <w:sz w:val="24"/>
                <w:szCs w:val="24"/>
                <w:lang w:val="es-MX" w:eastAsia="es-ES"/>
              </w:rPr>
              <w:t>Alto</w:t>
            </w:r>
          </w:p>
        </w:tc>
      </w:tr>
      <w:tr w:rsidR="00396584" w:rsidRPr="003770B5" w:rsidTr="001A03B7">
        <w:trPr>
          <w:jc w:val="center"/>
        </w:trPr>
        <w:tc>
          <w:tcPr>
            <w:tcW w:w="992" w:type="dxa"/>
            <w:tcBorders>
              <w:top w:val="single" w:sz="4" w:space="0" w:color="auto"/>
              <w:left w:val="nil"/>
              <w:bottom w:val="single" w:sz="4" w:space="0" w:color="auto"/>
              <w:right w:val="nil"/>
            </w:tcBorders>
          </w:tcPr>
          <w:p w:rsidR="00396584" w:rsidRPr="003770B5" w:rsidRDefault="00396584" w:rsidP="003770B5">
            <w:pPr>
              <w:spacing w:line="360" w:lineRule="auto"/>
              <w:jc w:val="both"/>
              <w:rPr>
                <w:rFonts w:ascii="Times New Roman" w:eastAsia="Times New Roman" w:hAnsi="Times New Roman" w:cs="Times New Roman"/>
                <w:bCs/>
                <w:sz w:val="24"/>
                <w:szCs w:val="24"/>
                <w:lang w:val="es-MX" w:eastAsia="es-ES"/>
              </w:rPr>
            </w:pPr>
            <w:r w:rsidRPr="003770B5">
              <w:rPr>
                <w:rFonts w:ascii="Times New Roman" w:eastAsia="Times New Roman" w:hAnsi="Times New Roman" w:cs="Times New Roman"/>
                <w:bCs/>
                <w:sz w:val="24"/>
                <w:szCs w:val="24"/>
                <w:lang w:val="es-MX" w:eastAsia="es-ES"/>
              </w:rPr>
              <w:t>22.7</w:t>
            </w:r>
          </w:p>
        </w:tc>
        <w:tc>
          <w:tcPr>
            <w:tcW w:w="1123" w:type="dxa"/>
            <w:tcBorders>
              <w:top w:val="single" w:sz="4" w:space="0" w:color="auto"/>
              <w:left w:val="nil"/>
              <w:bottom w:val="single" w:sz="4" w:space="0" w:color="auto"/>
              <w:right w:val="nil"/>
            </w:tcBorders>
          </w:tcPr>
          <w:p w:rsidR="00396584" w:rsidRPr="003770B5" w:rsidRDefault="00396584" w:rsidP="003770B5">
            <w:pPr>
              <w:spacing w:line="360" w:lineRule="auto"/>
              <w:jc w:val="both"/>
              <w:rPr>
                <w:rFonts w:ascii="Times New Roman" w:eastAsia="Times New Roman" w:hAnsi="Times New Roman" w:cs="Times New Roman"/>
                <w:bCs/>
                <w:sz w:val="24"/>
                <w:szCs w:val="24"/>
                <w:lang w:val="es-MX" w:eastAsia="es-ES"/>
              </w:rPr>
            </w:pPr>
            <w:r w:rsidRPr="003770B5">
              <w:rPr>
                <w:rFonts w:ascii="Times New Roman" w:eastAsia="Times New Roman" w:hAnsi="Times New Roman" w:cs="Times New Roman"/>
                <w:bCs/>
                <w:sz w:val="24"/>
                <w:szCs w:val="24"/>
                <w:lang w:val="es-MX" w:eastAsia="es-ES"/>
              </w:rPr>
              <w:t>23.0</w:t>
            </w:r>
          </w:p>
        </w:tc>
        <w:tc>
          <w:tcPr>
            <w:tcW w:w="679" w:type="dxa"/>
            <w:tcBorders>
              <w:top w:val="single" w:sz="4" w:space="0" w:color="auto"/>
              <w:left w:val="nil"/>
              <w:bottom w:val="single" w:sz="4" w:space="0" w:color="auto"/>
              <w:right w:val="nil"/>
            </w:tcBorders>
          </w:tcPr>
          <w:p w:rsidR="00396584" w:rsidRPr="003770B5" w:rsidRDefault="00396584" w:rsidP="003770B5">
            <w:pPr>
              <w:spacing w:line="360" w:lineRule="auto"/>
              <w:jc w:val="both"/>
              <w:rPr>
                <w:rFonts w:ascii="Times New Roman" w:eastAsia="Times New Roman" w:hAnsi="Times New Roman" w:cs="Times New Roman"/>
                <w:bCs/>
                <w:sz w:val="24"/>
                <w:szCs w:val="24"/>
                <w:lang w:val="es-MX" w:eastAsia="es-ES"/>
              </w:rPr>
            </w:pPr>
            <w:r w:rsidRPr="003770B5">
              <w:rPr>
                <w:rFonts w:ascii="Times New Roman" w:eastAsia="Times New Roman" w:hAnsi="Times New Roman" w:cs="Times New Roman"/>
                <w:bCs/>
                <w:sz w:val="24"/>
                <w:szCs w:val="24"/>
                <w:lang w:val="es-MX" w:eastAsia="es-ES"/>
              </w:rPr>
              <w:t>5.1</w:t>
            </w:r>
          </w:p>
        </w:tc>
        <w:tc>
          <w:tcPr>
            <w:tcW w:w="791" w:type="dxa"/>
            <w:tcBorders>
              <w:top w:val="single" w:sz="4" w:space="0" w:color="auto"/>
              <w:left w:val="nil"/>
              <w:bottom w:val="single" w:sz="4" w:space="0" w:color="auto"/>
              <w:right w:val="nil"/>
            </w:tcBorders>
          </w:tcPr>
          <w:p w:rsidR="00396584" w:rsidRPr="003770B5" w:rsidRDefault="00396584" w:rsidP="003770B5">
            <w:pPr>
              <w:spacing w:line="360" w:lineRule="auto"/>
              <w:jc w:val="both"/>
              <w:rPr>
                <w:rFonts w:ascii="Times New Roman" w:eastAsia="Times New Roman" w:hAnsi="Times New Roman" w:cs="Times New Roman"/>
                <w:bCs/>
                <w:sz w:val="24"/>
                <w:szCs w:val="24"/>
                <w:lang w:val="es-MX" w:eastAsia="es-ES"/>
              </w:rPr>
            </w:pPr>
            <w:r w:rsidRPr="003770B5">
              <w:rPr>
                <w:rFonts w:ascii="Times New Roman" w:eastAsia="Times New Roman" w:hAnsi="Times New Roman" w:cs="Times New Roman"/>
                <w:bCs/>
                <w:sz w:val="24"/>
                <w:szCs w:val="24"/>
                <w:lang w:val="es-MX" w:eastAsia="es-ES"/>
              </w:rPr>
              <w:t>2.0</w:t>
            </w:r>
          </w:p>
        </w:tc>
        <w:tc>
          <w:tcPr>
            <w:tcW w:w="1248" w:type="dxa"/>
            <w:tcBorders>
              <w:top w:val="single" w:sz="4" w:space="0" w:color="auto"/>
              <w:left w:val="nil"/>
              <w:bottom w:val="single" w:sz="4" w:space="0" w:color="auto"/>
              <w:right w:val="nil"/>
            </w:tcBorders>
          </w:tcPr>
          <w:p w:rsidR="00396584" w:rsidRPr="003770B5" w:rsidRDefault="00396584" w:rsidP="003770B5">
            <w:pPr>
              <w:spacing w:line="360" w:lineRule="auto"/>
              <w:jc w:val="both"/>
              <w:rPr>
                <w:rFonts w:ascii="Times New Roman" w:eastAsia="Times New Roman" w:hAnsi="Times New Roman" w:cs="Times New Roman"/>
                <w:bCs/>
                <w:sz w:val="24"/>
                <w:szCs w:val="24"/>
                <w:lang w:val="es-MX" w:eastAsia="es-ES"/>
              </w:rPr>
            </w:pPr>
            <w:r w:rsidRPr="003770B5">
              <w:rPr>
                <w:rFonts w:ascii="Times New Roman" w:eastAsia="Times New Roman" w:hAnsi="Times New Roman" w:cs="Times New Roman"/>
                <w:bCs/>
                <w:sz w:val="24"/>
                <w:szCs w:val="24"/>
                <w:lang w:val="es-MX" w:eastAsia="es-ES"/>
              </w:rPr>
              <w:t>38.0</w:t>
            </w:r>
          </w:p>
        </w:tc>
        <w:tc>
          <w:tcPr>
            <w:tcW w:w="1217" w:type="dxa"/>
            <w:tcBorders>
              <w:top w:val="single" w:sz="4" w:space="0" w:color="auto"/>
              <w:left w:val="nil"/>
              <w:bottom w:val="single" w:sz="4" w:space="0" w:color="auto"/>
              <w:right w:val="nil"/>
            </w:tcBorders>
          </w:tcPr>
          <w:p w:rsidR="00396584" w:rsidRPr="003770B5" w:rsidRDefault="00396584" w:rsidP="003770B5">
            <w:pPr>
              <w:spacing w:line="360" w:lineRule="auto"/>
              <w:jc w:val="both"/>
              <w:rPr>
                <w:rFonts w:ascii="Times New Roman" w:eastAsia="Times New Roman" w:hAnsi="Times New Roman" w:cs="Times New Roman"/>
                <w:bCs/>
                <w:sz w:val="24"/>
                <w:szCs w:val="24"/>
                <w:lang w:val="es-MX" w:eastAsia="es-ES"/>
              </w:rPr>
            </w:pPr>
            <w:r w:rsidRPr="003770B5">
              <w:rPr>
                <w:rFonts w:ascii="Times New Roman" w:eastAsia="Times New Roman" w:hAnsi="Times New Roman" w:cs="Times New Roman"/>
                <w:bCs/>
                <w:sz w:val="24"/>
                <w:szCs w:val="24"/>
                <w:lang w:val="es-MX" w:eastAsia="es-ES"/>
              </w:rPr>
              <w:t>113(31.6)</w:t>
            </w:r>
          </w:p>
        </w:tc>
        <w:tc>
          <w:tcPr>
            <w:tcW w:w="1251" w:type="dxa"/>
            <w:tcBorders>
              <w:top w:val="single" w:sz="4" w:space="0" w:color="auto"/>
              <w:left w:val="nil"/>
              <w:bottom w:val="single" w:sz="4" w:space="0" w:color="auto"/>
              <w:right w:val="nil"/>
            </w:tcBorders>
          </w:tcPr>
          <w:p w:rsidR="00396584" w:rsidRPr="003770B5" w:rsidRDefault="00396584" w:rsidP="003770B5">
            <w:pPr>
              <w:spacing w:line="360" w:lineRule="auto"/>
              <w:jc w:val="both"/>
              <w:rPr>
                <w:rFonts w:ascii="Times New Roman" w:eastAsia="Times New Roman" w:hAnsi="Times New Roman" w:cs="Times New Roman"/>
                <w:bCs/>
                <w:sz w:val="24"/>
                <w:szCs w:val="24"/>
                <w:lang w:val="es-MX" w:eastAsia="es-ES"/>
              </w:rPr>
            </w:pPr>
            <w:r w:rsidRPr="003770B5">
              <w:rPr>
                <w:rFonts w:ascii="Times New Roman" w:eastAsia="Times New Roman" w:hAnsi="Times New Roman" w:cs="Times New Roman"/>
                <w:bCs/>
                <w:sz w:val="24"/>
                <w:szCs w:val="24"/>
                <w:lang w:val="es-MX" w:eastAsia="es-ES"/>
              </w:rPr>
              <w:t>163(45.5)</w:t>
            </w:r>
          </w:p>
        </w:tc>
        <w:tc>
          <w:tcPr>
            <w:tcW w:w="1217" w:type="dxa"/>
            <w:tcBorders>
              <w:top w:val="single" w:sz="4" w:space="0" w:color="auto"/>
              <w:left w:val="nil"/>
              <w:bottom w:val="single" w:sz="4" w:space="0" w:color="auto"/>
              <w:right w:val="nil"/>
            </w:tcBorders>
          </w:tcPr>
          <w:p w:rsidR="00396584" w:rsidRPr="003770B5" w:rsidRDefault="00396584" w:rsidP="003770B5">
            <w:pPr>
              <w:spacing w:line="360" w:lineRule="auto"/>
              <w:jc w:val="both"/>
              <w:rPr>
                <w:rFonts w:ascii="Times New Roman" w:eastAsia="Times New Roman" w:hAnsi="Times New Roman" w:cs="Times New Roman"/>
                <w:bCs/>
                <w:sz w:val="24"/>
                <w:szCs w:val="24"/>
                <w:lang w:val="es-MX" w:eastAsia="es-ES"/>
              </w:rPr>
            </w:pPr>
            <w:r w:rsidRPr="003770B5">
              <w:rPr>
                <w:rFonts w:ascii="Times New Roman" w:eastAsia="Times New Roman" w:hAnsi="Times New Roman" w:cs="Times New Roman"/>
                <w:bCs/>
                <w:sz w:val="24"/>
                <w:szCs w:val="24"/>
                <w:lang w:val="es-MX" w:eastAsia="es-ES"/>
              </w:rPr>
              <w:t>81(22.6)</w:t>
            </w:r>
          </w:p>
        </w:tc>
      </w:tr>
      <w:tr w:rsidR="00396584" w:rsidRPr="003770B5" w:rsidTr="001A03B7">
        <w:trPr>
          <w:jc w:val="center"/>
        </w:trPr>
        <w:tc>
          <w:tcPr>
            <w:tcW w:w="8518" w:type="dxa"/>
            <w:gridSpan w:val="8"/>
            <w:tcBorders>
              <w:top w:val="single" w:sz="4" w:space="0" w:color="auto"/>
              <w:left w:val="nil"/>
              <w:bottom w:val="nil"/>
              <w:right w:val="nil"/>
            </w:tcBorders>
          </w:tcPr>
          <w:p w:rsidR="001A03B7" w:rsidRPr="001A03B7" w:rsidRDefault="001A03B7" w:rsidP="003770B5">
            <w:pPr>
              <w:spacing w:line="360" w:lineRule="auto"/>
              <w:jc w:val="both"/>
              <w:rPr>
                <w:rFonts w:ascii="Times New Roman" w:eastAsia="Times New Roman" w:hAnsi="Times New Roman" w:cs="Times New Roman"/>
                <w:bCs/>
                <w:sz w:val="24"/>
                <w:szCs w:val="24"/>
                <w:lang w:val="es-MX" w:eastAsia="es-ES"/>
              </w:rPr>
            </w:pPr>
            <w:r w:rsidRPr="001A03B7">
              <w:rPr>
                <w:rFonts w:ascii="Times New Roman" w:eastAsia="Times New Roman" w:hAnsi="Times New Roman" w:cs="Times New Roman"/>
                <w:bCs/>
                <w:sz w:val="20"/>
                <w:szCs w:val="20"/>
                <w:lang w:val="es-MX" w:eastAsia="es-ES"/>
              </w:rPr>
              <w:t>Tabla 1 Resultados de la Escala de conocimiento sobre demencia (DKAS- Sp-20</w:t>
            </w:r>
            <w:r w:rsidRPr="001A03B7">
              <w:rPr>
                <w:rFonts w:ascii="Times New Roman" w:eastAsia="Times New Roman" w:hAnsi="Times New Roman" w:cs="Times New Roman"/>
                <w:bCs/>
                <w:i/>
                <w:sz w:val="24"/>
                <w:szCs w:val="24"/>
                <w:lang w:val="es-MX" w:eastAsia="es-ES"/>
              </w:rPr>
              <w:t>)</w:t>
            </w:r>
          </w:p>
          <w:p w:rsidR="00396584" w:rsidRDefault="00396584" w:rsidP="003770B5">
            <w:pPr>
              <w:spacing w:line="360" w:lineRule="auto"/>
              <w:jc w:val="both"/>
              <w:rPr>
                <w:rFonts w:ascii="Times New Roman" w:eastAsia="Times New Roman" w:hAnsi="Times New Roman" w:cs="Times New Roman"/>
                <w:bCs/>
                <w:sz w:val="20"/>
                <w:szCs w:val="20"/>
                <w:lang w:val="es-MX" w:eastAsia="es-ES"/>
              </w:rPr>
            </w:pPr>
            <w:r w:rsidRPr="001A03B7">
              <w:rPr>
                <w:rFonts w:ascii="Times New Roman" w:eastAsia="Times New Roman" w:hAnsi="Times New Roman" w:cs="Times New Roman"/>
                <w:bCs/>
                <w:sz w:val="20"/>
                <w:szCs w:val="20"/>
                <w:lang w:val="es-MX" w:eastAsia="es-ES"/>
              </w:rPr>
              <w:lastRenderedPageBreak/>
              <w:t xml:space="preserve">Nota. DE(desviación estándar), Mín.(mínimo), Máx.(máximo), </w:t>
            </w:r>
            <w:r w:rsidRPr="001A03B7">
              <w:rPr>
                <w:rFonts w:ascii="Times New Roman" w:hAnsi="Times New Roman" w:cs="Times New Roman"/>
                <w:sz w:val="20"/>
                <w:szCs w:val="20"/>
              </w:rPr>
              <w:t>*(una persona no respondió)</w:t>
            </w:r>
            <w:proofErr w:type="spellStart"/>
            <w:r w:rsidRPr="001A03B7">
              <w:rPr>
                <w:rFonts w:ascii="Times New Roman" w:eastAsia="Times New Roman" w:hAnsi="Times New Roman" w:cs="Times New Roman"/>
                <w:bCs/>
                <w:sz w:val="20"/>
                <w:szCs w:val="20"/>
                <w:lang w:val="es-MX" w:eastAsia="es-ES"/>
              </w:rPr>
              <w:t>fr</w:t>
            </w:r>
            <w:proofErr w:type="spellEnd"/>
            <w:r w:rsidRPr="001A03B7">
              <w:rPr>
                <w:rFonts w:ascii="Times New Roman" w:eastAsia="Times New Roman" w:hAnsi="Times New Roman" w:cs="Times New Roman"/>
                <w:bCs/>
                <w:sz w:val="20"/>
                <w:szCs w:val="20"/>
                <w:lang w:val="es-MX" w:eastAsia="es-ES"/>
              </w:rPr>
              <w:t>(Frecuencia)</w:t>
            </w:r>
          </w:p>
          <w:p w:rsidR="001A03B7" w:rsidRPr="001A03B7" w:rsidRDefault="001A03B7" w:rsidP="003770B5">
            <w:pPr>
              <w:spacing w:line="360" w:lineRule="auto"/>
              <w:jc w:val="both"/>
              <w:rPr>
                <w:rFonts w:ascii="Times New Roman" w:eastAsia="Times New Roman" w:hAnsi="Times New Roman" w:cs="Times New Roman"/>
                <w:bCs/>
                <w:sz w:val="20"/>
                <w:szCs w:val="20"/>
                <w:lang w:val="es-MX" w:eastAsia="es-ES"/>
              </w:rPr>
            </w:pPr>
          </w:p>
        </w:tc>
      </w:tr>
    </w:tbl>
    <w:p w:rsidR="00396584" w:rsidRPr="003770B5" w:rsidRDefault="00396584" w:rsidP="003770B5">
      <w:pPr>
        <w:spacing w:after="0" w:line="360" w:lineRule="auto"/>
        <w:ind w:firstLine="706"/>
        <w:jc w:val="both"/>
        <w:rPr>
          <w:rFonts w:ascii="Times New Roman" w:eastAsia="Times New Roman" w:hAnsi="Times New Roman" w:cs="Times New Roman"/>
          <w:bCs/>
          <w:color w:val="231F20"/>
          <w:sz w:val="24"/>
          <w:szCs w:val="24"/>
          <w:lang w:val="es-MX" w:eastAsia="es-ES"/>
        </w:rPr>
      </w:pPr>
      <w:r w:rsidRPr="003770B5">
        <w:rPr>
          <w:rFonts w:ascii="Times New Roman" w:eastAsia="Times New Roman" w:hAnsi="Times New Roman" w:cs="Times New Roman"/>
          <w:bCs/>
          <w:color w:val="231F20"/>
          <w:sz w:val="24"/>
          <w:szCs w:val="24"/>
          <w:lang w:val="es-MX" w:eastAsia="es-ES"/>
        </w:rPr>
        <w:lastRenderedPageBreak/>
        <w:t xml:space="preserve">Los valores globales de la </w:t>
      </w:r>
      <w:r w:rsidRPr="003770B5">
        <w:rPr>
          <w:rFonts w:ascii="Times New Roman" w:hAnsi="Times New Roman" w:cs="Times New Roman"/>
          <w:sz w:val="24"/>
          <w:szCs w:val="24"/>
        </w:rPr>
        <w:t>Escala de conocimiento sobre demencia (DKAS-</w:t>
      </w:r>
      <w:proofErr w:type="spellStart"/>
      <w:r w:rsidRPr="003770B5">
        <w:rPr>
          <w:rFonts w:ascii="Times New Roman" w:hAnsi="Times New Roman" w:cs="Times New Roman"/>
          <w:sz w:val="24"/>
          <w:szCs w:val="24"/>
        </w:rPr>
        <w:t>Sp</w:t>
      </w:r>
      <w:proofErr w:type="spellEnd"/>
      <w:r w:rsidRPr="003770B5">
        <w:rPr>
          <w:rFonts w:ascii="Times New Roman" w:hAnsi="Times New Roman" w:cs="Times New Roman"/>
          <w:sz w:val="24"/>
          <w:szCs w:val="24"/>
        </w:rPr>
        <w:t>) oscilan entre un mínimo de 2 puntos y una puntuación máxima de 38.  La media de la puntuación global del instrumento fue de 22.7.  Con una desviación estándar de 5.1, siendo el valor de la mediana de 23.0.</w:t>
      </w:r>
    </w:p>
    <w:p w:rsidR="00396584" w:rsidRPr="003770B5" w:rsidRDefault="00396584" w:rsidP="003770B5">
      <w:pPr>
        <w:tabs>
          <w:tab w:val="left" w:pos="1650"/>
        </w:tabs>
        <w:spacing w:after="0" w:line="360" w:lineRule="auto"/>
        <w:ind w:firstLine="706"/>
        <w:jc w:val="both"/>
        <w:rPr>
          <w:rFonts w:ascii="Times New Roman" w:hAnsi="Times New Roman" w:cs="Times New Roman"/>
          <w:sz w:val="24"/>
          <w:szCs w:val="24"/>
        </w:rPr>
      </w:pPr>
      <w:r w:rsidRPr="003770B5">
        <w:rPr>
          <w:rFonts w:ascii="Times New Roman" w:eastAsia="Times New Roman" w:hAnsi="Times New Roman" w:cs="Times New Roman"/>
          <w:bCs/>
          <w:color w:val="231F20"/>
          <w:sz w:val="24"/>
          <w:szCs w:val="24"/>
          <w:lang w:val="es-MX" w:eastAsia="es-ES"/>
        </w:rPr>
        <w:t xml:space="preserve">En cuanto a la puntuación global del </w:t>
      </w:r>
      <w:r w:rsidRPr="003770B5">
        <w:rPr>
          <w:rFonts w:ascii="Times New Roman" w:hAnsi="Times New Roman" w:cs="Times New Roman"/>
          <w:sz w:val="24"/>
          <w:szCs w:val="24"/>
        </w:rPr>
        <w:t>DKAS-</w:t>
      </w:r>
      <w:proofErr w:type="spellStart"/>
      <w:r w:rsidRPr="003770B5">
        <w:rPr>
          <w:rFonts w:ascii="Times New Roman" w:hAnsi="Times New Roman" w:cs="Times New Roman"/>
          <w:sz w:val="24"/>
          <w:szCs w:val="24"/>
        </w:rPr>
        <w:t>Sp</w:t>
      </w:r>
      <w:proofErr w:type="spellEnd"/>
      <w:r w:rsidRPr="003770B5">
        <w:rPr>
          <w:rFonts w:ascii="Times New Roman" w:hAnsi="Times New Roman" w:cs="Times New Roman"/>
          <w:sz w:val="24"/>
          <w:szCs w:val="24"/>
        </w:rPr>
        <w:t>, existe una prevalencia en los médicos de la familia del nivel medio de conocimiento, representando un 45.5% del total de la muestra.</w:t>
      </w:r>
      <w:r w:rsidRPr="003770B5">
        <w:rPr>
          <w:rStyle w:val="Refdecomentario"/>
          <w:rFonts w:ascii="Times New Roman" w:hAnsi="Times New Roman" w:cs="Times New Roman"/>
          <w:sz w:val="24"/>
          <w:szCs w:val="24"/>
        </w:rPr>
        <w:t xml:space="preserve"> C</w:t>
      </w:r>
      <w:r w:rsidRPr="003770B5">
        <w:rPr>
          <w:rFonts w:ascii="Times New Roman" w:hAnsi="Times New Roman" w:cs="Times New Roman"/>
          <w:sz w:val="24"/>
          <w:szCs w:val="24"/>
        </w:rPr>
        <w:t>onstituye un llamado de alerta la baja frecuencia de profesionales con un conocimiento alto sobre esta patología, representando un 22.6%, aproximadamente un cuarto del total de participantes.  Los demás médicos, el 31.6% restante, presentan un nivel bajo de conocimiento, lo cual indica que incluso la cifra de médicos con niveles bajos de conocimiento supera a la cantidad de médicos con altos niveles de conocimiento.</w:t>
      </w:r>
    </w:p>
    <w:p w:rsidR="00396584" w:rsidRPr="003770B5" w:rsidRDefault="00396584" w:rsidP="003770B5">
      <w:pPr>
        <w:pStyle w:val="APAnivel1"/>
        <w:spacing w:before="0" w:line="360" w:lineRule="auto"/>
        <w:ind w:firstLine="0"/>
        <w:jc w:val="both"/>
      </w:pPr>
      <w:bookmarkStart w:id="15" w:name="_Toc42715874"/>
      <w:bookmarkStart w:id="16" w:name="_Toc42716438"/>
      <w:bookmarkStart w:id="17" w:name="_Toc39130749"/>
      <w:bookmarkStart w:id="18" w:name="_Toc39130774"/>
      <w:r w:rsidRPr="003770B5">
        <w:t>Etapa de documentación.  Cambios entre versiones y uso correcto</w:t>
      </w:r>
      <w:bookmarkEnd w:id="15"/>
      <w:bookmarkEnd w:id="16"/>
      <w:bookmarkEnd w:id="17"/>
      <w:bookmarkEnd w:id="18"/>
    </w:p>
    <w:p w:rsidR="00396584" w:rsidRPr="003770B5" w:rsidRDefault="00396584" w:rsidP="003770B5">
      <w:pPr>
        <w:spacing w:after="0" w:line="360" w:lineRule="auto"/>
        <w:ind w:firstLine="706"/>
        <w:jc w:val="both"/>
        <w:rPr>
          <w:rFonts w:ascii="Times New Roman" w:hAnsi="Times New Roman" w:cs="Times New Roman"/>
          <w:color w:val="C00000"/>
          <w:sz w:val="24"/>
          <w:szCs w:val="24"/>
        </w:rPr>
      </w:pPr>
      <w:r w:rsidRPr="003770B5">
        <w:rPr>
          <w:rFonts w:ascii="Times New Roman" w:hAnsi="Times New Roman" w:cs="Times New Roman"/>
          <w:sz w:val="24"/>
          <w:szCs w:val="24"/>
        </w:rPr>
        <w:t>La versión final del instrumento, Escala de conocimiento sobre demencia (DKAS-</w:t>
      </w:r>
      <w:proofErr w:type="spellStart"/>
      <w:r w:rsidRPr="003770B5">
        <w:rPr>
          <w:rFonts w:ascii="Times New Roman" w:hAnsi="Times New Roman" w:cs="Times New Roman"/>
          <w:sz w:val="24"/>
          <w:szCs w:val="24"/>
        </w:rPr>
        <w:t>Sp</w:t>
      </w:r>
      <w:proofErr w:type="spellEnd"/>
      <w:r w:rsidRPr="003770B5">
        <w:rPr>
          <w:rFonts w:ascii="Times New Roman" w:hAnsi="Times New Roman" w:cs="Times New Roman"/>
          <w:sz w:val="24"/>
          <w:szCs w:val="24"/>
        </w:rPr>
        <w:t xml:space="preserve">), con la dimensión y los ítems anteriormente descritos, que refleja los principales cambios (eliminación de 5 ítems) se muestra </w:t>
      </w:r>
      <w:r w:rsidRPr="00EA41E3">
        <w:rPr>
          <w:rFonts w:ascii="Times New Roman" w:hAnsi="Times New Roman" w:cs="Times New Roman"/>
          <w:sz w:val="24"/>
          <w:szCs w:val="24"/>
        </w:rPr>
        <w:t>en el</w:t>
      </w:r>
      <w:r w:rsidR="00E6503A" w:rsidRPr="00EA41E3">
        <w:rPr>
          <w:rFonts w:ascii="Times New Roman" w:hAnsi="Times New Roman" w:cs="Times New Roman"/>
          <w:sz w:val="24"/>
          <w:szCs w:val="24"/>
        </w:rPr>
        <w:t xml:space="preserve"> anexo</w:t>
      </w:r>
      <w:r w:rsidR="00A44E76" w:rsidRPr="00EA41E3">
        <w:rPr>
          <w:rFonts w:ascii="Times New Roman" w:hAnsi="Times New Roman" w:cs="Times New Roman"/>
          <w:sz w:val="24"/>
          <w:szCs w:val="24"/>
        </w:rPr>
        <w:t xml:space="preserve"> 1</w:t>
      </w:r>
      <w:r w:rsidRPr="00EA41E3">
        <w:rPr>
          <w:rFonts w:ascii="Times New Roman" w:hAnsi="Times New Roman" w:cs="Times New Roman"/>
          <w:sz w:val="24"/>
          <w:szCs w:val="24"/>
        </w:rPr>
        <w:t>.</w:t>
      </w:r>
      <w:r w:rsidRPr="003770B5">
        <w:rPr>
          <w:rFonts w:ascii="Times New Roman" w:hAnsi="Times New Roman" w:cs="Times New Roman"/>
          <w:sz w:val="24"/>
          <w:szCs w:val="24"/>
        </w:rPr>
        <w:t xml:space="preserve">  Constituyendo una escala de 20 ítems, su calificación va de 0 a 2, para un mínimo de 0 y un máximo de 40 puntos global.  Puede ser aplicada al personal de salud que labora en las instituciones de atención sanitaria, aun cuando no se especialicen en la atención al adulto mayor o a la persona con demencia.</w:t>
      </w:r>
    </w:p>
    <w:p w:rsidR="00396584" w:rsidRPr="003770B5" w:rsidRDefault="00396584" w:rsidP="003770B5">
      <w:pPr>
        <w:spacing w:after="0" w:line="360" w:lineRule="auto"/>
        <w:ind w:firstLine="706"/>
        <w:jc w:val="both"/>
        <w:rPr>
          <w:rFonts w:ascii="Times New Roman" w:hAnsi="Times New Roman" w:cs="Times New Roman"/>
          <w:sz w:val="24"/>
          <w:szCs w:val="24"/>
        </w:rPr>
      </w:pPr>
      <w:r w:rsidRPr="003770B5">
        <w:rPr>
          <w:rFonts w:ascii="Times New Roman" w:eastAsia="Times New Roman" w:hAnsi="Times New Roman" w:cs="Times New Roman"/>
          <w:sz w:val="24"/>
          <w:szCs w:val="24"/>
          <w:lang w:eastAsia="es-US"/>
        </w:rPr>
        <w:t>La estructura factorial del DKAS-</w:t>
      </w:r>
      <w:proofErr w:type="spellStart"/>
      <w:r w:rsidRPr="003770B5">
        <w:rPr>
          <w:rFonts w:ascii="Times New Roman" w:eastAsia="Times New Roman" w:hAnsi="Times New Roman" w:cs="Times New Roman"/>
          <w:sz w:val="24"/>
          <w:szCs w:val="24"/>
          <w:lang w:eastAsia="es-US"/>
        </w:rPr>
        <w:t>Sp</w:t>
      </w:r>
      <w:proofErr w:type="spellEnd"/>
      <w:r w:rsidRPr="003770B5">
        <w:rPr>
          <w:rFonts w:ascii="Times New Roman" w:eastAsia="Times New Roman" w:hAnsi="Times New Roman" w:cs="Times New Roman"/>
          <w:sz w:val="24"/>
          <w:szCs w:val="24"/>
          <w:lang w:eastAsia="es-US"/>
        </w:rPr>
        <w:t xml:space="preserve"> coincide con la presentada por</w:t>
      </w:r>
      <w:r w:rsidR="00971DB0">
        <w:rPr>
          <w:rFonts w:ascii="Times New Roman" w:eastAsia="Times New Roman" w:hAnsi="Times New Roman" w:cs="Times New Roman"/>
          <w:sz w:val="24"/>
          <w:szCs w:val="24"/>
          <w:lang w:eastAsia="es-US"/>
        </w:rPr>
        <w:t xml:space="preserve"> </w:t>
      </w:r>
      <w:hyperlink w:anchor="_ENREF_3" w:tooltip="Annear, 2016 #73" w:history="1">
        <w:r w:rsidRPr="003770B5">
          <w:rPr>
            <w:rFonts w:ascii="Times New Roman" w:hAnsi="Times New Roman" w:cs="Times New Roman"/>
            <w:sz w:val="24"/>
            <w:szCs w:val="24"/>
          </w:rPr>
          <w:fldChar w:fldCharType="begin"/>
        </w:r>
        <w:r w:rsidRPr="003770B5">
          <w:rPr>
            <w:rFonts w:ascii="Times New Roman" w:hAnsi="Times New Roman" w:cs="Times New Roman"/>
            <w:sz w:val="24"/>
            <w:szCs w:val="24"/>
          </w:rPr>
          <w:instrText xml:space="preserve"> ADDIN EN.CITE &lt;EndNote&gt;&lt;Cite AuthorYear="1"&gt;&lt;Author&gt;Annear&lt;/Author&gt;&lt;Year&gt;2016&lt;/Year&gt;&lt;RecNum&gt;73&lt;/RecNum&gt;&lt;DisplayText&gt;Annear, Otani, et al. (2016)&lt;/DisplayText&gt;&lt;record&gt;&lt;rec-number&gt;73&lt;/rec-number&gt;&lt;foreign-keys&gt;&lt;key app="EN" db-id="5rvpf2da7ssvs8e5ww1pz9tp5tdttsdwvfzv" timestamp="0"&gt;73&lt;/key&gt;&lt;/foreign-keys&gt;&lt;ref-type name="Journal Article"&gt;17&lt;/ref-type&gt;&lt;contributors&gt;&lt;authors&gt;&lt;author&gt;Annear, M.&lt;/author&gt;&lt;author&gt;Otani, J.&lt;/author&gt;&lt;author&gt;Li, J.&lt;/author&gt;&lt;/authors&gt;&lt;/contributors&gt;&lt;titles&gt;&lt;title&gt;Japanese-language Dementia Knowledge Assessment Scale: Psychometric performance, and health student and professional understanding&lt;/title&gt;&lt;secondary-title&gt;Geriatr Gerontol Int&lt;/secondary-title&gt;&lt;/titles&gt;&lt;pages&gt;2-6&lt;/pages&gt;&lt;dates&gt;&lt;year&gt;2016&lt;/year&gt;&lt;/dates&gt;&lt;urls&gt;&lt;/urls&gt;&lt;electronic-resource-num&gt;10.1111/ggi.12911&lt;/electronic-resource-num&gt;&lt;/record&gt;&lt;/Cite&gt;&lt;/EndNote&gt;</w:instrText>
        </w:r>
        <w:r w:rsidRPr="003770B5">
          <w:rPr>
            <w:rFonts w:ascii="Times New Roman" w:hAnsi="Times New Roman" w:cs="Times New Roman"/>
            <w:sz w:val="24"/>
            <w:szCs w:val="24"/>
          </w:rPr>
          <w:fldChar w:fldCharType="separate"/>
        </w:r>
        <w:r w:rsidRPr="003770B5">
          <w:rPr>
            <w:rFonts w:ascii="Times New Roman" w:hAnsi="Times New Roman" w:cs="Times New Roman"/>
            <w:noProof/>
            <w:sz w:val="24"/>
            <w:szCs w:val="24"/>
          </w:rPr>
          <w:t>Annear, Otani, et al. (2016)</w:t>
        </w:r>
        <w:r w:rsidRPr="003770B5">
          <w:rPr>
            <w:rFonts w:ascii="Times New Roman" w:hAnsi="Times New Roman" w:cs="Times New Roman"/>
            <w:sz w:val="24"/>
            <w:szCs w:val="24"/>
          </w:rPr>
          <w:fldChar w:fldCharType="end"/>
        </w:r>
      </w:hyperlink>
      <w:r w:rsidR="00E6503A">
        <w:rPr>
          <w:rFonts w:ascii="Times New Roman" w:hAnsi="Times New Roman" w:cs="Times New Roman"/>
          <w:sz w:val="24"/>
          <w:szCs w:val="24"/>
        </w:rPr>
        <w:t xml:space="preserve"> </w:t>
      </w:r>
      <w:r w:rsidRPr="003770B5">
        <w:rPr>
          <w:rFonts w:ascii="Times New Roman" w:eastAsia="Times New Roman" w:hAnsi="Times New Roman" w:cs="Times New Roman"/>
          <w:sz w:val="24"/>
          <w:szCs w:val="24"/>
          <w:lang w:eastAsia="es-US"/>
        </w:rPr>
        <w:t xml:space="preserve">para el contexto japonés. </w:t>
      </w:r>
    </w:p>
    <w:p w:rsidR="00396584" w:rsidRPr="003770B5" w:rsidRDefault="00396584" w:rsidP="003770B5">
      <w:pPr>
        <w:spacing w:after="0" w:line="360" w:lineRule="auto"/>
        <w:ind w:firstLine="706"/>
        <w:jc w:val="both"/>
        <w:rPr>
          <w:rFonts w:ascii="Times New Roman" w:hAnsi="Times New Roman" w:cs="Times New Roman"/>
          <w:sz w:val="24"/>
          <w:szCs w:val="24"/>
        </w:rPr>
      </w:pPr>
      <w:r w:rsidRPr="003770B5">
        <w:rPr>
          <w:rFonts w:ascii="Times New Roman" w:eastAsia="Times New Roman" w:hAnsi="Times New Roman" w:cs="Times New Roman"/>
          <w:sz w:val="24"/>
          <w:szCs w:val="24"/>
          <w:lang w:eastAsia="es-ES"/>
        </w:rPr>
        <w:t>El DKAS-</w:t>
      </w:r>
      <w:proofErr w:type="spellStart"/>
      <w:r w:rsidRPr="003770B5">
        <w:rPr>
          <w:rFonts w:ascii="Times New Roman" w:eastAsia="Times New Roman" w:hAnsi="Times New Roman" w:cs="Times New Roman"/>
          <w:sz w:val="24"/>
          <w:szCs w:val="24"/>
          <w:lang w:eastAsia="es-ES"/>
        </w:rPr>
        <w:t>Sp</w:t>
      </w:r>
      <w:proofErr w:type="spellEnd"/>
      <w:r w:rsidRPr="003770B5">
        <w:rPr>
          <w:rFonts w:ascii="Times New Roman" w:eastAsia="Times New Roman" w:hAnsi="Times New Roman" w:cs="Times New Roman"/>
          <w:sz w:val="24"/>
          <w:szCs w:val="24"/>
          <w:lang w:eastAsia="es-ES"/>
        </w:rPr>
        <w:t xml:space="preserve"> asume la escala de respuesta propuesta por los autores del instrumento original.  Por ello mantiene un rango de puntuaciones de cero hasta 40 puntos, acorde a la cantidad total de ítems.  La operacionalización de las respuestas a los ítems se mantiene fiel a la original (</w:t>
      </w:r>
      <w:r w:rsidRPr="003770B5">
        <w:rPr>
          <w:rFonts w:ascii="Times New Roman" w:hAnsi="Times New Roman" w:cs="Times New Roman"/>
          <w:color w:val="000000"/>
          <w:sz w:val="24"/>
          <w:szCs w:val="24"/>
        </w:rPr>
        <w:t xml:space="preserve">2 puntos por responder </w:t>
      </w:r>
      <w:r w:rsidRPr="003770B5">
        <w:rPr>
          <w:rFonts w:ascii="Times New Roman" w:hAnsi="Times New Roman" w:cs="Times New Roman"/>
          <w:i/>
          <w:color w:val="000000"/>
          <w:sz w:val="24"/>
          <w:szCs w:val="24"/>
        </w:rPr>
        <w:t>verdadero</w:t>
      </w:r>
      <w:r w:rsidRPr="003770B5">
        <w:rPr>
          <w:rFonts w:ascii="Times New Roman" w:hAnsi="Times New Roman" w:cs="Times New Roman"/>
          <w:color w:val="000000"/>
          <w:sz w:val="24"/>
          <w:szCs w:val="24"/>
        </w:rPr>
        <w:t xml:space="preserve"> a un enunciado </w:t>
      </w:r>
      <w:r w:rsidRPr="003770B5">
        <w:rPr>
          <w:rFonts w:ascii="Times New Roman" w:hAnsi="Times New Roman" w:cs="Times New Roman"/>
          <w:i/>
          <w:color w:val="000000"/>
          <w:sz w:val="24"/>
          <w:szCs w:val="24"/>
        </w:rPr>
        <w:t>verdadero y falso</w:t>
      </w:r>
      <w:r w:rsidRPr="003770B5">
        <w:rPr>
          <w:rFonts w:ascii="Times New Roman" w:hAnsi="Times New Roman" w:cs="Times New Roman"/>
          <w:color w:val="000000"/>
          <w:sz w:val="24"/>
          <w:szCs w:val="24"/>
        </w:rPr>
        <w:t xml:space="preserve"> a un enunciado </w:t>
      </w:r>
      <w:r w:rsidRPr="003770B5">
        <w:rPr>
          <w:rFonts w:ascii="Times New Roman" w:hAnsi="Times New Roman" w:cs="Times New Roman"/>
          <w:i/>
          <w:color w:val="000000"/>
          <w:sz w:val="24"/>
          <w:szCs w:val="24"/>
        </w:rPr>
        <w:t xml:space="preserve">falso, </w:t>
      </w:r>
      <w:r w:rsidRPr="003770B5">
        <w:rPr>
          <w:rFonts w:ascii="Times New Roman" w:hAnsi="Times New Roman" w:cs="Times New Roman"/>
          <w:color w:val="000000"/>
          <w:sz w:val="24"/>
          <w:szCs w:val="24"/>
        </w:rPr>
        <w:t xml:space="preserve">1 punto por responder </w:t>
      </w:r>
      <w:r w:rsidRPr="003770B5">
        <w:rPr>
          <w:rFonts w:ascii="Times New Roman" w:hAnsi="Times New Roman" w:cs="Times New Roman"/>
          <w:i/>
          <w:color w:val="000000"/>
          <w:sz w:val="24"/>
          <w:szCs w:val="24"/>
        </w:rPr>
        <w:t>probablemente verdadero</w:t>
      </w:r>
      <w:r w:rsidRPr="003770B5">
        <w:rPr>
          <w:rFonts w:ascii="Times New Roman" w:hAnsi="Times New Roman" w:cs="Times New Roman"/>
          <w:color w:val="000000"/>
          <w:sz w:val="24"/>
          <w:szCs w:val="24"/>
        </w:rPr>
        <w:t xml:space="preserve"> a un enunciado </w:t>
      </w:r>
      <w:r w:rsidRPr="003770B5">
        <w:rPr>
          <w:rFonts w:ascii="Times New Roman" w:hAnsi="Times New Roman" w:cs="Times New Roman"/>
          <w:i/>
          <w:color w:val="000000"/>
          <w:sz w:val="24"/>
          <w:szCs w:val="24"/>
        </w:rPr>
        <w:t>verdadero</w:t>
      </w:r>
      <w:r w:rsidR="00971DB0">
        <w:rPr>
          <w:rFonts w:ascii="Times New Roman" w:hAnsi="Times New Roman" w:cs="Times New Roman"/>
          <w:i/>
          <w:color w:val="000000"/>
          <w:sz w:val="24"/>
          <w:szCs w:val="24"/>
        </w:rPr>
        <w:t xml:space="preserve"> </w:t>
      </w:r>
      <w:r w:rsidRPr="003770B5">
        <w:rPr>
          <w:rFonts w:ascii="Times New Roman" w:hAnsi="Times New Roman" w:cs="Times New Roman"/>
          <w:color w:val="000000"/>
          <w:sz w:val="24"/>
          <w:szCs w:val="24"/>
        </w:rPr>
        <w:t>y</w:t>
      </w:r>
      <w:r w:rsidR="00971DB0">
        <w:rPr>
          <w:rFonts w:ascii="Times New Roman" w:hAnsi="Times New Roman" w:cs="Times New Roman"/>
          <w:color w:val="000000"/>
          <w:sz w:val="24"/>
          <w:szCs w:val="24"/>
        </w:rPr>
        <w:t xml:space="preserve"> </w:t>
      </w:r>
      <w:r w:rsidRPr="003770B5">
        <w:rPr>
          <w:rFonts w:ascii="Times New Roman" w:hAnsi="Times New Roman" w:cs="Times New Roman"/>
          <w:i/>
          <w:color w:val="000000"/>
          <w:sz w:val="24"/>
          <w:szCs w:val="24"/>
        </w:rPr>
        <w:t>probablemente falso</w:t>
      </w:r>
      <w:r w:rsidRPr="003770B5">
        <w:rPr>
          <w:rFonts w:ascii="Times New Roman" w:hAnsi="Times New Roman" w:cs="Times New Roman"/>
          <w:color w:val="000000"/>
          <w:sz w:val="24"/>
          <w:szCs w:val="24"/>
        </w:rPr>
        <w:t xml:space="preserve"> a un enunciado </w:t>
      </w:r>
      <w:r w:rsidRPr="003770B5">
        <w:rPr>
          <w:rFonts w:ascii="Times New Roman" w:hAnsi="Times New Roman" w:cs="Times New Roman"/>
          <w:i/>
          <w:color w:val="000000"/>
          <w:sz w:val="24"/>
          <w:szCs w:val="24"/>
        </w:rPr>
        <w:t>falso</w:t>
      </w:r>
      <w:r w:rsidRPr="003770B5">
        <w:rPr>
          <w:rFonts w:ascii="Times New Roman" w:hAnsi="Times New Roman" w:cs="Times New Roman"/>
          <w:color w:val="000000"/>
          <w:sz w:val="24"/>
          <w:szCs w:val="24"/>
        </w:rPr>
        <w:t xml:space="preserve">, 0 puntos por responder </w:t>
      </w:r>
      <w:r w:rsidRPr="003770B5">
        <w:rPr>
          <w:rFonts w:ascii="Times New Roman" w:hAnsi="Times New Roman" w:cs="Times New Roman"/>
          <w:i/>
          <w:color w:val="000000"/>
          <w:sz w:val="24"/>
          <w:szCs w:val="24"/>
        </w:rPr>
        <w:t>verdadero</w:t>
      </w:r>
      <w:r w:rsidRPr="003770B5">
        <w:rPr>
          <w:rFonts w:ascii="Times New Roman" w:hAnsi="Times New Roman" w:cs="Times New Roman"/>
          <w:color w:val="000000"/>
          <w:sz w:val="24"/>
          <w:szCs w:val="24"/>
        </w:rPr>
        <w:t xml:space="preserve"> o </w:t>
      </w:r>
      <w:r w:rsidRPr="003770B5">
        <w:rPr>
          <w:rFonts w:ascii="Times New Roman" w:hAnsi="Times New Roman" w:cs="Times New Roman"/>
          <w:i/>
          <w:color w:val="000000"/>
          <w:sz w:val="24"/>
          <w:szCs w:val="24"/>
        </w:rPr>
        <w:t>probablemente verdadero</w:t>
      </w:r>
      <w:r w:rsidRPr="003770B5">
        <w:rPr>
          <w:rFonts w:ascii="Times New Roman" w:hAnsi="Times New Roman" w:cs="Times New Roman"/>
          <w:color w:val="000000"/>
          <w:sz w:val="24"/>
          <w:szCs w:val="24"/>
        </w:rPr>
        <w:t xml:space="preserve"> a un enunciado </w:t>
      </w:r>
      <w:r w:rsidRPr="003770B5">
        <w:rPr>
          <w:rFonts w:ascii="Times New Roman" w:hAnsi="Times New Roman" w:cs="Times New Roman"/>
          <w:i/>
          <w:color w:val="000000"/>
          <w:sz w:val="24"/>
          <w:szCs w:val="24"/>
        </w:rPr>
        <w:t>falso y falso</w:t>
      </w:r>
      <w:r w:rsidRPr="003770B5">
        <w:rPr>
          <w:rFonts w:ascii="Times New Roman" w:hAnsi="Times New Roman" w:cs="Times New Roman"/>
          <w:color w:val="000000"/>
          <w:sz w:val="24"/>
          <w:szCs w:val="24"/>
        </w:rPr>
        <w:t xml:space="preserve"> o </w:t>
      </w:r>
      <w:r w:rsidRPr="003770B5">
        <w:rPr>
          <w:rFonts w:ascii="Times New Roman" w:hAnsi="Times New Roman" w:cs="Times New Roman"/>
          <w:i/>
          <w:color w:val="000000"/>
          <w:sz w:val="24"/>
          <w:szCs w:val="24"/>
        </w:rPr>
        <w:t>probablemente falso</w:t>
      </w:r>
      <w:r w:rsidRPr="003770B5">
        <w:rPr>
          <w:rFonts w:ascii="Times New Roman" w:hAnsi="Times New Roman" w:cs="Times New Roman"/>
          <w:color w:val="000000"/>
          <w:sz w:val="24"/>
          <w:szCs w:val="24"/>
        </w:rPr>
        <w:t xml:space="preserve"> a un enunciado </w:t>
      </w:r>
      <w:r w:rsidRPr="003770B5">
        <w:rPr>
          <w:rFonts w:ascii="Times New Roman" w:hAnsi="Times New Roman" w:cs="Times New Roman"/>
          <w:i/>
          <w:color w:val="000000"/>
          <w:sz w:val="24"/>
          <w:szCs w:val="24"/>
        </w:rPr>
        <w:t xml:space="preserve">verdadero, </w:t>
      </w:r>
      <w:r w:rsidRPr="003770B5">
        <w:rPr>
          <w:rFonts w:ascii="Times New Roman" w:hAnsi="Times New Roman" w:cs="Times New Roman"/>
          <w:color w:val="000000"/>
          <w:sz w:val="24"/>
          <w:szCs w:val="24"/>
        </w:rPr>
        <w:t xml:space="preserve">0 puntos por responder </w:t>
      </w:r>
      <w:r w:rsidRPr="003770B5">
        <w:rPr>
          <w:rFonts w:ascii="Times New Roman" w:hAnsi="Times New Roman" w:cs="Times New Roman"/>
          <w:i/>
          <w:color w:val="000000"/>
          <w:sz w:val="24"/>
          <w:szCs w:val="24"/>
        </w:rPr>
        <w:t>no sé</w:t>
      </w:r>
      <w:r w:rsidRPr="003770B5">
        <w:rPr>
          <w:rFonts w:ascii="Times New Roman" w:hAnsi="Times New Roman" w:cs="Times New Roman"/>
          <w:color w:val="000000"/>
          <w:sz w:val="24"/>
          <w:szCs w:val="24"/>
        </w:rPr>
        <w:t>).</w:t>
      </w:r>
    </w:p>
    <w:p w:rsidR="00396584" w:rsidRPr="003770B5" w:rsidRDefault="00396584" w:rsidP="003770B5">
      <w:pPr>
        <w:pStyle w:val="APAnivel1"/>
        <w:spacing w:before="0" w:line="360" w:lineRule="auto"/>
        <w:ind w:firstLine="0"/>
        <w:jc w:val="both"/>
      </w:pPr>
      <w:bookmarkStart w:id="19" w:name="_Toc42715877"/>
      <w:bookmarkStart w:id="20" w:name="_Toc42716441"/>
      <w:r w:rsidRPr="003770B5">
        <w:lastRenderedPageBreak/>
        <w:t xml:space="preserve"> Conocimiento del personal de salud sobre la demencia</w:t>
      </w:r>
      <w:bookmarkEnd w:id="19"/>
      <w:bookmarkEnd w:id="20"/>
      <w:r w:rsidRPr="003770B5">
        <w:t>.</w:t>
      </w:r>
    </w:p>
    <w:p w:rsidR="00396584" w:rsidRPr="003770B5" w:rsidRDefault="00396584" w:rsidP="003770B5">
      <w:pPr>
        <w:spacing w:after="0" w:line="360" w:lineRule="auto"/>
        <w:ind w:firstLine="706"/>
        <w:jc w:val="both"/>
        <w:rPr>
          <w:rFonts w:ascii="Times New Roman" w:hAnsi="Times New Roman" w:cs="Times New Roman"/>
          <w:sz w:val="24"/>
          <w:szCs w:val="24"/>
        </w:rPr>
      </w:pPr>
      <w:r w:rsidRPr="003770B5">
        <w:rPr>
          <w:rFonts w:ascii="Times New Roman" w:hAnsi="Times New Roman" w:cs="Times New Roman"/>
          <w:sz w:val="24"/>
          <w:szCs w:val="24"/>
        </w:rPr>
        <w:t>Al comparar las cifras obtenidas por los profesionales de la salud a los que ha sido aplicado el DKAS</w:t>
      </w:r>
      <w:r w:rsidR="001A03B7">
        <w:rPr>
          <w:rFonts w:ascii="Times New Roman" w:hAnsi="Times New Roman" w:cs="Times New Roman"/>
          <w:sz w:val="24"/>
          <w:szCs w:val="24"/>
        </w:rPr>
        <w:t xml:space="preserve"> </w:t>
      </w:r>
      <w:r w:rsidRPr="003770B5">
        <w:rPr>
          <w:rFonts w:ascii="Times New Roman" w:hAnsi="Times New Roman" w:cs="Times New Roman"/>
          <w:sz w:val="24"/>
          <w:szCs w:val="24"/>
        </w:rPr>
        <w:t xml:space="preserve">en sus diferentes variantes, en este estudio se obtienen los valores más bajos.  La interpretación de estas diferencias debe contemplar el hecho de que en las investigaciones de referencia, las muestras se caracterizan por ser intencionadas.  No siendo el caso de los médicos de familia evaluados en la presente investigación.  De modo tal que futuras comparaciones deben realizarse con cautela, puesto que se ha demostrado la influencia del contacto previo con la demencia en el conocimiento sobre aspectos específicos de la patología </w:t>
      </w:r>
      <w:r w:rsidRPr="003770B5">
        <w:rPr>
          <w:rFonts w:ascii="Times New Roman" w:hAnsi="Times New Roman" w:cs="Times New Roman"/>
          <w:sz w:val="24"/>
          <w:szCs w:val="24"/>
        </w:rPr>
        <w:fldChar w:fldCharType="begin">
          <w:fldData xml:space="preserve">PEVuZE5vdGU+PENpdGU+PEF1dGhvcj5DYW50ZWdyZWlsLUthbGxlbjwvQXV0aG9yPjxZZWFyPjIw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</w:fldData>
        </w:fldChar>
      </w:r>
      <w:r w:rsidRPr="003770B5">
        <w:rPr>
          <w:rFonts w:ascii="Times New Roman" w:hAnsi="Times New Roman" w:cs="Times New Roman"/>
          <w:sz w:val="24"/>
          <w:szCs w:val="24"/>
        </w:rPr>
        <w:instrText xml:space="preserve"> ADDIN EN.CITE </w:instrText>
      </w:r>
      <w:r w:rsidRPr="003770B5">
        <w:rPr>
          <w:rFonts w:ascii="Times New Roman" w:hAnsi="Times New Roman" w:cs="Times New Roman"/>
          <w:sz w:val="24"/>
          <w:szCs w:val="24"/>
        </w:rPr>
        <w:fldChar w:fldCharType="begin">
          <w:fldData xml:space="preserve">PEVuZE5vdGU+PENpdGU+PEF1dGhvcj5DYW50ZWdyZWlsLUthbGxlbjwvQXV0aG9yPjxZZWFyPjIw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</w:fldData>
        </w:fldChar>
      </w:r>
      <w:r w:rsidRPr="003770B5">
        <w:rPr>
          <w:rFonts w:ascii="Times New Roman" w:hAnsi="Times New Roman" w:cs="Times New Roman"/>
          <w:sz w:val="24"/>
          <w:szCs w:val="24"/>
        </w:rPr>
        <w:instrText xml:space="preserve"> ADDIN EN.CITE.DATA </w:instrText>
      </w:r>
      <w:r w:rsidRPr="003770B5">
        <w:rPr>
          <w:rFonts w:ascii="Times New Roman" w:hAnsi="Times New Roman" w:cs="Times New Roman"/>
          <w:sz w:val="24"/>
          <w:szCs w:val="24"/>
        </w:rPr>
      </w:r>
      <w:r w:rsidRPr="003770B5">
        <w:rPr>
          <w:rFonts w:ascii="Times New Roman" w:hAnsi="Times New Roman" w:cs="Times New Roman"/>
          <w:sz w:val="24"/>
          <w:szCs w:val="24"/>
        </w:rPr>
        <w:fldChar w:fldCharType="end"/>
      </w:r>
      <w:r w:rsidRPr="003770B5">
        <w:rPr>
          <w:rFonts w:ascii="Times New Roman" w:hAnsi="Times New Roman" w:cs="Times New Roman"/>
          <w:sz w:val="24"/>
          <w:szCs w:val="24"/>
        </w:rPr>
      </w:r>
      <w:r w:rsidRPr="003770B5">
        <w:rPr>
          <w:rFonts w:ascii="Times New Roman" w:hAnsi="Times New Roman" w:cs="Times New Roman"/>
          <w:sz w:val="24"/>
          <w:szCs w:val="24"/>
        </w:rPr>
        <w:fldChar w:fldCharType="separate"/>
      </w:r>
      <w:r w:rsidRPr="003770B5">
        <w:rPr>
          <w:rFonts w:ascii="Times New Roman" w:hAnsi="Times New Roman" w:cs="Times New Roman"/>
          <w:noProof/>
          <w:sz w:val="24"/>
          <w:szCs w:val="24"/>
        </w:rPr>
        <w:t>(</w:t>
      </w:r>
      <w:hyperlink w:anchor="_ENREF_17" w:tooltip="Broche-Pérez, 2018 #435" w:history="1">
        <w:r w:rsidRPr="003770B5">
          <w:rPr>
            <w:rFonts w:ascii="Times New Roman" w:hAnsi="Times New Roman" w:cs="Times New Roman"/>
            <w:noProof/>
            <w:sz w:val="24"/>
            <w:szCs w:val="24"/>
          </w:rPr>
          <w:t>Y. Broche-Pérez et al., 2018</w:t>
        </w:r>
      </w:hyperlink>
      <w:r w:rsidRPr="003770B5">
        <w:rPr>
          <w:rFonts w:ascii="Times New Roman" w:hAnsi="Times New Roman" w:cs="Times New Roman"/>
          <w:noProof/>
          <w:sz w:val="24"/>
          <w:szCs w:val="24"/>
        </w:rPr>
        <w:t xml:space="preserve">; </w:t>
      </w:r>
      <w:hyperlink w:anchor="_ENREF_18" w:tooltip="Broche-Pérez, 2020 #106" w:history="1">
        <w:r w:rsidRPr="003770B5">
          <w:rPr>
            <w:rFonts w:ascii="Times New Roman" w:hAnsi="Times New Roman" w:cs="Times New Roman"/>
            <w:noProof/>
            <w:sz w:val="24"/>
            <w:szCs w:val="24"/>
          </w:rPr>
          <w:t>Y. Broche-Pérez, Fernández-Fleites, González, Hernández Pérez, &amp; Salazar-Guerra, 2020</w:t>
        </w:r>
      </w:hyperlink>
      <w:r w:rsidRPr="003770B5">
        <w:rPr>
          <w:rFonts w:ascii="Times New Roman" w:hAnsi="Times New Roman" w:cs="Times New Roman"/>
          <w:noProof/>
          <w:sz w:val="24"/>
          <w:szCs w:val="24"/>
        </w:rPr>
        <w:t xml:space="preserve">; </w:t>
      </w:r>
      <w:hyperlink w:anchor="_ENREF_20" w:tooltip="Cantegreil-Kallen, 2012 #19" w:history="1">
        <w:r w:rsidRPr="003770B5">
          <w:rPr>
            <w:rFonts w:ascii="Times New Roman" w:hAnsi="Times New Roman" w:cs="Times New Roman"/>
            <w:noProof/>
            <w:sz w:val="24"/>
            <w:szCs w:val="24"/>
          </w:rPr>
          <w:t>Cantegreil-Kallen &amp; Pin, 2012</w:t>
        </w:r>
      </w:hyperlink>
      <w:r w:rsidRPr="003770B5">
        <w:rPr>
          <w:rFonts w:ascii="Times New Roman" w:hAnsi="Times New Roman" w:cs="Times New Roman"/>
          <w:noProof/>
          <w:sz w:val="24"/>
          <w:szCs w:val="24"/>
        </w:rPr>
        <w:t>)</w:t>
      </w:r>
      <w:r w:rsidRPr="003770B5">
        <w:rPr>
          <w:rFonts w:ascii="Times New Roman" w:hAnsi="Times New Roman" w:cs="Times New Roman"/>
          <w:sz w:val="24"/>
          <w:szCs w:val="24"/>
        </w:rPr>
        <w:fldChar w:fldCharType="end"/>
      </w:r>
      <w:r w:rsidRPr="003770B5">
        <w:rPr>
          <w:rFonts w:ascii="Times New Roman" w:hAnsi="Times New Roman" w:cs="Times New Roman"/>
          <w:sz w:val="24"/>
          <w:szCs w:val="24"/>
        </w:rPr>
        <w:t>.</w:t>
      </w:r>
    </w:p>
    <w:p w:rsidR="00396584" w:rsidRPr="003770B5" w:rsidRDefault="00396584" w:rsidP="003770B5">
      <w:pPr>
        <w:spacing w:after="0" w:line="360" w:lineRule="auto"/>
        <w:ind w:firstLine="706"/>
        <w:jc w:val="both"/>
        <w:rPr>
          <w:rFonts w:ascii="Times New Roman" w:hAnsi="Times New Roman" w:cs="Times New Roman"/>
          <w:sz w:val="24"/>
          <w:szCs w:val="24"/>
        </w:rPr>
      </w:pPr>
      <w:r w:rsidRPr="003770B5">
        <w:rPr>
          <w:rFonts w:ascii="Times New Roman" w:hAnsi="Times New Roman" w:cs="Times New Roman"/>
          <w:sz w:val="24"/>
          <w:szCs w:val="24"/>
        </w:rPr>
        <w:t xml:space="preserve">Resulta alarmante que el nivel de conocimiento de los profesionales de la salud sobre la demencia en casi todos los estudios sea relativamente bajo </w:t>
      </w:r>
      <w:r w:rsidRPr="003770B5">
        <w:rPr>
          <w:rFonts w:ascii="Times New Roman" w:hAnsi="Times New Roman" w:cs="Times New Roman"/>
          <w:sz w:val="24"/>
          <w:szCs w:val="24"/>
        </w:rPr>
        <w:fldChar w:fldCharType="begin"/>
      </w:r>
      <w:r w:rsidRPr="003770B5">
        <w:rPr>
          <w:rFonts w:ascii="Times New Roman" w:hAnsi="Times New Roman" w:cs="Times New Roman"/>
          <w:sz w:val="24"/>
          <w:szCs w:val="24"/>
        </w:rPr>
        <w:instrText xml:space="preserve"> ADDIN EN.CITE &lt;EndNote&gt;&lt;Cite&gt;&lt;Author&gt;Annear&lt;/Author&gt;&lt;Year&gt;2016&lt;/Year&gt;&lt;RecNum&gt;73&lt;/RecNum&gt;&lt;DisplayText&gt;(Annear, 2018b; Annear, Otani, et al., 2016)&lt;/DisplayText&gt;&lt;record&gt;&lt;rec-number&gt;73&lt;/rec-number&gt;&lt;foreign-keys&gt;&lt;key app="EN" db-id="5rvpf2da7ssvs8e5ww1pz9tp5tdttsdwvfzv" timestamp="0"&gt;73&lt;/key&gt;&lt;/foreign-keys&gt;&lt;ref-type name="Journal Article"&gt;17&lt;/ref-type&gt;&lt;contributors&gt;&lt;authors&gt;&lt;author&gt;Annear, M.&lt;/author&gt;&lt;author&gt;Otani, J.&lt;/author&gt;&lt;author&gt;Li, J.&lt;/author&gt;&lt;/authors&gt;&lt;/contributors&gt;&lt;titles&gt;&lt;title&gt;Japanese-language Dementia Knowledge Assessment Scale: Psychometric performance, and health student and professional understanding&lt;/title&gt;&lt;secondary-title&gt;Geriatr Gerontol Int&lt;/secondary-title&gt;&lt;/titles&gt;&lt;pages&gt;2-6&lt;/pages&gt;&lt;dates&gt;&lt;year&gt;2016&lt;/year&gt;&lt;/dates&gt;&lt;urls&gt;&lt;/urls&gt;&lt;electronic-resource-num&gt;10.1111/ggi.12911&lt;/electronic-resource-num&gt;&lt;/record&gt;&lt;/Cite&gt;&lt;Cite&gt;&lt;Author&gt;Annear&lt;/Author&gt;&lt;Year&gt;2018&lt;/Year&gt;&lt;RecNum&gt;1&lt;/RecNum&gt;&lt;record&gt;&lt;rec-number&gt;1&lt;/rec-number&gt;&lt;foreign-keys&gt;&lt;key app="EN" db-id="5rvpf2da7ssvs8e5ww1pz9tp5tdttsdwvfzv" timestamp="0"&gt;1&lt;/key&gt;&lt;/foreign-keys&gt;&lt;ref-type name="Journal Article"&gt;17&lt;/ref-type&gt;&lt;contributors&gt;&lt;authors&gt;&lt;author&gt;Annear, M.&lt;/author&gt;&lt;/authors&gt;&lt;/contributors&gt;&lt;titles&gt;&lt;title&gt;Knowledge of Dementia Among the Australian Health Workforce: A National Online Survey&lt;/title&gt;&lt;secondary-title&gt;Journal of Applied Gerontology&lt;/secondary-title&gt;&lt;/titles&gt;&lt;pages&gt;1-25&lt;/pages&gt;&lt;dates&gt;&lt;year&gt;2018&lt;/year&gt;&lt;/dates&gt;&lt;urls&gt;&lt;/urls&gt;&lt;electronic-resource-num&gt;10.1177/0733464817752085&lt;/electronic-resource-num&gt;&lt;/record&gt;&lt;/Cite&gt;&lt;/EndNote&gt;</w:instrText>
      </w:r>
      <w:r w:rsidRPr="003770B5">
        <w:rPr>
          <w:rFonts w:ascii="Times New Roman" w:hAnsi="Times New Roman" w:cs="Times New Roman"/>
          <w:sz w:val="24"/>
          <w:szCs w:val="24"/>
        </w:rPr>
        <w:fldChar w:fldCharType="separate"/>
      </w:r>
      <w:r w:rsidRPr="003770B5">
        <w:rPr>
          <w:rFonts w:ascii="Times New Roman" w:hAnsi="Times New Roman" w:cs="Times New Roman"/>
          <w:noProof/>
          <w:sz w:val="24"/>
          <w:szCs w:val="24"/>
        </w:rPr>
        <w:t>(</w:t>
      </w:r>
      <w:hyperlink w:anchor="_ENREF_2" w:tooltip="Annear, 2018 #1" w:history="1">
        <w:r w:rsidRPr="003770B5">
          <w:rPr>
            <w:rFonts w:ascii="Times New Roman" w:hAnsi="Times New Roman" w:cs="Times New Roman"/>
            <w:noProof/>
            <w:sz w:val="24"/>
            <w:szCs w:val="24"/>
          </w:rPr>
          <w:t>Annear, 2018b</w:t>
        </w:r>
      </w:hyperlink>
      <w:r w:rsidRPr="003770B5">
        <w:rPr>
          <w:rFonts w:ascii="Times New Roman" w:hAnsi="Times New Roman" w:cs="Times New Roman"/>
          <w:noProof/>
          <w:sz w:val="24"/>
          <w:szCs w:val="24"/>
        </w:rPr>
        <w:t xml:space="preserve">; </w:t>
      </w:r>
      <w:hyperlink w:anchor="_ENREF_3" w:tooltip="Annear, 2016 #73" w:history="1">
        <w:r w:rsidRPr="003770B5">
          <w:rPr>
            <w:rFonts w:ascii="Times New Roman" w:hAnsi="Times New Roman" w:cs="Times New Roman"/>
            <w:noProof/>
            <w:sz w:val="24"/>
            <w:szCs w:val="24"/>
          </w:rPr>
          <w:t>Annear, Otani, et al., 2016</w:t>
        </w:r>
      </w:hyperlink>
      <w:r w:rsidRPr="003770B5">
        <w:rPr>
          <w:rFonts w:ascii="Times New Roman" w:hAnsi="Times New Roman" w:cs="Times New Roman"/>
          <w:noProof/>
          <w:sz w:val="24"/>
          <w:szCs w:val="24"/>
        </w:rPr>
        <w:t>)</w:t>
      </w:r>
      <w:r w:rsidRPr="003770B5">
        <w:rPr>
          <w:rFonts w:ascii="Times New Roman" w:hAnsi="Times New Roman" w:cs="Times New Roman"/>
          <w:sz w:val="24"/>
          <w:szCs w:val="24"/>
        </w:rPr>
        <w:fldChar w:fldCharType="end"/>
      </w:r>
      <w:r w:rsidRPr="003770B5">
        <w:rPr>
          <w:rFonts w:ascii="Times New Roman" w:hAnsi="Times New Roman" w:cs="Times New Roman"/>
          <w:sz w:val="24"/>
          <w:szCs w:val="24"/>
        </w:rPr>
        <w:t>.  Específicamente en la investigación, destaca el nivel medio de conocimientos, el cual representa el 45.5 %.  Otro resultado que constituye un llamado de alerta es la baja frecuencia de profesionales con un conocimiento alto (22.6%).  El 31.6% restante, presentan un nivel bajo de conocimiento, lo cual indica que, incluso la cifra de médicos con niveles bajos de conocimiento supera a la cantidad de médicos con niveles elevados.</w:t>
      </w:r>
    </w:p>
    <w:p w:rsidR="00396584" w:rsidRPr="003770B5" w:rsidRDefault="00396584" w:rsidP="003770B5">
      <w:pPr>
        <w:spacing w:after="0" w:line="360" w:lineRule="auto"/>
        <w:ind w:firstLine="706"/>
        <w:jc w:val="both"/>
        <w:rPr>
          <w:rFonts w:ascii="Times New Roman" w:hAnsi="Times New Roman" w:cs="Times New Roman"/>
          <w:sz w:val="24"/>
          <w:szCs w:val="24"/>
        </w:rPr>
      </w:pPr>
      <w:r w:rsidRPr="003770B5">
        <w:rPr>
          <w:rFonts w:ascii="Times New Roman" w:hAnsi="Times New Roman" w:cs="Times New Roman"/>
          <w:sz w:val="24"/>
          <w:szCs w:val="24"/>
        </w:rPr>
        <w:t xml:space="preserve">Las cifras anteriores apuntan hacia las carencias existentes en cuanto a la preparación en materia de demencia de los médicos de familia que laboran directamente en la APS del municipio de Santa Clara, dígase consultorios médicos o policlínicos.  Las mayores insuficiencias se concentran en lo referido a los riesgos y promoción de salud, la aparición de los síntomas de la enfermedad, así como a los comportamientos de la persona con demencia y la comunicación con esta.  Siendo estos tres últimos elementos coincidentes con las deficiencias en el conocimiento sobre la enfermedad encontradas por </w:t>
      </w:r>
      <w:hyperlink w:anchor="_ENREF_1" w:tooltip="Annear, 2018 #22" w:history="1">
        <w:r w:rsidRPr="003770B5">
          <w:rPr>
            <w:rFonts w:ascii="Times New Roman" w:hAnsi="Times New Roman" w:cs="Times New Roman"/>
            <w:sz w:val="24"/>
            <w:szCs w:val="24"/>
          </w:rPr>
          <w:fldChar w:fldCharType="begin"/>
        </w:r>
        <w:r w:rsidRPr="003770B5">
          <w:rPr>
            <w:rFonts w:ascii="Times New Roman" w:hAnsi="Times New Roman" w:cs="Times New Roman"/>
            <w:sz w:val="24"/>
            <w:szCs w:val="24"/>
          </w:rPr>
          <w:instrText xml:space="preserve"> ADDIN EN.CITE &lt;EndNote&gt;&lt;Cite AuthorYear="1"&gt;&lt;Author&gt;Annear&lt;/Author&gt;&lt;Year&gt;2018&lt;/Year&gt;&lt;RecNum&gt;22&lt;/RecNum&gt;&lt;DisplayText&gt;Annear (2018a)&lt;/DisplayText&gt;&lt;record&gt;&lt;rec-number&gt;22&lt;/rec-number&gt;&lt;foreign-keys&gt;&lt;key app="EN" db-id="5rvpf2da7ssvs8e5ww1pz9tp5tdttsdwvfzv" timestamp="0"&gt;22&lt;/key&gt;&lt;/foreign-keys&gt;&lt;ref-type name="Journal Article"&gt;17&lt;/ref-type&gt;&lt;contributors&gt;&lt;authors&gt;&lt;author&gt;Annear, M.&lt;/author&gt;&lt;/authors&gt;&lt;/contributors&gt;&lt;titles&gt;&lt;title&gt;Japanese health professionals’ knowledge of dementia and educational needs: A population study &lt;/title&gt;&lt;secondary-title&gt;Australasian Journal on Ageing&lt;/secondary-title&gt;&lt;/titles&gt;&lt;pages&gt;1-6&lt;/pages&gt;&lt;volume&gt;4&lt;/volume&gt;&lt;number&gt;2&lt;/number&gt;&lt;dates&gt;&lt;year&gt;2018&lt;/year&gt;&lt;/dates&gt;&lt;urls&gt;&lt;/urls&gt;&lt;electronic-resource-num&gt;10.1111/ajag.12523 &lt;/electronic-resource-num&gt;&lt;/record&gt;&lt;/Cite&gt;&lt;/EndNote&gt;</w:instrText>
        </w:r>
        <w:r w:rsidRPr="003770B5">
          <w:rPr>
            <w:rFonts w:ascii="Times New Roman" w:hAnsi="Times New Roman" w:cs="Times New Roman"/>
            <w:sz w:val="24"/>
            <w:szCs w:val="24"/>
          </w:rPr>
          <w:fldChar w:fldCharType="separate"/>
        </w:r>
        <w:r w:rsidRPr="003770B5">
          <w:rPr>
            <w:rFonts w:ascii="Times New Roman" w:hAnsi="Times New Roman" w:cs="Times New Roman"/>
            <w:noProof/>
            <w:sz w:val="24"/>
            <w:szCs w:val="24"/>
          </w:rPr>
          <w:t>Annear (2018a)</w:t>
        </w:r>
        <w:r w:rsidRPr="003770B5">
          <w:rPr>
            <w:rFonts w:ascii="Times New Roman" w:hAnsi="Times New Roman" w:cs="Times New Roman"/>
            <w:sz w:val="24"/>
            <w:szCs w:val="24"/>
          </w:rPr>
          <w:fldChar w:fldCharType="end"/>
        </w:r>
      </w:hyperlink>
      <w:r w:rsidRPr="003770B5">
        <w:rPr>
          <w:rFonts w:ascii="Times New Roman" w:hAnsi="Times New Roman" w:cs="Times New Roman"/>
          <w:sz w:val="24"/>
          <w:szCs w:val="24"/>
        </w:rPr>
        <w:t xml:space="preserve">, </w:t>
      </w:r>
      <w:hyperlink w:anchor="_ENREF_2" w:tooltip="Annear, 2018 #1" w:history="1">
        <w:r w:rsidRPr="003770B5">
          <w:rPr>
            <w:rFonts w:ascii="Times New Roman" w:hAnsi="Times New Roman" w:cs="Times New Roman"/>
            <w:sz w:val="24"/>
            <w:szCs w:val="24"/>
          </w:rPr>
          <w:fldChar w:fldCharType="begin"/>
        </w:r>
        <w:r w:rsidRPr="003770B5">
          <w:rPr>
            <w:rFonts w:ascii="Times New Roman" w:hAnsi="Times New Roman" w:cs="Times New Roman"/>
            <w:sz w:val="24"/>
            <w:szCs w:val="24"/>
          </w:rPr>
          <w:instrText xml:space="preserve"> ADDIN EN.CITE &lt;EndNote&gt;&lt;Cite AuthorYear="1"&gt;&lt;Author&gt;Annear&lt;/Author&gt;&lt;Year&gt;2018&lt;/Year&gt;&lt;RecNum&gt;1&lt;/RecNum&gt;&lt;DisplayText&gt;Annear (2018b)&lt;/DisplayText&gt;&lt;record&gt;&lt;rec-number&gt;1&lt;/rec-number&gt;&lt;foreign-keys&gt;&lt;key app="EN" db-id="5rvpf2da7ssvs8e5ww1pz9tp5tdttsdwvfzv" timestamp="0"&gt;1&lt;/key&gt;&lt;/foreign-keys&gt;&lt;ref-type name="Journal Article"&gt;17&lt;/ref-type&gt;&lt;contributors&gt;&lt;authors&gt;&lt;author&gt;Annear, M.&lt;/author&gt;&lt;/authors&gt;&lt;/contributors&gt;&lt;titles&gt;&lt;title&gt;Knowledge of Dementia Among the Australian Health Workforce: A National Online Survey&lt;/title&gt;&lt;secondary-title&gt;Journal of Applied Gerontology&lt;/secondary-title&gt;&lt;/titles&gt;&lt;pages&gt;1-25&lt;/pages&gt;&lt;dates&gt;&lt;year&gt;2018&lt;/year&gt;&lt;/dates&gt;&lt;urls&gt;&lt;/urls&gt;&lt;electronic-resource-num&gt;10.1177/0733464817752085&lt;/electronic-resource-num&gt;&lt;/record&gt;&lt;/Cite&gt;&lt;/EndNote&gt;</w:instrText>
        </w:r>
        <w:r w:rsidRPr="003770B5">
          <w:rPr>
            <w:rFonts w:ascii="Times New Roman" w:hAnsi="Times New Roman" w:cs="Times New Roman"/>
            <w:sz w:val="24"/>
            <w:szCs w:val="24"/>
          </w:rPr>
          <w:fldChar w:fldCharType="separate"/>
        </w:r>
        <w:r w:rsidRPr="003770B5">
          <w:rPr>
            <w:rFonts w:ascii="Times New Roman" w:hAnsi="Times New Roman" w:cs="Times New Roman"/>
            <w:noProof/>
            <w:sz w:val="24"/>
            <w:szCs w:val="24"/>
          </w:rPr>
          <w:t>Annear (2018b)</w:t>
        </w:r>
        <w:r w:rsidRPr="003770B5">
          <w:rPr>
            <w:rFonts w:ascii="Times New Roman" w:hAnsi="Times New Roman" w:cs="Times New Roman"/>
            <w:sz w:val="24"/>
            <w:szCs w:val="24"/>
          </w:rPr>
          <w:fldChar w:fldCharType="end"/>
        </w:r>
      </w:hyperlink>
      <w:r w:rsidRPr="003770B5">
        <w:rPr>
          <w:rFonts w:ascii="Times New Roman" w:hAnsi="Times New Roman" w:cs="Times New Roman"/>
          <w:sz w:val="24"/>
          <w:szCs w:val="24"/>
        </w:rPr>
        <w:t xml:space="preserve"> y </w:t>
      </w:r>
      <w:hyperlink w:anchor="_ENREF_3" w:tooltip="Annear, 2016 #73" w:history="1">
        <w:r w:rsidRPr="003770B5">
          <w:rPr>
            <w:rFonts w:ascii="Times New Roman" w:hAnsi="Times New Roman" w:cs="Times New Roman"/>
            <w:sz w:val="24"/>
            <w:szCs w:val="24"/>
          </w:rPr>
          <w:fldChar w:fldCharType="begin"/>
        </w:r>
        <w:r w:rsidRPr="003770B5">
          <w:rPr>
            <w:rFonts w:ascii="Times New Roman" w:hAnsi="Times New Roman" w:cs="Times New Roman"/>
            <w:sz w:val="24"/>
            <w:szCs w:val="24"/>
          </w:rPr>
          <w:instrText xml:space="preserve"> ADDIN EN.CITE &lt;EndNote&gt;&lt;Cite AuthorYear="1"&gt;&lt;Author&gt;Annear&lt;/Author&gt;&lt;Year&gt;2016&lt;/Year&gt;&lt;RecNum&gt;73&lt;/RecNum&gt;&lt;DisplayText&gt;Annear, Otani, et al. (2016)&lt;/DisplayText&gt;&lt;record&gt;&lt;rec-number&gt;73&lt;/rec-number&gt;&lt;foreign-keys&gt;&lt;key app="EN" db-id="5rvpf2da7ssvs8e5ww1pz9tp5tdttsdwvfzv" timestamp="0"&gt;73&lt;/key&gt;&lt;/foreign-keys&gt;&lt;ref-type name="Journal Article"&gt;17&lt;/ref-type&gt;&lt;contributors&gt;&lt;authors&gt;&lt;author&gt;Annear, M.&lt;/author&gt;&lt;author&gt;Otani, J.&lt;/author&gt;&lt;author&gt;Li, J.&lt;/author&gt;&lt;/authors&gt;&lt;/contributors&gt;&lt;titles&gt;&lt;title&gt;Japanese-language Dementia Knowledge Assessment Scale: Psychometric performance, and health student and professional understanding&lt;/title&gt;&lt;secondary-title&gt;Geriatr Gerontol Int&lt;/secondary-title&gt;&lt;/titles&gt;&lt;pages&gt;2-6&lt;/pages&gt;&lt;dates&gt;&lt;year&gt;2016&lt;/year&gt;&lt;/dates&gt;&lt;urls&gt;&lt;/urls&gt;&lt;electronic-resource-num&gt;10.1111/ggi.12911&lt;/electronic-resource-num&gt;&lt;/record&gt;&lt;/Cite&gt;&lt;/EndNote&gt;</w:instrText>
        </w:r>
        <w:r w:rsidRPr="003770B5">
          <w:rPr>
            <w:rFonts w:ascii="Times New Roman" w:hAnsi="Times New Roman" w:cs="Times New Roman"/>
            <w:sz w:val="24"/>
            <w:szCs w:val="24"/>
          </w:rPr>
          <w:fldChar w:fldCharType="separate"/>
        </w:r>
        <w:r w:rsidRPr="003770B5">
          <w:rPr>
            <w:rFonts w:ascii="Times New Roman" w:hAnsi="Times New Roman" w:cs="Times New Roman"/>
            <w:noProof/>
            <w:sz w:val="24"/>
            <w:szCs w:val="24"/>
          </w:rPr>
          <w:t>Annear, Otani, et al. (2016)</w:t>
        </w:r>
        <w:r w:rsidRPr="003770B5">
          <w:rPr>
            <w:rFonts w:ascii="Times New Roman" w:hAnsi="Times New Roman" w:cs="Times New Roman"/>
            <w:sz w:val="24"/>
            <w:szCs w:val="24"/>
          </w:rPr>
          <w:fldChar w:fldCharType="end"/>
        </w:r>
      </w:hyperlink>
      <w:r w:rsidRPr="003770B5">
        <w:rPr>
          <w:rStyle w:val="Refdecomentario"/>
          <w:rFonts w:ascii="Times New Roman" w:hAnsi="Times New Roman" w:cs="Times New Roman"/>
          <w:sz w:val="24"/>
          <w:szCs w:val="24"/>
          <w:lang w:val="es-MX"/>
        </w:rPr>
        <w:t>.</w:t>
      </w:r>
      <w:r w:rsidRPr="003770B5">
        <w:rPr>
          <w:rFonts w:ascii="Times New Roman" w:hAnsi="Times New Roman" w:cs="Times New Roman"/>
          <w:sz w:val="24"/>
          <w:szCs w:val="24"/>
          <w:lang w:val="es-MX"/>
        </w:rPr>
        <w:t xml:space="preserve">Estos elementos son </w:t>
      </w:r>
      <w:r w:rsidRPr="003770B5">
        <w:rPr>
          <w:rFonts w:ascii="Times New Roman" w:hAnsi="Times New Roman" w:cs="Times New Roman"/>
          <w:sz w:val="24"/>
          <w:szCs w:val="24"/>
        </w:rPr>
        <w:t>recomendados en investigaciones recientes a la hora de abordar los síndromes demenciales.  Adicionalmente se indica la importancia de que sean dominados por parte del personal de salud.  No obstante, en la literatura se mencionan también otros aspectos a considerar tales como:</w:t>
      </w:r>
      <w:r w:rsidR="001A03B7">
        <w:rPr>
          <w:rFonts w:ascii="Times New Roman" w:hAnsi="Times New Roman" w:cs="Times New Roman"/>
          <w:sz w:val="24"/>
          <w:szCs w:val="24"/>
        </w:rPr>
        <w:t xml:space="preserve"> </w:t>
      </w:r>
      <w:r w:rsidRPr="003770B5">
        <w:rPr>
          <w:rFonts w:ascii="Times New Roman" w:hAnsi="Times New Roman" w:cs="Times New Roman"/>
          <w:sz w:val="24"/>
          <w:szCs w:val="24"/>
        </w:rPr>
        <w:t xml:space="preserve">características de la patología, tipologías, diagnóstico, atención y manejo al paciente, provisión de cuidados, así como </w:t>
      </w:r>
      <w:r w:rsidRPr="003770B5">
        <w:rPr>
          <w:rFonts w:ascii="Times New Roman" w:hAnsi="Times New Roman" w:cs="Times New Roman"/>
          <w:sz w:val="24"/>
          <w:szCs w:val="24"/>
        </w:rPr>
        <w:lastRenderedPageBreak/>
        <w:t xml:space="preserve">tratamientos farmacológicos y no farmacológicos </w:t>
      </w:r>
      <w:r w:rsidRPr="003770B5">
        <w:rPr>
          <w:rFonts w:ascii="Times New Roman" w:hAnsi="Times New Roman" w:cs="Times New Roman"/>
          <w:sz w:val="24"/>
          <w:szCs w:val="24"/>
        </w:rPr>
        <w:fldChar w:fldCharType="begin">
          <w:fldData xml:space="preserve">PEVuZE5vdGU+PENpdGU+PEF1dGhvcj5Bbm5lYXI8L0F1dGhvcj48WWVhcj4yMDE4PC9ZZWFyPjxS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</w:fldData>
        </w:fldChar>
      </w:r>
      <w:r w:rsidRPr="003770B5">
        <w:rPr>
          <w:rFonts w:ascii="Times New Roman" w:hAnsi="Times New Roman" w:cs="Times New Roman"/>
          <w:sz w:val="24"/>
          <w:szCs w:val="24"/>
        </w:rPr>
        <w:instrText xml:space="preserve"> ADDIN EN.CITE </w:instrText>
      </w:r>
      <w:r w:rsidRPr="003770B5">
        <w:rPr>
          <w:rFonts w:ascii="Times New Roman" w:hAnsi="Times New Roman" w:cs="Times New Roman"/>
          <w:sz w:val="24"/>
          <w:szCs w:val="24"/>
        </w:rPr>
        <w:fldChar w:fldCharType="begin">
          <w:fldData xml:space="preserve">PEVuZE5vdGU+PENpdGU+PEF1dGhvcj5Bbm5lYXI8L0F1dGhvcj48WWVhcj4yMDE4PC9ZZWFyPjxS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</w:fldData>
        </w:fldChar>
      </w:r>
      <w:r w:rsidRPr="003770B5">
        <w:rPr>
          <w:rFonts w:ascii="Times New Roman" w:hAnsi="Times New Roman" w:cs="Times New Roman"/>
          <w:sz w:val="24"/>
          <w:szCs w:val="24"/>
        </w:rPr>
        <w:instrText xml:space="preserve"> ADDIN EN.CITE.DATA </w:instrText>
      </w:r>
      <w:r w:rsidRPr="003770B5">
        <w:rPr>
          <w:rFonts w:ascii="Times New Roman" w:hAnsi="Times New Roman" w:cs="Times New Roman"/>
          <w:sz w:val="24"/>
          <w:szCs w:val="24"/>
        </w:rPr>
      </w:r>
      <w:r w:rsidRPr="003770B5">
        <w:rPr>
          <w:rFonts w:ascii="Times New Roman" w:hAnsi="Times New Roman" w:cs="Times New Roman"/>
          <w:sz w:val="24"/>
          <w:szCs w:val="24"/>
        </w:rPr>
        <w:fldChar w:fldCharType="end"/>
      </w:r>
      <w:r w:rsidRPr="003770B5">
        <w:rPr>
          <w:rFonts w:ascii="Times New Roman" w:hAnsi="Times New Roman" w:cs="Times New Roman"/>
          <w:sz w:val="24"/>
          <w:szCs w:val="24"/>
        </w:rPr>
      </w:r>
      <w:r w:rsidRPr="003770B5">
        <w:rPr>
          <w:rFonts w:ascii="Times New Roman" w:hAnsi="Times New Roman" w:cs="Times New Roman"/>
          <w:sz w:val="24"/>
          <w:szCs w:val="24"/>
        </w:rPr>
        <w:fldChar w:fldCharType="separate"/>
      </w:r>
      <w:r w:rsidRPr="003770B5">
        <w:rPr>
          <w:rFonts w:ascii="Times New Roman" w:hAnsi="Times New Roman" w:cs="Times New Roman"/>
          <w:noProof/>
          <w:sz w:val="24"/>
          <w:szCs w:val="24"/>
        </w:rPr>
        <w:t>(</w:t>
      </w:r>
      <w:hyperlink w:anchor="_ENREF_1" w:tooltip="Annear, 2018 #22" w:history="1">
        <w:r w:rsidRPr="003770B5">
          <w:rPr>
            <w:rFonts w:ascii="Times New Roman" w:hAnsi="Times New Roman" w:cs="Times New Roman"/>
            <w:noProof/>
            <w:sz w:val="24"/>
            <w:szCs w:val="24"/>
          </w:rPr>
          <w:t>Annear, 2018a</w:t>
        </w:r>
      </w:hyperlink>
      <w:r w:rsidRPr="003770B5">
        <w:rPr>
          <w:rFonts w:ascii="Times New Roman" w:hAnsi="Times New Roman" w:cs="Times New Roman"/>
          <w:noProof/>
          <w:sz w:val="24"/>
          <w:szCs w:val="24"/>
        </w:rPr>
        <w:t xml:space="preserve">, </w:t>
      </w:r>
      <w:hyperlink w:anchor="_ENREF_2" w:tooltip="Annear, 2018 #1" w:history="1">
        <w:r w:rsidRPr="003770B5">
          <w:rPr>
            <w:rFonts w:ascii="Times New Roman" w:hAnsi="Times New Roman" w:cs="Times New Roman"/>
            <w:noProof/>
            <w:sz w:val="24"/>
            <w:szCs w:val="24"/>
          </w:rPr>
          <w:t>2018b</w:t>
        </w:r>
      </w:hyperlink>
      <w:r w:rsidRPr="003770B5">
        <w:rPr>
          <w:rFonts w:ascii="Times New Roman" w:hAnsi="Times New Roman" w:cs="Times New Roman"/>
          <w:noProof/>
          <w:sz w:val="24"/>
          <w:szCs w:val="24"/>
        </w:rPr>
        <w:t xml:space="preserve">; </w:t>
      </w:r>
      <w:hyperlink w:anchor="_ENREF_15" w:tooltip="Biswas, 2017 #31" w:history="1">
        <w:r w:rsidRPr="003770B5">
          <w:rPr>
            <w:rFonts w:ascii="Times New Roman" w:hAnsi="Times New Roman" w:cs="Times New Roman"/>
            <w:noProof/>
            <w:sz w:val="24"/>
            <w:szCs w:val="24"/>
          </w:rPr>
          <w:t>Biswas et al., 2017</w:t>
        </w:r>
      </w:hyperlink>
      <w:r w:rsidRPr="003770B5">
        <w:rPr>
          <w:rFonts w:ascii="Times New Roman" w:hAnsi="Times New Roman" w:cs="Times New Roman"/>
          <w:noProof/>
          <w:sz w:val="24"/>
          <w:szCs w:val="24"/>
        </w:rPr>
        <w:t xml:space="preserve">; </w:t>
      </w:r>
      <w:hyperlink w:anchor="_ENREF_27" w:tooltip="Evripidou, 2017 #36" w:history="1">
        <w:r w:rsidRPr="003770B5">
          <w:rPr>
            <w:rFonts w:ascii="Times New Roman" w:hAnsi="Times New Roman" w:cs="Times New Roman"/>
            <w:noProof/>
            <w:sz w:val="24"/>
            <w:szCs w:val="24"/>
          </w:rPr>
          <w:t>Evripidou et al., 2017</w:t>
        </w:r>
      </w:hyperlink>
      <w:r w:rsidRPr="003770B5">
        <w:rPr>
          <w:rFonts w:ascii="Times New Roman" w:hAnsi="Times New Roman" w:cs="Times New Roman"/>
          <w:noProof/>
          <w:sz w:val="24"/>
          <w:szCs w:val="24"/>
        </w:rPr>
        <w:t xml:space="preserve">; </w:t>
      </w:r>
      <w:hyperlink w:anchor="_ENREF_28" w:tooltip="Evripidou, 2019 #34" w:history="1">
        <w:r w:rsidRPr="003770B5">
          <w:rPr>
            <w:rFonts w:ascii="Times New Roman" w:hAnsi="Times New Roman" w:cs="Times New Roman"/>
            <w:noProof/>
            <w:sz w:val="24"/>
            <w:szCs w:val="24"/>
          </w:rPr>
          <w:t>Evripidou et al., 2019</w:t>
        </w:r>
      </w:hyperlink>
      <w:r w:rsidRPr="003770B5">
        <w:rPr>
          <w:rFonts w:ascii="Times New Roman" w:hAnsi="Times New Roman" w:cs="Times New Roman"/>
          <w:noProof/>
          <w:sz w:val="24"/>
          <w:szCs w:val="24"/>
        </w:rPr>
        <w:t xml:space="preserve">; </w:t>
      </w:r>
      <w:hyperlink w:anchor="_ENREF_47" w:tooltip="Matsuda, 2018 #33" w:history="1">
        <w:r w:rsidRPr="003770B5">
          <w:rPr>
            <w:rFonts w:ascii="Times New Roman" w:hAnsi="Times New Roman" w:cs="Times New Roman"/>
            <w:noProof/>
            <w:sz w:val="24"/>
            <w:szCs w:val="24"/>
          </w:rPr>
          <w:t>Matsuda et al., 2018</w:t>
        </w:r>
      </w:hyperlink>
      <w:r w:rsidRPr="003770B5">
        <w:rPr>
          <w:rFonts w:ascii="Times New Roman" w:hAnsi="Times New Roman" w:cs="Times New Roman"/>
          <w:noProof/>
          <w:sz w:val="24"/>
          <w:szCs w:val="24"/>
        </w:rPr>
        <w:t xml:space="preserve">; </w:t>
      </w:r>
      <w:hyperlink w:anchor="_ENREF_63" w:tooltip="Poreddi, 2015 #30" w:history="1">
        <w:r w:rsidRPr="003770B5">
          <w:rPr>
            <w:rFonts w:ascii="Times New Roman" w:hAnsi="Times New Roman" w:cs="Times New Roman"/>
            <w:noProof/>
            <w:sz w:val="24"/>
            <w:szCs w:val="24"/>
          </w:rPr>
          <w:t>Poreddi et al., 2015</w:t>
        </w:r>
      </w:hyperlink>
      <w:r w:rsidRPr="003770B5">
        <w:rPr>
          <w:rFonts w:ascii="Times New Roman" w:hAnsi="Times New Roman" w:cs="Times New Roman"/>
          <w:noProof/>
          <w:sz w:val="24"/>
          <w:szCs w:val="24"/>
        </w:rPr>
        <w:t>)</w:t>
      </w:r>
      <w:r w:rsidRPr="003770B5">
        <w:rPr>
          <w:rFonts w:ascii="Times New Roman" w:hAnsi="Times New Roman" w:cs="Times New Roman"/>
          <w:sz w:val="24"/>
          <w:szCs w:val="24"/>
        </w:rPr>
        <w:fldChar w:fldCharType="end"/>
      </w:r>
      <w:r w:rsidRPr="003770B5">
        <w:rPr>
          <w:rFonts w:ascii="Times New Roman" w:hAnsi="Times New Roman" w:cs="Times New Roman"/>
          <w:sz w:val="24"/>
          <w:szCs w:val="24"/>
        </w:rPr>
        <w:t>.</w:t>
      </w:r>
    </w:p>
    <w:p w:rsidR="00FF3346" w:rsidRPr="00E50782" w:rsidRDefault="00396584" w:rsidP="00E50782">
      <w:pPr>
        <w:pStyle w:val="EndNoteBibliography"/>
        <w:spacing w:after="0" w:line="360" w:lineRule="auto"/>
        <w:ind w:firstLine="706"/>
        <w:jc w:val="both"/>
        <w:rPr>
          <w:szCs w:val="24"/>
          <w:lang w:val="es-ES"/>
        </w:rPr>
      </w:pPr>
      <w:r w:rsidRPr="003770B5">
        <w:rPr>
          <w:szCs w:val="24"/>
          <w:lang w:val="es-ES"/>
        </w:rPr>
        <w:t xml:space="preserve">La coincidencia de nuestros resultados con investigaciones previas en contextos como Japón </w:t>
      </w:r>
      <w:r w:rsidRPr="003770B5">
        <w:rPr>
          <w:szCs w:val="24"/>
        </w:rPr>
        <w:fldChar w:fldCharType="begin"/>
      </w:r>
      <w:r w:rsidRPr="003770B5">
        <w:rPr>
          <w:szCs w:val="24"/>
          <w:lang w:val="es-ES"/>
        </w:rPr>
        <w:instrText xml:space="preserve"> ADDIN EN.CITE &lt;EndNote&gt;&lt;Cite&gt;&lt;Author&gt;Annear&lt;/Author&gt;&lt;Year&gt;2016&lt;/Year&gt;&lt;RecNum&gt;73&lt;/RecNum&gt;&lt;DisplayText&gt;(Annear, Otani, et al., 2016)&lt;/DisplayText&gt;&lt;record&gt;&lt;rec-number&gt;73&lt;/rec-number&gt;&lt;foreign-keys&gt;&lt;key app="EN" db-id="5rvpf2da7ssvs8e5ww1pz9tp5tdttsdwvfzv" timestamp="0"&gt;73&lt;/key&gt;&lt;/foreign-keys&gt;&lt;ref-type name="Journal Article"&gt;17&lt;/ref-type&gt;&lt;contributors&gt;&lt;authors&gt;&lt;author&gt;Annear, M.&lt;/author&gt;&lt;author&gt;Otani, J.&lt;/author&gt;&lt;author&gt;Li, J.&lt;/author&gt;&lt;/authors&gt;&lt;/contributors&gt;&lt;titles&gt;&lt;title&gt;Japanese-language Dementia Knowledge Assessment Scale: Psychometric performance, and health student and professional understanding&lt;/title&gt;&lt;secondary-title&gt;Geriatr Gerontol Int&lt;/secondary-title&gt;&lt;/titles&gt;&lt;pages&gt;2-6&lt;/pages&gt;&lt;dates&gt;&lt;year&gt;2016&lt;/year&gt;&lt;/dates&gt;&lt;urls&gt;&lt;/urls&gt;&lt;electronic-resource-num&gt;10.1111/ggi.12911&lt;/electronic-resource-num&gt;&lt;/record&gt;&lt;/Cite&gt;&lt;/EndNote&gt;</w:instrText>
      </w:r>
      <w:r w:rsidRPr="003770B5">
        <w:rPr>
          <w:szCs w:val="24"/>
        </w:rPr>
        <w:fldChar w:fldCharType="separate"/>
      </w:r>
      <w:r w:rsidRPr="003770B5">
        <w:rPr>
          <w:szCs w:val="24"/>
          <w:lang w:val="es-ES"/>
        </w:rPr>
        <w:t>(</w:t>
      </w:r>
      <w:hyperlink w:anchor="_ENREF_3" w:tooltip="Annear, 2016 #73" w:history="1">
        <w:r w:rsidRPr="003770B5">
          <w:rPr>
            <w:szCs w:val="24"/>
            <w:lang w:val="es-ES"/>
          </w:rPr>
          <w:t>Annear, Otani, et al., 2016</w:t>
        </w:r>
      </w:hyperlink>
      <w:r w:rsidRPr="003770B5">
        <w:rPr>
          <w:szCs w:val="24"/>
          <w:lang w:val="es-ES"/>
        </w:rPr>
        <w:t>)</w:t>
      </w:r>
      <w:r w:rsidRPr="003770B5">
        <w:rPr>
          <w:szCs w:val="24"/>
        </w:rPr>
        <w:fldChar w:fldCharType="end"/>
      </w:r>
      <w:r w:rsidRPr="003770B5">
        <w:rPr>
          <w:szCs w:val="24"/>
          <w:lang w:val="es-ES"/>
        </w:rPr>
        <w:t xml:space="preserve"> y Australia </w:t>
      </w:r>
      <w:r w:rsidRPr="003770B5">
        <w:rPr>
          <w:szCs w:val="24"/>
          <w:lang w:val="es-ES"/>
        </w:rPr>
        <w:fldChar w:fldCharType="begin"/>
      </w:r>
      <w:r w:rsidRPr="003770B5">
        <w:rPr>
          <w:szCs w:val="24"/>
          <w:lang w:val="es-ES"/>
        </w:rPr>
        <w:instrText xml:space="preserve"> ADDIN EN.CITE &lt;EndNote&gt;&lt;Cite&gt;&lt;Author&gt;Annear&lt;/Author&gt;&lt;Year&gt;2018&lt;/Year&gt;&lt;RecNum&gt;1&lt;/RecNum&gt;&lt;DisplayText&gt;(Annear, 2018b)&lt;/DisplayText&gt;&lt;record&gt;&lt;rec-number&gt;1&lt;/rec-number&gt;&lt;foreign-keys&gt;&lt;key app="EN" db-id="5rvpf2da7ssvs8e5ww1pz9tp5tdttsdwvfzv" timestamp="0"&gt;1&lt;/key&gt;&lt;/foreign-keys&gt;&lt;ref-type name="Journal Article"&gt;17&lt;/ref-type&gt;&lt;contributors&gt;&lt;authors&gt;&lt;author&gt;Annear, M.&lt;/author&gt;&lt;/authors&gt;&lt;/contributors&gt;&lt;titles&gt;&lt;title&gt;Knowledge of Dementia Among the Australian Health Workforce: A National Online Survey&lt;/title&gt;&lt;secondary-title&gt;Journal of Applied Gerontology&lt;/secondary-title&gt;&lt;/titles&gt;&lt;pages&gt;1-25&lt;/pages&gt;&lt;dates&gt;&lt;year&gt;2018&lt;/year&gt;&lt;/dates&gt;&lt;urls&gt;&lt;/urls&gt;&lt;electronic-resource-num&gt;10.1177/0733464817752085&lt;/electronic-resource-num&gt;&lt;/record&gt;&lt;/Cite&gt;&lt;/EndNote&gt;</w:instrText>
      </w:r>
      <w:r w:rsidRPr="003770B5">
        <w:rPr>
          <w:szCs w:val="24"/>
          <w:lang w:val="es-ES"/>
        </w:rPr>
        <w:fldChar w:fldCharType="separate"/>
      </w:r>
      <w:r w:rsidRPr="003770B5">
        <w:rPr>
          <w:szCs w:val="24"/>
          <w:lang w:val="es-ES"/>
        </w:rPr>
        <w:t>(</w:t>
      </w:r>
      <w:hyperlink w:anchor="_ENREF_2" w:tooltip="Annear, 2018 #1" w:history="1">
        <w:r w:rsidRPr="003770B5">
          <w:rPr>
            <w:szCs w:val="24"/>
            <w:lang w:val="es-ES"/>
          </w:rPr>
          <w:t>Annear, 2018b</w:t>
        </w:r>
      </w:hyperlink>
      <w:r w:rsidRPr="003770B5">
        <w:rPr>
          <w:szCs w:val="24"/>
          <w:lang w:val="es-ES"/>
        </w:rPr>
        <w:t>)</w:t>
      </w:r>
      <w:r w:rsidRPr="003770B5">
        <w:rPr>
          <w:szCs w:val="24"/>
          <w:lang w:val="es-ES"/>
        </w:rPr>
        <w:fldChar w:fldCharType="end"/>
      </w:r>
      <w:r w:rsidRPr="003770B5">
        <w:rPr>
          <w:szCs w:val="24"/>
          <w:lang w:val="es-ES"/>
        </w:rPr>
        <w:t xml:space="preserve"> plantea también la necesidad de brindar educación a los profesionales de la salud con relación a la demencia</w:t>
      </w:r>
      <w:r w:rsidRPr="003770B5">
        <w:rPr>
          <w:szCs w:val="24"/>
          <w:lang w:val="es-MX"/>
        </w:rPr>
        <w:t>, enfocada hacia la neuroeducación o la deconstrucción de neuromitos</w:t>
      </w:r>
      <w:r w:rsidRPr="003770B5">
        <w:rPr>
          <w:szCs w:val="24"/>
          <w:lang w:val="es-MX"/>
        </w:rPr>
        <w:fldChar w:fldCharType="begin"/>
      </w:r>
      <w:r w:rsidRPr="003770B5">
        <w:rPr>
          <w:szCs w:val="24"/>
          <w:lang w:val="es-MX"/>
        </w:rPr>
        <w:instrText xml:space="preserve"> ADDIN EN.CITE &lt;EndNote&gt;&lt;Cite&gt;&lt;Author&gt;Randolph&lt;/Author&gt;&lt;Year&gt;2018&lt;/Year&gt;&lt;RecNum&gt;105&lt;/RecNum&gt;&lt;DisplayText&gt;(Randolph, 2018)&lt;/DisplayText&gt;&lt;record&gt;&lt;rec-number&gt;105&lt;/rec-number&gt;&lt;foreign-keys&gt;&lt;key app="EN" db-id="5rvpf2da7ssvs8e5ww1pz9tp5tdttsdwvfzv" timestamp="1591557529"&gt;105&lt;/key&gt;&lt;/foreign-keys&gt;&lt;ref-type name="Journal Article"&gt;17&lt;/ref-type&gt;&lt;contributors&gt;&lt;authors&gt;&lt;author&gt;Randolph, J. J. &lt;/author&gt;&lt;/authors&gt;&lt;/contributors&gt;&lt;titles&gt;&lt;title&gt;Positive neuropsychology: The science and practice of promoting cognitive health&lt;/title&gt;&lt;secondary-title&gt;Applied Neuropsychology: Adult&lt;/secondary-title&gt;&lt;/titles&gt;&lt;periodical&gt;&lt;full-title&gt;Applied Neuropsychology: Adult&lt;/full-title&gt;&lt;/periodical&gt;&lt;pages&gt;287-294&lt;/pages&gt;&lt;volume&gt;25&lt;/volume&gt;&lt;number&gt;4&lt;/number&gt;&lt;dates&gt;&lt;year&gt;2018&lt;/year&gt;&lt;/dates&gt;&lt;urls&gt;&lt;/urls&gt;&lt;electronic-resource-num&gt;10.1080/23279095.2018.1457465 &lt;/electronic-resource-num&gt;&lt;/record&gt;&lt;/Cite&gt;&lt;/EndNote&gt;</w:instrText>
      </w:r>
      <w:r w:rsidRPr="003770B5">
        <w:rPr>
          <w:szCs w:val="24"/>
          <w:lang w:val="es-MX"/>
        </w:rPr>
        <w:fldChar w:fldCharType="separate"/>
      </w:r>
      <w:r w:rsidRPr="003770B5">
        <w:rPr>
          <w:szCs w:val="24"/>
          <w:lang w:val="es-MX"/>
        </w:rPr>
        <w:t>(</w:t>
      </w:r>
      <w:hyperlink w:anchor="_ENREF_65" w:tooltip="Randolph, 2018 #105" w:history="1">
        <w:r w:rsidRPr="003770B5">
          <w:rPr>
            <w:szCs w:val="24"/>
            <w:lang w:val="es-MX"/>
          </w:rPr>
          <w:t>Randolph, 2018</w:t>
        </w:r>
      </w:hyperlink>
      <w:r w:rsidRPr="003770B5">
        <w:rPr>
          <w:szCs w:val="24"/>
          <w:lang w:val="es-MX"/>
        </w:rPr>
        <w:t>)</w:t>
      </w:r>
      <w:r w:rsidRPr="003770B5">
        <w:rPr>
          <w:szCs w:val="24"/>
          <w:lang w:val="es-MX"/>
        </w:rPr>
        <w:fldChar w:fldCharType="end"/>
      </w:r>
      <w:r w:rsidRPr="003770B5">
        <w:rPr>
          <w:szCs w:val="24"/>
          <w:lang w:val="es-MX"/>
        </w:rPr>
        <w:t xml:space="preserve">.  </w:t>
      </w:r>
      <w:r w:rsidRPr="003770B5">
        <w:rPr>
          <w:szCs w:val="24"/>
          <w:lang w:val="es-ES"/>
        </w:rPr>
        <w:t>Resulta oportuna la recomendación realizada por Evripidou, Merkouris, y Charalambous (2019)</w:t>
      </w:r>
      <w:r w:rsidRPr="003770B5">
        <w:rPr>
          <w:szCs w:val="24"/>
        </w:rPr>
        <w:fldChar w:fldCharType="begin"/>
      </w:r>
      <w:r w:rsidRPr="003770B5">
        <w:rPr>
          <w:szCs w:val="24"/>
          <w:lang w:val="es-ES"/>
        </w:rPr>
        <w:instrText xml:space="preserve"> ADDIN EN.CITE &lt;EndNote&gt;&lt;Cite Hidden="1"&gt;&lt;Author&gt;Evripidou&lt;/Author&gt;&lt;Year&gt;2019&lt;/Year&gt;&lt;RecNum&gt;34&lt;/RecNum&gt;&lt;record&gt;&lt;rec-number&gt;34&lt;/rec-number&gt;&lt;foreign-keys&gt;&lt;key app="EN" db-id="5rvpf2da7ssvs8e5ww1pz9tp5tdttsdwvfzv" timestamp="0"&gt;34&lt;/key&gt;&lt;/foreign-keys&gt;&lt;ref-type name="Journal Article"&gt;17&lt;/ref-type&gt;&lt;contributors&gt;&lt;authors&gt;&lt;author&gt;Evripidou, M. &lt;/author&gt;&lt;author&gt;Merkouris, A.&lt;/author&gt;&lt;author&gt;Charalambous, A.&lt;/author&gt;&lt;/authors&gt;&lt;/contributors&gt;&lt;titles&gt;&lt;title&gt;Implementation of a training program to increase knowledge, improve attitudes and reduce nursing care omissions towards patients with dementia in hospital settings: a mixed-method study protocol&lt;/title&gt;&lt;secondary-title&gt;BMJ Open &lt;/secondary-title&gt;&lt;/titles&gt;&lt;volume&gt;9&lt;/volume&gt;&lt;dates&gt;&lt;year&gt;2019&lt;/year&gt;&lt;/dates&gt;&lt;urls&gt;&lt;/urls&gt;&lt;electronic-resource-num&gt;10.1136/ bmjopen-2019-030459&lt;/electronic-resource-num&gt;&lt;/record&gt;&lt;/Cite&gt;&lt;/EndNote&gt;</w:instrText>
      </w:r>
      <w:r w:rsidRPr="003770B5">
        <w:rPr>
          <w:szCs w:val="24"/>
        </w:rPr>
        <w:fldChar w:fldCharType="end"/>
      </w:r>
      <w:r w:rsidRPr="003770B5">
        <w:rPr>
          <w:szCs w:val="24"/>
          <w:lang w:val="es-ES"/>
        </w:rPr>
        <w:t xml:space="preserve">, de implementar en los servicios sanitarios estrategias o programas de entrenamiento y capacitación para los profesionales de la salud, independientemente de su especialidad, apoyados en el principio de que la mejora de los conocimientos sobre la demencia en el personal sanitario, tributa a una mayor efectividad de la atención, cuidado y tratamiento al paciente </w:t>
      </w:r>
      <w:r w:rsidRPr="003770B5">
        <w:rPr>
          <w:szCs w:val="24"/>
          <w:lang w:val="es-ES"/>
        </w:rPr>
        <w:fldChar w:fldCharType="begin">
          <w:fldData xml:space="preserve">PEVuZE5vdGU+PENpdGU+PEF1dGhvcj5Bbm5lYXI8L0F1dGhvcj48WWVhcj4yMDE4PC9ZZWFyPjxS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=
</w:fldData>
        </w:fldChar>
      </w:r>
      <w:r w:rsidRPr="003770B5">
        <w:rPr>
          <w:szCs w:val="24"/>
          <w:lang w:val="es-ES"/>
        </w:rPr>
        <w:instrText xml:space="preserve"> ADDIN EN.CITE </w:instrText>
      </w:r>
      <w:r w:rsidRPr="003770B5">
        <w:rPr>
          <w:szCs w:val="24"/>
          <w:lang w:val="es-ES"/>
        </w:rPr>
        <w:fldChar w:fldCharType="begin">
          <w:fldData xml:space="preserve">PEVuZE5vdGU+PENpdGU+PEF1dGhvcj5Bbm5lYXI8L0F1dGhvcj48WWVhcj4yMDE4PC9ZZWFyPjxS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=
</w:fldData>
        </w:fldChar>
      </w:r>
      <w:r w:rsidRPr="003770B5">
        <w:rPr>
          <w:szCs w:val="24"/>
          <w:lang w:val="es-ES"/>
        </w:rPr>
        <w:instrText xml:space="preserve"> ADDIN EN.CITE.DATA </w:instrText>
      </w:r>
      <w:r w:rsidRPr="003770B5">
        <w:rPr>
          <w:szCs w:val="24"/>
          <w:lang w:val="es-ES"/>
        </w:rPr>
      </w:r>
      <w:r w:rsidRPr="003770B5">
        <w:rPr>
          <w:szCs w:val="24"/>
          <w:lang w:val="es-ES"/>
        </w:rPr>
        <w:fldChar w:fldCharType="end"/>
      </w:r>
      <w:r w:rsidRPr="003770B5">
        <w:rPr>
          <w:szCs w:val="24"/>
          <w:lang w:val="es-ES"/>
        </w:rPr>
      </w:r>
      <w:r w:rsidRPr="003770B5">
        <w:rPr>
          <w:szCs w:val="24"/>
          <w:lang w:val="es-ES"/>
        </w:rPr>
        <w:fldChar w:fldCharType="separate"/>
      </w:r>
      <w:r w:rsidRPr="003770B5">
        <w:rPr>
          <w:szCs w:val="24"/>
          <w:lang w:val="es-ES"/>
        </w:rPr>
        <w:t>(</w:t>
      </w:r>
      <w:hyperlink w:anchor="_ENREF_1" w:tooltip="Annear, 2018 #22" w:history="1">
        <w:r w:rsidRPr="003770B5">
          <w:rPr>
            <w:szCs w:val="24"/>
            <w:lang w:val="es-ES"/>
          </w:rPr>
          <w:t>Annear, 2018a</w:t>
        </w:r>
      </w:hyperlink>
      <w:r w:rsidRPr="003770B5">
        <w:rPr>
          <w:szCs w:val="24"/>
          <w:lang w:val="es-ES"/>
        </w:rPr>
        <w:t xml:space="preserve">, </w:t>
      </w:r>
      <w:hyperlink w:anchor="_ENREF_2" w:tooltip="Annear, 2018 #1" w:history="1">
        <w:r w:rsidRPr="003770B5">
          <w:rPr>
            <w:szCs w:val="24"/>
            <w:lang w:val="es-ES"/>
          </w:rPr>
          <w:t>2018b</w:t>
        </w:r>
      </w:hyperlink>
      <w:r w:rsidRPr="003770B5">
        <w:rPr>
          <w:szCs w:val="24"/>
          <w:lang w:val="es-ES"/>
        </w:rPr>
        <w:t xml:space="preserve">; </w:t>
      </w:r>
      <w:hyperlink w:anchor="_ENREF_3" w:tooltip="Annear, 2016 #73" w:history="1">
        <w:r w:rsidRPr="003770B5">
          <w:rPr>
            <w:szCs w:val="24"/>
            <w:lang w:val="es-ES"/>
          </w:rPr>
          <w:t>Annear, Otani, et al., 2016</w:t>
        </w:r>
      </w:hyperlink>
      <w:r w:rsidRPr="003770B5">
        <w:rPr>
          <w:szCs w:val="24"/>
          <w:lang w:val="es-ES"/>
        </w:rPr>
        <w:t>)</w:t>
      </w:r>
      <w:r w:rsidRPr="003770B5">
        <w:rPr>
          <w:szCs w:val="24"/>
          <w:lang w:val="es-ES"/>
        </w:rPr>
        <w:fldChar w:fldCharType="end"/>
      </w:r>
      <w:r w:rsidRPr="003770B5">
        <w:rPr>
          <w:szCs w:val="24"/>
          <w:lang w:val="es-ES"/>
        </w:rPr>
        <w:t>.</w:t>
      </w:r>
    </w:p>
    <w:p w:rsidR="00FF3346" w:rsidRPr="003770B5" w:rsidRDefault="00FF3346" w:rsidP="003770B5">
      <w:pPr>
        <w:spacing w:after="0" w:line="360" w:lineRule="auto"/>
        <w:jc w:val="both"/>
        <w:rPr>
          <w:rFonts w:ascii="Times New Roman" w:hAnsi="Times New Roman" w:cs="Times New Roman"/>
          <w:b/>
          <w:sz w:val="24"/>
          <w:szCs w:val="24"/>
        </w:rPr>
      </w:pPr>
      <w:r w:rsidRPr="003770B5">
        <w:rPr>
          <w:rFonts w:ascii="Times New Roman" w:hAnsi="Times New Roman" w:cs="Times New Roman"/>
          <w:b/>
          <w:sz w:val="24"/>
          <w:szCs w:val="24"/>
        </w:rPr>
        <w:t>4. Conclusiones</w:t>
      </w:r>
    </w:p>
    <w:p w:rsidR="00396584" w:rsidRPr="003770B5" w:rsidRDefault="00396584" w:rsidP="003770B5">
      <w:pPr>
        <w:pStyle w:val="Prrafodelista"/>
        <w:numPr>
          <w:ilvl w:val="0"/>
          <w:numId w:val="8"/>
        </w:numPr>
        <w:spacing w:after="0" w:line="360" w:lineRule="auto"/>
        <w:ind w:left="0" w:firstLine="0"/>
        <w:jc w:val="both"/>
        <w:rPr>
          <w:rFonts w:ascii="Times New Roman" w:hAnsi="Times New Roman" w:cs="Times New Roman"/>
          <w:sz w:val="24"/>
          <w:szCs w:val="24"/>
        </w:rPr>
      </w:pPr>
      <w:r w:rsidRPr="003770B5">
        <w:rPr>
          <w:rFonts w:ascii="Times New Roman" w:hAnsi="Times New Roman" w:cs="Times New Roman"/>
          <w:sz w:val="24"/>
          <w:szCs w:val="24"/>
        </w:rPr>
        <w:t>El Análisis Factorial de Componentes Principales de variables categóricas</w:t>
      </w:r>
      <w:r w:rsidR="00A44E76">
        <w:rPr>
          <w:rFonts w:ascii="Times New Roman" w:hAnsi="Times New Roman" w:cs="Times New Roman"/>
          <w:sz w:val="24"/>
          <w:szCs w:val="24"/>
        </w:rPr>
        <w:t xml:space="preserve"> </w:t>
      </w:r>
      <w:r w:rsidRPr="003770B5">
        <w:rPr>
          <w:rFonts w:ascii="Times New Roman" w:hAnsi="Times New Roman" w:cs="Times New Roman"/>
          <w:sz w:val="24"/>
          <w:szCs w:val="24"/>
        </w:rPr>
        <w:t>fue ensayado con cuatro, dos y una dimensiones; los mejores resultados se obtuvieron con una dimensión.  Los ítems 1, 5, 6, 7, y 8 fueron eliminados por poseer valores de saturación inferiores al mínimo establecido.</w:t>
      </w:r>
      <w:r w:rsidR="00A44E76">
        <w:rPr>
          <w:rFonts w:ascii="Times New Roman" w:hAnsi="Times New Roman" w:cs="Times New Roman"/>
          <w:sz w:val="24"/>
          <w:szCs w:val="24"/>
        </w:rPr>
        <w:t xml:space="preserve"> </w:t>
      </w:r>
      <w:r w:rsidRPr="003770B5">
        <w:rPr>
          <w:rFonts w:ascii="Times New Roman" w:hAnsi="Times New Roman" w:cs="Times New Roman"/>
          <w:sz w:val="24"/>
          <w:szCs w:val="24"/>
        </w:rPr>
        <w:t>A partir de las saturaciones de las cargas, la dimensión está correlacionada positivamente con todos los ítems.</w:t>
      </w:r>
    </w:p>
    <w:p w:rsidR="00A44E76" w:rsidRDefault="00396584" w:rsidP="00A44E76">
      <w:pPr>
        <w:pStyle w:val="Prrafodelista"/>
        <w:numPr>
          <w:ilvl w:val="0"/>
          <w:numId w:val="8"/>
        </w:numPr>
        <w:spacing w:after="0" w:line="360" w:lineRule="auto"/>
        <w:ind w:left="0" w:firstLine="0"/>
        <w:jc w:val="both"/>
        <w:rPr>
          <w:rFonts w:ascii="Times New Roman" w:hAnsi="Times New Roman" w:cs="Times New Roman"/>
          <w:sz w:val="24"/>
          <w:szCs w:val="24"/>
        </w:rPr>
      </w:pPr>
      <w:r w:rsidRPr="003770B5">
        <w:rPr>
          <w:rFonts w:ascii="Times New Roman" w:hAnsi="Times New Roman" w:cs="Times New Roman"/>
          <w:sz w:val="24"/>
          <w:szCs w:val="24"/>
        </w:rPr>
        <w:t>La dimensión encontrada para el DKAS-</w:t>
      </w:r>
      <w:proofErr w:type="spellStart"/>
      <w:r w:rsidRPr="003770B5">
        <w:rPr>
          <w:rFonts w:ascii="Times New Roman" w:hAnsi="Times New Roman" w:cs="Times New Roman"/>
          <w:sz w:val="24"/>
          <w:szCs w:val="24"/>
        </w:rPr>
        <w:t>Sp</w:t>
      </w:r>
      <w:proofErr w:type="spellEnd"/>
      <w:r w:rsidR="00E50782">
        <w:rPr>
          <w:rFonts w:ascii="Times New Roman" w:hAnsi="Times New Roman" w:cs="Times New Roman"/>
          <w:sz w:val="24"/>
          <w:szCs w:val="24"/>
        </w:rPr>
        <w:t xml:space="preserve"> </w:t>
      </w:r>
      <w:r w:rsidRPr="003770B5">
        <w:rPr>
          <w:rFonts w:ascii="Times New Roman" w:hAnsi="Times New Roman" w:cs="Times New Roman"/>
          <w:sz w:val="24"/>
          <w:szCs w:val="24"/>
        </w:rPr>
        <w:t xml:space="preserve">explica una cifra significativa de la varianza explicada 6.60. El instrumento, de un total de 20 ítems, mostró buena confiabilidad, con un alfa de </w:t>
      </w:r>
      <w:proofErr w:type="spellStart"/>
      <w:r w:rsidRPr="003770B5">
        <w:rPr>
          <w:rFonts w:ascii="Times New Roman" w:hAnsi="Times New Roman" w:cs="Times New Roman"/>
          <w:sz w:val="24"/>
          <w:szCs w:val="24"/>
        </w:rPr>
        <w:t>Cronbach</w:t>
      </w:r>
      <w:proofErr w:type="spellEnd"/>
      <w:r w:rsidRPr="003770B5">
        <w:rPr>
          <w:rFonts w:ascii="Times New Roman" w:hAnsi="Times New Roman" w:cs="Times New Roman"/>
          <w:sz w:val="24"/>
          <w:szCs w:val="24"/>
        </w:rPr>
        <w:t xml:space="preserve"> de .89.</w:t>
      </w:r>
    </w:p>
    <w:p w:rsidR="00FF3346" w:rsidRPr="00A44E76" w:rsidRDefault="00396584" w:rsidP="00A44E76">
      <w:pPr>
        <w:pStyle w:val="Prrafodelista"/>
        <w:numPr>
          <w:ilvl w:val="0"/>
          <w:numId w:val="8"/>
        </w:numPr>
        <w:spacing w:after="0" w:line="360" w:lineRule="auto"/>
        <w:ind w:left="0" w:firstLine="0"/>
        <w:jc w:val="both"/>
        <w:rPr>
          <w:rFonts w:ascii="Times New Roman" w:hAnsi="Times New Roman" w:cs="Times New Roman"/>
          <w:sz w:val="24"/>
          <w:szCs w:val="24"/>
        </w:rPr>
      </w:pPr>
      <w:r w:rsidRPr="00A44E76">
        <w:rPr>
          <w:rFonts w:ascii="Times New Roman" w:hAnsi="Times New Roman" w:cs="Times New Roman"/>
          <w:sz w:val="24"/>
          <w:szCs w:val="24"/>
        </w:rPr>
        <w:t xml:space="preserve">En los profesionales de salud investigados, se constató una media de la puntuación global de 22.7.  </w:t>
      </w:r>
      <w:r w:rsidRPr="00A44E76">
        <w:rPr>
          <w:rFonts w:ascii="Times New Roman" w:eastAsia="Times New Roman" w:hAnsi="Times New Roman" w:cs="Times New Roman"/>
          <w:bCs/>
          <w:sz w:val="24"/>
          <w:szCs w:val="24"/>
          <w:lang w:val="es-MX" w:eastAsia="es-ES"/>
        </w:rPr>
        <w:t>En cuanto a la puntuación global</w:t>
      </w:r>
      <w:r w:rsidRPr="00A44E76">
        <w:rPr>
          <w:rFonts w:ascii="Times New Roman" w:hAnsi="Times New Roman" w:cs="Times New Roman"/>
          <w:sz w:val="24"/>
          <w:szCs w:val="24"/>
        </w:rPr>
        <w:t xml:space="preserve">, 45.5% del total de la muestra de médicos de familia registraron un nivel medio de conocimiento, 22.6% un conocimiento alto sobre esta patología y el 31.6% restante presentaron un nivel bajo de conocimiento. Específicamente, se evidenció un conocimiento adecuado de aspectos como la afectación en actividades básicas e instrumentales de personas con demencia y los cuidados posteriores al diagnóstico.  Sin embargo, en contenidos relativos a la aparición de los síntomas de la enfermedad, los riesgos y promoción de salud, los </w:t>
      </w:r>
      <w:r w:rsidRPr="00A44E76">
        <w:rPr>
          <w:rFonts w:ascii="Times New Roman" w:hAnsi="Times New Roman" w:cs="Times New Roman"/>
          <w:sz w:val="24"/>
          <w:szCs w:val="24"/>
        </w:rPr>
        <w:lastRenderedPageBreak/>
        <w:t>comportamientos y la comunicación de la persona con demencia mostraron bajos niveles de conocimiento.</w:t>
      </w:r>
    </w:p>
    <w:p w:rsidR="00E50782" w:rsidRPr="003770B5" w:rsidRDefault="00E50782" w:rsidP="00E50782">
      <w:pPr>
        <w:pStyle w:val="Prrafodelista"/>
        <w:spacing w:after="0" w:line="360" w:lineRule="auto"/>
        <w:ind w:left="706"/>
        <w:jc w:val="both"/>
        <w:rPr>
          <w:rFonts w:ascii="Times New Roman" w:eastAsia="Times New Roman" w:hAnsi="Times New Roman" w:cs="Times New Roman"/>
          <w:bCs/>
          <w:color w:val="231F20"/>
          <w:sz w:val="24"/>
          <w:szCs w:val="24"/>
          <w:lang w:val="es-US" w:eastAsia="es-ES"/>
        </w:rPr>
      </w:pPr>
    </w:p>
    <w:p w:rsidR="00FF3346" w:rsidRPr="009B0D54" w:rsidRDefault="00FF3346" w:rsidP="003770B5">
      <w:pPr>
        <w:spacing w:after="0" w:line="360" w:lineRule="auto"/>
        <w:jc w:val="both"/>
        <w:rPr>
          <w:rFonts w:ascii="Times New Roman" w:hAnsi="Times New Roman" w:cs="Times New Roman"/>
          <w:b/>
          <w:sz w:val="24"/>
          <w:szCs w:val="24"/>
          <w:lang w:val="pt-BR"/>
        </w:rPr>
      </w:pPr>
      <w:r w:rsidRPr="009B0D54">
        <w:rPr>
          <w:rFonts w:ascii="Times New Roman" w:hAnsi="Times New Roman" w:cs="Times New Roman"/>
          <w:b/>
          <w:sz w:val="24"/>
          <w:szCs w:val="24"/>
          <w:lang w:val="pt-BR"/>
        </w:rPr>
        <w:t xml:space="preserve">5. </w:t>
      </w:r>
      <w:proofErr w:type="spellStart"/>
      <w:r w:rsidRPr="009B0D54">
        <w:rPr>
          <w:rFonts w:ascii="Times New Roman" w:hAnsi="Times New Roman" w:cs="Times New Roman"/>
          <w:b/>
          <w:sz w:val="24"/>
          <w:szCs w:val="24"/>
          <w:lang w:val="pt-BR"/>
        </w:rPr>
        <w:t>Referencias</w:t>
      </w:r>
      <w:proofErr w:type="spellEnd"/>
      <w:r w:rsidRPr="009B0D54">
        <w:rPr>
          <w:rFonts w:ascii="Times New Roman" w:hAnsi="Times New Roman" w:cs="Times New Roman"/>
          <w:b/>
          <w:sz w:val="24"/>
          <w:szCs w:val="24"/>
          <w:lang w:val="pt-BR"/>
        </w:rPr>
        <w:t xml:space="preserve"> bibliográficas</w:t>
      </w:r>
    </w:p>
    <w:p w:rsidR="00C13B3D" w:rsidRPr="009B0D54" w:rsidRDefault="00C13B3D" w:rsidP="00C13B3D">
      <w:pPr>
        <w:spacing w:after="0" w:line="480" w:lineRule="auto"/>
        <w:jc w:val="center"/>
        <w:outlineLvl w:val="0"/>
        <w:rPr>
          <w:rFonts w:ascii="Times New Roman" w:hAnsi="Times New Roman" w:cs="Times New Roman"/>
          <w:b/>
          <w:sz w:val="24"/>
          <w:szCs w:val="24"/>
          <w:lang w:val="pt-BR"/>
        </w:rPr>
      </w:pPr>
      <w:bookmarkStart w:id="21" w:name="_Toc39130753"/>
      <w:bookmarkStart w:id="22" w:name="_Toc39130778"/>
      <w:bookmarkStart w:id="23" w:name="_Toc42715880"/>
      <w:bookmarkStart w:id="24" w:name="_Toc42716444"/>
      <w:bookmarkStart w:id="25" w:name="_Hlk41486543"/>
      <w:r w:rsidRPr="009B0D54">
        <w:rPr>
          <w:rFonts w:ascii="Times New Roman" w:hAnsi="Times New Roman" w:cs="Times New Roman"/>
          <w:b/>
          <w:sz w:val="24"/>
          <w:szCs w:val="24"/>
          <w:lang w:val="pt-BR"/>
        </w:rPr>
        <w:t>Referencias</w:t>
      </w:r>
      <w:bookmarkEnd w:id="21"/>
      <w:bookmarkEnd w:id="22"/>
      <w:bookmarkEnd w:id="23"/>
      <w:bookmarkEnd w:id="24"/>
    </w:p>
    <w:p w:rsidR="00C13B3D" w:rsidRPr="00F6581A" w:rsidRDefault="00C13B3D" w:rsidP="00C13B3D">
      <w:pPr>
        <w:pStyle w:val="EndNoteBibliography"/>
        <w:spacing w:after="0"/>
        <w:ind w:left="720" w:hanging="720"/>
      </w:pPr>
      <w:r w:rsidRPr="0093605E">
        <w:rPr>
          <w:szCs w:val="24"/>
        </w:rPr>
        <w:fldChar w:fldCharType="begin"/>
      </w:r>
      <w:r w:rsidRPr="007E4909">
        <w:rPr>
          <w:szCs w:val="24"/>
        </w:rPr>
        <w:instrText xml:space="preserve"> ADDIN EN.REFLIST </w:instrText>
      </w:r>
      <w:r w:rsidRPr="0093605E">
        <w:rPr>
          <w:szCs w:val="24"/>
        </w:rPr>
        <w:fldChar w:fldCharType="separate"/>
      </w:r>
      <w:bookmarkStart w:id="26" w:name="_ENREF_1"/>
      <w:r w:rsidRPr="007E4909">
        <w:t xml:space="preserve">Annear, M. (2018a). </w:t>
      </w:r>
      <w:r w:rsidRPr="00F6581A">
        <w:t xml:space="preserve">Japanese health professionals’ knowledge of dementia and educational needs: A population study </w:t>
      </w:r>
      <w:r w:rsidRPr="00F6581A">
        <w:rPr>
          <w:i/>
        </w:rPr>
        <w:t>Australasian Journal on Ageing, 4</w:t>
      </w:r>
      <w:r w:rsidRPr="00F6581A">
        <w:t xml:space="preserve">(2), 1-6. doi:10.1111/ajag.12523 </w:t>
      </w:r>
      <w:bookmarkEnd w:id="26"/>
    </w:p>
    <w:p w:rsidR="00C13B3D" w:rsidRPr="00F6581A" w:rsidRDefault="00C13B3D" w:rsidP="00C13B3D">
      <w:pPr>
        <w:pStyle w:val="EndNoteBibliography"/>
        <w:spacing w:after="0"/>
        <w:ind w:left="720" w:hanging="720"/>
      </w:pPr>
      <w:bookmarkStart w:id="27" w:name="_ENREF_2"/>
      <w:r w:rsidRPr="00F6581A">
        <w:t xml:space="preserve">Annear, M. (2018b). Knowledge of Dementia Among the Australian Health Workforce: A National Online Survey. </w:t>
      </w:r>
      <w:r w:rsidRPr="00F6581A">
        <w:rPr>
          <w:i/>
        </w:rPr>
        <w:t>Journal of Applied Gerontology</w:t>
      </w:r>
      <w:r w:rsidRPr="00F6581A">
        <w:t>, 1-25. doi:10.1177/0733464817752085</w:t>
      </w:r>
      <w:bookmarkEnd w:id="27"/>
    </w:p>
    <w:p w:rsidR="00C13B3D" w:rsidRPr="00F6581A" w:rsidRDefault="00C13B3D" w:rsidP="00C13B3D">
      <w:pPr>
        <w:pStyle w:val="EndNoteBibliography"/>
        <w:spacing w:after="0"/>
        <w:ind w:left="720" w:hanging="720"/>
      </w:pPr>
      <w:bookmarkStart w:id="28" w:name="_ENREF_3"/>
      <w:r w:rsidRPr="00F6581A">
        <w:t xml:space="preserve">Annear, M., Otani, J., &amp; Li, J. (2016). Japanese-language Dementia Knowledge Assessment Scale: Psychometric performance, and health student and professional understanding. </w:t>
      </w:r>
      <w:r w:rsidRPr="00F6581A">
        <w:rPr>
          <w:i/>
        </w:rPr>
        <w:t>Geriatr Gerontol Int</w:t>
      </w:r>
      <w:r w:rsidRPr="00F6581A">
        <w:t>, 2-6. doi:10.1111/ggi.12911</w:t>
      </w:r>
      <w:bookmarkEnd w:id="28"/>
    </w:p>
    <w:p w:rsidR="00C13B3D" w:rsidRPr="00F6581A" w:rsidRDefault="00C13B3D" w:rsidP="00C13B3D">
      <w:pPr>
        <w:pStyle w:val="EndNoteBibliography"/>
        <w:spacing w:after="0"/>
        <w:ind w:left="720" w:hanging="720"/>
      </w:pPr>
      <w:bookmarkStart w:id="29" w:name="_ENREF_4"/>
      <w:r w:rsidRPr="00F6581A">
        <w:t xml:space="preserve">Annear, M., Toye, C., Eccleston, C., McInerney, F., Elliott, K. E., Tranter, B., . . . Robinson, A. (2015). Dementia Knowledge Assessment Scale: Development and Preliminary Psychometric Properties. </w:t>
      </w:r>
      <w:r w:rsidRPr="00F6581A">
        <w:rPr>
          <w:i/>
        </w:rPr>
        <w:t>Medical Sciences, 63</w:t>
      </w:r>
      <w:r w:rsidRPr="00F6581A">
        <w:t>(11), 2373-2381. doi:10.1111/jgs.137</w:t>
      </w:r>
      <w:bookmarkEnd w:id="29"/>
    </w:p>
    <w:p w:rsidR="00C13B3D" w:rsidRPr="00F6581A" w:rsidRDefault="00C13B3D" w:rsidP="00C13B3D">
      <w:pPr>
        <w:pStyle w:val="EndNoteBibliography"/>
        <w:spacing w:after="0"/>
        <w:ind w:left="720" w:hanging="720"/>
      </w:pPr>
      <w:bookmarkStart w:id="30" w:name="_ENREF_5"/>
      <w:r w:rsidRPr="00F6581A">
        <w:t xml:space="preserve">Annear, M., Toye, C., Elliott, K., McInerney, F., Eccleston, C., &amp; Robinson, A. (2017). Dementia knowledge assessment scale (DKAS): confirmatory factor analysis and comparative subscale scores among an international cohort. </w:t>
      </w:r>
      <w:r w:rsidRPr="00F6581A">
        <w:rPr>
          <w:i/>
        </w:rPr>
        <w:t>BMC Geriatric, 17</w:t>
      </w:r>
      <w:r w:rsidRPr="00F6581A">
        <w:t>(168), 2-11. doi:10.1186/s12877-017-0552-y</w:t>
      </w:r>
      <w:bookmarkEnd w:id="30"/>
    </w:p>
    <w:p w:rsidR="00C13B3D" w:rsidRPr="00F6581A" w:rsidRDefault="00C13B3D" w:rsidP="00C13B3D">
      <w:pPr>
        <w:pStyle w:val="EndNoteBibliography"/>
        <w:spacing w:after="0"/>
        <w:ind w:left="720" w:hanging="720"/>
      </w:pPr>
      <w:bookmarkStart w:id="31" w:name="_ENREF_6"/>
      <w:r w:rsidRPr="00F6581A">
        <w:t xml:space="preserve">Annear, M., Toye, C., McInerney, F., Eccleston, C., Tranter, B., Elliott, K., &amp; Robinson, A. (2015). What should we know about dementia in the 21st </w:t>
      </w:r>
      <w:bookmarkEnd w:id="31"/>
    </w:p>
    <w:p w:rsidR="00C13B3D" w:rsidRPr="00F6581A" w:rsidRDefault="00C13B3D" w:rsidP="00C13B3D">
      <w:pPr>
        <w:pStyle w:val="EndNoteBibliography"/>
        <w:spacing w:after="0"/>
        <w:ind w:left="720" w:hanging="720"/>
      </w:pPr>
      <w:bookmarkStart w:id="32" w:name="_ENREF_7"/>
      <w:r w:rsidRPr="00F6581A">
        <w:lastRenderedPageBreak/>
        <w:t xml:space="preserve">Annear, M., Toye, C., McInerney, F., Eccleston, C., Tranter, B., Elliott, K., &amp; Robinson, A. (2016). A new standard in dementia knowledge measurement:Comparative validation of the Dementia Knowledge Assessment Scale and the Alzheimer’s Disease Knowledge Scale. </w:t>
      </w:r>
      <w:r w:rsidRPr="00F6581A">
        <w:rPr>
          <w:i/>
        </w:rPr>
        <w:t>American Geriatrics Society, 64</w:t>
      </w:r>
      <w:r w:rsidRPr="00F6581A">
        <w:t>, 1329-1334. doi:10.1111/nyas.13058</w:t>
      </w:r>
      <w:bookmarkEnd w:id="32"/>
    </w:p>
    <w:p w:rsidR="00C13B3D" w:rsidRPr="00F6581A" w:rsidRDefault="00C13B3D" w:rsidP="00C13B3D">
      <w:pPr>
        <w:pStyle w:val="EndNoteBibliography"/>
        <w:spacing w:after="0"/>
        <w:ind w:left="720" w:hanging="720"/>
        <w:rPr>
          <w:lang w:val="es-ES"/>
        </w:rPr>
      </w:pPr>
      <w:bookmarkStart w:id="33" w:name="_ENREF_11"/>
      <w:r w:rsidRPr="009B0D54">
        <w:t xml:space="preserve">Bayard, R. B., Aspiazú, M. B., Llerena, T., Ulloan, E. H., Orihuela, L. B., &amp; Azcuy, O. H. (2019). </w:t>
      </w:r>
      <w:r w:rsidRPr="00F6581A">
        <w:rPr>
          <w:lang w:val="es-ES"/>
        </w:rPr>
        <w:t xml:space="preserve">Percepción del estudiante de Medicina de la forma en que recibe el conocimiento sobre la demencia. </w:t>
      </w:r>
      <w:r w:rsidRPr="00F6581A">
        <w:rPr>
          <w:i/>
          <w:lang w:val="es-ES"/>
        </w:rPr>
        <w:t>Panorama. Cuba y Salud 14</w:t>
      </w:r>
      <w:r w:rsidRPr="00F6581A">
        <w:rPr>
          <w:lang w:val="es-ES"/>
        </w:rPr>
        <w:t>(1), 6-11. doi:1991-2684, RNPS: 2136</w:t>
      </w:r>
      <w:bookmarkEnd w:id="33"/>
    </w:p>
    <w:p w:rsidR="00C13B3D" w:rsidRPr="00F6581A" w:rsidRDefault="00C13B3D" w:rsidP="00C13B3D">
      <w:pPr>
        <w:pStyle w:val="EndNoteBibliography"/>
        <w:spacing w:after="0"/>
        <w:ind w:left="720" w:hanging="720"/>
      </w:pPr>
      <w:bookmarkStart w:id="34" w:name="_ENREF_12"/>
      <w:r w:rsidRPr="00F6581A">
        <w:rPr>
          <w:lang w:val="es-ES"/>
        </w:rPr>
        <w:t xml:space="preserve">Bayard, R. B., Llibre, J., Seco, A., Calzadilla, C., García, M., &amp; Llerena, T. (2016). </w:t>
      </w:r>
      <w:r w:rsidRPr="00F6581A">
        <w:t xml:space="preserve">Cuba’s strategy for alzheimer disease and dementia syndromes. </w:t>
      </w:r>
      <w:r w:rsidRPr="00F6581A">
        <w:rPr>
          <w:i/>
        </w:rPr>
        <w:t>MEDICC Rev, 18</w:t>
      </w:r>
      <w:r w:rsidRPr="00F6581A">
        <w:t>(3), 9-13. doi:10.1017/S1041610209009430</w:t>
      </w:r>
      <w:bookmarkEnd w:id="34"/>
    </w:p>
    <w:p w:rsidR="00C13B3D" w:rsidRPr="009B0D54" w:rsidRDefault="00C13B3D" w:rsidP="00C13B3D">
      <w:pPr>
        <w:pStyle w:val="EndNoteBibliography"/>
        <w:spacing w:after="0"/>
        <w:ind w:left="720" w:hanging="720"/>
        <w:rPr>
          <w:lang w:val="pt-BR"/>
        </w:rPr>
      </w:pPr>
      <w:bookmarkStart w:id="35" w:name="_ENREF_14"/>
      <w:r w:rsidRPr="00F6581A">
        <w:rPr>
          <w:lang w:val="es-ES"/>
        </w:rPr>
        <w:t xml:space="preserve">Benítez, M. S., &amp; Guevara de León, T. (2015). Síndrome demencial en adultos mayores. </w:t>
      </w:r>
      <w:r w:rsidRPr="009B0D54">
        <w:rPr>
          <w:i/>
          <w:lang w:val="pt-BR"/>
        </w:rPr>
        <w:t>Medicent Electrón., 19(3)</w:t>
      </w:r>
      <w:r w:rsidRPr="009B0D54">
        <w:rPr>
          <w:lang w:val="pt-BR"/>
        </w:rPr>
        <w:t xml:space="preserve">. </w:t>
      </w:r>
      <w:bookmarkEnd w:id="35"/>
    </w:p>
    <w:p w:rsidR="00C13B3D" w:rsidRPr="00F6581A" w:rsidRDefault="00C13B3D" w:rsidP="00C13B3D">
      <w:pPr>
        <w:pStyle w:val="EndNoteBibliography"/>
        <w:spacing w:after="0"/>
        <w:ind w:left="720" w:hanging="720"/>
      </w:pPr>
      <w:bookmarkStart w:id="36" w:name="_ENREF_15"/>
      <w:r w:rsidRPr="009B0D54">
        <w:rPr>
          <w:lang w:val="pt-BR"/>
        </w:rPr>
        <w:t xml:space="preserve">Biswas, A., De, S., Sarkhel, S., Majumde, U., Makhal, M., &amp; Das, S. K. (2017). </w:t>
      </w:r>
      <w:r w:rsidRPr="00F6581A">
        <w:t xml:space="preserve">Knowledge about Dementia among Doctor and Nurses in a Medical College Hospital in India. </w:t>
      </w:r>
      <w:r w:rsidRPr="00F6581A">
        <w:rPr>
          <w:i/>
        </w:rPr>
        <w:t>Journal of Alzheimer’s Parkinsonism &amp; Dementia, 5</w:t>
      </w:r>
      <w:r w:rsidRPr="00F6581A">
        <w:t>(2), 2-9. doi:10.1212/WNL.0000000000004373</w:t>
      </w:r>
      <w:bookmarkEnd w:id="36"/>
    </w:p>
    <w:p w:rsidR="00C13B3D" w:rsidRPr="00F6581A" w:rsidRDefault="00C13B3D" w:rsidP="00C13B3D">
      <w:pPr>
        <w:pStyle w:val="EndNoteBibliography"/>
        <w:spacing w:after="0"/>
        <w:ind w:left="720" w:hanging="720"/>
        <w:rPr>
          <w:lang w:val="es-ES"/>
        </w:rPr>
      </w:pPr>
      <w:bookmarkStart w:id="37" w:name="_ENREF_16"/>
      <w:r w:rsidRPr="00F6581A">
        <w:t xml:space="preserve">Broche-Pérez, Y. (2018). </w:t>
      </w:r>
      <w:r w:rsidRPr="00F6581A">
        <w:rPr>
          <w:lang w:val="es-ES"/>
        </w:rPr>
        <w:t xml:space="preserve">Dimensiones para la promoción de la salud cognitiva y prevención de demencias. . </w:t>
      </w:r>
      <w:r w:rsidRPr="00F6581A">
        <w:rPr>
          <w:i/>
          <w:lang w:val="es-ES"/>
        </w:rPr>
        <w:t>Revista Cubana de Salud Pública, 44</w:t>
      </w:r>
      <w:r w:rsidRPr="00F6581A">
        <w:rPr>
          <w:lang w:val="es-ES"/>
        </w:rPr>
        <w:t xml:space="preserve">(1), 143-155. </w:t>
      </w:r>
      <w:bookmarkEnd w:id="37"/>
    </w:p>
    <w:p w:rsidR="00C13B3D" w:rsidRPr="009B0D54" w:rsidRDefault="00C13B3D" w:rsidP="00C13B3D">
      <w:pPr>
        <w:pStyle w:val="EndNoteBibliography"/>
        <w:spacing w:after="0"/>
        <w:ind w:left="720" w:hanging="720"/>
      </w:pPr>
      <w:bookmarkStart w:id="38" w:name="_ENREF_18"/>
      <w:r w:rsidRPr="00F6581A">
        <w:rPr>
          <w:lang w:val="es-ES"/>
        </w:rPr>
        <w:t xml:space="preserve">Broche-Pérez, Y., Fernández-Fleites, Z., González, B., Hernández Pérez, M. A., &amp; Salazar-Guerra, Y. I. (2020). </w:t>
      </w:r>
      <w:r w:rsidRPr="00F6581A">
        <w:t xml:space="preserve">Knowledge and beliefs about dementia among the general public: A preliminary report on the Cuban population. </w:t>
      </w:r>
      <w:r w:rsidRPr="009B0D54">
        <w:rPr>
          <w:i/>
        </w:rPr>
        <w:t>Neurología</w:t>
      </w:r>
      <w:r w:rsidRPr="009B0D54">
        <w:t>, in press. doi:</w:t>
      </w:r>
      <w:hyperlink r:id="rId14" w:history="1">
        <w:r w:rsidRPr="009B0D54">
          <w:rPr>
            <w:rStyle w:val="Hipervnculo"/>
          </w:rPr>
          <w:t>https://doi.org/10.1016/j.nrl.2018.03.011</w:t>
        </w:r>
        <w:bookmarkEnd w:id="38"/>
      </w:hyperlink>
    </w:p>
    <w:p w:rsidR="00C13B3D" w:rsidRPr="00F6581A" w:rsidRDefault="00C13B3D" w:rsidP="00C13B3D">
      <w:pPr>
        <w:pStyle w:val="EndNoteBibliography"/>
        <w:spacing w:after="0"/>
        <w:ind w:left="720" w:hanging="720"/>
      </w:pPr>
      <w:bookmarkStart w:id="39" w:name="_ENREF_20"/>
      <w:r w:rsidRPr="00F6581A">
        <w:lastRenderedPageBreak/>
        <w:t>Cantegreil-Kallen, I., &amp; Pin, S. (2012). Fear of Alzheimer's disease in the French population impact of age and proximity to the disease.</w:t>
      </w:r>
      <w:r w:rsidRPr="00F6581A">
        <w:rPr>
          <w:i/>
        </w:rPr>
        <w:t xml:space="preserve"> Int Psychogeriatr, 24</w:t>
      </w:r>
      <w:r w:rsidRPr="00F6581A">
        <w:t xml:space="preserve">(1), 108-116. </w:t>
      </w:r>
      <w:bookmarkEnd w:id="39"/>
    </w:p>
    <w:p w:rsidR="00C13B3D" w:rsidRPr="00F6581A" w:rsidRDefault="00C13B3D" w:rsidP="00C13B3D">
      <w:pPr>
        <w:pStyle w:val="EndNoteBibliography"/>
        <w:spacing w:after="0"/>
        <w:ind w:left="720" w:hanging="720"/>
      </w:pPr>
      <w:bookmarkStart w:id="40" w:name="_ENREF_27"/>
      <w:r w:rsidRPr="00F6581A">
        <w:t xml:space="preserve">Evripidou, M., Charalambous, A., Middleton, N., &amp; Papastavrou, E. (2017). Nurses’ knowledge and attitudes about dementia care: Systematic literature review. </w:t>
      </w:r>
      <w:r w:rsidRPr="00F6581A">
        <w:rPr>
          <w:i/>
        </w:rPr>
        <w:t>Perspect Psychiatric, 8</w:t>
      </w:r>
      <w:r w:rsidRPr="00F6581A">
        <w:t>, 1–13. doi:10.1111/ppc.12291 60</w:t>
      </w:r>
      <w:bookmarkEnd w:id="40"/>
    </w:p>
    <w:p w:rsidR="00C13B3D" w:rsidRPr="00F6581A" w:rsidRDefault="00C13B3D" w:rsidP="00C13B3D">
      <w:pPr>
        <w:pStyle w:val="EndNoteBibliography"/>
        <w:spacing w:after="0"/>
        <w:ind w:left="720" w:hanging="720"/>
      </w:pPr>
      <w:bookmarkStart w:id="41" w:name="_ENREF_28"/>
      <w:r w:rsidRPr="00F6581A">
        <w:t xml:space="preserve">Evripidou, M., Merkouris, A., &amp; Charalambous, A. (2019). Implementation of a training program to increase knowledge, improve attitudes and reduce nursing care omissions towards patients with dementia in hospital settings: a mixed-method study protocol. </w:t>
      </w:r>
      <w:r w:rsidRPr="00F6581A">
        <w:rPr>
          <w:i/>
        </w:rPr>
        <w:t>BMJ Open 9</w:t>
      </w:r>
      <w:r w:rsidRPr="00F6581A">
        <w:t>. doi:10.1136/ bmjopen-2019-030459</w:t>
      </w:r>
      <w:bookmarkEnd w:id="41"/>
    </w:p>
    <w:p w:rsidR="00C13B3D" w:rsidRPr="00F6581A" w:rsidRDefault="00C13B3D" w:rsidP="00C13B3D">
      <w:pPr>
        <w:pStyle w:val="EndNoteBibliography"/>
        <w:spacing w:after="0"/>
        <w:ind w:left="720" w:hanging="720"/>
        <w:rPr>
          <w:lang w:val="es-ES"/>
        </w:rPr>
      </w:pPr>
      <w:bookmarkStart w:id="42" w:name="_ENREF_37"/>
      <w:r w:rsidRPr="009B0D54">
        <w:t xml:space="preserve">Hernández-Sampieri, R., Fernández, C., &amp; Baptista, P. (2014). </w:t>
      </w:r>
      <w:r w:rsidRPr="00F6581A">
        <w:rPr>
          <w:i/>
          <w:lang w:val="es-ES"/>
        </w:rPr>
        <w:t>Metodología de la investigación</w:t>
      </w:r>
      <w:r w:rsidRPr="00F6581A">
        <w:rPr>
          <w:lang w:val="es-ES"/>
        </w:rPr>
        <w:t xml:space="preserve"> (6 ed.). México: Mc Graw Hill </w:t>
      </w:r>
      <w:bookmarkEnd w:id="42"/>
    </w:p>
    <w:p w:rsidR="00C13B3D" w:rsidRPr="00F6581A" w:rsidRDefault="00C13B3D" w:rsidP="00C13B3D">
      <w:pPr>
        <w:pStyle w:val="EndNoteBibliography"/>
        <w:spacing w:after="0"/>
        <w:ind w:left="720" w:hanging="720"/>
      </w:pPr>
      <w:bookmarkStart w:id="43" w:name="_ENREF_40"/>
      <w:r w:rsidRPr="009B0D54">
        <w:rPr>
          <w:lang w:val="es-ES"/>
        </w:rPr>
        <w:t xml:space="preserve">Informe ADI/Bupa. </w:t>
      </w:r>
      <w:r w:rsidRPr="00F6581A">
        <w:rPr>
          <w:lang w:val="es-ES"/>
        </w:rPr>
        <w:t xml:space="preserve">(2013). </w:t>
      </w:r>
      <w:r w:rsidRPr="00F6581A">
        <w:rPr>
          <w:i/>
          <w:lang w:val="es-ES"/>
        </w:rPr>
        <w:t>La demencia en América: El coste y la prevalencia del Alzheimer y otros tipos de demencia.</w:t>
      </w:r>
      <w:r w:rsidRPr="009B0D54">
        <w:rPr>
          <w:lang w:val="es-ES"/>
        </w:rPr>
        <w:t xml:space="preserve">London: Alzheimer´s Disease International. </w:t>
      </w:r>
      <w:r w:rsidRPr="00F6581A">
        <w:t xml:space="preserve">Retrieved from </w:t>
      </w:r>
      <w:hyperlink r:id="rId15" w:history="1">
        <w:r w:rsidRPr="00F6581A">
          <w:rPr>
            <w:rStyle w:val="Hipervnculo"/>
          </w:rPr>
          <w:t>https://www.alz.co.uk/sites/default/files/pdfs/dementia-in-the-americasSPANISH.pdf</w:t>
        </w:r>
      </w:hyperlink>
      <w:r w:rsidRPr="00F6581A">
        <w:t xml:space="preserve"> 18-12-2017 </w:t>
      </w:r>
      <w:bookmarkEnd w:id="43"/>
    </w:p>
    <w:p w:rsidR="00C13B3D" w:rsidRPr="00F6581A" w:rsidRDefault="00C13B3D" w:rsidP="00C13B3D">
      <w:pPr>
        <w:pStyle w:val="EndNoteBibliography"/>
        <w:spacing w:after="0"/>
        <w:ind w:left="720" w:hanging="720"/>
      </w:pPr>
      <w:bookmarkStart w:id="44" w:name="_ENREF_41"/>
      <w:r w:rsidRPr="00F6581A">
        <w:t xml:space="preserve">Lenz, A. S., Gómez, I., Dell'Aquilla, J., &amp; Martinez, U. (2017). Translation and Cross-Cultural Adaptation of Assessments for Use in Counseling Research. </w:t>
      </w:r>
      <w:r w:rsidRPr="00F6581A">
        <w:rPr>
          <w:i/>
        </w:rPr>
        <w:t>Measurement and Evaluation in Counseling and Development, 50</w:t>
      </w:r>
      <w:r w:rsidRPr="00F6581A">
        <w:t>(4), 224-231. doi:10.1080/07481756.2017.1320947</w:t>
      </w:r>
      <w:bookmarkEnd w:id="44"/>
    </w:p>
    <w:p w:rsidR="00C13B3D" w:rsidRPr="009B0D54" w:rsidRDefault="00C13B3D" w:rsidP="00C13B3D">
      <w:pPr>
        <w:pStyle w:val="EndNoteBibliography"/>
        <w:spacing w:after="0"/>
        <w:ind w:left="720" w:hanging="720"/>
        <w:rPr>
          <w:lang w:val="es-ES"/>
        </w:rPr>
      </w:pPr>
      <w:bookmarkStart w:id="45" w:name="_ENREF_42"/>
      <w:r w:rsidRPr="00F6581A">
        <w:t xml:space="preserve">León, O. G., &amp; Montero, I. (2002). </w:t>
      </w:r>
      <w:r w:rsidRPr="00F6581A">
        <w:rPr>
          <w:lang w:val="es-ES"/>
        </w:rPr>
        <w:t xml:space="preserve">Clasificación y descripción de las metodologías de investigación en Psicología. </w:t>
      </w:r>
      <w:r w:rsidRPr="009B0D54">
        <w:rPr>
          <w:i/>
          <w:lang w:val="es-ES"/>
        </w:rPr>
        <w:t>International Journal of Clinical and Health Psychology, 2</w:t>
      </w:r>
      <w:r w:rsidRPr="009B0D54">
        <w:rPr>
          <w:lang w:val="es-ES"/>
        </w:rPr>
        <w:t xml:space="preserve">(3), 503-508. </w:t>
      </w:r>
      <w:bookmarkEnd w:id="45"/>
    </w:p>
    <w:p w:rsidR="00C13B3D" w:rsidRPr="00F6581A" w:rsidRDefault="00C13B3D" w:rsidP="00C13B3D">
      <w:pPr>
        <w:pStyle w:val="EndNoteBibliography"/>
        <w:spacing w:after="0"/>
        <w:ind w:left="720" w:hanging="720"/>
        <w:rPr>
          <w:lang w:val="es-ES"/>
        </w:rPr>
      </w:pPr>
      <w:bookmarkStart w:id="46" w:name="_ENREF_45"/>
      <w:r w:rsidRPr="009B0D54">
        <w:rPr>
          <w:lang w:val="es-ES"/>
        </w:rPr>
        <w:lastRenderedPageBreak/>
        <w:t xml:space="preserve">Martinez, R. (2005). </w:t>
      </w:r>
      <w:r w:rsidRPr="00F6581A">
        <w:rPr>
          <w:i/>
          <w:lang w:val="es-ES"/>
        </w:rPr>
        <w:t>Psicometría: teoría de los tests psicológicos y educativos</w:t>
      </w:r>
      <w:r w:rsidRPr="00F6581A">
        <w:rPr>
          <w:lang w:val="es-ES"/>
        </w:rPr>
        <w:t>. Madrid, España: Sintesis Psicológica.</w:t>
      </w:r>
      <w:bookmarkEnd w:id="46"/>
    </w:p>
    <w:p w:rsidR="00C13B3D" w:rsidRPr="00F6581A" w:rsidRDefault="00C13B3D" w:rsidP="00C13B3D">
      <w:pPr>
        <w:pStyle w:val="EndNoteBibliography"/>
        <w:spacing w:after="0"/>
        <w:ind w:left="720" w:hanging="720"/>
      </w:pPr>
      <w:bookmarkStart w:id="47" w:name="_ENREF_47"/>
      <w:r w:rsidRPr="00F6581A">
        <w:t xml:space="preserve">Matsuda, Y., Hashimoto, R., Takemoto, S., &amp; Yoshioka, Y. (2018). Educational benefits for nurses and nursing students of the dementia supporter training program in Japan. </w:t>
      </w:r>
      <w:r w:rsidRPr="00F6581A">
        <w:rPr>
          <w:i/>
        </w:rPr>
        <w:t>PLoS ONE 13</w:t>
      </w:r>
      <w:r w:rsidRPr="00F6581A">
        <w:t>(7), 1-12. doi:10.1371/journal.pone.0200586</w:t>
      </w:r>
      <w:bookmarkEnd w:id="47"/>
    </w:p>
    <w:p w:rsidR="00C13B3D" w:rsidRPr="009B0D54" w:rsidRDefault="00C13B3D" w:rsidP="00C13B3D">
      <w:pPr>
        <w:pStyle w:val="EndNoteBibliography"/>
        <w:spacing w:after="0"/>
        <w:ind w:left="720" w:hanging="720"/>
        <w:rPr>
          <w:lang w:val="es-ES"/>
        </w:rPr>
      </w:pPr>
      <w:bookmarkStart w:id="48" w:name="_ENREF_49"/>
      <w:r w:rsidRPr="00F6581A">
        <w:t xml:space="preserve">Miller, S. E. (2017). </w:t>
      </w:r>
      <w:r w:rsidRPr="00F6581A">
        <w:rPr>
          <w:i/>
        </w:rPr>
        <w:t>Linking Key Factors of Quality Dementia Care: Knowledge and Self-Efcacy.</w:t>
      </w:r>
      <w:r w:rsidRPr="00F6581A">
        <w:t xml:space="preserve"> </w:t>
      </w:r>
      <w:r w:rsidRPr="009B0D54">
        <w:rPr>
          <w:lang w:val="es-ES"/>
        </w:rPr>
        <w:t xml:space="preserve">Dominican University of California, San Rafael, California. </w:t>
      </w:r>
      <w:bookmarkEnd w:id="48"/>
    </w:p>
    <w:p w:rsidR="00C13B3D" w:rsidRPr="00F6581A" w:rsidRDefault="00C13B3D" w:rsidP="00C13B3D">
      <w:pPr>
        <w:pStyle w:val="EndNoteBibliography"/>
        <w:spacing w:after="0"/>
        <w:ind w:left="720" w:hanging="720"/>
        <w:rPr>
          <w:lang w:val="es-ES"/>
        </w:rPr>
      </w:pPr>
      <w:bookmarkStart w:id="49" w:name="_ENREF_51"/>
      <w:r w:rsidRPr="009B0D54">
        <w:rPr>
          <w:lang w:val="es-ES"/>
        </w:rPr>
        <w:t xml:space="preserve">Morales-Vallejo, P. (2011). </w:t>
      </w:r>
      <w:r w:rsidRPr="00F6581A">
        <w:rPr>
          <w:lang w:val="es-ES"/>
        </w:rPr>
        <w:t xml:space="preserve">Tamaño necesario de la muestra: ¿Cuántos sujetos necesitamos? </w:t>
      </w:r>
      <w:r w:rsidRPr="00F6581A">
        <w:rPr>
          <w:i/>
          <w:lang w:val="es-ES"/>
        </w:rPr>
        <w:t>Estadística aplicada a las Ciencias Sociales</w:t>
      </w:r>
      <w:r w:rsidRPr="00F6581A">
        <w:rPr>
          <w:lang w:val="es-ES"/>
        </w:rPr>
        <w:t xml:space="preserve">. </w:t>
      </w:r>
      <w:hyperlink r:id="rId16" w:history="1">
        <w:r w:rsidRPr="00F6581A">
          <w:rPr>
            <w:rStyle w:val="Hipervnculo"/>
            <w:lang w:val="es-ES"/>
          </w:rPr>
          <w:t>http://www.upcomillas.es/personal/peter/investigacion/Tama%F1oMuestra.pdf</w:t>
        </w:r>
        <w:bookmarkEnd w:id="49"/>
      </w:hyperlink>
    </w:p>
    <w:p w:rsidR="00C13B3D" w:rsidRPr="00F6581A" w:rsidRDefault="00C13B3D" w:rsidP="00C13B3D">
      <w:pPr>
        <w:pStyle w:val="EndNoteBibliography"/>
        <w:spacing w:after="0"/>
        <w:ind w:left="720" w:hanging="720"/>
        <w:rPr>
          <w:lang w:val="es-ES"/>
        </w:rPr>
      </w:pPr>
      <w:bookmarkStart w:id="50" w:name="_ENREF_52"/>
      <w:r w:rsidRPr="00F6581A">
        <w:rPr>
          <w:lang w:val="es-ES"/>
        </w:rPr>
        <w:t xml:space="preserve">Muñiz, J., Elosua, P., &amp; Hambleton, R. K. (2013). Directrices para la traducción y adaptación de los tests: segunda edición </w:t>
      </w:r>
      <w:r w:rsidRPr="00F6581A">
        <w:rPr>
          <w:i/>
          <w:lang w:val="es-ES"/>
        </w:rPr>
        <w:t>Psicotema 25</w:t>
      </w:r>
      <w:r w:rsidRPr="00F6581A">
        <w:rPr>
          <w:lang w:val="es-ES"/>
        </w:rPr>
        <w:t>(2), 151-157 doi:10.7334/psicothema2013.24</w:t>
      </w:r>
      <w:bookmarkEnd w:id="50"/>
    </w:p>
    <w:p w:rsidR="00C13B3D" w:rsidRPr="00F6581A" w:rsidRDefault="00C13B3D" w:rsidP="00C13B3D">
      <w:pPr>
        <w:pStyle w:val="EndNoteBibliography"/>
        <w:spacing w:after="0"/>
        <w:ind w:left="720" w:hanging="720"/>
        <w:rPr>
          <w:lang w:val="es-ES"/>
        </w:rPr>
      </w:pPr>
      <w:bookmarkStart w:id="51" w:name="_ENREF_57"/>
      <w:r w:rsidRPr="00F6581A">
        <w:rPr>
          <w:lang w:val="es-ES"/>
        </w:rPr>
        <w:t xml:space="preserve">ONEI. (2016a). </w:t>
      </w:r>
      <w:r w:rsidRPr="00F6581A">
        <w:rPr>
          <w:i/>
          <w:lang w:val="es-ES"/>
        </w:rPr>
        <w:t>Anuario Demográfico de Cuba, 2015</w:t>
      </w:r>
      <w:r w:rsidRPr="00F6581A">
        <w:rPr>
          <w:lang w:val="es-ES"/>
        </w:rPr>
        <w:t xml:space="preserve">. Retrieved from </w:t>
      </w:r>
      <w:bookmarkEnd w:id="51"/>
    </w:p>
    <w:p w:rsidR="00C13B3D" w:rsidRPr="00F6581A" w:rsidRDefault="00C13B3D" w:rsidP="00C13B3D">
      <w:pPr>
        <w:pStyle w:val="EndNoteBibliography"/>
        <w:spacing w:after="0"/>
        <w:ind w:left="720" w:hanging="720"/>
        <w:rPr>
          <w:lang w:val="es-ES"/>
        </w:rPr>
      </w:pPr>
      <w:bookmarkStart w:id="52" w:name="_ENREF_58"/>
      <w:r w:rsidRPr="00F6581A">
        <w:rPr>
          <w:lang w:val="es-ES"/>
        </w:rPr>
        <w:t xml:space="preserve">ONEI. (2016b). </w:t>
      </w:r>
      <w:r w:rsidRPr="00F6581A">
        <w:rPr>
          <w:i/>
          <w:lang w:val="es-ES"/>
        </w:rPr>
        <w:t>Anuario Estadístico de Villa Clara</w:t>
      </w:r>
      <w:r w:rsidRPr="00F6581A">
        <w:rPr>
          <w:lang w:val="es-ES"/>
        </w:rPr>
        <w:t xml:space="preserve">. Retrieved from </w:t>
      </w:r>
      <w:bookmarkEnd w:id="52"/>
    </w:p>
    <w:p w:rsidR="00C13B3D" w:rsidRPr="009B0D54" w:rsidRDefault="00C13B3D" w:rsidP="00C13B3D">
      <w:pPr>
        <w:pStyle w:val="EndNoteBibliography"/>
        <w:spacing w:after="0"/>
        <w:ind w:left="720" w:hanging="720"/>
        <w:rPr>
          <w:lang w:val="pt-BR"/>
        </w:rPr>
      </w:pPr>
      <w:bookmarkStart w:id="53" w:name="_ENREF_63"/>
      <w:r w:rsidRPr="009B0D54">
        <w:rPr>
          <w:lang w:val="es-ES"/>
        </w:rPr>
        <w:t xml:space="preserve">Poreddi, V., Carpenter, B., Chandra, R., &amp; BadaMath, S. (2015). </w:t>
      </w:r>
      <w:r w:rsidRPr="00F6581A">
        <w:t xml:space="preserve">Knowledge and attitudes of undergraduate nursing students toward dementia: An Indian perspective. </w:t>
      </w:r>
      <w:r w:rsidRPr="009B0D54">
        <w:rPr>
          <w:i/>
          <w:lang w:val="pt-BR"/>
        </w:rPr>
        <w:t>Invest Educ Enferm, 33</w:t>
      </w:r>
      <w:r w:rsidRPr="009B0D54">
        <w:rPr>
          <w:lang w:val="pt-BR"/>
        </w:rPr>
        <w:t>(1), 519-528. doi:10.17533/udea.iee.v33n3a16</w:t>
      </w:r>
      <w:bookmarkEnd w:id="53"/>
    </w:p>
    <w:p w:rsidR="00C13B3D" w:rsidRPr="00F6581A" w:rsidRDefault="00C13B3D" w:rsidP="00C13B3D">
      <w:pPr>
        <w:pStyle w:val="EndNoteBibliography"/>
        <w:spacing w:after="0"/>
        <w:ind w:left="720" w:hanging="720"/>
      </w:pPr>
      <w:bookmarkStart w:id="54" w:name="_ENREF_65"/>
      <w:r w:rsidRPr="009B0D54">
        <w:rPr>
          <w:lang w:val="pt-BR"/>
        </w:rPr>
        <w:t xml:space="preserve">Randolph, J. J. (2018). </w:t>
      </w:r>
      <w:r w:rsidRPr="00F6581A">
        <w:t xml:space="preserve">Positive neuropsychology: The science and practice of promoting cognitive health. </w:t>
      </w:r>
      <w:r w:rsidRPr="00F6581A">
        <w:rPr>
          <w:i/>
        </w:rPr>
        <w:t>Applied Neuropsychology: Adult, 25</w:t>
      </w:r>
      <w:r w:rsidRPr="00F6581A">
        <w:t xml:space="preserve">(4), 287-294. doi:10.1080/23279095.2018.1457465 </w:t>
      </w:r>
      <w:bookmarkEnd w:id="54"/>
    </w:p>
    <w:p w:rsidR="00C13B3D" w:rsidRPr="00F6581A" w:rsidRDefault="00C13B3D" w:rsidP="00C13B3D">
      <w:pPr>
        <w:pStyle w:val="EndNoteBibliography"/>
        <w:spacing w:after="0"/>
        <w:ind w:left="720" w:hanging="720"/>
        <w:rPr>
          <w:lang w:val="es-ES"/>
        </w:rPr>
      </w:pPr>
      <w:bookmarkStart w:id="55" w:name="_ENREF_67"/>
      <w:r w:rsidRPr="009B0D54">
        <w:t xml:space="preserve">Sampieri, R. H., Collado, C. F., &amp; Lucio, P. B. (2014). </w:t>
      </w:r>
      <w:r w:rsidRPr="00F6581A">
        <w:rPr>
          <w:i/>
          <w:lang w:val="es-ES"/>
        </w:rPr>
        <w:t>Metodología de la Investigación. 6ta edición</w:t>
      </w:r>
      <w:r w:rsidRPr="00F6581A">
        <w:rPr>
          <w:lang w:val="es-ES"/>
        </w:rPr>
        <w:t>. México D.F: Mc Graw Hill Education.</w:t>
      </w:r>
      <w:bookmarkEnd w:id="55"/>
    </w:p>
    <w:p w:rsidR="00C13B3D" w:rsidRPr="00F6581A" w:rsidRDefault="00C13B3D" w:rsidP="00971DB0">
      <w:pPr>
        <w:pStyle w:val="EndNoteBibliography"/>
        <w:ind w:left="720" w:hanging="720"/>
        <w:rPr>
          <w:lang w:val="es-ES"/>
        </w:rPr>
      </w:pPr>
      <w:bookmarkStart w:id="56" w:name="_ENREF_74"/>
      <w:r w:rsidRPr="00F6581A">
        <w:rPr>
          <w:lang w:val="es-ES"/>
        </w:rPr>
        <w:lastRenderedPageBreak/>
        <w:t xml:space="preserve">Velásquez-Rodríguez, C. J. (2011). </w:t>
      </w:r>
      <w:r w:rsidRPr="00F6581A">
        <w:rPr>
          <w:i/>
          <w:lang w:val="es-ES"/>
        </w:rPr>
        <w:t xml:space="preserve">Prevalencia de demencia y factores asocciados en adultos mayores de la ciudad de La Paz, la Paz </w:t>
      </w:r>
      <w:r w:rsidRPr="00F6581A">
        <w:rPr>
          <w:lang w:val="es-ES"/>
        </w:rPr>
        <w:t xml:space="preserve">(Publicado), Universidad Nacional Autónoma de Honduras, Honduras. </w:t>
      </w:r>
      <w:bookmarkEnd w:id="56"/>
    </w:p>
    <w:p w:rsidR="00A44E76" w:rsidRDefault="00C13B3D" w:rsidP="00C13B3D">
      <w:pPr>
        <w:spacing w:after="0" w:line="360" w:lineRule="auto"/>
        <w:jc w:val="both"/>
        <w:rPr>
          <w:rFonts w:ascii="Times New Roman" w:hAnsi="Times New Roman" w:cs="Times New Roman"/>
          <w:b/>
          <w:sz w:val="24"/>
          <w:szCs w:val="24"/>
        </w:rPr>
      </w:pPr>
      <w:r w:rsidRPr="0093605E">
        <w:rPr>
          <w:rFonts w:ascii="Times New Roman" w:hAnsi="Times New Roman" w:cs="Times New Roman"/>
          <w:sz w:val="24"/>
          <w:szCs w:val="24"/>
        </w:rPr>
        <w:fldChar w:fldCharType="end"/>
      </w:r>
      <w:bookmarkEnd w:id="25"/>
    </w:p>
    <w:p w:rsidR="00E50782" w:rsidRDefault="00E50782" w:rsidP="003770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A44E76">
        <w:rPr>
          <w:rFonts w:ascii="Times New Roman" w:hAnsi="Times New Roman" w:cs="Times New Roman"/>
          <w:b/>
          <w:sz w:val="24"/>
          <w:szCs w:val="24"/>
        </w:rPr>
        <w:t xml:space="preserve"> Anexos </w:t>
      </w:r>
    </w:p>
    <w:p w:rsidR="00A44E76" w:rsidRPr="00A44E76" w:rsidRDefault="00A44E76" w:rsidP="00A44E76">
      <w:pPr>
        <w:jc w:val="center"/>
        <w:rPr>
          <w:rFonts w:ascii="Times New Roman" w:hAnsi="Times New Roman" w:cs="Times New Roman"/>
          <w:b/>
          <w:sz w:val="20"/>
          <w:szCs w:val="20"/>
          <w:lang w:eastAsia="zh-CN"/>
        </w:rPr>
      </w:pPr>
      <w:r w:rsidRPr="00A44E76">
        <w:rPr>
          <w:rFonts w:ascii="Times New Roman" w:hAnsi="Times New Roman" w:cs="Times New Roman"/>
          <w:b/>
          <w:sz w:val="20"/>
          <w:szCs w:val="20"/>
          <w:lang w:eastAsia="zh-CN"/>
        </w:rPr>
        <w:t>Escala de conocimiento sobre demencia DKAS-</w:t>
      </w:r>
      <w:proofErr w:type="spellStart"/>
      <w:r w:rsidRPr="00A44E76">
        <w:rPr>
          <w:rFonts w:ascii="Times New Roman" w:hAnsi="Times New Roman" w:cs="Times New Roman"/>
          <w:b/>
          <w:sz w:val="20"/>
          <w:szCs w:val="20"/>
          <w:lang w:eastAsia="zh-CN"/>
        </w:rPr>
        <w:t>Sp</w:t>
      </w:r>
      <w:proofErr w:type="spellEnd"/>
    </w:p>
    <w:tbl>
      <w:tblPr>
        <w:tblStyle w:val="Tablaconcuadrcula"/>
        <w:tblW w:w="6484" w:type="pct"/>
        <w:tblInd w:w="-1123" w:type="dxa"/>
        <w:tblLayout w:type="fixed"/>
        <w:tblLook w:val="04A0" w:firstRow="1" w:lastRow="0" w:firstColumn="1" w:lastColumn="0" w:noHBand="0" w:noVBand="1"/>
      </w:tblPr>
      <w:tblGrid>
        <w:gridCol w:w="430"/>
        <w:gridCol w:w="5100"/>
        <w:gridCol w:w="566"/>
        <w:gridCol w:w="1134"/>
        <w:gridCol w:w="1278"/>
        <w:gridCol w:w="1134"/>
        <w:gridCol w:w="285"/>
        <w:gridCol w:w="1130"/>
      </w:tblGrid>
      <w:tr w:rsidR="00C13B3D" w:rsidRPr="00A44E76" w:rsidTr="00C13B3D">
        <w:trPr>
          <w:tblHeader/>
        </w:trPr>
        <w:tc>
          <w:tcPr>
            <w:tcW w:w="194" w:type="pct"/>
            <w:vMerge w:val="restart"/>
            <w:tcMar>
              <w:left w:w="11" w:type="dxa"/>
              <w:right w:w="11" w:type="dxa"/>
            </w:tcMar>
          </w:tcPr>
          <w:p w:rsidR="00A44E76" w:rsidRPr="00A44E76" w:rsidRDefault="00A44E76" w:rsidP="009B0D54">
            <w:pPr>
              <w:contextualSpacing/>
              <w:rPr>
                <w:rFonts w:ascii="Times New Roman" w:eastAsia="Calibri" w:hAnsi="Times New Roman" w:cs="Times New Roman"/>
                <w:b/>
                <w:sz w:val="20"/>
                <w:szCs w:val="20"/>
                <w:lang w:val="es-MX"/>
              </w:rPr>
            </w:pPr>
          </w:p>
          <w:p w:rsidR="00A44E76" w:rsidRPr="00A44E76" w:rsidRDefault="00A44E76" w:rsidP="009B0D54">
            <w:pPr>
              <w:contextualSpacing/>
              <w:rPr>
                <w:rFonts w:ascii="Times New Roman" w:eastAsia="Calibri" w:hAnsi="Times New Roman" w:cs="Times New Roman"/>
                <w:b/>
                <w:sz w:val="20"/>
                <w:szCs w:val="20"/>
                <w:lang w:val="es-MX"/>
              </w:rPr>
            </w:pPr>
            <w:r w:rsidRPr="00A44E76">
              <w:rPr>
                <w:rFonts w:ascii="Times New Roman" w:eastAsia="Calibri" w:hAnsi="Times New Roman" w:cs="Times New Roman"/>
                <w:b/>
                <w:sz w:val="20"/>
                <w:szCs w:val="20"/>
                <w:lang w:val="es-MX"/>
              </w:rPr>
              <w:t>Q</w:t>
            </w:r>
          </w:p>
          <w:p w:rsidR="00A44E76" w:rsidRPr="00A44E76" w:rsidRDefault="00A44E76" w:rsidP="009B0D54">
            <w:pPr>
              <w:contextualSpacing/>
              <w:rPr>
                <w:rFonts w:ascii="Times New Roman" w:eastAsia="Calibri" w:hAnsi="Times New Roman" w:cs="Times New Roman"/>
                <w:b/>
                <w:sz w:val="20"/>
                <w:szCs w:val="20"/>
                <w:lang w:val="es-MX"/>
              </w:rPr>
            </w:pPr>
          </w:p>
        </w:tc>
        <w:tc>
          <w:tcPr>
            <w:tcW w:w="2306" w:type="pct"/>
            <w:vMerge w:val="restar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p w:rsidR="00A44E76" w:rsidRPr="00A44E76" w:rsidRDefault="00A44E76" w:rsidP="009B0D54">
            <w:pPr>
              <w:contextualSpacing/>
              <w:jc w:val="center"/>
              <w:rPr>
                <w:rFonts w:ascii="Times New Roman" w:eastAsia="Calibri" w:hAnsi="Times New Roman" w:cs="Times New Roman"/>
                <w:b/>
                <w:sz w:val="20"/>
                <w:szCs w:val="20"/>
                <w:lang w:val="es-MX"/>
              </w:rPr>
            </w:pPr>
            <w:proofErr w:type="spellStart"/>
            <w:r w:rsidRPr="00A44E76">
              <w:rPr>
                <w:rFonts w:ascii="Times New Roman" w:eastAsia="Calibri" w:hAnsi="Times New Roman" w:cs="Times New Roman"/>
                <w:b/>
                <w:sz w:val="20"/>
                <w:szCs w:val="20"/>
                <w:lang w:val="es-MX"/>
              </w:rPr>
              <w:t>Statementsaboutdementia</w:t>
            </w:r>
            <w:proofErr w:type="spellEnd"/>
          </w:p>
          <w:p w:rsidR="00A44E76" w:rsidRPr="00A44E76" w:rsidRDefault="00A44E76" w:rsidP="009B0D54">
            <w:pPr>
              <w:contextualSpacing/>
              <w:jc w:val="center"/>
              <w:rPr>
                <w:rFonts w:ascii="Times New Roman" w:eastAsia="Calibri" w:hAnsi="Times New Roman" w:cs="Times New Roman"/>
                <w:b/>
                <w:sz w:val="20"/>
                <w:szCs w:val="20"/>
                <w:lang w:val="es-MX"/>
              </w:rPr>
            </w:pPr>
            <w:r w:rsidRPr="00A44E76">
              <w:rPr>
                <w:rFonts w:ascii="Times New Roman" w:eastAsia="Times New Roman" w:hAnsi="Times New Roman" w:cs="Times New Roman"/>
                <w:b/>
                <w:sz w:val="20"/>
                <w:szCs w:val="20"/>
                <w:lang w:val="es-MX"/>
              </w:rPr>
              <w:t>Enunciado acerca de la demencia</w:t>
            </w:r>
          </w:p>
        </w:tc>
        <w:tc>
          <w:tcPr>
            <w:tcW w:w="1860" w:type="pct"/>
            <w:gridSpan w:val="4"/>
            <w:tcMar>
              <w:left w:w="11" w:type="dxa"/>
              <w:right w:w="11" w:type="dxa"/>
            </w:tcMar>
          </w:tcPr>
          <w:p w:rsidR="00A44E76" w:rsidRPr="00A44E76" w:rsidRDefault="00A44E76" w:rsidP="009B0D54">
            <w:pPr>
              <w:contextualSpacing/>
              <w:jc w:val="center"/>
              <w:rPr>
                <w:rFonts w:ascii="Times New Roman" w:eastAsia="Calibri" w:hAnsi="Times New Roman" w:cs="Times New Roman"/>
                <w:b/>
                <w:sz w:val="20"/>
                <w:szCs w:val="20"/>
                <w:lang w:val="en-US"/>
              </w:rPr>
            </w:pPr>
            <w:r w:rsidRPr="00A44E76">
              <w:rPr>
                <w:rFonts w:ascii="Times New Roman" w:eastAsia="Calibri" w:hAnsi="Times New Roman" w:cs="Times New Roman"/>
                <w:b/>
                <w:sz w:val="20"/>
                <w:szCs w:val="20"/>
                <w:lang w:val="en-US"/>
              </w:rPr>
              <w:t xml:space="preserve">Response scale </w:t>
            </w:r>
            <w:r w:rsidRPr="00A44E76">
              <w:rPr>
                <w:rFonts w:ascii="Times New Roman" w:eastAsia="Calibri" w:hAnsi="Times New Roman" w:cs="Times New Roman"/>
                <w:sz w:val="20"/>
                <w:szCs w:val="20"/>
                <w:lang w:val="en-US"/>
              </w:rPr>
              <w:t xml:space="preserve">(Please tick one box </w:t>
            </w:r>
            <w:r w:rsidRPr="00A44E76">
              <w:rPr>
                <w:rFonts w:ascii="Times New Roman" w:eastAsia="Calibri" w:hAnsi="Times New Roman" w:cs="Times New Roman"/>
                <w:sz w:val="20"/>
                <w:szCs w:val="20"/>
                <w:u w:val="single"/>
                <w:lang w:val="es-MX"/>
              </w:rPr>
              <w:sym w:font="Wingdings" w:char="F0FC"/>
            </w:r>
            <w:r w:rsidRPr="00A44E76">
              <w:rPr>
                <w:rFonts w:ascii="Times New Roman" w:eastAsia="Calibri" w:hAnsi="Times New Roman" w:cs="Times New Roman"/>
                <w:sz w:val="20"/>
                <w:szCs w:val="20"/>
                <w:lang w:val="en-US"/>
              </w:rPr>
              <w:t>)</w:t>
            </w:r>
          </w:p>
          <w:p w:rsidR="00A44E76" w:rsidRPr="00A44E76" w:rsidRDefault="00A44E76" w:rsidP="009B0D54">
            <w:pPr>
              <w:contextualSpacing/>
              <w:jc w:val="center"/>
              <w:rPr>
                <w:rFonts w:ascii="Times New Roman" w:eastAsia="Times New Roman" w:hAnsi="Times New Roman" w:cs="Times New Roman"/>
                <w:b/>
                <w:sz w:val="20"/>
                <w:szCs w:val="20"/>
                <w:lang w:val="es-MX"/>
              </w:rPr>
            </w:pPr>
            <w:r w:rsidRPr="00A44E76">
              <w:rPr>
                <w:rFonts w:ascii="Times New Roman" w:eastAsia="Times New Roman" w:hAnsi="Times New Roman" w:cs="Times New Roman"/>
                <w:b/>
                <w:sz w:val="20"/>
                <w:szCs w:val="20"/>
                <w:lang w:val="es-MX"/>
              </w:rPr>
              <w:t>Escala de respuesta</w:t>
            </w:r>
            <w:r w:rsidRPr="00A44E76">
              <w:rPr>
                <w:rFonts w:ascii="Times New Roman" w:eastAsia="Times New Roman" w:hAnsi="Times New Roman" w:cs="Times New Roman"/>
                <w:sz w:val="20"/>
                <w:szCs w:val="20"/>
                <w:lang w:val="es-MX"/>
              </w:rPr>
              <w:t xml:space="preserve"> (Por favor, seleccione una opción </w:t>
            </w:r>
            <w:r w:rsidRPr="00A44E76">
              <w:rPr>
                <w:rFonts w:ascii="Times New Roman" w:eastAsia="Calibri" w:hAnsi="Times New Roman" w:cs="Times New Roman"/>
                <w:sz w:val="20"/>
                <w:szCs w:val="20"/>
                <w:u w:val="single"/>
                <w:lang w:val="es-MX"/>
              </w:rPr>
              <w:sym w:font="Wingdings" w:char="F0FC"/>
            </w:r>
            <w:r w:rsidRPr="00A44E76">
              <w:rPr>
                <w:rFonts w:ascii="Times New Roman" w:eastAsia="Times New Roman" w:hAnsi="Times New Roman" w:cs="Times New Roman"/>
                <w:sz w:val="20"/>
                <w:szCs w:val="20"/>
                <w:lang w:val="es-MX"/>
              </w:rPr>
              <w:t>)</w:t>
            </w:r>
          </w:p>
        </w:tc>
        <w:tc>
          <w:tcPr>
            <w:tcW w:w="129" w:type="pct"/>
            <w:tcBorders>
              <w:top w:val="nil"/>
              <w:bottom w:val="nil"/>
            </w:tcBorders>
            <w:tcMar>
              <w:left w:w="11" w:type="dxa"/>
              <w:right w:w="11" w:type="dxa"/>
            </w:tcMar>
          </w:tcPr>
          <w:p w:rsidR="00A44E76" w:rsidRPr="00A44E76" w:rsidRDefault="00A44E76" w:rsidP="009B0D54">
            <w:pPr>
              <w:contextualSpacing/>
              <w:jc w:val="center"/>
              <w:rPr>
                <w:rFonts w:ascii="Times New Roman" w:eastAsia="Calibri" w:hAnsi="Times New Roman" w:cs="Times New Roman"/>
                <w:b/>
                <w:sz w:val="20"/>
                <w:szCs w:val="20"/>
                <w:lang w:val="es-MX"/>
              </w:rPr>
            </w:pPr>
          </w:p>
        </w:tc>
        <w:tc>
          <w:tcPr>
            <w:tcW w:w="511" w:type="pct"/>
            <w:vMerge w:val="restart"/>
            <w:tcMar>
              <w:left w:w="11" w:type="dxa"/>
              <w:right w:w="11" w:type="dxa"/>
            </w:tcMar>
          </w:tcPr>
          <w:p w:rsidR="00A44E76" w:rsidRPr="00A44E76" w:rsidRDefault="00A44E76" w:rsidP="009B0D54">
            <w:pPr>
              <w:contextualSpacing/>
              <w:jc w:val="center"/>
              <w:rPr>
                <w:rFonts w:ascii="Times New Roman" w:eastAsia="Calibri" w:hAnsi="Times New Roman" w:cs="Times New Roman"/>
                <w:b/>
                <w:sz w:val="20"/>
                <w:szCs w:val="20"/>
                <w:lang w:val="es-MX"/>
              </w:rPr>
            </w:pPr>
          </w:p>
          <w:p w:rsidR="00A44E76" w:rsidRPr="00A44E76" w:rsidRDefault="00A44E76" w:rsidP="009B0D54">
            <w:pPr>
              <w:contextualSpacing/>
              <w:jc w:val="center"/>
              <w:rPr>
                <w:rFonts w:ascii="Times New Roman" w:eastAsia="Calibri" w:hAnsi="Times New Roman" w:cs="Times New Roman"/>
                <w:b/>
                <w:sz w:val="20"/>
                <w:szCs w:val="20"/>
                <w:lang w:val="es-MX"/>
              </w:rPr>
            </w:pPr>
          </w:p>
          <w:p w:rsidR="00A44E76" w:rsidRPr="00A44E76" w:rsidRDefault="00A44E76" w:rsidP="009B0D54">
            <w:pPr>
              <w:contextualSpacing/>
              <w:rPr>
                <w:rFonts w:ascii="Times New Roman" w:eastAsia="Calibri" w:hAnsi="Times New Roman" w:cs="Times New Roman"/>
                <w:b/>
                <w:sz w:val="20"/>
                <w:szCs w:val="20"/>
                <w:lang w:val="es-MX"/>
              </w:rPr>
            </w:pPr>
          </w:p>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b/>
                <w:sz w:val="20"/>
                <w:szCs w:val="20"/>
                <w:lang w:val="es-MX"/>
              </w:rPr>
              <w:t xml:space="preserve">I </w:t>
            </w:r>
            <w:proofErr w:type="spellStart"/>
            <w:r w:rsidRPr="00A44E76">
              <w:rPr>
                <w:rFonts w:ascii="Times New Roman" w:eastAsia="Calibri" w:hAnsi="Times New Roman" w:cs="Times New Roman"/>
                <w:b/>
                <w:sz w:val="20"/>
                <w:szCs w:val="20"/>
                <w:lang w:val="es-MX"/>
              </w:rPr>
              <w:t>don’tknow</w:t>
            </w:r>
            <w:proofErr w:type="spellEnd"/>
          </w:p>
          <w:p w:rsidR="00A44E76" w:rsidRPr="00A44E76" w:rsidRDefault="00A44E76" w:rsidP="009B0D54">
            <w:pPr>
              <w:contextualSpacing/>
              <w:jc w:val="center"/>
              <w:rPr>
                <w:rFonts w:ascii="Times New Roman" w:eastAsia="Calibri" w:hAnsi="Times New Roman" w:cs="Times New Roman"/>
                <w:b/>
                <w:sz w:val="20"/>
                <w:szCs w:val="20"/>
                <w:lang w:val="es-MX"/>
              </w:rPr>
            </w:pPr>
            <w:r w:rsidRPr="00A44E76">
              <w:rPr>
                <w:rFonts w:ascii="Times New Roman" w:eastAsia="Times New Roman" w:hAnsi="Times New Roman" w:cs="Times New Roman"/>
                <w:b/>
                <w:sz w:val="20"/>
                <w:szCs w:val="20"/>
                <w:lang w:val="es-MX"/>
              </w:rPr>
              <w:t>No sé</w:t>
            </w:r>
          </w:p>
          <w:p w:rsidR="00A44E76" w:rsidRPr="00A44E76" w:rsidRDefault="00A44E76" w:rsidP="009B0D54">
            <w:pPr>
              <w:contextualSpacing/>
              <w:jc w:val="center"/>
              <w:rPr>
                <w:rFonts w:ascii="Times New Roman" w:eastAsia="Calibri" w:hAnsi="Times New Roman" w:cs="Times New Roman"/>
                <w:sz w:val="20"/>
                <w:szCs w:val="20"/>
                <w:lang w:val="es-MX"/>
              </w:rPr>
            </w:pPr>
          </w:p>
        </w:tc>
      </w:tr>
      <w:tr w:rsidR="00C13B3D" w:rsidRPr="00A44E76" w:rsidTr="00C13B3D">
        <w:trPr>
          <w:trHeight w:val="1381"/>
          <w:tblHeader/>
        </w:trPr>
        <w:tc>
          <w:tcPr>
            <w:tcW w:w="194" w:type="pct"/>
            <w:vMerge/>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c>
          <w:tcPr>
            <w:tcW w:w="2306" w:type="pct"/>
            <w:vMerge/>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c>
          <w:tcPr>
            <w:tcW w:w="256" w:type="pct"/>
            <w:tcMar>
              <w:left w:w="11" w:type="dxa"/>
              <w:right w:w="11" w:type="dxa"/>
            </w:tcMar>
          </w:tcPr>
          <w:p w:rsidR="00A44E76" w:rsidRPr="00A44E76" w:rsidRDefault="00A44E76" w:rsidP="009B0D54">
            <w:pPr>
              <w:spacing w:before="120" w:after="120" w:line="360" w:lineRule="auto"/>
              <w:contextualSpacing/>
              <w:jc w:val="center"/>
              <w:rPr>
                <w:rFonts w:ascii="Times New Roman" w:eastAsia="Calibri" w:hAnsi="Times New Roman" w:cs="Times New Roman"/>
                <w:b/>
                <w:sz w:val="20"/>
                <w:szCs w:val="20"/>
                <w:lang w:val="es-MX"/>
              </w:rPr>
            </w:pPr>
            <w:r w:rsidRPr="00A44E76">
              <w:rPr>
                <w:rFonts w:ascii="Times New Roman" w:eastAsia="Calibri" w:hAnsi="Times New Roman" w:cs="Times New Roman"/>
                <w:b/>
                <w:sz w:val="20"/>
                <w:szCs w:val="20"/>
                <w:lang w:val="es-MX"/>
              </w:rPr>
              <w:t>False</w:t>
            </w:r>
          </w:p>
          <w:p w:rsidR="00A44E76" w:rsidRPr="00A44E76" w:rsidRDefault="00A44E76" w:rsidP="009B0D54">
            <w:pPr>
              <w:spacing w:before="120" w:after="120" w:line="360" w:lineRule="auto"/>
              <w:contextualSpacing/>
              <w:jc w:val="center"/>
              <w:rPr>
                <w:rFonts w:ascii="Times New Roman" w:eastAsia="Calibri" w:hAnsi="Times New Roman" w:cs="Times New Roman"/>
                <w:b/>
                <w:sz w:val="20"/>
                <w:szCs w:val="20"/>
                <w:lang w:val="es-MX"/>
              </w:rPr>
            </w:pPr>
            <w:r w:rsidRPr="00A44E76">
              <w:rPr>
                <w:rFonts w:ascii="Times New Roman" w:eastAsia="Times New Roman" w:hAnsi="Times New Roman" w:cs="Times New Roman"/>
                <w:b/>
                <w:sz w:val="20"/>
                <w:szCs w:val="20"/>
                <w:lang w:val="es-MX"/>
              </w:rPr>
              <w:t>Falso</w:t>
            </w:r>
          </w:p>
        </w:tc>
        <w:tc>
          <w:tcPr>
            <w:tcW w:w="513" w:type="pct"/>
            <w:tcMar>
              <w:left w:w="11" w:type="dxa"/>
              <w:right w:w="11" w:type="dxa"/>
            </w:tcMar>
          </w:tcPr>
          <w:p w:rsidR="00A44E76" w:rsidRPr="00A44E76" w:rsidRDefault="00A44E76" w:rsidP="009B0D54">
            <w:pPr>
              <w:spacing w:before="120" w:after="120" w:line="360" w:lineRule="auto"/>
              <w:contextualSpacing/>
              <w:jc w:val="center"/>
              <w:rPr>
                <w:rFonts w:ascii="Times New Roman" w:eastAsia="Calibri" w:hAnsi="Times New Roman" w:cs="Times New Roman"/>
                <w:b/>
                <w:sz w:val="20"/>
                <w:szCs w:val="20"/>
                <w:lang w:val="en-US"/>
              </w:rPr>
            </w:pPr>
            <w:r w:rsidRPr="00A44E76">
              <w:rPr>
                <w:rFonts w:ascii="Times New Roman" w:eastAsia="Calibri" w:hAnsi="Times New Roman" w:cs="Times New Roman"/>
                <w:b/>
                <w:sz w:val="20"/>
                <w:szCs w:val="20"/>
                <w:lang w:val="en-US"/>
              </w:rPr>
              <w:t>Probably false</w:t>
            </w:r>
          </w:p>
          <w:p w:rsidR="00A44E76" w:rsidRPr="00A44E76" w:rsidRDefault="00A44E76" w:rsidP="009B0D54">
            <w:pPr>
              <w:spacing w:before="120" w:after="120" w:line="360" w:lineRule="auto"/>
              <w:contextualSpacing/>
              <w:jc w:val="center"/>
              <w:rPr>
                <w:rFonts w:ascii="Times New Roman" w:eastAsia="Calibri" w:hAnsi="Times New Roman" w:cs="Times New Roman"/>
                <w:b/>
                <w:sz w:val="20"/>
                <w:szCs w:val="20"/>
                <w:lang w:val="en-US"/>
              </w:rPr>
            </w:pPr>
            <w:r w:rsidRPr="00A44E76">
              <w:rPr>
                <w:rFonts w:ascii="Times New Roman" w:eastAsia="Times New Roman" w:hAnsi="Times New Roman" w:cs="Times New Roman"/>
                <w:b/>
                <w:sz w:val="20"/>
                <w:szCs w:val="20"/>
                <w:lang w:val="es-MX"/>
              </w:rPr>
              <w:t>Probablemente falso</w:t>
            </w:r>
          </w:p>
        </w:tc>
        <w:tc>
          <w:tcPr>
            <w:tcW w:w="578" w:type="pct"/>
            <w:tcMar>
              <w:left w:w="11" w:type="dxa"/>
              <w:right w:w="11" w:type="dxa"/>
            </w:tcMar>
          </w:tcPr>
          <w:p w:rsidR="00A44E76" w:rsidRPr="00A44E76" w:rsidRDefault="00A44E76" w:rsidP="009B0D54">
            <w:pPr>
              <w:spacing w:before="120" w:after="120" w:line="360" w:lineRule="auto"/>
              <w:contextualSpacing/>
              <w:jc w:val="center"/>
              <w:rPr>
                <w:rFonts w:ascii="Times New Roman" w:eastAsia="Calibri" w:hAnsi="Times New Roman" w:cs="Times New Roman"/>
                <w:b/>
                <w:sz w:val="20"/>
                <w:szCs w:val="20"/>
                <w:lang w:val="en-US"/>
              </w:rPr>
            </w:pPr>
            <w:r w:rsidRPr="00A44E76">
              <w:rPr>
                <w:rFonts w:ascii="Times New Roman" w:eastAsia="Calibri" w:hAnsi="Times New Roman" w:cs="Times New Roman"/>
                <w:b/>
                <w:sz w:val="20"/>
                <w:szCs w:val="20"/>
                <w:lang w:val="en-US"/>
              </w:rPr>
              <w:t>Probably true</w:t>
            </w:r>
          </w:p>
          <w:p w:rsidR="00A44E76" w:rsidRPr="00A44E76" w:rsidRDefault="00A44E76" w:rsidP="009B0D54">
            <w:pPr>
              <w:spacing w:before="120" w:after="120" w:line="360" w:lineRule="auto"/>
              <w:contextualSpacing/>
              <w:jc w:val="center"/>
              <w:rPr>
                <w:rFonts w:ascii="Times New Roman" w:eastAsia="Calibri" w:hAnsi="Times New Roman" w:cs="Times New Roman"/>
                <w:b/>
                <w:sz w:val="20"/>
                <w:szCs w:val="20"/>
                <w:lang w:val="en-US"/>
              </w:rPr>
            </w:pPr>
            <w:r w:rsidRPr="00A44E76">
              <w:rPr>
                <w:rFonts w:ascii="Times New Roman" w:eastAsia="Times New Roman" w:hAnsi="Times New Roman" w:cs="Times New Roman"/>
                <w:b/>
                <w:sz w:val="20"/>
                <w:szCs w:val="20"/>
                <w:lang w:val="es-MX"/>
              </w:rPr>
              <w:t>Probablemente verdadero</w:t>
            </w:r>
          </w:p>
        </w:tc>
        <w:tc>
          <w:tcPr>
            <w:tcW w:w="513" w:type="pct"/>
            <w:tcMar>
              <w:left w:w="11" w:type="dxa"/>
              <w:right w:w="11" w:type="dxa"/>
            </w:tcMar>
          </w:tcPr>
          <w:p w:rsidR="00A44E76" w:rsidRPr="00A44E76" w:rsidRDefault="00A44E76" w:rsidP="009B0D54">
            <w:pPr>
              <w:spacing w:before="120" w:after="120" w:line="360" w:lineRule="auto"/>
              <w:contextualSpacing/>
              <w:jc w:val="center"/>
              <w:rPr>
                <w:rFonts w:ascii="Times New Roman" w:eastAsia="Calibri" w:hAnsi="Times New Roman" w:cs="Times New Roman"/>
                <w:b/>
                <w:sz w:val="20"/>
                <w:szCs w:val="20"/>
                <w:lang w:val="es-MX"/>
              </w:rPr>
            </w:pPr>
            <w:r w:rsidRPr="00A44E76">
              <w:rPr>
                <w:rFonts w:ascii="Times New Roman" w:eastAsia="Calibri" w:hAnsi="Times New Roman" w:cs="Times New Roman"/>
                <w:b/>
                <w:sz w:val="20"/>
                <w:szCs w:val="20"/>
                <w:lang w:val="es-MX"/>
              </w:rPr>
              <w:t>True</w:t>
            </w:r>
          </w:p>
          <w:p w:rsidR="00A44E76" w:rsidRPr="00A44E76" w:rsidRDefault="00A44E76" w:rsidP="009B0D54">
            <w:pPr>
              <w:spacing w:before="120" w:after="120" w:line="360" w:lineRule="auto"/>
              <w:contextualSpacing/>
              <w:jc w:val="center"/>
              <w:rPr>
                <w:rFonts w:ascii="Times New Roman" w:eastAsia="Calibri" w:hAnsi="Times New Roman" w:cs="Times New Roman"/>
                <w:b/>
                <w:sz w:val="20"/>
                <w:szCs w:val="20"/>
                <w:lang w:val="es-MX"/>
              </w:rPr>
            </w:pPr>
            <w:r w:rsidRPr="00A44E76">
              <w:rPr>
                <w:rFonts w:ascii="Times New Roman" w:eastAsia="Times New Roman" w:hAnsi="Times New Roman" w:cs="Times New Roman"/>
                <w:b/>
                <w:sz w:val="20"/>
                <w:szCs w:val="20"/>
                <w:lang w:val="es-MX"/>
              </w:rPr>
              <w:t>Verdadero</w:t>
            </w:r>
          </w:p>
        </w:tc>
        <w:tc>
          <w:tcPr>
            <w:tcW w:w="129" w:type="pct"/>
            <w:tcBorders>
              <w:top w:val="nil"/>
              <w:bottom w:val="nil"/>
            </w:tcBorders>
            <w:tcMar>
              <w:left w:w="11" w:type="dxa"/>
              <w:right w:w="11" w:type="dxa"/>
            </w:tcMar>
          </w:tcPr>
          <w:p w:rsidR="00A44E76" w:rsidRPr="00A44E76" w:rsidRDefault="00A44E76" w:rsidP="009B0D54">
            <w:pPr>
              <w:contextualSpacing/>
              <w:jc w:val="center"/>
              <w:rPr>
                <w:rFonts w:ascii="Times New Roman" w:eastAsia="Calibri" w:hAnsi="Times New Roman" w:cs="Times New Roman"/>
                <w:b/>
                <w:sz w:val="20"/>
                <w:szCs w:val="20"/>
                <w:lang w:val="es-MX"/>
              </w:rPr>
            </w:pPr>
          </w:p>
        </w:tc>
        <w:tc>
          <w:tcPr>
            <w:tcW w:w="511" w:type="pct"/>
            <w:vMerge/>
            <w:tcMar>
              <w:left w:w="11" w:type="dxa"/>
              <w:right w:w="11" w:type="dxa"/>
            </w:tcMar>
          </w:tcPr>
          <w:p w:rsidR="00A44E76" w:rsidRPr="00A44E76" w:rsidRDefault="00A44E76" w:rsidP="009B0D54">
            <w:pPr>
              <w:contextualSpacing/>
              <w:jc w:val="center"/>
              <w:rPr>
                <w:rFonts w:ascii="Times New Roman" w:eastAsia="Calibri" w:hAnsi="Times New Roman" w:cs="Times New Roman"/>
                <w:b/>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1</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La enfermedad de Alzheimer es la forma más común de demencia (Verdadero)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bottom w:val="nil"/>
            </w:tcBorders>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1"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2</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Las personas pueden recuperarse de las formas más comunes de demencia (Falso)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bottom w:val="nil"/>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c>
          <w:tcPr>
            <w:tcW w:w="511"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3</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 xml:space="preserve">La demencia </w:t>
            </w:r>
            <w:r w:rsidRPr="00A44E76">
              <w:rPr>
                <w:rFonts w:ascii="Times New Roman" w:eastAsia="Calibri" w:hAnsi="Times New Roman" w:cs="Times New Roman"/>
                <w:b/>
                <w:sz w:val="20"/>
                <w:szCs w:val="20"/>
                <w:lang w:val="es-MX"/>
              </w:rPr>
              <w:t>no</w:t>
            </w:r>
            <w:r w:rsidRPr="00A44E76">
              <w:rPr>
                <w:rFonts w:ascii="Times New Roman" w:eastAsia="Calibri" w:hAnsi="Times New Roman" w:cs="Times New Roman"/>
                <w:sz w:val="20"/>
                <w:szCs w:val="20"/>
                <w:lang w:val="es-MX"/>
              </w:rPr>
              <w:t xml:space="preserve"> es el resultado de cambios físicos en el cerebro (Falso)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bottom w:val="nil"/>
            </w:tcBorders>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1"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4</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 xml:space="preserve">Mantener un estilo de vida saludable </w:t>
            </w:r>
            <w:r w:rsidRPr="00A44E76">
              <w:rPr>
                <w:rFonts w:ascii="Times New Roman" w:eastAsia="Calibri" w:hAnsi="Times New Roman" w:cs="Times New Roman"/>
                <w:b/>
                <w:sz w:val="20"/>
                <w:szCs w:val="20"/>
                <w:lang w:val="es-MX"/>
              </w:rPr>
              <w:t>no</w:t>
            </w:r>
            <w:r w:rsidRPr="00A44E76">
              <w:rPr>
                <w:rFonts w:ascii="Times New Roman" w:eastAsia="Calibri" w:hAnsi="Times New Roman" w:cs="Times New Roman"/>
                <w:sz w:val="20"/>
                <w:szCs w:val="20"/>
                <w:lang w:val="es-MX"/>
              </w:rPr>
              <w:t xml:space="preserve"> reduce el riesgo de desarrollar las formas más frecuentes de demencia (Falso)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bottom w:val="nil"/>
            </w:tcBorders>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1"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5</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Los síntomas de la depresión pueden confundirse con los síntomas de la demencia (Verdadero)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bottom w:val="nil"/>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c>
          <w:tcPr>
            <w:tcW w:w="511"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6</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Por lo general el ejercicio es beneficioso para las personas que presentan demencia (Verdadero)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bottom w:val="nil"/>
            </w:tcBorders>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1"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7</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 xml:space="preserve">El diagnóstico precoz de demencia por lo general </w:t>
            </w:r>
            <w:r w:rsidRPr="00A44E76">
              <w:rPr>
                <w:rFonts w:ascii="Times New Roman" w:eastAsia="Calibri" w:hAnsi="Times New Roman" w:cs="Times New Roman"/>
                <w:b/>
                <w:sz w:val="20"/>
                <w:szCs w:val="20"/>
                <w:lang w:val="es-MX"/>
              </w:rPr>
              <w:t>no</w:t>
            </w:r>
            <w:r w:rsidRPr="00A44E76">
              <w:rPr>
                <w:rFonts w:ascii="Times New Roman" w:eastAsia="Calibri" w:hAnsi="Times New Roman" w:cs="Times New Roman"/>
                <w:sz w:val="20"/>
                <w:szCs w:val="20"/>
                <w:lang w:val="es-MX"/>
              </w:rPr>
              <w:t xml:space="preserve"> mejora la calidad de vida de las personas que sufren esta enfermedad (Falso)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bottom w:val="nil"/>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c>
          <w:tcPr>
            <w:tcW w:w="511"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8</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La aparición repentina de problemas cognitivos es característico de las formas más comunes de demencia (Falso)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bottom w:val="nil"/>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c>
          <w:tcPr>
            <w:tcW w:w="511"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9</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 xml:space="preserve">Es </w:t>
            </w:r>
            <w:r w:rsidRPr="00A44E76">
              <w:rPr>
                <w:rFonts w:ascii="Times New Roman" w:eastAsia="Calibri" w:hAnsi="Times New Roman" w:cs="Times New Roman"/>
                <w:b/>
                <w:sz w:val="20"/>
                <w:szCs w:val="20"/>
                <w:lang w:val="es-MX"/>
              </w:rPr>
              <w:t>imposible</w:t>
            </w:r>
            <w:r w:rsidRPr="00A44E76">
              <w:rPr>
                <w:rFonts w:ascii="Times New Roman" w:eastAsia="Calibri" w:hAnsi="Times New Roman" w:cs="Times New Roman"/>
                <w:sz w:val="20"/>
                <w:szCs w:val="20"/>
                <w:lang w:val="es-MX"/>
              </w:rPr>
              <w:t xml:space="preserve"> comunicarse con una persona que tiene demencia avanzada (Falso)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bottom w:val="nil"/>
            </w:tcBorders>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1"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10</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 xml:space="preserve">Por lo general, una persona que experimenta demencia avanzada </w:t>
            </w:r>
            <w:proofErr w:type="spellStart"/>
            <w:r w:rsidRPr="00A44E76">
              <w:rPr>
                <w:rFonts w:ascii="Times New Roman" w:eastAsia="Calibri" w:hAnsi="Times New Roman" w:cs="Times New Roman"/>
                <w:b/>
                <w:sz w:val="20"/>
                <w:szCs w:val="20"/>
                <w:lang w:val="es-MX"/>
              </w:rPr>
              <w:t>no</w:t>
            </w:r>
            <w:r w:rsidRPr="00A44E76">
              <w:rPr>
                <w:rFonts w:ascii="Times New Roman" w:eastAsia="Calibri" w:hAnsi="Times New Roman" w:cs="Times New Roman"/>
                <w:sz w:val="20"/>
                <w:szCs w:val="20"/>
                <w:lang w:val="es-MX"/>
              </w:rPr>
              <w:t>responde</w:t>
            </w:r>
            <w:proofErr w:type="spellEnd"/>
            <w:r w:rsidRPr="00A44E76">
              <w:rPr>
                <w:rFonts w:ascii="Times New Roman" w:eastAsia="Calibri" w:hAnsi="Times New Roman" w:cs="Times New Roman"/>
                <w:sz w:val="20"/>
                <w:szCs w:val="20"/>
                <w:lang w:val="es-MX"/>
              </w:rPr>
              <w:t xml:space="preserve"> a los cambios en su ambiente físico (Falso)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bottom w:val="nil"/>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c>
          <w:tcPr>
            <w:tcW w:w="511"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11</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 xml:space="preserve">Cuando una persona con demencia se muestra confundida, es </w:t>
            </w:r>
            <w:r w:rsidRPr="00A44E76">
              <w:rPr>
                <w:rFonts w:ascii="Times New Roman" w:eastAsia="Calibri" w:hAnsi="Times New Roman" w:cs="Times New Roman"/>
                <w:sz w:val="20"/>
                <w:szCs w:val="20"/>
                <w:lang w:val="es-MX"/>
              </w:rPr>
              <w:lastRenderedPageBreak/>
              <w:t>importante corregirla (Falso)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bottom w:val="nil"/>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c>
          <w:tcPr>
            <w:tcW w:w="511"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lastRenderedPageBreak/>
              <w:t>12</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Generalmente, las personas con demencia avanzada se comunican a través del lenguaje corporal (Verdadero)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bottom w:val="nil"/>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c>
          <w:tcPr>
            <w:tcW w:w="511"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13</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Por lo general, los comportamientos inusuales en una persona que presenta demencia son una respuesta a las necesidades no satisfechas (Verdadero)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bottom w:val="nil"/>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c>
          <w:tcPr>
            <w:tcW w:w="511"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14</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Los medicamentos son el modo más efectivo de tratar los síntomas comportamentales de la demencia (Falso)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bottom w:val="nil"/>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c>
          <w:tcPr>
            <w:tcW w:w="511"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15</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 xml:space="preserve">Por lo general, las personas que experimentan demencia </w:t>
            </w:r>
            <w:r w:rsidRPr="00A44E76">
              <w:rPr>
                <w:rFonts w:ascii="Times New Roman" w:eastAsia="Calibri" w:hAnsi="Times New Roman" w:cs="Times New Roman"/>
                <w:b/>
                <w:sz w:val="20"/>
                <w:szCs w:val="20"/>
                <w:lang w:val="es-MX"/>
              </w:rPr>
              <w:t>no</w:t>
            </w:r>
            <w:r w:rsidRPr="00A44E76">
              <w:rPr>
                <w:rFonts w:ascii="Times New Roman" w:eastAsia="Calibri" w:hAnsi="Times New Roman" w:cs="Times New Roman"/>
                <w:sz w:val="20"/>
                <w:szCs w:val="20"/>
                <w:lang w:val="es-MX"/>
              </w:rPr>
              <w:t xml:space="preserve"> tienen problemas para tomar decisiones (Falso)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bottom w:val="nil"/>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c>
          <w:tcPr>
            <w:tcW w:w="511"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16</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Por lo general, el movimiento se ve afectado en las últimas etapas de la demencia (Verdadero)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Borders>
              <w:right w:val="single" w:sz="4" w:space="0" w:color="auto"/>
            </w:tcBorders>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left w:val="single" w:sz="4" w:space="0" w:color="auto"/>
              <w:bottom w:val="nil"/>
              <w:right w:val="single" w:sz="4" w:space="0" w:color="auto"/>
            </w:tcBorders>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1" w:type="pct"/>
            <w:tcBorders>
              <w:top w:val="single" w:sz="4" w:space="0" w:color="auto"/>
              <w:left w:val="single" w:sz="4" w:space="0" w:color="auto"/>
              <w:bottom w:val="single" w:sz="4" w:space="0" w:color="auto"/>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17</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Las personas con demencia avanzada pueden tener dificultades para hablar (Verdadero)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Borders>
              <w:right w:val="single" w:sz="4" w:space="0" w:color="auto"/>
            </w:tcBorders>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left w:val="single" w:sz="4" w:space="0" w:color="auto"/>
              <w:bottom w:val="nil"/>
              <w:right w:val="single" w:sz="4" w:space="0" w:color="auto"/>
            </w:tcBorders>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1" w:type="pct"/>
            <w:tcBorders>
              <w:top w:val="single" w:sz="4" w:space="0" w:color="auto"/>
              <w:left w:val="single" w:sz="4" w:space="0" w:color="auto"/>
              <w:bottom w:val="single" w:sz="4" w:space="0" w:color="auto"/>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18</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Con frecuencia, las personas con demencia tienen dificultades para aprender nuevas habilidades (Verdadero)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Borders>
              <w:right w:val="single" w:sz="4" w:space="0" w:color="auto"/>
            </w:tcBorders>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left w:val="single" w:sz="4" w:space="0" w:color="auto"/>
              <w:bottom w:val="nil"/>
              <w:right w:val="single" w:sz="4" w:space="0" w:color="auto"/>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c>
          <w:tcPr>
            <w:tcW w:w="511" w:type="pct"/>
            <w:tcBorders>
              <w:top w:val="single" w:sz="4" w:space="0" w:color="auto"/>
              <w:left w:val="single" w:sz="4" w:space="0" w:color="auto"/>
              <w:bottom w:val="single" w:sz="4" w:space="0" w:color="auto"/>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19</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Generalmente, las dificultades para comer y beber se presentan en las últimas etapas de la demencia (Verdadero)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Borders>
              <w:right w:val="single" w:sz="4" w:space="0" w:color="auto"/>
            </w:tcBorders>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left w:val="single" w:sz="4" w:space="0" w:color="auto"/>
              <w:bottom w:val="nil"/>
              <w:right w:val="single" w:sz="4" w:space="0" w:color="auto"/>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c>
          <w:tcPr>
            <w:tcW w:w="511" w:type="pct"/>
            <w:tcBorders>
              <w:top w:val="single" w:sz="4" w:space="0" w:color="auto"/>
              <w:left w:val="single" w:sz="4" w:space="0" w:color="auto"/>
              <w:bottom w:val="single" w:sz="4" w:space="0" w:color="auto"/>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r w:rsidR="00C13B3D" w:rsidRPr="00A44E76" w:rsidTr="00C13B3D">
        <w:tc>
          <w:tcPr>
            <w:tcW w:w="194" w:type="pct"/>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20</w:t>
            </w:r>
          </w:p>
        </w:tc>
        <w:tc>
          <w:tcPr>
            <w:tcW w:w="2306" w:type="pct"/>
            <w:tcMar>
              <w:left w:w="11" w:type="dxa"/>
              <w:right w:w="11" w:type="dxa"/>
            </w:tcMar>
          </w:tcPr>
          <w:p w:rsidR="00A44E76" w:rsidRPr="00A44E76" w:rsidRDefault="00A44E76" w:rsidP="009B0D54">
            <w:pPr>
              <w:spacing w:line="360" w:lineRule="auto"/>
              <w:contextualSpacing/>
              <w:rPr>
                <w:rFonts w:ascii="Times New Roman" w:eastAsia="Calibri" w:hAnsi="Times New Roman" w:cs="Times New Roman"/>
                <w:sz w:val="20"/>
                <w:szCs w:val="20"/>
                <w:lang w:val="es-MX"/>
              </w:rPr>
            </w:pPr>
            <w:r w:rsidRPr="00A44E76">
              <w:rPr>
                <w:rFonts w:ascii="Times New Roman" w:eastAsia="Calibri" w:hAnsi="Times New Roman" w:cs="Times New Roman"/>
                <w:sz w:val="20"/>
                <w:szCs w:val="20"/>
                <w:lang w:val="es-MX"/>
              </w:rPr>
              <w:t>Los cuidados cotidianos para las personas con demencia avanzada son efectivos cuando se enfocan en ofrecer comodidad al paciente (Verdadero)</w:t>
            </w:r>
          </w:p>
        </w:tc>
        <w:tc>
          <w:tcPr>
            <w:tcW w:w="256"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78" w:type="pct"/>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513" w:type="pct"/>
            <w:tcBorders>
              <w:right w:val="single" w:sz="4" w:space="0" w:color="auto"/>
            </w:tcBorders>
            <w:tcMar>
              <w:left w:w="11" w:type="dxa"/>
              <w:right w:w="11" w:type="dxa"/>
            </w:tcMar>
          </w:tcPr>
          <w:p w:rsidR="00A44E76" w:rsidRPr="00A44E76" w:rsidRDefault="00A44E76" w:rsidP="009B0D54">
            <w:pPr>
              <w:contextualSpacing/>
              <w:jc w:val="center"/>
              <w:rPr>
                <w:rFonts w:ascii="Times New Roman" w:eastAsia="Calibri" w:hAnsi="Times New Roman" w:cs="Times New Roman"/>
                <w:sz w:val="20"/>
                <w:szCs w:val="20"/>
                <w:lang w:val="es-MX"/>
              </w:rPr>
            </w:pPr>
          </w:p>
        </w:tc>
        <w:tc>
          <w:tcPr>
            <w:tcW w:w="129" w:type="pct"/>
            <w:tcBorders>
              <w:top w:val="nil"/>
              <w:left w:val="single" w:sz="4" w:space="0" w:color="auto"/>
              <w:bottom w:val="nil"/>
              <w:right w:val="single" w:sz="4" w:space="0" w:color="auto"/>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c>
          <w:tcPr>
            <w:tcW w:w="511" w:type="pct"/>
            <w:tcBorders>
              <w:top w:val="single" w:sz="4" w:space="0" w:color="auto"/>
              <w:left w:val="single" w:sz="4" w:space="0" w:color="auto"/>
              <w:bottom w:val="single" w:sz="4" w:space="0" w:color="auto"/>
            </w:tcBorders>
            <w:tcMar>
              <w:left w:w="11" w:type="dxa"/>
              <w:right w:w="11" w:type="dxa"/>
            </w:tcMar>
          </w:tcPr>
          <w:p w:rsidR="00A44E76" w:rsidRPr="00A44E76" w:rsidRDefault="00A44E76" w:rsidP="009B0D54">
            <w:pPr>
              <w:contextualSpacing/>
              <w:rPr>
                <w:rFonts w:ascii="Times New Roman" w:eastAsia="Calibri" w:hAnsi="Times New Roman" w:cs="Times New Roman"/>
                <w:sz w:val="20"/>
                <w:szCs w:val="20"/>
                <w:lang w:val="es-MX"/>
              </w:rPr>
            </w:pPr>
          </w:p>
        </w:tc>
      </w:tr>
    </w:tbl>
    <w:p w:rsidR="00A44E76" w:rsidRPr="00A44E76" w:rsidRDefault="00A44E76" w:rsidP="00A44E76">
      <w:pPr>
        <w:pStyle w:val="EndNoteBibliography"/>
        <w:spacing w:line="259" w:lineRule="auto"/>
        <w:rPr>
          <w:noProof w:val="0"/>
          <w:sz w:val="20"/>
          <w:szCs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3"/>
        <w:gridCol w:w="5807"/>
      </w:tblGrid>
      <w:tr w:rsidR="00A44E76" w:rsidRPr="00A44E76" w:rsidTr="009B0D54">
        <w:tc>
          <w:tcPr>
            <w:tcW w:w="8995" w:type="dxa"/>
            <w:gridSpan w:val="2"/>
            <w:tcBorders>
              <w:top w:val="single" w:sz="4" w:space="0" w:color="auto"/>
              <w:bottom w:val="single" w:sz="4" w:space="0" w:color="auto"/>
            </w:tcBorders>
          </w:tcPr>
          <w:p w:rsidR="00A44E76" w:rsidRPr="00A44E76" w:rsidRDefault="00A44E76" w:rsidP="009B0D54">
            <w:pPr>
              <w:pStyle w:val="EndNoteBibliography"/>
              <w:spacing w:line="259" w:lineRule="auto"/>
              <w:jc w:val="center"/>
              <w:rPr>
                <w:b/>
                <w:noProof w:val="0"/>
                <w:sz w:val="20"/>
                <w:szCs w:val="20"/>
                <w:lang w:val="es-MX"/>
              </w:rPr>
            </w:pPr>
            <w:r w:rsidRPr="00A44E76">
              <w:rPr>
                <w:b/>
                <w:noProof w:val="0"/>
                <w:sz w:val="20"/>
                <w:szCs w:val="20"/>
                <w:lang w:val="es-MX"/>
              </w:rPr>
              <w:t>Calificación</w:t>
            </w:r>
          </w:p>
        </w:tc>
      </w:tr>
      <w:tr w:rsidR="00A44E76" w:rsidRPr="00A44E76" w:rsidTr="009B0D54">
        <w:tc>
          <w:tcPr>
            <w:tcW w:w="3005" w:type="dxa"/>
            <w:vMerge w:val="restart"/>
            <w:tcBorders>
              <w:top w:val="single" w:sz="4" w:space="0" w:color="auto"/>
            </w:tcBorders>
            <w:vAlign w:val="center"/>
          </w:tcPr>
          <w:p w:rsidR="00A44E76" w:rsidRPr="00A44E76" w:rsidRDefault="00A44E76" w:rsidP="009B0D54">
            <w:pPr>
              <w:pStyle w:val="EndNoteBibliography"/>
              <w:spacing w:line="259" w:lineRule="auto"/>
              <w:rPr>
                <w:noProof w:val="0"/>
                <w:sz w:val="20"/>
                <w:szCs w:val="20"/>
                <w:lang w:val="es-MX"/>
              </w:rPr>
            </w:pPr>
            <w:r w:rsidRPr="00A44E76">
              <w:rPr>
                <w:b/>
                <w:noProof w:val="0"/>
                <w:sz w:val="20"/>
                <w:szCs w:val="20"/>
                <w:lang w:val="es-MX"/>
              </w:rPr>
              <w:t>2</w:t>
            </w:r>
            <w:r w:rsidRPr="00A44E76">
              <w:rPr>
                <w:noProof w:val="0"/>
                <w:sz w:val="20"/>
                <w:szCs w:val="20"/>
                <w:lang w:val="es-MX"/>
              </w:rPr>
              <w:t xml:space="preserve"> puntos</w:t>
            </w:r>
          </w:p>
        </w:tc>
        <w:tc>
          <w:tcPr>
            <w:tcW w:w="5990" w:type="dxa"/>
            <w:tcBorders>
              <w:top w:val="single" w:sz="4" w:space="0" w:color="auto"/>
            </w:tcBorders>
          </w:tcPr>
          <w:p w:rsidR="00A44E76" w:rsidRPr="00A44E76" w:rsidRDefault="00A44E76" w:rsidP="009B0D54">
            <w:pPr>
              <w:pStyle w:val="EndNoteBibliography"/>
              <w:spacing w:line="259" w:lineRule="auto"/>
              <w:rPr>
                <w:noProof w:val="0"/>
                <w:sz w:val="20"/>
                <w:szCs w:val="20"/>
                <w:lang w:val="es-MX"/>
              </w:rPr>
            </w:pPr>
            <w:r w:rsidRPr="00A44E76">
              <w:rPr>
                <w:noProof w:val="0"/>
                <w:sz w:val="20"/>
                <w:szCs w:val="20"/>
                <w:lang w:val="es-MX"/>
              </w:rPr>
              <w:t>Por responder “Verdadero” en un enunciado verdadero</w:t>
            </w:r>
          </w:p>
        </w:tc>
      </w:tr>
      <w:tr w:rsidR="00A44E76" w:rsidRPr="00A44E76" w:rsidTr="009B0D54">
        <w:tc>
          <w:tcPr>
            <w:tcW w:w="3005" w:type="dxa"/>
            <w:vMerge/>
            <w:vAlign w:val="center"/>
          </w:tcPr>
          <w:p w:rsidR="00A44E76" w:rsidRPr="00A44E76" w:rsidRDefault="00A44E76" w:rsidP="009B0D54">
            <w:pPr>
              <w:pStyle w:val="EndNoteBibliography"/>
              <w:spacing w:line="259" w:lineRule="auto"/>
              <w:rPr>
                <w:noProof w:val="0"/>
                <w:sz w:val="20"/>
                <w:szCs w:val="20"/>
                <w:lang w:val="es-MX"/>
              </w:rPr>
            </w:pPr>
          </w:p>
        </w:tc>
        <w:tc>
          <w:tcPr>
            <w:tcW w:w="5990" w:type="dxa"/>
            <w:tcBorders>
              <w:bottom w:val="single" w:sz="4" w:space="0" w:color="auto"/>
            </w:tcBorders>
          </w:tcPr>
          <w:p w:rsidR="00A44E76" w:rsidRPr="00A44E76" w:rsidRDefault="00A44E76" w:rsidP="009B0D54">
            <w:pPr>
              <w:pStyle w:val="EndNoteBibliography"/>
              <w:spacing w:line="259" w:lineRule="auto"/>
              <w:rPr>
                <w:noProof w:val="0"/>
                <w:sz w:val="20"/>
                <w:szCs w:val="20"/>
                <w:lang w:val="es-MX"/>
              </w:rPr>
            </w:pPr>
            <w:r w:rsidRPr="00A44E76">
              <w:rPr>
                <w:noProof w:val="0"/>
                <w:sz w:val="20"/>
                <w:szCs w:val="20"/>
                <w:lang w:val="es-MX"/>
              </w:rPr>
              <w:t>Por responder “Falso” en un enunciado falso</w:t>
            </w:r>
          </w:p>
        </w:tc>
      </w:tr>
      <w:tr w:rsidR="00A44E76" w:rsidRPr="00A44E76" w:rsidTr="009B0D54">
        <w:tc>
          <w:tcPr>
            <w:tcW w:w="3005" w:type="dxa"/>
            <w:vMerge w:val="restart"/>
            <w:vAlign w:val="center"/>
          </w:tcPr>
          <w:p w:rsidR="00A44E76" w:rsidRPr="00A44E76" w:rsidRDefault="00A44E76" w:rsidP="009B0D54">
            <w:pPr>
              <w:pStyle w:val="EndNoteBibliography"/>
              <w:spacing w:line="259" w:lineRule="auto"/>
              <w:rPr>
                <w:noProof w:val="0"/>
                <w:sz w:val="20"/>
                <w:szCs w:val="20"/>
                <w:lang w:val="es-MX"/>
              </w:rPr>
            </w:pPr>
            <w:r w:rsidRPr="00A44E76">
              <w:rPr>
                <w:b/>
                <w:noProof w:val="0"/>
                <w:sz w:val="20"/>
                <w:szCs w:val="20"/>
                <w:lang w:val="es-MX"/>
              </w:rPr>
              <w:t>1</w:t>
            </w:r>
            <w:r w:rsidRPr="00A44E76">
              <w:rPr>
                <w:noProof w:val="0"/>
                <w:sz w:val="20"/>
                <w:szCs w:val="20"/>
                <w:lang w:val="es-MX"/>
              </w:rPr>
              <w:t xml:space="preserve"> punto</w:t>
            </w:r>
          </w:p>
        </w:tc>
        <w:tc>
          <w:tcPr>
            <w:tcW w:w="5990" w:type="dxa"/>
            <w:tcBorders>
              <w:top w:val="single" w:sz="4" w:space="0" w:color="auto"/>
            </w:tcBorders>
          </w:tcPr>
          <w:p w:rsidR="00A44E76" w:rsidRPr="00A44E76" w:rsidRDefault="00A44E76" w:rsidP="009B0D54">
            <w:pPr>
              <w:pStyle w:val="EndNoteBibliography"/>
              <w:spacing w:line="259" w:lineRule="auto"/>
              <w:rPr>
                <w:noProof w:val="0"/>
                <w:sz w:val="20"/>
                <w:szCs w:val="20"/>
                <w:lang w:val="es-MX"/>
              </w:rPr>
            </w:pPr>
            <w:r w:rsidRPr="00A44E76">
              <w:rPr>
                <w:noProof w:val="0"/>
                <w:sz w:val="20"/>
                <w:szCs w:val="20"/>
                <w:lang w:val="es-MX"/>
              </w:rPr>
              <w:t>Por responder “Probablemente verdadero” en un enunciado verdadero</w:t>
            </w:r>
          </w:p>
        </w:tc>
      </w:tr>
      <w:tr w:rsidR="00A44E76" w:rsidRPr="00A44E76" w:rsidTr="009B0D54">
        <w:tc>
          <w:tcPr>
            <w:tcW w:w="3005" w:type="dxa"/>
            <w:vMerge/>
            <w:vAlign w:val="center"/>
          </w:tcPr>
          <w:p w:rsidR="00A44E76" w:rsidRPr="00A44E76" w:rsidRDefault="00A44E76" w:rsidP="009B0D54">
            <w:pPr>
              <w:pStyle w:val="EndNoteBibliography"/>
              <w:spacing w:line="259" w:lineRule="auto"/>
              <w:rPr>
                <w:noProof w:val="0"/>
                <w:sz w:val="20"/>
                <w:szCs w:val="20"/>
                <w:lang w:val="es-MX"/>
              </w:rPr>
            </w:pPr>
          </w:p>
        </w:tc>
        <w:tc>
          <w:tcPr>
            <w:tcW w:w="5990" w:type="dxa"/>
            <w:tcBorders>
              <w:bottom w:val="single" w:sz="4" w:space="0" w:color="auto"/>
            </w:tcBorders>
          </w:tcPr>
          <w:p w:rsidR="00A44E76" w:rsidRPr="00A44E76" w:rsidRDefault="00A44E76" w:rsidP="009B0D54">
            <w:pPr>
              <w:pStyle w:val="EndNoteBibliography"/>
              <w:spacing w:line="259" w:lineRule="auto"/>
              <w:rPr>
                <w:noProof w:val="0"/>
                <w:sz w:val="20"/>
                <w:szCs w:val="20"/>
                <w:lang w:val="es-MX"/>
              </w:rPr>
            </w:pPr>
            <w:r w:rsidRPr="00A44E76">
              <w:rPr>
                <w:noProof w:val="0"/>
                <w:sz w:val="20"/>
                <w:szCs w:val="20"/>
                <w:lang w:val="es-MX"/>
              </w:rPr>
              <w:t>Por responder “Probablemente falso” en un enunciado falso</w:t>
            </w:r>
          </w:p>
        </w:tc>
      </w:tr>
      <w:tr w:rsidR="00A44E76" w:rsidRPr="00A44E76" w:rsidTr="009B0D54">
        <w:tc>
          <w:tcPr>
            <w:tcW w:w="3005" w:type="dxa"/>
            <w:vMerge w:val="restart"/>
            <w:tcBorders>
              <w:bottom w:val="single" w:sz="4" w:space="0" w:color="auto"/>
            </w:tcBorders>
            <w:vAlign w:val="center"/>
          </w:tcPr>
          <w:p w:rsidR="00A44E76" w:rsidRPr="00A44E76" w:rsidRDefault="00A44E76" w:rsidP="009B0D54">
            <w:pPr>
              <w:pStyle w:val="EndNoteBibliography"/>
              <w:spacing w:line="259" w:lineRule="auto"/>
              <w:rPr>
                <w:noProof w:val="0"/>
                <w:sz w:val="20"/>
                <w:szCs w:val="20"/>
                <w:lang w:val="es-MX"/>
              </w:rPr>
            </w:pPr>
            <w:r w:rsidRPr="00A44E76">
              <w:rPr>
                <w:b/>
                <w:noProof w:val="0"/>
                <w:sz w:val="20"/>
                <w:szCs w:val="20"/>
                <w:lang w:val="es-MX"/>
              </w:rPr>
              <w:t>0</w:t>
            </w:r>
            <w:r w:rsidRPr="00A44E76">
              <w:rPr>
                <w:noProof w:val="0"/>
                <w:sz w:val="20"/>
                <w:szCs w:val="20"/>
                <w:lang w:val="es-MX"/>
              </w:rPr>
              <w:t xml:space="preserve"> punto</w:t>
            </w:r>
          </w:p>
        </w:tc>
        <w:tc>
          <w:tcPr>
            <w:tcW w:w="5990" w:type="dxa"/>
            <w:tcBorders>
              <w:top w:val="single" w:sz="4" w:space="0" w:color="auto"/>
            </w:tcBorders>
          </w:tcPr>
          <w:p w:rsidR="00A44E76" w:rsidRPr="00A44E76" w:rsidRDefault="00A44E76" w:rsidP="009B0D54">
            <w:pPr>
              <w:pStyle w:val="EndNoteBibliography"/>
              <w:spacing w:line="259" w:lineRule="auto"/>
              <w:rPr>
                <w:noProof w:val="0"/>
                <w:sz w:val="20"/>
                <w:szCs w:val="20"/>
                <w:lang w:val="es-MX"/>
              </w:rPr>
            </w:pPr>
            <w:r w:rsidRPr="00A44E76">
              <w:rPr>
                <w:noProof w:val="0"/>
                <w:sz w:val="20"/>
                <w:szCs w:val="20"/>
                <w:lang w:val="es-MX"/>
              </w:rPr>
              <w:t>Por responder “Verdadero” o “Probablemente verdadero” en un enunciado falso</w:t>
            </w:r>
          </w:p>
        </w:tc>
      </w:tr>
      <w:tr w:rsidR="00A44E76" w:rsidRPr="00A44E76" w:rsidTr="009B0D54">
        <w:tc>
          <w:tcPr>
            <w:tcW w:w="3005" w:type="dxa"/>
            <w:vMerge/>
            <w:tcBorders>
              <w:bottom w:val="single" w:sz="4" w:space="0" w:color="auto"/>
            </w:tcBorders>
          </w:tcPr>
          <w:p w:rsidR="00A44E76" w:rsidRPr="00A44E76" w:rsidRDefault="00A44E76" w:rsidP="009B0D54">
            <w:pPr>
              <w:pStyle w:val="EndNoteBibliography"/>
              <w:spacing w:line="259" w:lineRule="auto"/>
              <w:rPr>
                <w:noProof w:val="0"/>
                <w:sz w:val="20"/>
                <w:szCs w:val="20"/>
                <w:lang w:val="es-MX"/>
              </w:rPr>
            </w:pPr>
          </w:p>
        </w:tc>
        <w:tc>
          <w:tcPr>
            <w:tcW w:w="5990" w:type="dxa"/>
          </w:tcPr>
          <w:p w:rsidR="00A44E76" w:rsidRPr="00A44E76" w:rsidRDefault="00A44E76" w:rsidP="009B0D54">
            <w:pPr>
              <w:pStyle w:val="EndNoteBibliography"/>
              <w:spacing w:line="259" w:lineRule="auto"/>
              <w:rPr>
                <w:noProof w:val="0"/>
                <w:sz w:val="20"/>
                <w:szCs w:val="20"/>
                <w:lang w:val="es-MX"/>
              </w:rPr>
            </w:pPr>
            <w:r w:rsidRPr="00A44E76">
              <w:rPr>
                <w:noProof w:val="0"/>
                <w:sz w:val="20"/>
                <w:szCs w:val="20"/>
                <w:lang w:val="es-MX"/>
              </w:rPr>
              <w:t xml:space="preserve">Por responder “Falso” o “Probablemente falso” en un enunciado </w:t>
            </w:r>
            <w:r w:rsidRPr="00A44E76">
              <w:rPr>
                <w:noProof w:val="0"/>
                <w:sz w:val="20"/>
                <w:szCs w:val="20"/>
                <w:lang w:val="es-MX"/>
              </w:rPr>
              <w:lastRenderedPageBreak/>
              <w:t>verdadero</w:t>
            </w:r>
          </w:p>
        </w:tc>
      </w:tr>
      <w:tr w:rsidR="00A44E76" w:rsidRPr="00A44E76" w:rsidTr="009B0D54">
        <w:tc>
          <w:tcPr>
            <w:tcW w:w="3005" w:type="dxa"/>
            <w:vMerge/>
            <w:tcBorders>
              <w:bottom w:val="single" w:sz="4" w:space="0" w:color="auto"/>
            </w:tcBorders>
          </w:tcPr>
          <w:p w:rsidR="00A44E76" w:rsidRPr="00A44E76" w:rsidRDefault="00A44E76" w:rsidP="009B0D54">
            <w:pPr>
              <w:pStyle w:val="EndNoteBibliography"/>
              <w:spacing w:line="259" w:lineRule="auto"/>
              <w:rPr>
                <w:noProof w:val="0"/>
                <w:sz w:val="20"/>
                <w:szCs w:val="20"/>
                <w:lang w:val="es-MX"/>
              </w:rPr>
            </w:pPr>
          </w:p>
        </w:tc>
        <w:tc>
          <w:tcPr>
            <w:tcW w:w="5990" w:type="dxa"/>
            <w:tcBorders>
              <w:bottom w:val="single" w:sz="4" w:space="0" w:color="auto"/>
            </w:tcBorders>
          </w:tcPr>
          <w:p w:rsidR="00A44E76" w:rsidRPr="00A44E76" w:rsidRDefault="00A44E76" w:rsidP="009B0D54">
            <w:pPr>
              <w:pStyle w:val="EndNoteBibliography"/>
              <w:spacing w:line="259" w:lineRule="auto"/>
              <w:rPr>
                <w:noProof w:val="0"/>
                <w:sz w:val="20"/>
                <w:szCs w:val="20"/>
                <w:lang w:val="es-MX"/>
              </w:rPr>
            </w:pPr>
            <w:r w:rsidRPr="00A44E76">
              <w:rPr>
                <w:noProof w:val="0"/>
                <w:sz w:val="20"/>
                <w:szCs w:val="20"/>
                <w:lang w:val="es-MX"/>
              </w:rPr>
              <w:t>Por responder “No sé”</w:t>
            </w:r>
          </w:p>
        </w:tc>
      </w:tr>
    </w:tbl>
    <w:p w:rsidR="00A44E76" w:rsidRPr="00A44E76" w:rsidRDefault="00A44E76" w:rsidP="00A44E76">
      <w:pPr>
        <w:pStyle w:val="EndNoteBibliography"/>
        <w:spacing w:line="259" w:lineRule="auto"/>
        <w:rPr>
          <w:noProof w:val="0"/>
          <w:sz w:val="20"/>
          <w:szCs w:val="20"/>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721"/>
        <w:gridCol w:w="1803"/>
      </w:tblGrid>
      <w:tr w:rsidR="00A44E76" w:rsidRPr="00A44E76" w:rsidTr="009B0D54">
        <w:trPr>
          <w:jc w:val="center"/>
        </w:trPr>
        <w:tc>
          <w:tcPr>
            <w:tcW w:w="5409" w:type="dxa"/>
            <w:gridSpan w:val="3"/>
            <w:tcBorders>
              <w:top w:val="single" w:sz="4" w:space="0" w:color="auto"/>
              <w:bottom w:val="single" w:sz="4" w:space="0" w:color="auto"/>
            </w:tcBorders>
            <w:vAlign w:val="bottom"/>
          </w:tcPr>
          <w:p w:rsidR="00A44E76" w:rsidRPr="00A44E76" w:rsidRDefault="00A44E76" w:rsidP="009B0D54">
            <w:pPr>
              <w:pStyle w:val="EndNoteBibliography"/>
              <w:spacing w:line="360" w:lineRule="auto"/>
              <w:jc w:val="center"/>
              <w:rPr>
                <w:b/>
                <w:noProof w:val="0"/>
                <w:sz w:val="20"/>
                <w:szCs w:val="20"/>
                <w:lang w:val="es-MX"/>
              </w:rPr>
            </w:pPr>
            <w:r w:rsidRPr="00A44E76">
              <w:rPr>
                <w:b/>
                <w:noProof w:val="0"/>
                <w:sz w:val="20"/>
                <w:szCs w:val="20"/>
                <w:lang w:val="es-MX"/>
              </w:rPr>
              <w:t>Interpretación</w:t>
            </w:r>
          </w:p>
        </w:tc>
      </w:tr>
      <w:tr w:rsidR="00A44E76" w:rsidRPr="00A44E76" w:rsidTr="009B0D54">
        <w:trPr>
          <w:jc w:val="center"/>
        </w:trPr>
        <w:tc>
          <w:tcPr>
            <w:tcW w:w="1885" w:type="dxa"/>
            <w:tcBorders>
              <w:top w:val="single" w:sz="4" w:space="0" w:color="auto"/>
            </w:tcBorders>
            <w:vAlign w:val="center"/>
          </w:tcPr>
          <w:p w:rsidR="00A44E76" w:rsidRPr="00A44E76" w:rsidRDefault="00A44E76" w:rsidP="009B0D54">
            <w:pPr>
              <w:pStyle w:val="EndNoteBibliography"/>
              <w:spacing w:line="360" w:lineRule="auto"/>
              <w:jc w:val="center"/>
              <w:rPr>
                <w:noProof w:val="0"/>
                <w:sz w:val="20"/>
                <w:szCs w:val="20"/>
                <w:lang w:val="es-MX"/>
              </w:rPr>
            </w:pPr>
            <w:r w:rsidRPr="00A44E76">
              <w:rPr>
                <w:noProof w:val="0"/>
                <w:sz w:val="20"/>
                <w:szCs w:val="20"/>
                <w:lang w:val="es-MX"/>
              </w:rPr>
              <w:t>Bajo</w:t>
            </w:r>
          </w:p>
        </w:tc>
        <w:tc>
          <w:tcPr>
            <w:tcW w:w="1721" w:type="dxa"/>
            <w:tcBorders>
              <w:top w:val="single" w:sz="4" w:space="0" w:color="auto"/>
            </w:tcBorders>
            <w:vAlign w:val="center"/>
          </w:tcPr>
          <w:p w:rsidR="00A44E76" w:rsidRPr="00A44E76" w:rsidRDefault="00A44E76" w:rsidP="009B0D54">
            <w:pPr>
              <w:pStyle w:val="EndNoteBibliography"/>
              <w:spacing w:line="360" w:lineRule="auto"/>
              <w:jc w:val="center"/>
              <w:rPr>
                <w:noProof w:val="0"/>
                <w:sz w:val="20"/>
                <w:szCs w:val="20"/>
                <w:lang w:val="es-MX"/>
              </w:rPr>
            </w:pPr>
            <w:r w:rsidRPr="00A44E76">
              <w:rPr>
                <w:noProof w:val="0"/>
                <w:sz w:val="20"/>
                <w:szCs w:val="20"/>
                <w:lang w:val="es-MX"/>
              </w:rPr>
              <w:t>Medio</w:t>
            </w:r>
          </w:p>
        </w:tc>
        <w:tc>
          <w:tcPr>
            <w:tcW w:w="1803" w:type="dxa"/>
            <w:tcBorders>
              <w:top w:val="single" w:sz="4" w:space="0" w:color="auto"/>
            </w:tcBorders>
            <w:vAlign w:val="center"/>
          </w:tcPr>
          <w:p w:rsidR="00A44E76" w:rsidRPr="00A44E76" w:rsidRDefault="00A44E76" w:rsidP="009B0D54">
            <w:pPr>
              <w:pStyle w:val="EndNoteBibliography"/>
              <w:spacing w:line="360" w:lineRule="auto"/>
              <w:jc w:val="center"/>
              <w:rPr>
                <w:noProof w:val="0"/>
                <w:sz w:val="20"/>
                <w:szCs w:val="20"/>
                <w:lang w:val="es-MX"/>
              </w:rPr>
            </w:pPr>
            <w:r w:rsidRPr="00A44E76">
              <w:rPr>
                <w:noProof w:val="0"/>
                <w:sz w:val="20"/>
                <w:szCs w:val="20"/>
                <w:lang w:val="es-MX"/>
              </w:rPr>
              <w:t>Alto</w:t>
            </w:r>
          </w:p>
        </w:tc>
      </w:tr>
      <w:tr w:rsidR="00A44E76" w:rsidRPr="00A44E76" w:rsidTr="009B0D54">
        <w:trPr>
          <w:jc w:val="center"/>
        </w:trPr>
        <w:tc>
          <w:tcPr>
            <w:tcW w:w="1885" w:type="dxa"/>
            <w:tcBorders>
              <w:bottom w:val="single" w:sz="4" w:space="0" w:color="auto"/>
            </w:tcBorders>
            <w:vAlign w:val="center"/>
          </w:tcPr>
          <w:p w:rsidR="00A44E76" w:rsidRPr="00A44E76" w:rsidRDefault="00A44E76" w:rsidP="009B0D54">
            <w:pPr>
              <w:pStyle w:val="EndNoteBibliography"/>
              <w:spacing w:line="360" w:lineRule="auto"/>
              <w:jc w:val="center"/>
              <w:rPr>
                <w:noProof w:val="0"/>
                <w:sz w:val="20"/>
                <w:szCs w:val="20"/>
                <w:lang w:val="es-MX"/>
              </w:rPr>
            </w:pPr>
            <w:r w:rsidRPr="00A44E76">
              <w:rPr>
                <w:noProof w:val="0"/>
                <w:sz w:val="20"/>
                <w:szCs w:val="20"/>
                <w:lang w:val="es-MX"/>
              </w:rPr>
              <w:t>≤20</w:t>
            </w:r>
          </w:p>
        </w:tc>
        <w:tc>
          <w:tcPr>
            <w:tcW w:w="1721" w:type="dxa"/>
            <w:tcBorders>
              <w:bottom w:val="single" w:sz="4" w:space="0" w:color="auto"/>
            </w:tcBorders>
            <w:vAlign w:val="center"/>
          </w:tcPr>
          <w:p w:rsidR="00A44E76" w:rsidRPr="00A44E76" w:rsidRDefault="00A44E76" w:rsidP="009B0D54">
            <w:pPr>
              <w:pStyle w:val="EndNoteBibliography"/>
              <w:spacing w:line="360" w:lineRule="auto"/>
              <w:jc w:val="center"/>
              <w:rPr>
                <w:noProof w:val="0"/>
                <w:sz w:val="20"/>
                <w:szCs w:val="20"/>
                <w:lang w:val="es-MX"/>
              </w:rPr>
            </w:pPr>
            <w:r w:rsidRPr="00A44E76">
              <w:rPr>
                <w:noProof w:val="0"/>
                <w:sz w:val="20"/>
                <w:szCs w:val="20"/>
                <w:lang w:val="es-MX"/>
              </w:rPr>
              <w:t>21-26</w:t>
            </w:r>
          </w:p>
        </w:tc>
        <w:tc>
          <w:tcPr>
            <w:tcW w:w="1803" w:type="dxa"/>
            <w:tcBorders>
              <w:bottom w:val="single" w:sz="4" w:space="0" w:color="auto"/>
            </w:tcBorders>
            <w:vAlign w:val="center"/>
          </w:tcPr>
          <w:p w:rsidR="00A44E76" w:rsidRPr="00A44E76" w:rsidRDefault="00A44E76" w:rsidP="009B0D54">
            <w:pPr>
              <w:pStyle w:val="EndNoteBibliography"/>
              <w:spacing w:line="360" w:lineRule="auto"/>
              <w:jc w:val="center"/>
              <w:rPr>
                <w:noProof w:val="0"/>
                <w:sz w:val="20"/>
                <w:szCs w:val="20"/>
                <w:lang w:val="es-MX"/>
              </w:rPr>
            </w:pPr>
            <w:r w:rsidRPr="00A44E76">
              <w:rPr>
                <w:noProof w:val="0"/>
                <w:sz w:val="20"/>
                <w:szCs w:val="20"/>
                <w:lang w:val="es-MX"/>
              </w:rPr>
              <w:t>≥27</w:t>
            </w:r>
          </w:p>
        </w:tc>
      </w:tr>
    </w:tbl>
    <w:p w:rsidR="00D36D1C" w:rsidRPr="00A44E76" w:rsidRDefault="00D36D1C" w:rsidP="003770B5">
      <w:pPr>
        <w:spacing w:after="0" w:line="360" w:lineRule="auto"/>
        <w:jc w:val="both"/>
        <w:rPr>
          <w:rFonts w:ascii="Times New Roman" w:hAnsi="Times New Roman" w:cs="Times New Roman"/>
          <w:sz w:val="20"/>
          <w:szCs w:val="20"/>
        </w:rPr>
      </w:pPr>
    </w:p>
    <w:sectPr w:rsidR="00D36D1C" w:rsidRPr="00A44E76"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E21" w:rsidRDefault="001F1E21" w:rsidP="00C8585B">
      <w:pPr>
        <w:spacing w:after="0" w:line="240" w:lineRule="auto"/>
      </w:pPr>
      <w:r>
        <w:separator/>
      </w:r>
    </w:p>
  </w:endnote>
  <w:endnote w:type="continuationSeparator" w:id="0">
    <w:p w:rsidR="001F1E21" w:rsidRDefault="001F1E2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Content>
      <w:p w:rsidR="009B0D54" w:rsidRDefault="009B0D54">
        <w:pPr>
          <w:pStyle w:val="Piedepgina"/>
          <w:jc w:val="right"/>
        </w:pPr>
        <w:r>
          <w:fldChar w:fldCharType="begin"/>
        </w:r>
        <w:r>
          <w:instrText xml:space="preserve"> PAGE   \* MERGEFORMAT </w:instrText>
        </w:r>
        <w:r>
          <w:fldChar w:fldCharType="separate"/>
        </w:r>
        <w:r w:rsidR="00D33960">
          <w:rPr>
            <w:noProof/>
          </w:rPr>
          <w:t>20</w:t>
        </w:r>
        <w:r>
          <w:rPr>
            <w:noProof/>
          </w:rPr>
          <w:fldChar w:fldCharType="end"/>
        </w:r>
      </w:p>
    </w:sdtContent>
  </w:sdt>
  <w:p w:rsidR="009B0D54" w:rsidRPr="00C8585B" w:rsidRDefault="009B0D54"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Convención20</w:t>
    </w:r>
    <w:r>
      <w:rPr>
        <w:rFonts w:ascii="Verdana" w:hAnsi="Verdana"/>
        <w:b/>
        <w:sz w:val="16"/>
        <w:szCs w:val="16"/>
        <w:lang w:val="es-ES_tradnl"/>
      </w:rPr>
      <w:t>21</w:t>
    </w:r>
  </w:p>
  <w:p w:rsidR="009B0D54" w:rsidRPr="00C8585B" w:rsidRDefault="009B0D54"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B0D54" w:rsidRDefault="009B0D54"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E21" w:rsidRDefault="001F1E21" w:rsidP="00C8585B">
      <w:pPr>
        <w:spacing w:after="0" w:line="240" w:lineRule="auto"/>
      </w:pPr>
      <w:r>
        <w:separator/>
      </w:r>
    </w:p>
  </w:footnote>
  <w:footnote w:type="continuationSeparator" w:id="0">
    <w:p w:rsidR="001F1E21" w:rsidRDefault="001F1E21"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9B0D54" w:rsidRPr="004D77C8" w:rsidTr="00F31B37">
      <w:trPr>
        <w:trHeight w:val="1114"/>
        <w:jc w:val="center"/>
      </w:trPr>
      <w:tc>
        <w:tcPr>
          <w:tcW w:w="1425" w:type="dxa"/>
        </w:tcPr>
        <w:p w:rsidR="009B0D54" w:rsidRPr="004D77C8" w:rsidRDefault="009B0D54"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9B0D54" w:rsidRDefault="009B0D54" w:rsidP="00F31B37">
          <w:pPr>
            <w:pStyle w:val="Encabezado"/>
            <w:jc w:val="center"/>
            <w:rPr>
              <w:rFonts w:ascii="Verdana" w:hAnsi="Verdana"/>
              <w:b/>
              <w:sz w:val="16"/>
              <w:szCs w:val="16"/>
              <w:lang w:val="es-ES_tradnl"/>
            </w:rPr>
          </w:pPr>
        </w:p>
        <w:p w:rsidR="009B0D54" w:rsidRPr="00C8585B" w:rsidRDefault="009B0D54"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9B0D54" w:rsidRPr="00C8585B" w:rsidRDefault="009B0D54"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B0D54" w:rsidRPr="000A6EC7" w:rsidRDefault="009B0D54"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B0D54" w:rsidRDefault="009B0D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65944"/>
    <w:multiLevelType w:val="hybridMultilevel"/>
    <w:tmpl w:val="BBC296BA"/>
    <w:lvl w:ilvl="0" w:tplc="F59297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035BCE"/>
    <w:multiLevelType w:val="hybridMultilevel"/>
    <w:tmpl w:val="D24674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3B3556"/>
    <w:multiLevelType w:val="hybridMultilevel"/>
    <w:tmpl w:val="C512F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FB1589E"/>
    <w:multiLevelType w:val="hybridMultilevel"/>
    <w:tmpl w:val="6834F2B6"/>
    <w:lvl w:ilvl="0" w:tplc="CC8804B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3A833B9"/>
    <w:multiLevelType w:val="hybridMultilevel"/>
    <w:tmpl w:val="EB78F188"/>
    <w:lvl w:ilvl="0" w:tplc="5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45C453D"/>
    <w:multiLevelType w:val="hybridMultilevel"/>
    <w:tmpl w:val="40661B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ECA5AF8"/>
    <w:multiLevelType w:val="hybridMultilevel"/>
    <w:tmpl w:val="BB9864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9FD10A1"/>
    <w:multiLevelType w:val="hybridMultilevel"/>
    <w:tmpl w:val="670E2462"/>
    <w:lvl w:ilvl="0" w:tplc="0C0A0001">
      <w:start w:val="1"/>
      <w:numFmt w:val="bullet"/>
      <w:lvlText w:val=""/>
      <w:lvlJc w:val="left"/>
      <w:pPr>
        <w:ind w:left="1066" w:hanging="360"/>
      </w:pPr>
      <w:rPr>
        <w:rFonts w:ascii="Symbol" w:hAnsi="Symbol" w:hint="default"/>
      </w:rPr>
    </w:lvl>
    <w:lvl w:ilvl="1" w:tplc="0C0A0003" w:tentative="1">
      <w:start w:val="1"/>
      <w:numFmt w:val="bullet"/>
      <w:lvlText w:val="o"/>
      <w:lvlJc w:val="left"/>
      <w:pPr>
        <w:ind w:left="1786" w:hanging="360"/>
      </w:pPr>
      <w:rPr>
        <w:rFonts w:ascii="Courier New" w:hAnsi="Courier New" w:cs="Courier New" w:hint="default"/>
      </w:rPr>
    </w:lvl>
    <w:lvl w:ilvl="2" w:tplc="0C0A0005" w:tentative="1">
      <w:start w:val="1"/>
      <w:numFmt w:val="bullet"/>
      <w:lvlText w:val=""/>
      <w:lvlJc w:val="left"/>
      <w:pPr>
        <w:ind w:left="2506" w:hanging="360"/>
      </w:pPr>
      <w:rPr>
        <w:rFonts w:ascii="Wingdings" w:hAnsi="Wingdings" w:hint="default"/>
      </w:rPr>
    </w:lvl>
    <w:lvl w:ilvl="3" w:tplc="0C0A0001" w:tentative="1">
      <w:start w:val="1"/>
      <w:numFmt w:val="bullet"/>
      <w:lvlText w:val=""/>
      <w:lvlJc w:val="left"/>
      <w:pPr>
        <w:ind w:left="3226" w:hanging="360"/>
      </w:pPr>
      <w:rPr>
        <w:rFonts w:ascii="Symbol" w:hAnsi="Symbol" w:hint="default"/>
      </w:rPr>
    </w:lvl>
    <w:lvl w:ilvl="4" w:tplc="0C0A0003" w:tentative="1">
      <w:start w:val="1"/>
      <w:numFmt w:val="bullet"/>
      <w:lvlText w:val="o"/>
      <w:lvlJc w:val="left"/>
      <w:pPr>
        <w:ind w:left="3946" w:hanging="360"/>
      </w:pPr>
      <w:rPr>
        <w:rFonts w:ascii="Courier New" w:hAnsi="Courier New" w:cs="Courier New" w:hint="default"/>
      </w:rPr>
    </w:lvl>
    <w:lvl w:ilvl="5" w:tplc="0C0A0005" w:tentative="1">
      <w:start w:val="1"/>
      <w:numFmt w:val="bullet"/>
      <w:lvlText w:val=""/>
      <w:lvlJc w:val="left"/>
      <w:pPr>
        <w:ind w:left="4666" w:hanging="360"/>
      </w:pPr>
      <w:rPr>
        <w:rFonts w:ascii="Wingdings" w:hAnsi="Wingdings" w:hint="default"/>
      </w:rPr>
    </w:lvl>
    <w:lvl w:ilvl="6" w:tplc="0C0A0001" w:tentative="1">
      <w:start w:val="1"/>
      <w:numFmt w:val="bullet"/>
      <w:lvlText w:val=""/>
      <w:lvlJc w:val="left"/>
      <w:pPr>
        <w:ind w:left="5386" w:hanging="360"/>
      </w:pPr>
      <w:rPr>
        <w:rFonts w:ascii="Symbol" w:hAnsi="Symbol" w:hint="default"/>
      </w:rPr>
    </w:lvl>
    <w:lvl w:ilvl="7" w:tplc="0C0A0003" w:tentative="1">
      <w:start w:val="1"/>
      <w:numFmt w:val="bullet"/>
      <w:lvlText w:val="o"/>
      <w:lvlJc w:val="left"/>
      <w:pPr>
        <w:ind w:left="6106" w:hanging="360"/>
      </w:pPr>
      <w:rPr>
        <w:rFonts w:ascii="Courier New" w:hAnsi="Courier New" w:cs="Courier New" w:hint="default"/>
      </w:rPr>
    </w:lvl>
    <w:lvl w:ilvl="8" w:tplc="0C0A0005" w:tentative="1">
      <w:start w:val="1"/>
      <w:numFmt w:val="bullet"/>
      <w:lvlText w:val=""/>
      <w:lvlJc w:val="left"/>
      <w:pPr>
        <w:ind w:left="6826" w:hanging="360"/>
      </w:pPr>
      <w:rPr>
        <w:rFonts w:ascii="Wingdings" w:hAnsi="Wingdings" w:hint="default"/>
      </w:rPr>
    </w:lvl>
  </w:abstractNum>
  <w:abstractNum w:abstractNumId="8">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87E4C07"/>
    <w:multiLevelType w:val="hybridMultilevel"/>
    <w:tmpl w:val="FF4A5B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7"/>
  </w:num>
  <w:num w:numId="5">
    <w:abstractNumId w:val="3"/>
  </w:num>
  <w:num w:numId="6">
    <w:abstractNumId w:val="0"/>
  </w:num>
  <w:num w:numId="7">
    <w:abstractNumId w:val="5"/>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24172"/>
    <w:rsid w:val="00046F14"/>
    <w:rsid w:val="000A6EC7"/>
    <w:rsid w:val="000C14DC"/>
    <w:rsid w:val="00150E68"/>
    <w:rsid w:val="001A03B7"/>
    <w:rsid w:val="001F1E21"/>
    <w:rsid w:val="00267499"/>
    <w:rsid w:val="002E0882"/>
    <w:rsid w:val="002E272A"/>
    <w:rsid w:val="003070F1"/>
    <w:rsid w:val="003770B5"/>
    <w:rsid w:val="00396584"/>
    <w:rsid w:val="003B6C5C"/>
    <w:rsid w:val="00403285"/>
    <w:rsid w:val="00567BA0"/>
    <w:rsid w:val="005754D8"/>
    <w:rsid w:val="00586BD0"/>
    <w:rsid w:val="00594F19"/>
    <w:rsid w:val="006271E4"/>
    <w:rsid w:val="00667F10"/>
    <w:rsid w:val="00671849"/>
    <w:rsid w:val="00697B4B"/>
    <w:rsid w:val="007455FF"/>
    <w:rsid w:val="00746D36"/>
    <w:rsid w:val="007B74F9"/>
    <w:rsid w:val="007E4909"/>
    <w:rsid w:val="00815971"/>
    <w:rsid w:val="0088159E"/>
    <w:rsid w:val="008A1C16"/>
    <w:rsid w:val="009061A5"/>
    <w:rsid w:val="0091621C"/>
    <w:rsid w:val="00971DB0"/>
    <w:rsid w:val="009B0D54"/>
    <w:rsid w:val="009B1EF2"/>
    <w:rsid w:val="009D5E02"/>
    <w:rsid w:val="009D67CD"/>
    <w:rsid w:val="00A156A5"/>
    <w:rsid w:val="00A21A1F"/>
    <w:rsid w:val="00A23274"/>
    <w:rsid w:val="00A44E76"/>
    <w:rsid w:val="00A62A14"/>
    <w:rsid w:val="00A70941"/>
    <w:rsid w:val="00AE534B"/>
    <w:rsid w:val="00B2024E"/>
    <w:rsid w:val="00B80E97"/>
    <w:rsid w:val="00BA7E2B"/>
    <w:rsid w:val="00BC770B"/>
    <w:rsid w:val="00C13B3D"/>
    <w:rsid w:val="00C17100"/>
    <w:rsid w:val="00C3172D"/>
    <w:rsid w:val="00C8347C"/>
    <w:rsid w:val="00C8585B"/>
    <w:rsid w:val="00CD2BC3"/>
    <w:rsid w:val="00D23A7E"/>
    <w:rsid w:val="00D33960"/>
    <w:rsid w:val="00D36D1C"/>
    <w:rsid w:val="00D73DE9"/>
    <w:rsid w:val="00E40131"/>
    <w:rsid w:val="00E50782"/>
    <w:rsid w:val="00E6503A"/>
    <w:rsid w:val="00E912D0"/>
    <w:rsid w:val="00EA41E3"/>
    <w:rsid w:val="00F31B37"/>
    <w:rsid w:val="00FD5C76"/>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737C5E-16AC-4883-A8CB-11F5FB81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3">
    <w:name w:val="heading 3"/>
    <w:basedOn w:val="Normal"/>
    <w:next w:val="Normal"/>
    <w:link w:val="Ttulo3Car"/>
    <w:uiPriority w:val="9"/>
    <w:unhideWhenUsed/>
    <w:qFormat/>
    <w:rsid w:val="00C8347C"/>
    <w:pPr>
      <w:keepNext/>
      <w:spacing w:after="160" w:line="259" w:lineRule="auto"/>
      <w:jc w:val="center"/>
      <w:outlineLvl w:val="2"/>
    </w:pPr>
    <w:rPr>
      <w:rFonts w:ascii="Times New Roman" w:hAnsi="Times New Roman" w:cs="Times New Roman"/>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3Car">
    <w:name w:val="Título 3 Car"/>
    <w:basedOn w:val="Fuentedeprrafopredeter"/>
    <w:link w:val="Ttulo3"/>
    <w:uiPriority w:val="9"/>
    <w:rsid w:val="00C8347C"/>
    <w:rPr>
      <w:rFonts w:ascii="Times New Roman" w:hAnsi="Times New Roman" w:cs="Times New Roman"/>
      <w:b/>
    </w:rPr>
  </w:style>
  <w:style w:type="character" w:customStyle="1" w:styleId="PrrafodelistaCar">
    <w:name w:val="Párrafo de lista Car"/>
    <w:basedOn w:val="Fuentedeprrafopredeter"/>
    <w:link w:val="Prrafodelista"/>
    <w:uiPriority w:val="34"/>
    <w:rsid w:val="00C8347C"/>
  </w:style>
  <w:style w:type="character" w:customStyle="1" w:styleId="fontstyle01">
    <w:name w:val="fontstyle01"/>
    <w:basedOn w:val="Fuentedeprrafopredeter"/>
    <w:rsid w:val="00C8347C"/>
    <w:rPr>
      <w:rFonts w:ascii="Helvetica" w:hAnsi="Helvetica" w:cs="Helvetica" w:hint="default"/>
      <w:b w:val="0"/>
      <w:bCs w:val="0"/>
      <w:i w:val="0"/>
      <w:iCs w:val="0"/>
      <w:color w:val="000000"/>
      <w:sz w:val="24"/>
      <w:szCs w:val="24"/>
    </w:rPr>
  </w:style>
  <w:style w:type="character" w:styleId="Refdecomentario">
    <w:name w:val="annotation reference"/>
    <w:basedOn w:val="Fuentedeprrafopredeter"/>
    <w:uiPriority w:val="99"/>
    <w:semiHidden/>
    <w:unhideWhenUsed/>
    <w:rsid w:val="00C8347C"/>
    <w:rPr>
      <w:sz w:val="16"/>
      <w:szCs w:val="16"/>
    </w:rPr>
  </w:style>
  <w:style w:type="paragraph" w:styleId="Textocomentario">
    <w:name w:val="annotation text"/>
    <w:basedOn w:val="Normal"/>
    <w:link w:val="TextocomentarioCar"/>
    <w:uiPriority w:val="99"/>
    <w:unhideWhenUsed/>
    <w:rsid w:val="00C8347C"/>
    <w:pPr>
      <w:spacing w:after="160" w:line="240" w:lineRule="auto"/>
    </w:pPr>
    <w:rPr>
      <w:sz w:val="20"/>
      <w:szCs w:val="20"/>
    </w:rPr>
  </w:style>
  <w:style w:type="character" w:customStyle="1" w:styleId="TextocomentarioCar">
    <w:name w:val="Texto comentario Car"/>
    <w:basedOn w:val="Fuentedeprrafopredeter"/>
    <w:link w:val="Textocomentario"/>
    <w:uiPriority w:val="99"/>
    <w:rsid w:val="00C8347C"/>
    <w:rPr>
      <w:sz w:val="20"/>
      <w:szCs w:val="20"/>
    </w:rPr>
  </w:style>
  <w:style w:type="table" w:styleId="Tablaconcuadrcula">
    <w:name w:val="Table Grid"/>
    <w:basedOn w:val="Tablanormal"/>
    <w:uiPriority w:val="39"/>
    <w:rsid w:val="00C83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396584"/>
    <w:pPr>
      <w:spacing w:after="160" w:line="480" w:lineRule="auto"/>
      <w:ind w:firstLine="720"/>
    </w:pPr>
    <w:rPr>
      <w:rFonts w:ascii="Times New Roman" w:eastAsia="Calibri" w:hAnsi="Times New Roman" w:cs="Times New Roman"/>
      <w:sz w:val="24"/>
      <w:lang w:val="es-US"/>
    </w:rPr>
  </w:style>
  <w:style w:type="character" w:customStyle="1" w:styleId="SangradetextonormalCar">
    <w:name w:val="Sangría de texto normal Car"/>
    <w:basedOn w:val="Fuentedeprrafopredeter"/>
    <w:link w:val="Sangradetextonormal"/>
    <w:uiPriority w:val="99"/>
    <w:rsid w:val="00396584"/>
    <w:rPr>
      <w:rFonts w:ascii="Times New Roman" w:eastAsia="Calibri" w:hAnsi="Times New Roman" w:cs="Times New Roman"/>
      <w:sz w:val="24"/>
      <w:lang w:val="es-US"/>
    </w:rPr>
  </w:style>
  <w:style w:type="table" w:customStyle="1" w:styleId="Tablanormal21">
    <w:name w:val="Tabla normal 21"/>
    <w:basedOn w:val="Tablanormal"/>
    <w:uiPriority w:val="42"/>
    <w:rsid w:val="00396584"/>
    <w:pPr>
      <w:spacing w:after="0" w:line="240" w:lineRule="auto"/>
      <w:ind w:left="357" w:right="34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Anivel1">
    <w:name w:val="APA nivel 1"/>
    <w:basedOn w:val="Normal"/>
    <w:autoRedefine/>
    <w:qFormat/>
    <w:rsid w:val="00396584"/>
    <w:pPr>
      <w:spacing w:before="240" w:after="0" w:line="480" w:lineRule="auto"/>
      <w:ind w:firstLine="720"/>
      <w:outlineLvl w:val="2"/>
    </w:pPr>
    <w:rPr>
      <w:rFonts w:ascii="Times New Roman" w:hAnsi="Times New Roman" w:cs="Times New Roman"/>
      <w:b/>
      <w:sz w:val="24"/>
      <w:szCs w:val="24"/>
    </w:rPr>
  </w:style>
  <w:style w:type="paragraph" w:customStyle="1" w:styleId="APAnivel4">
    <w:name w:val="APA nivel 4"/>
    <w:basedOn w:val="Normal"/>
    <w:autoRedefine/>
    <w:qFormat/>
    <w:rsid w:val="00E6503A"/>
    <w:pPr>
      <w:spacing w:after="0" w:line="360" w:lineRule="auto"/>
      <w:ind w:firstLine="720"/>
      <w:jc w:val="both"/>
      <w:outlineLvl w:val="3"/>
    </w:pPr>
    <w:rPr>
      <w:rFonts w:ascii="Times New Roman" w:hAnsi="Times New Roman" w:cs="Times New Roman"/>
      <w:sz w:val="24"/>
      <w:szCs w:val="24"/>
    </w:rPr>
  </w:style>
  <w:style w:type="paragraph" w:customStyle="1" w:styleId="EndNoteBibliography">
    <w:name w:val="EndNote Bibliography"/>
    <w:basedOn w:val="Normal"/>
    <w:link w:val="EndNoteBibliographyCar"/>
    <w:rsid w:val="00396584"/>
    <w:pPr>
      <w:spacing w:after="160" w:line="480" w:lineRule="auto"/>
    </w:pPr>
    <w:rPr>
      <w:rFonts w:ascii="Times New Roman" w:hAnsi="Times New Roman" w:cs="Times New Roman"/>
      <w:noProof/>
      <w:sz w:val="24"/>
      <w:lang w:val="en-US"/>
    </w:rPr>
  </w:style>
  <w:style w:type="character" w:customStyle="1" w:styleId="EndNoteBibliographyCar">
    <w:name w:val="EndNote Bibliography Car"/>
    <w:basedOn w:val="Fuentedeprrafopredeter"/>
    <w:link w:val="EndNoteBibliography"/>
    <w:rsid w:val="00396584"/>
    <w:rPr>
      <w:rFonts w:ascii="Times New Roman" w:hAnsi="Times New Roman" w:cs="Times New Roman"/>
      <w:noProof/>
      <w:sz w:val="24"/>
      <w:lang w:val="en-US"/>
    </w:rPr>
  </w:style>
  <w:style w:type="character" w:customStyle="1" w:styleId="fontstyle21">
    <w:name w:val="fontstyle21"/>
    <w:basedOn w:val="Fuentedeprrafopredeter"/>
    <w:rsid w:val="00697B4B"/>
    <w:rPr>
      <w:rFonts w:ascii="Cambria" w:hAnsi="Cambria" w:hint="default"/>
      <w:b w:val="0"/>
      <w:bCs w:val="0"/>
      <w:i/>
      <w:iCs/>
      <w:color w:val="000000"/>
      <w:sz w:val="32"/>
      <w:szCs w:val="32"/>
    </w:rPr>
  </w:style>
  <w:style w:type="paragraph" w:customStyle="1" w:styleId="APAnivel2">
    <w:name w:val="APA nivel 2"/>
    <w:basedOn w:val="Normal"/>
    <w:autoRedefine/>
    <w:uiPriority w:val="99"/>
    <w:qFormat/>
    <w:rsid w:val="00746D36"/>
    <w:pPr>
      <w:spacing w:after="0" w:line="480" w:lineRule="auto"/>
    </w:pPr>
    <w:rPr>
      <w:rFonts w:ascii="Times New Roman" w:hAnsi="Times New Roman"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ernandez@uclv.cu" TargetMode="External"/><Relationship Id="rId13" Type="http://schemas.openxmlformats.org/officeDocument/2006/relationships/hyperlink" Target="mailto:darcairo@uclv.c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ilin.fabregat@nauta.cu" TargetMode="External"/><Relationship Id="rId12" Type="http://schemas.openxmlformats.org/officeDocument/2006/relationships/hyperlink" Target="mailto:lamedina@uclv.c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pcomillas.es/personal/peter/investigacion/Tama%F1oMuestra.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quesada@uclv.cu" TargetMode="External"/><Relationship Id="rId5" Type="http://schemas.openxmlformats.org/officeDocument/2006/relationships/footnotes" Target="footnotes.xml"/><Relationship Id="rId15" Type="http://schemas.openxmlformats.org/officeDocument/2006/relationships/hyperlink" Target="https://www.alz.co.uk/sites/default/files/pdfs/dementia-in-the-americasSPANISH.pdf" TargetMode="External"/><Relationship Id="rId10" Type="http://schemas.openxmlformats.org/officeDocument/2006/relationships/hyperlink" Target="mailto:yunierbp@uclv.edu.c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jimenez@uclv.cu" TargetMode="External"/><Relationship Id="rId14" Type="http://schemas.openxmlformats.org/officeDocument/2006/relationships/hyperlink" Target="https://doi.org/10.1016/j.nrl.2018.03.0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21</Pages>
  <Words>11312</Words>
  <Characters>62220</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73386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Zole</cp:lastModifiedBy>
  <cp:revision>12</cp:revision>
  <cp:lastPrinted>2021-10-01T02:20:00Z</cp:lastPrinted>
  <dcterms:created xsi:type="dcterms:W3CDTF">2021-05-14T03:18:00Z</dcterms:created>
  <dcterms:modified xsi:type="dcterms:W3CDTF">2021-10-01T02:21:00Z</dcterms:modified>
</cp:coreProperties>
</file>