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4A409B"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de Industria y Energía</w:t>
      </w:r>
    </w:p>
    <w:p w:rsidR="00E912D0" w:rsidRDefault="00E912D0" w:rsidP="00667F10">
      <w:pPr>
        <w:spacing w:after="0"/>
        <w:jc w:val="center"/>
        <w:rPr>
          <w:rFonts w:ascii="Times New Roman" w:hAnsi="Times New Roman" w:cs="Times New Roman"/>
          <w:b/>
          <w:sz w:val="24"/>
          <w:szCs w:val="24"/>
        </w:rPr>
      </w:pPr>
    </w:p>
    <w:p w:rsidR="008A1C16" w:rsidRPr="009D5E02" w:rsidRDefault="008A1C16" w:rsidP="004A409B">
      <w:pPr>
        <w:spacing w:after="0"/>
        <w:rPr>
          <w:rFonts w:ascii="Times New Roman" w:hAnsi="Times New Roman" w:cs="Times New Roman"/>
          <w:b/>
          <w:sz w:val="28"/>
          <w:szCs w:val="28"/>
        </w:rPr>
      </w:pPr>
    </w:p>
    <w:p w:rsidR="00DF5EAF" w:rsidRPr="009758E4" w:rsidRDefault="00DF5EAF" w:rsidP="00DF5EAF">
      <w:pPr>
        <w:jc w:val="center"/>
        <w:rPr>
          <w:rFonts w:ascii="Times New Roman" w:hAnsi="Times New Roman" w:cs="Times New Roman"/>
          <w:b/>
          <w:sz w:val="28"/>
          <w:lang w:val="en-US"/>
        </w:rPr>
      </w:pPr>
      <w:r w:rsidRPr="009758E4">
        <w:rPr>
          <w:rFonts w:ascii="Times New Roman" w:hAnsi="Times New Roman" w:cs="Times New Roman"/>
          <w:b/>
          <w:sz w:val="28"/>
          <w:lang w:val="en-US"/>
        </w:rPr>
        <w:t>Software for calculating technical efficiency by Data Envelopment Analysis (DEA)</w:t>
      </w:r>
    </w:p>
    <w:p w:rsidR="00DF5EAF" w:rsidRPr="009758E4" w:rsidRDefault="00DF5EAF" w:rsidP="00DF5EAF">
      <w:pPr>
        <w:spacing w:after="0" w:line="360" w:lineRule="auto"/>
        <w:rPr>
          <w:rFonts w:ascii="Times New Roman" w:hAnsi="Times New Roman" w:cs="Times New Roman"/>
          <w:b/>
          <w:sz w:val="24"/>
          <w:szCs w:val="24"/>
          <w:lang w:val="en-US"/>
        </w:rPr>
      </w:pPr>
      <w:bookmarkStart w:id="0" w:name="_GoBack"/>
      <w:bookmarkEnd w:id="0"/>
    </w:p>
    <w:p w:rsidR="00DF5EAF" w:rsidRDefault="00DF5EAF" w:rsidP="00DF5EAF">
      <w:pPr>
        <w:jc w:val="center"/>
        <w:rPr>
          <w:rFonts w:ascii="Times New Roman" w:hAnsi="Times New Roman" w:cs="Times New Roman"/>
          <w:b/>
          <w:sz w:val="24"/>
          <w:szCs w:val="24"/>
        </w:rPr>
      </w:pPr>
      <w:r>
        <w:rPr>
          <w:rFonts w:ascii="Times New Roman" w:hAnsi="Times New Roman" w:cs="Times New Roman"/>
          <w:b/>
          <w:sz w:val="24"/>
          <w:szCs w:val="24"/>
        </w:rPr>
        <w:t xml:space="preserve">DrC. </w:t>
      </w:r>
      <w:r w:rsidRPr="003D7AB7">
        <w:rPr>
          <w:rFonts w:ascii="Times New Roman" w:hAnsi="Times New Roman" w:cs="Times New Roman"/>
          <w:b/>
          <w:sz w:val="24"/>
          <w:szCs w:val="24"/>
        </w:rPr>
        <w:t xml:space="preserve">Andrey Vinajera-Zamora </w:t>
      </w:r>
      <w:r w:rsidRPr="003D7AB7">
        <w:rPr>
          <w:rFonts w:ascii="Times New Roman" w:hAnsi="Times New Roman" w:cs="Times New Roman"/>
          <w:b/>
          <w:sz w:val="24"/>
          <w:szCs w:val="24"/>
          <w:vertAlign w:val="superscript"/>
        </w:rPr>
        <w:t>1</w:t>
      </w:r>
      <w:r w:rsidRPr="003D7AB7">
        <w:rPr>
          <w:rFonts w:ascii="Times New Roman" w:hAnsi="Times New Roman" w:cs="Times New Roman"/>
          <w:b/>
          <w:sz w:val="24"/>
          <w:szCs w:val="24"/>
        </w:rPr>
        <w:t xml:space="preserve">, </w:t>
      </w:r>
      <w:r>
        <w:rPr>
          <w:rFonts w:ascii="Times New Roman" w:hAnsi="Times New Roman" w:cs="Times New Roman"/>
          <w:b/>
          <w:sz w:val="24"/>
          <w:szCs w:val="24"/>
        </w:rPr>
        <w:t xml:space="preserve">MsC. </w:t>
      </w:r>
      <w:r w:rsidRPr="003D7AB7">
        <w:rPr>
          <w:rFonts w:ascii="Times New Roman" w:hAnsi="Times New Roman" w:cs="Times New Roman"/>
          <w:b/>
          <w:sz w:val="24"/>
          <w:szCs w:val="24"/>
        </w:rPr>
        <w:t xml:space="preserve">Lissette Concepción-Maure </w:t>
      </w:r>
      <w:r w:rsidRPr="003D7AB7">
        <w:rPr>
          <w:rFonts w:ascii="Times New Roman" w:hAnsi="Times New Roman" w:cs="Times New Roman"/>
          <w:b/>
          <w:sz w:val="24"/>
          <w:szCs w:val="24"/>
          <w:vertAlign w:val="superscript"/>
        </w:rPr>
        <w:t>2</w:t>
      </w:r>
      <w:r w:rsidRPr="003D7AB7">
        <w:rPr>
          <w:rFonts w:ascii="Times New Roman" w:hAnsi="Times New Roman" w:cs="Times New Roman"/>
          <w:b/>
          <w:sz w:val="24"/>
          <w:szCs w:val="24"/>
        </w:rPr>
        <w:t>,</w:t>
      </w:r>
    </w:p>
    <w:p w:rsidR="00DF5EAF" w:rsidRPr="003D7AB7" w:rsidRDefault="00DF5EAF" w:rsidP="00DF5EAF">
      <w:pPr>
        <w:jc w:val="center"/>
        <w:rPr>
          <w:rFonts w:ascii="Times New Roman" w:hAnsi="Times New Roman" w:cs="Times New Roman"/>
          <w:b/>
          <w:sz w:val="24"/>
          <w:szCs w:val="24"/>
          <w:vertAlign w:val="superscript"/>
        </w:rPr>
      </w:pPr>
      <w:r w:rsidRPr="003D7AB7">
        <w:rPr>
          <w:rFonts w:ascii="Times New Roman" w:hAnsi="Times New Roman" w:cs="Times New Roman"/>
          <w:b/>
          <w:sz w:val="24"/>
          <w:szCs w:val="24"/>
        </w:rPr>
        <w:t xml:space="preserve"> </w:t>
      </w:r>
      <w:r>
        <w:rPr>
          <w:rFonts w:ascii="Times New Roman" w:hAnsi="Times New Roman" w:cs="Times New Roman"/>
          <w:b/>
          <w:sz w:val="24"/>
          <w:szCs w:val="24"/>
        </w:rPr>
        <w:t xml:space="preserve">DrC. </w:t>
      </w:r>
      <w:r w:rsidRPr="003D7AB7">
        <w:rPr>
          <w:rFonts w:ascii="Times New Roman" w:hAnsi="Times New Roman" w:cs="Times New Roman"/>
          <w:b/>
          <w:sz w:val="24"/>
          <w:szCs w:val="24"/>
        </w:rPr>
        <w:t>Norge Coello-Machado</w:t>
      </w:r>
      <w:r w:rsidRPr="003D7AB7">
        <w:rPr>
          <w:rFonts w:ascii="Times New Roman" w:hAnsi="Times New Roman" w:cs="Times New Roman"/>
          <w:b/>
          <w:sz w:val="24"/>
          <w:szCs w:val="24"/>
          <w:vertAlign w:val="superscript"/>
        </w:rPr>
        <w:t>3</w:t>
      </w:r>
      <w:r w:rsidRPr="003D7AB7">
        <w:rPr>
          <w:rFonts w:ascii="Times New Roman" w:hAnsi="Times New Roman" w:cs="Times New Roman"/>
          <w:b/>
          <w:sz w:val="24"/>
          <w:szCs w:val="24"/>
        </w:rPr>
        <w:t xml:space="preserve">, </w:t>
      </w:r>
      <w:r>
        <w:rPr>
          <w:rFonts w:ascii="Times New Roman" w:hAnsi="Times New Roman" w:cs="Times New Roman"/>
          <w:b/>
          <w:sz w:val="24"/>
          <w:szCs w:val="24"/>
        </w:rPr>
        <w:t xml:space="preserve">DrC. </w:t>
      </w:r>
      <w:r w:rsidRPr="003D7AB7">
        <w:rPr>
          <w:rFonts w:ascii="Times New Roman" w:hAnsi="Times New Roman" w:cs="Times New Roman"/>
          <w:b/>
          <w:sz w:val="24"/>
          <w:szCs w:val="24"/>
        </w:rPr>
        <w:t>Elke Glistau</w:t>
      </w:r>
      <w:r w:rsidRPr="003D7AB7">
        <w:rPr>
          <w:rFonts w:ascii="Times New Roman" w:hAnsi="Times New Roman" w:cs="Times New Roman"/>
          <w:b/>
          <w:sz w:val="24"/>
          <w:szCs w:val="24"/>
          <w:vertAlign w:val="superscript"/>
        </w:rPr>
        <w:t>4</w:t>
      </w:r>
    </w:p>
    <w:p w:rsidR="00DF5EAF" w:rsidRDefault="00DF5EAF" w:rsidP="00DF5EAF">
      <w:pPr>
        <w:pStyle w:val="ListParagraph"/>
        <w:numPr>
          <w:ilvl w:val="0"/>
          <w:numId w:val="4"/>
        </w:numPr>
        <w:tabs>
          <w:tab w:val="left" w:pos="284"/>
        </w:tabs>
        <w:spacing w:after="0" w:line="360" w:lineRule="auto"/>
        <w:ind w:left="142" w:hanging="142"/>
        <w:rPr>
          <w:rFonts w:ascii="Times New Roman" w:hAnsi="Times New Roman" w:cs="Times New Roman"/>
          <w:sz w:val="24"/>
          <w:szCs w:val="24"/>
        </w:rPr>
      </w:pPr>
      <w:r>
        <w:rPr>
          <w:rFonts w:ascii="Times New Roman" w:hAnsi="Times New Roman" w:cs="Times New Roman"/>
          <w:sz w:val="24"/>
          <w:szCs w:val="24"/>
        </w:rPr>
        <w:t>Universidad Central “Marta Abreu” de Las Villas</w:t>
      </w:r>
      <w:r w:rsidRPr="003D7AB7">
        <w:rPr>
          <w:rFonts w:ascii="Times New Roman" w:hAnsi="Times New Roman" w:cs="Times New Roman"/>
          <w:sz w:val="24"/>
          <w:szCs w:val="24"/>
        </w:rPr>
        <w:t xml:space="preserve">, </w:t>
      </w:r>
      <w:r>
        <w:rPr>
          <w:rFonts w:ascii="Times New Roman" w:hAnsi="Times New Roman" w:cs="Times New Roman"/>
          <w:sz w:val="24"/>
          <w:szCs w:val="24"/>
        </w:rPr>
        <w:t xml:space="preserve">Cuba. </w:t>
      </w:r>
      <w:r w:rsidRPr="003D7AB7">
        <w:t xml:space="preserve"> </w:t>
      </w:r>
      <w:hyperlink r:id="rId7" w:history="1">
        <w:r w:rsidRPr="000401F6">
          <w:rPr>
            <w:rStyle w:val="Hyperlink"/>
            <w:rFonts w:ascii="Times New Roman" w:hAnsi="Times New Roman" w:cs="Times New Roman"/>
            <w:sz w:val="24"/>
            <w:szCs w:val="24"/>
          </w:rPr>
          <w:t>andreyvz@uclv.edu.cu</w:t>
        </w:r>
      </w:hyperlink>
    </w:p>
    <w:p w:rsidR="00DF5EAF" w:rsidRPr="003D7AB7" w:rsidRDefault="00DF5EAF" w:rsidP="00DF5EAF">
      <w:pPr>
        <w:pStyle w:val="ListParagraph"/>
        <w:numPr>
          <w:ilvl w:val="0"/>
          <w:numId w:val="4"/>
        </w:numPr>
        <w:tabs>
          <w:tab w:val="left" w:pos="284"/>
        </w:tabs>
        <w:spacing w:after="0" w:line="360" w:lineRule="auto"/>
        <w:ind w:left="142" w:hanging="142"/>
        <w:rPr>
          <w:rStyle w:val="Hyperlink"/>
          <w:rFonts w:ascii="Times New Roman" w:hAnsi="Times New Roman" w:cs="Times New Roman"/>
          <w:color w:val="auto"/>
          <w:sz w:val="24"/>
          <w:szCs w:val="24"/>
          <w:u w:val="none"/>
        </w:rPr>
      </w:pPr>
      <w:r w:rsidRPr="003D7AB7">
        <w:rPr>
          <w:rFonts w:ascii="Times New Roman" w:hAnsi="Times New Roman" w:cs="Times New Roman"/>
          <w:sz w:val="24"/>
          <w:szCs w:val="24"/>
        </w:rPr>
        <w:t xml:space="preserve">Universidad Central “Marta Abreu” de Las Villas, Cuba. </w:t>
      </w:r>
      <w:r w:rsidRPr="003D7AB7">
        <w:t xml:space="preserve"> </w:t>
      </w:r>
      <w:hyperlink r:id="rId8" w:history="1">
        <w:r w:rsidRPr="003D7AB7">
          <w:rPr>
            <w:rStyle w:val="Hyperlink"/>
            <w:rFonts w:ascii="Times New Roman" w:hAnsi="Times New Roman" w:cs="Times New Roman"/>
            <w:sz w:val="24"/>
            <w:szCs w:val="24"/>
          </w:rPr>
          <w:t>lissette@uclv.cu</w:t>
        </w:r>
      </w:hyperlink>
    </w:p>
    <w:p w:rsidR="00DF5EAF" w:rsidRPr="003D7AB7" w:rsidRDefault="00DF5EAF" w:rsidP="00DF5EAF">
      <w:pPr>
        <w:pStyle w:val="ListParagraph"/>
        <w:numPr>
          <w:ilvl w:val="0"/>
          <w:numId w:val="4"/>
        </w:numPr>
        <w:tabs>
          <w:tab w:val="left" w:pos="284"/>
        </w:tabs>
        <w:spacing w:after="0" w:line="360" w:lineRule="auto"/>
        <w:ind w:left="142" w:hanging="142"/>
        <w:rPr>
          <w:rStyle w:val="Hyperlink"/>
          <w:rFonts w:ascii="Times New Roman" w:hAnsi="Times New Roman" w:cs="Times New Roman"/>
          <w:color w:val="auto"/>
          <w:sz w:val="24"/>
          <w:szCs w:val="24"/>
          <w:u w:val="none"/>
        </w:rPr>
      </w:pPr>
      <w:r w:rsidRPr="003D7AB7">
        <w:rPr>
          <w:rFonts w:ascii="Times New Roman" w:hAnsi="Times New Roman" w:cs="Times New Roman"/>
          <w:sz w:val="24"/>
          <w:szCs w:val="24"/>
        </w:rPr>
        <w:t xml:space="preserve">Universidad Central “Marta Abreu” de Las Villas, Cuba. </w:t>
      </w:r>
      <w:r w:rsidRPr="003D7AB7">
        <w:t xml:space="preserve"> </w:t>
      </w:r>
      <w:hyperlink r:id="rId9" w:history="1">
        <w:r w:rsidRPr="003D7AB7">
          <w:rPr>
            <w:rStyle w:val="Hyperlink"/>
            <w:rFonts w:ascii="Times New Roman" w:hAnsi="Times New Roman" w:cs="Times New Roman"/>
            <w:sz w:val="24"/>
            <w:szCs w:val="24"/>
          </w:rPr>
          <w:t>norgec@uclv.edu.cu</w:t>
        </w:r>
      </w:hyperlink>
    </w:p>
    <w:p w:rsidR="00DF5EAF" w:rsidRDefault="00DF5EAF" w:rsidP="00DF5EAF">
      <w:pPr>
        <w:pStyle w:val="ListParagraph"/>
        <w:numPr>
          <w:ilvl w:val="0"/>
          <w:numId w:val="4"/>
        </w:numPr>
        <w:tabs>
          <w:tab w:val="left" w:pos="284"/>
        </w:tabs>
        <w:spacing w:after="0" w:line="360" w:lineRule="auto"/>
        <w:ind w:left="142" w:hanging="142"/>
        <w:rPr>
          <w:rFonts w:ascii="Times New Roman" w:hAnsi="Times New Roman" w:cs="Times New Roman"/>
          <w:sz w:val="24"/>
          <w:szCs w:val="24"/>
        </w:rPr>
      </w:pPr>
      <w:r w:rsidRPr="009758E4">
        <w:rPr>
          <w:rFonts w:ascii="Times New Roman" w:hAnsi="Times New Roman" w:cs="Times New Roman"/>
          <w:sz w:val="24"/>
          <w:szCs w:val="24"/>
          <w:lang w:val="en-US"/>
        </w:rPr>
        <w:t xml:space="preserve">Otto von Guericke University Magdeburg. </w:t>
      </w:r>
      <w:r w:rsidRPr="003D7AB7">
        <w:rPr>
          <w:rFonts w:ascii="Times New Roman" w:hAnsi="Times New Roman" w:cs="Times New Roman"/>
          <w:sz w:val="24"/>
          <w:szCs w:val="24"/>
        </w:rPr>
        <w:t>Germany</w:t>
      </w:r>
      <w:r>
        <w:rPr>
          <w:rFonts w:ascii="Times New Roman" w:hAnsi="Times New Roman" w:cs="Times New Roman"/>
          <w:sz w:val="24"/>
          <w:szCs w:val="24"/>
        </w:rPr>
        <w:t xml:space="preserve">. </w:t>
      </w:r>
      <w:hyperlink r:id="rId10" w:history="1">
        <w:r w:rsidRPr="000401F6">
          <w:rPr>
            <w:rStyle w:val="Hyperlink"/>
            <w:rFonts w:ascii="Times New Roman" w:hAnsi="Times New Roman" w:cs="Times New Roman"/>
            <w:sz w:val="24"/>
            <w:szCs w:val="24"/>
          </w:rPr>
          <w:t>elke.glistau@ovgu.de</w:t>
        </w:r>
      </w:hyperlink>
    </w:p>
    <w:p w:rsidR="00DF5EAF" w:rsidRDefault="00DF5EAF" w:rsidP="00DF5EAF">
      <w:pPr>
        <w:spacing w:after="0" w:line="360" w:lineRule="auto"/>
        <w:jc w:val="both"/>
        <w:rPr>
          <w:rFonts w:ascii="Times New Roman" w:hAnsi="Times New Roman" w:cs="Times New Roman"/>
          <w:b/>
          <w:sz w:val="24"/>
          <w:szCs w:val="24"/>
        </w:rPr>
      </w:pPr>
    </w:p>
    <w:p w:rsidR="00DF5EAF" w:rsidRDefault="00DF5EAF" w:rsidP="00DF5E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DF5EAF" w:rsidRPr="00EB28AC" w:rsidRDefault="00DF5EAF" w:rsidP="00DF5EAF">
      <w:pPr>
        <w:spacing w:after="0" w:line="360" w:lineRule="auto"/>
        <w:jc w:val="both"/>
        <w:rPr>
          <w:rFonts w:ascii="Times New Roman" w:hAnsi="Times New Roman" w:cs="Times New Roman"/>
          <w:b/>
          <w:sz w:val="24"/>
          <w:szCs w:val="24"/>
          <w:lang w:val="en-US"/>
        </w:rPr>
      </w:pPr>
      <w:r w:rsidRPr="00EB28AC">
        <w:rPr>
          <w:rFonts w:ascii="Times New Roman" w:hAnsi="Times New Roman" w:cs="Times New Roman"/>
          <w:color w:val="000000"/>
          <w:sz w:val="24"/>
          <w:szCs w:val="24"/>
          <w:shd w:val="clear" w:color="auto" w:fill="FFFFFF"/>
          <w:lang w:val="en-US"/>
        </w:rPr>
        <w:t>The technical efficiency is an important element for growing and development of companies, organizations and supply chains. Many researches calculate the technical efficiency for evaluation and diagnosis the different variable using Data Envelopment Analysis (DEA) model. Researchers can use different programs to solve the different DEA model. To use this software, knowledge about their operation is necessary to obtain the model solution and calculate the efficiency; in other cases, they have commercial characteristics that limit access to a few people. On the other hand, non-commercial programs have some limitations according to the quantity of DMU and/or input/outputs. According to this problem, the main objective of this paper is to propose an informatics tool DEA 1.0 (developed with Python 3.6) which one only needs the input data to make all calculation and get technical efficiency. Also, identify the Making Decisions Unit (DMU) with lower technical efficiency and higher one. At the same time, this tool allows the export of the table results in a Microsoft Excel file or as code for LATEX.</w:t>
      </w:r>
    </w:p>
    <w:p w:rsidR="00DF5EAF" w:rsidRPr="009758E4" w:rsidRDefault="00DF5EAF" w:rsidP="00DF5EAF">
      <w:pPr>
        <w:jc w:val="both"/>
        <w:rPr>
          <w:rFonts w:ascii="Times New Roman" w:hAnsi="Times New Roman" w:cs="Times New Roman"/>
          <w:sz w:val="24"/>
          <w:szCs w:val="24"/>
          <w:lang w:val="en-US"/>
        </w:rPr>
      </w:pPr>
      <w:r w:rsidRPr="009758E4">
        <w:rPr>
          <w:rFonts w:ascii="Times New Roman" w:hAnsi="Times New Roman" w:cs="Times New Roman"/>
          <w:b/>
          <w:sz w:val="24"/>
          <w:szCs w:val="24"/>
          <w:lang w:val="en-US"/>
        </w:rPr>
        <w:t>Keywords:</w:t>
      </w:r>
      <w:r w:rsidRPr="009758E4">
        <w:rPr>
          <w:rFonts w:ascii="Times New Roman" w:hAnsi="Times New Roman" w:cs="Times New Roman"/>
          <w:sz w:val="24"/>
          <w:szCs w:val="24"/>
          <w:lang w:val="en-US"/>
        </w:rPr>
        <w:t xml:space="preserve"> Data Envelop</w:t>
      </w:r>
      <w:r>
        <w:rPr>
          <w:rFonts w:ascii="Times New Roman" w:hAnsi="Times New Roman" w:cs="Times New Roman"/>
          <w:sz w:val="24"/>
          <w:szCs w:val="24"/>
          <w:lang w:val="en-US"/>
        </w:rPr>
        <w:t>ment Analysis; DEA; Software; Optimization’s Tool;</w:t>
      </w:r>
      <w:r w:rsidRPr="009758E4">
        <w:rPr>
          <w:rFonts w:ascii="Times New Roman" w:hAnsi="Times New Roman" w:cs="Times New Roman"/>
          <w:sz w:val="24"/>
          <w:szCs w:val="24"/>
          <w:lang w:val="en-US"/>
        </w:rPr>
        <w:t xml:space="preserve"> Technical Efficiency; MLB Pitching’s Performance</w:t>
      </w:r>
    </w:p>
    <w:p w:rsidR="00DF5EAF" w:rsidRPr="009758E4" w:rsidRDefault="00DF5EAF" w:rsidP="00DF5EAF">
      <w:pPr>
        <w:spacing w:after="0" w:line="360" w:lineRule="auto"/>
        <w:jc w:val="both"/>
        <w:rPr>
          <w:rFonts w:ascii="Times New Roman" w:hAnsi="Times New Roman" w:cs="Times New Roman"/>
          <w:b/>
          <w:sz w:val="24"/>
          <w:szCs w:val="24"/>
          <w:lang w:val="en-US"/>
        </w:rPr>
      </w:pPr>
      <w:r w:rsidRPr="009758E4">
        <w:rPr>
          <w:rFonts w:ascii="Times New Roman" w:hAnsi="Times New Roman" w:cs="Times New Roman"/>
          <w:b/>
          <w:sz w:val="24"/>
          <w:szCs w:val="24"/>
          <w:lang w:val="en-US"/>
        </w:rPr>
        <w:t>1. Introduction</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lastRenderedPageBreak/>
        <w:t xml:space="preserve">Efficiency measurement has been a subject of tremendous interest as organizations have struggled to improve productivity. Reasons for this focus were best stated fifty years ago by </w:t>
      </w:r>
      <w:r w:rsidRPr="00EB4EB7">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{"citationItems":[{"id":"ITEM-1","itemData":{"ISBN":"0035-9238","author":[{"dropping-particle":"","family":"Farrell","given":"Michael James","non-dropping-particle":"","parse-names":false,"suffix":""}],"container-title":"Journal of the Royal Statistical Society. Series A (General)","id":"ITEM-1","issued":{"date-parts":[["1957"]]},"page":"253-290","title":"The measurement of productive efficiency","type":"article-journal"},"uris":["http://www.mendeley.com/documents/?uuid=5ae365d1-9097-42ef-a919-6df535d7cae3"]}],"mendeley":{"formattedCitation":"(Farrell, 1957)","manualFormatting":"Farrell (1957)","plainTextFormattedCitation":"(Farrell, 1957)","previouslyFormattedCitation":"(Farrell, 1957)"},"properties":{"noteIndex":0},"schema":"https://github.com/citation-style-language/schema/raw/master/csl-citation.json"}</w:instrText>
      </w:r>
      <w:r w:rsidRPr="00EB4EB7">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Farrell (1957)</w:t>
      </w:r>
      <w:r w:rsidRPr="00EB4EB7">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in his classic paper on the measurement of productive efficiency. Twenty years after Farrell’s seminal work, and building on those ideas, </w:t>
      </w:r>
      <w:r w:rsidRPr="00EB4EB7">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{"citationItems":[{"id":"ITEM-1","itemData":{"ISBN":"0377-2217","author":[{"dropping-particle":"","family":"Charnes","given":"Abraham","non-dropping-particle":"","parse-names":false,"suffix":""},{"dropping-particle":"","family":"Cooper","given":"William W","non-dropping-particle":"","parse-names":false,"suffix":""},{"dropping-particle":"","family":"Rhodes","given":"Edwardo","non-dropping-particle":"","parse-names":false,"suffix":""}],"container-title":"European Journal of Operational Research","id":"ITEM-1","issue":"6","issued":{"date-parts":[["1978"]]},"page":"429-444","title":"Measuring the efficiency of decision making units","type":"article-journal","volume":"2"},"uris":["http://www.mendeley.com/documents/?uuid=2dcad691-00b2-4c96-ab7e-cc5bdeaa6cb8"]}],"mendeley":{"formattedCitation":"(Charnes, Cooper, &amp; Rhodes, 1978)","manualFormatting":"Charnes et al. (1978)","plainTextFormattedCitation":"(Charnes, Cooper, &amp; Rhodes, 1978)","previouslyFormattedCitation":"(Charnes, Cooper, &amp; Rhodes, 1978)"},"properties":{"noteIndex":0},"schema":"https://github.com/citation-style-language/schema/raw/master/csl-citation.json"}</w:instrText>
      </w:r>
      <w:r w:rsidRPr="00EB4EB7">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Charnes et al. (1978)</w:t>
      </w:r>
      <w:r w:rsidRPr="00EB4EB7">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responding to the need for satisfactory procedures to assess the relative efficiencies of multi-input multi-output production units, introduced a powerful methodology which has subsequently been titled data envelopment analysis (DEA) </w:t>
      </w:r>
      <w:r w:rsidRPr="00EB4EB7">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{"citationItems":[{"id":"ITEM-1","itemData":{"ISBN":"0377-2217","author":[{"dropping-particle":"","family":"Cook","given":"Wade D","non-dropping-particle":"","parse-names":false,"suffix":""},{"dropping-particle":"","family":"Seiford","given":"Larry M","non-dropping-particle":"","parse-names":false,"suffix":""}],"container-title":"European Journal of Operational Research","id":"ITEM-1","issue":"1","issued":{"date-parts":[["2009"]]},"page":"1-17","title":"Data envelopment analysis (DEA)–Thirty years on","type":"article-journal","volume":"192"},"uris":["http://www.mendeley.com/documents/?uuid=5f15ebe7-caba-4c89-a338-4e1e2b9529bc"]}],"mendeley":{"formattedCitation":"(Cook &amp; Seiford, 2009)","plainTextFormattedCitation":"(Cook &amp; Seiford, 2009)","previouslyFormattedCitation":"(Cook &amp; Seiford, 2009)"},"properties":{"noteIndex":0},"schema":"https://github.com/citation-style-language/schema/raw/master/csl-citation.json"}</w:instrText>
      </w:r>
      <w:r w:rsidRPr="00EB4EB7">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(Cook &amp; Seiford, 2009)</w:t>
      </w:r>
      <w:r w:rsidRPr="00EB4EB7">
        <w:rPr>
          <w:rFonts w:ascii="Times New Roman" w:hAnsi="Times New Roman" w:cs="Times New Roman"/>
          <w:sz w:val="24"/>
          <w:szCs w:val="24"/>
        </w:rPr>
        <w:fldChar w:fldCharType="end"/>
      </w:r>
      <w:r w:rsidRPr="009758E4">
        <w:rPr>
          <w:rFonts w:ascii="Times New Roman" w:hAnsi="Times New Roman" w:cs="Times New Roman"/>
          <w:sz w:val="24"/>
          <w:szCs w:val="24"/>
          <w:lang w:val="en-US"/>
        </w:rPr>
        <w:t>.</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 xml:space="preserve">DEA is a linear programming technique for measuring the relative efficiency of decision making units (DMU) on the basis of multiple inputs and multiple outputs. The efficiency is measured in a bounded ratio scale by the fraction “weighted output” to “weighted input”. The inputs and outputs are assumed to be continuous positive variables and the weights are estimated in favor of each evaluated unit so as to maximize its efficiency </w:t>
      </w:r>
      <w:r w:rsidRPr="00EB4EB7">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{"citationItems":[{"id":"ITEM-1","itemData":{"ISBN":"0096-3003","author":[{"dropping-particle":"","family":"Smirlis","given":"Yannis G","non-dropping-particle":"","parse-names":false,"suffix":""},{"dropping-particle":"","family":"Maragos","given":"Elias K","non-dropping-particle":"","parse-names":false,"suffix":""},{"dropping-particle":"","family":"Despotis","given":"Dimitris K","non-dropping-particle":"","parse-names":false,"suffix":""}],"container-title":"Applied Mathematics and Computation","id":"ITEM-1","issue":"1","issued":{"date-parts":[["2006"]]},"page":"1-10","title":"Data envelopment analysis with missing values: an interval DEA approach","type":"article-journal","volume":"177"},"uris":["http://www.mendeley.com/documents/?uuid=9856bfb5-0427-4ecb-9e82-5b1a596f0b35"]}],"mendeley":{"formattedCitation":"(Smirlis, Maragos, &amp; Despotis, 2006)","manualFormatting":"(Smirlis et al., 2006)","plainTextFormattedCitation":"(Smirlis, Maragos, &amp; Despotis, 2006)","previouslyFormattedCitation":"(Smirlis, Maragos, &amp; Despotis, 2006)"},"properties":{"noteIndex":0},"schema":"https://github.com/citation-style-language/schema/raw/master/csl-citation.json"}</w:instrText>
      </w:r>
      <w:r w:rsidRPr="00EB4EB7">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(Smirlis et al., 2006)</w:t>
      </w:r>
      <w:r w:rsidRPr="00EB4EB7">
        <w:rPr>
          <w:rFonts w:ascii="Times New Roman" w:hAnsi="Times New Roman" w:cs="Times New Roman"/>
          <w:sz w:val="24"/>
          <w:szCs w:val="24"/>
        </w:rPr>
        <w:fldChar w:fldCharType="end"/>
      </w:r>
      <w:r w:rsidRPr="009758E4">
        <w:rPr>
          <w:rFonts w:ascii="Times New Roman" w:hAnsi="Times New Roman" w:cs="Times New Roman"/>
          <w:sz w:val="24"/>
          <w:szCs w:val="24"/>
          <w:lang w:val="en-US"/>
        </w:rPr>
        <w:t>.</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 xml:space="preserve">In DEA, the entity (school, organization, hospital, business firm, etc.) under study is called DMU. The definition of DMU is rather lose to allow flexibility in its use over a wide range of possible applications. Generically a DMU is regarded as the entity responsible for converting inputs into outputs and whose performances are to be evaluated </w:t>
      </w:r>
      <w:r w:rsidRPr="00EB4EB7">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{"citationItems":[{"id":"ITEM-1","itemData":{"ISBN":"0895-562X","author":[{"dropping-particle":"","family":"Cooper","given":"William W","non-dropping-particle":"","parse-names":false,"suffix":""},{"dropping-particle":"","family":"Li","given":"Shanling","non-dropping-particle":"","parse-names":false,"suffix":""},{"dropping-particle":"","family":"Seiford","given":"Lawrence M","non-dropping-particle":"","parse-names":false,"suffix":""},{"dropping-particle":"","family":"Tone","given":"Kaoru","non-dropping-particle":"","parse-names":false,"suffix":""},{"dropping-particle":"","family":"Thrall","given":"Robert M","non-dropping-particle":"","parse-names":false,"suffix":""},{"dropping-particle":"","family":"Zhu","given":"Joe","non-dropping-particle":"","parse-names":false,"suffix":""}],"container-title":"Journal of Productivity Analysis","id":"ITEM-1","issue":"3","issued":{"date-parts":[["2001"]]},"page":"217-246","title":"Sensitivity and stability analysis in DEA: some recent developments","type":"article-journal","volume":"15"},"uris":["http://www.mendeley.com/documents/?uuid=40a100a6-fd37-4d88-a7ff-386378b16185"]},{"id":"ITEM-2","itemData":{"ISBN":"0387452818","author":[{"dropping-particle":"","family":"Cooper","given":"William W","non-dropping-particle":"","parse-names":false,"suffix":""},{"dropping-particle":"","family":"Seiford","given":"Lawrence M","non-dropping-particle":"","parse-names":false,"suffix":""},{"dropping-particle":"","family":"Tone","given":"Kaoru","non-dropping-particle":"","parse-names":false,"suffix":""}],"id":"ITEM-2","issued":{"date-parts":[["2006"]]},"publisher":"Springer","title":"Data envelopment analysis: a comprehensive text with models, applications, references and DEA-solver software","type":"book"},"uris":["http://www.mendeley.com/documents/?uuid=dfb13a66-5682-40b1-b4a4-9a2d043e588f"]},{"id":"ITEM-3","itemData":{"ISBN":"0387285806","author":[{"dropping-particle":"","family":"Cooper","given":"William W","non-dropping-particle":"","parse-names":false,"suffix":""},{"dropping-particle":"","family":"Seiford","given":"Lawrence M","non-dropping-particle":"","parse-names":false,"suffix":""},{"dropping-particle":"","family":"Tone","given":"Kaoru","non-dropping-particle":"","parse-names":false,"suffix":""}],"container-title":"Introduction to Data Envelopment Analysis and Its Uses: With DEA-Solver Software and References","id":"ITEM-3","issued":{"date-parts":[["2006"]]},"page":"21-39","title":"The basic CCR model","type":"chapter"},"uris":["http://www.mendeley.com/documents/?uuid=abc068ae-ad1e-4fe5-949c-0d076c156c9f"]}],"mendeley":{"formattedCitation":"(Cooper et al., 2001; Cooper, Seiford, &amp; Tone, 2006a, 2006b)","manualFormatting":"(Cooper et al., 2001; Cooper et al., 2006a, 2006b)","plainTextFormattedCitation":"(Cooper et al., 2001; Cooper, Seiford, &amp; Tone, 2006a, 2006b)","previouslyFormattedCitation":"(Cooper et al., 2001; Cooper, Seiford, &amp; Tone, 2006a, 2006b)"},"properties":{"noteIndex":0},"schema":"https://github.com/citation-style-language/schema/raw/master/csl-citation.json"}</w:instrText>
      </w:r>
      <w:r w:rsidRPr="00EB4EB7">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(Cooper et al., 2001; Cooper et al., 2006a, 2006b)</w:t>
      </w:r>
      <w:r w:rsidRPr="00EB4EB7">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Performances of DMUs are measured from the optimistic point of view, namely, each DMU seeks a set of weights that is the most favorable to itself to maximize its efficiency  </w:t>
      </w:r>
      <w:r w:rsidRPr="00EB4EB7">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ISBN":"0263-2241","author":[{"dropping-particle":"","family":"Azizi","given":"Hossein","non-dropping-particle":"","parse-names":false,"suffix":""},{"dropping-particle":"","family":"Wang","given":"Ying-Ming","non-dropping-particle":"","parse-names":false,"suffix":""}],"container-title":"Measurement","id":"ITEM-1","issue":"3","issued":{"date-parts":[["2013"]]},"page":"1325-1332","title":"Improved DEA models for measuring interval efficiencies of decision-making units","type":"article-journal","volume":"46"},"uris":["http://www.mendeley.com/documents/?uuid=3df9a137-adb4-4563-a6ad-39a6f1d1d25e"]}],"mendeley":{"formattedCitation":"(Azizi &amp; Wang, 2013)","plainTextFormattedCitation":"(Azizi &amp; Wang, 2013)","previouslyFormattedCitation":"(Azizi &amp; Wang, 2013)"},"properties":{"noteIndex":0},"schema":"https://github.com/citation-style-language/schema/raw/master/csl-citation.json"}</w:instrText>
      </w:r>
      <w:r w:rsidRPr="00EB4EB7">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(Azizi &amp; Wang, 2013)</w:t>
      </w:r>
      <w:r w:rsidRPr="00EB4EB7">
        <w:rPr>
          <w:rFonts w:ascii="Times New Roman" w:hAnsi="Times New Roman" w:cs="Times New Roman"/>
          <w:sz w:val="24"/>
          <w:szCs w:val="24"/>
        </w:rPr>
        <w:fldChar w:fldCharType="end"/>
      </w:r>
      <w:r w:rsidRPr="009758E4">
        <w:rPr>
          <w:rFonts w:ascii="Times New Roman" w:hAnsi="Times New Roman" w:cs="Times New Roman"/>
          <w:sz w:val="24"/>
          <w:szCs w:val="24"/>
          <w:lang w:val="en-US"/>
        </w:rPr>
        <w:t>.</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 xml:space="preserve">DEA have been used to measure efficiency in several researches such as </w:t>
      </w:r>
      <w:r w:rsidRPr="00EB4EB7">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{"citationItems":[{"id":"ITEM-1","itemData":{"DOI":"http://dx.doi.org/10.1016/j.omega.2008.07.001","ISBN":"0305-0483","abstract":"A number of studies have used data envelopment analysis (DEA) to evaluate the performance of the countries in Olympic games. While competition exists among the countries in Olympic games/rankings, all these DEA studies do not model competition among peer decision making units (DMUs) or countries. These DEA studies find a set of weights/multipliers that keep the efficiency scores of all DMUs at or below unity. Although cross efficiency goes a further step by providing an efficiency measure in terms of the best multiplier bundle for the unit and all the other DMUs, it is not always unique. This paper presents a new and modified DEA game cross-efficiency model where each DMU is viewed as a competitor via non-cooperative game. For each competing DMU, a multiplier bundle is determined that optimizes the efficiency score for that DMU, with the additional constraint that the resulting score should be at or above that DMU 's estimated best performance. The problem, of course, arises that we will not know this best performance score for the DMU under evaluation until the best performances of all other DMUs are known. To combat this “chicken and egg” phenomenon, an iterative approach leading to the Nash equilibrium is presented. The current paper provides a modified variable returns to scale (VRS) model that yields non-negative cross-efficiency scores. The approach is applied to the last six Summer Olympic Games. Our results may indicate that our game cross-efficiency model implicitly incorporates the relative importance of gold, silver and bronze medals without the need for specifying the exact assurance regions.","author":[{"dropping-particle":"","family":"Wu","given":"Jie","non-dropping-particle":"","parse-names":false,"suffix":""},{"dropping-particle":"","family":"Liang","given":"Liang","non-dropping-particle":"","parse-names":false,"suffix":""},{"dropping-particle":"","family":"Chen","given":"Yao","non-dropping-particle":"","parse-names":false,"suffix":""}],"container-title":"Omega","id":"ITEM-1","issue":"4","issued":{"date-parts":[["2009"]]},"page":"909-918","title":"DEA game cross-efficiency approach to Olympic rankings","type":"article-journal","volume":"37"},"uris":["http://www.mendeley.com/documents/?uuid=4e029105-730d-4136-9667-93c96f399ef2"]}],"mendeley":{"formattedCitation":"(Wu, Liang, &amp; Chen, 2009)","manualFormatting":"Wu, Liang y Chen (2009)","plainTextFormattedCitation":"(Wu, Liang, &amp; Chen, 2009)","previouslyFormattedCitation":"(Wu, Liang, &amp; Chen, 2009)"},"properties":{"noteIndex":0},"schema":"https://github.com/citation-style-language/schema/raw/master/csl-citation.json"}</w:instrText>
      </w:r>
      <w:r w:rsidRPr="00EB4EB7">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Wu, Liang y Chen (2009)</w:t>
      </w:r>
      <w:r w:rsidRPr="00EB4EB7">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w:t>
      </w:r>
      <w:r w:rsidRPr="00EB4EB7">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{"citationItems":[{"id":"ITEM-1","itemData":{"DOI":"10.1016/j.omega.2010.12.006","ISBN":"0305-0483","abstract":"This study surveys the data envelopment analysis (DEA) literature by applying a citation-based approach. The main goals are to find a set of papers playing the central role in DEA development and to discover the latest active DEA subareas. A directional network is constructed based on citation relationships among academic papers. After assigning an importance index to each link in the citation network, main DEA development paths emerge. We examine various types of main paths, including local main path, global main path, and multiple main paths. The analysis result suggests, as expected, that Charnes et al. (1978) [Charnes A, Cooper WW, Rhodes E. Measuring the efficiency of decision making units. European Journal of Operational Research 1978; 2(6): 429–444] is the most influential DEA paper. The five most active DEA subareas in recent years are identified; among them the “two-stage contextual factor evaluation framework” is relatively more active. Aside from the main path analysis, we summarize basic statistics on DEA journals and researchers. A growth curve analysis hints that the DEA literature’s size will eventually grow to at least double the size of the existing literature.","author":[{"dropping-particle":"","family":"Liu","given":"John S","non-dropping-particle":"","parse-names":false,"suffix":""},{"dropping-particle":"","family":"Lu","given":"Louis Y Y","non-dropping-particle":"","parse-names":false,"suffix":""},{"dropping-particle":"","family":"Lu","given":"Wen-Min","non-dropping-particle":"","parse-names":false,"suffix":""},{"dropping-particle":"","family":"Lin","given":"Bruce J Y","non-dropping-particle":"","parse-names":false,"suffix":""}],"container-title":"Omega","id":"ITEM-1","issue":"2013","issued":{"date-parts":[["2013"]]},"page":"3-15","title":"Data envelopment analysis 1978–2010: A citation-based literature survey","type":"article-journal","volume":"41"},"uris":["http://www.mendeley.com/documents/?uuid=a2de0f8a-75ab-4783-9f74-cffd237a5828"]},{"id":"ITEM-2","itemData":{"DOI":"10.1016/j.eswa.2011.02.120","ISBN":"0957-4174","abstract":"Conventional super-efficiency data envelopment analysis (DEA) models require the exact information of inputs or outputs. However, in many real world applications this simple assumption does not hold. Stochastic super-efficiency is one of recent methods which could handle uncertainty in data. Stochastic super-efficiency DEA models are normally formulated based on chance constraint programming. The method is used to estimate the efficiency of various decision making units (DMUs). In stochastic chance constraint super-efficiency DEA, the distinction of probability distribution function for input/output data is difficult and also, in several cases, there is not enough data for estimating of distribution function. We present a new method which incorporates the robust counterpart of super-efficiency DEA. The perturbation and uncertainty in data is assumed as ellipsoidal set and the robust super-efficiency DEA model is extended. The implementation of the proposed method of this paper is applied for ranking different gas companies in Iran.","author":[{"dropping-particle":"","family":"Sadjadi","given":"S J","non-dropping-particle":"","parse-names":false,"suffix":""},{"dropping-particle":"","family":"Omrani","given":"H","non-dropping-particle":"","parse-names":false,"suffix":""},{"dropping-particle":"","family":"Abdollahzadeh","given":"S","non-dropping-particle":"","parse-names":false,"suffix":""},{"dropping-particle":"","family":"Alinaghian","given":"M","non-dropping-particle":"","parse-names":false,"suffix":""},{"dropping-particle":"","family":"Mohammadi","given":"H","non-dropping-particle":"","parse-names":false,"suffix":""}],"container-title":"Expert Systems with Applications","id":"ITEM-2","issue":"9","issued":{"date-parts":[["2011"]]},"page":"10875-10881","title":"A robust super-efficiency data envelopment analysis model for ranking of provincial gas companies in Iran","type":"article-journal","volume":"38"},"uris":["http://www.mendeley.com/documents/?uuid=7c39fb4d-6811-44e7-9816-496968d0b5e6"]},{"id":"ITEM-3","itemData":{"DOI":"10.1016/j.apm.2014.03.023","ISBN":"0307-904X","ISSN":"0307904X","abstract":"One of the most complicated decision making problems for managers is the evaluation of supply chain (SC) performance which involves various criteria. Though vast studies have been recorded on supply chain efficiency evaluation via balanced scorecard (BSC) approach, these studies do not focus on the relationships between the four perspectives of BSC approach. The present paper is an attempt focusing on these relationships, especially the returnable ones. To do so, at first, all relationships between the four perspectives of BSC were determined and then the DEMATEL approach was employed to obtain a network structure. This network structure was then used to create a network DEA model. Since it was not possible to calculate the efficiency evaluation score by BSC, the data envelopment analysis (DEA) model was used for such an evaluation. Moreover, after reviewing different tools to evaluate the performance of supply chain, a new approach, relying on network DEA with BSC approach, was generated. Finally, this model was applied in the Iranian food industry to evaluate its supply chains efficiency and the results proved the high efficiency of the model designed. The findings could be used in various evaluation processes in diff</w:instrText>
      </w:r>
      <w:r w:rsidRPr="00DF5EAF">
        <w:rPr>
          <w:rFonts w:ascii="Times New Roman" w:hAnsi="Times New Roman" w:cs="Times New Roman"/>
          <w:sz w:val="24"/>
          <w:szCs w:val="24"/>
        </w:rPr>
        <w:instrText>erent industries.","author":[{"dropping-particle":"","family":"Shafiee","given":"Morteza","non-dropping-particle":"","parse-names":false,"suffix":""},{"dropping-particle":"","family":"Hosseinzadeh Lotfi","given":"Farhad","non-dropping-particle":"","parse-names":false,"suffix":""},{"dropping-particle":"","family":"Saleh","given":"Hilda","non-dropping-particle":"","parse-names":false,"suffix":""}],"container-title":"Applied Mathematical Modelling","id":"ITEM-3","issue":"21-22","issued":{"date-parts":[["2014"]]},"page":"5092-5112","title":"Supply chain performance evaluation with data envelopment analysis and balanced scorecard approach","type":"article-journal","volume":"38"},"uris":["http://www.mendeley.com/documents/?uuid=d543e8f1-e721-4394-99da-ae5a2a535853"]}],"mendeley":{"formattedCitation":"(Liu, Lu, Lu, &amp; Lin, 2013; Sadjadi, Omrani, Abdollahzadeh, Alinaghian, &amp; Mohammadi, 2011; Shafiee, Hosseinzadeh Lotfi, &amp; Saleh, 2014)","manualFormatting":" Sadjadi et al. (2011), Liu et al. (2012), Yang et al. (2014), Shafiee et al. (2014)","plainTextFormattedCitation":"(Liu, Lu, Lu, &amp; Lin, 2013; Sadjadi, Omrani, Abdollahzadeh, Alinaghian, &amp; Mohammadi, 2011; Shafiee, Hosseinzadeh Lotfi, &amp; Saleh, 2014)","previouslyFormattedCitation":"(Liu, Lu, Lu, &amp; Lin, 2013; Sadjadi, Omrani, Abdollahzadeh, Alinaghian, &amp; Mohammadi, 2011; Shafiee, Hosseinzadeh Lotfi, &amp; Saleh, 2014)"},"properties":{"noteIndex":0},"schema":"https://github.com/citation-style-language/schema/raw/master/csl-citation.json"}</w:instrText>
      </w:r>
      <w:r w:rsidRPr="00EB4EB7">
        <w:rPr>
          <w:rFonts w:ascii="Times New Roman" w:hAnsi="Times New Roman" w:cs="Times New Roman"/>
          <w:sz w:val="24"/>
          <w:szCs w:val="24"/>
        </w:rPr>
        <w:fldChar w:fldCharType="separate"/>
      </w:r>
      <w:r w:rsidRPr="00DF5EAF">
        <w:rPr>
          <w:rFonts w:ascii="Times New Roman" w:hAnsi="Times New Roman" w:cs="Times New Roman"/>
          <w:noProof/>
          <w:sz w:val="24"/>
          <w:szCs w:val="24"/>
        </w:rPr>
        <w:t xml:space="preserve"> </w:t>
      </w:r>
      <w:r w:rsidRPr="00EB4EB7">
        <w:rPr>
          <w:rFonts w:ascii="Times New Roman" w:hAnsi="Times New Roman" w:cs="Times New Roman"/>
          <w:noProof/>
          <w:sz w:val="24"/>
          <w:szCs w:val="24"/>
        </w:rPr>
        <w:t xml:space="preserve">Sadjadi et al. (2011), Liu et al. (2012), </w:t>
      </w:r>
      <w:r w:rsidRPr="00EB4EB7">
        <w:rPr>
          <w:rFonts w:ascii="Times New Roman" w:hAnsi="Times New Roman" w:cs="Times New Roman"/>
          <w:noProof/>
          <w:sz w:val="24"/>
          <w:szCs w:val="24"/>
        </w:rPr>
        <w:fldChar w:fldCharType="begin" w:fldLock="1"/>
      </w:r>
      <w:r w:rsidRPr="00EB4EB7">
        <w:rPr>
          <w:rFonts w:ascii="Times New Roman" w:hAnsi="Times New Roman" w:cs="Times New Roman"/>
          <w:noProof/>
          <w:sz w:val="24"/>
          <w:szCs w:val="24"/>
        </w:rPr>
        <w:instrText>ADDIN CSL_CITATION {"citationItems":[{"id":"ITEM-1","itemData":{"DOI":"10.1016/j.ejor.2014.05.013","ISBN":"1369560281","ISSN":"03772217","abstract":"Based on the minimal reduction strategy, Yang et al. (2011) developed a fixed-sum output data envelopment analysis (FSODEA) approach to evaluate the performance of decision-making units (DMUs) with fixed-sum outputs. However, in terms of such a strategy, all DMUs compete over fixed-sum outputs with \"no memory\" that will result in differing efficient frontiers' evaluations. To address the problem, in this study, we propose an equilibrium efficiency frontier data envelopment analysis (EEFDEA) approach, by which all DMUs with fixed-sum outputs can be evaluated based on a common platform (or equilibrium efficient frontier). The proposed approach can be divided into two stages. Stage 1 constructs a common evaluation platform via two strategies: an extended minimal adjustment strategy and an equilibrium competition strategy. The former ensures that original efficient DMUs are still efficient, guaranteeing the existence of a common evaluation platform. The latter makes all DMUs achieve a common equilibrium efficient frontier. Then, based on the common equilibrium efficient frontier, Stage 2 evaluates all DMUs with their original inputs and outputs. Finally, we illustrate the proposed approach by using two numerical examples. © 2014 Elsevier B.V. All rights reserved.","author":[{"dropping-particle":"","family":"Yang","given":"Min","non-dropping-particle":"","parse-names":false,"suffix":""},{"dropping-particle":"","family":"Li","given":"Yongjun","non-dropping-particle":"","parse-names":false,"suffix":""},{"dropping-particle":"","family":"Chen","given":"Ya","non-dropping-particle":"","parse-names":false,"suffix":""},{"dropping-particle":"","family":"Liang","given":"Liang","non-dropping-particle":"","parse-names":false,"suffix":""}],"container-title":"European Journal of Operational Research","id":"ITEM-1","issue":"2","issued":{"date-parts":[["2014"]]},"page":"479-489","publisher":"Elsevier B.V.","title":"An equilibrium efficiency frontier data envelopment analysis approach for evaluating decision-making units with fixed-sum outputs","type":"article-journal","volume":"239"},"uris":["http://www.mendeley.com/documents/?uuid=f602c2dd-e729-4f90-9c44-c3e0b5e92940","http://www.mendeley.com/documents/?uuid=08b7fe32-b110-4b99-9b07-349b6c017698"]}],"mendeley":{"formattedCitation":"(Yang, Li, Chen, &amp; Liang, 2014)","manualFormatting":"Yang et al. (2014)","plainTextFormattedCitation":"(Yang, Li, Chen, &amp; Liang, 2014)","previouslyFormattedCitation":"(Yang, Li, Chen, &amp; Liang, 2014)"},"properties":{"noteIndex":0},"schema":"https://github.com/citation-style-language/schema/raw/master/csl-citation.json"}</w:instrText>
      </w:r>
      <w:r w:rsidRPr="00EB4EB7">
        <w:rPr>
          <w:rFonts w:ascii="Times New Roman" w:hAnsi="Times New Roman" w:cs="Times New Roman"/>
          <w:noProof/>
          <w:sz w:val="24"/>
          <w:szCs w:val="24"/>
        </w:rPr>
        <w:fldChar w:fldCharType="separate"/>
      </w:r>
      <w:r w:rsidRPr="00EB4EB7">
        <w:rPr>
          <w:rFonts w:ascii="Times New Roman" w:hAnsi="Times New Roman" w:cs="Times New Roman"/>
          <w:noProof/>
          <w:sz w:val="24"/>
          <w:szCs w:val="24"/>
        </w:rPr>
        <w:t>Yang et al. (2014)</w:t>
      </w:r>
      <w:r w:rsidRPr="00EB4EB7">
        <w:rPr>
          <w:rFonts w:ascii="Times New Roman" w:hAnsi="Times New Roman" w:cs="Times New Roman"/>
          <w:noProof/>
          <w:sz w:val="24"/>
          <w:szCs w:val="24"/>
        </w:rPr>
        <w:fldChar w:fldCharType="end"/>
      </w:r>
      <w:r w:rsidRPr="00EB4EB7">
        <w:rPr>
          <w:rFonts w:ascii="Times New Roman" w:hAnsi="Times New Roman" w:cs="Times New Roman"/>
          <w:noProof/>
          <w:sz w:val="24"/>
          <w:szCs w:val="24"/>
        </w:rPr>
        <w:t>, Shafiee et al. (2014)</w:t>
      </w:r>
      <w:r w:rsidRPr="00EB4EB7">
        <w:rPr>
          <w:rFonts w:ascii="Times New Roman" w:hAnsi="Times New Roman" w:cs="Times New Roman"/>
          <w:sz w:val="24"/>
          <w:szCs w:val="24"/>
        </w:rPr>
        <w:fldChar w:fldCharType="end"/>
      </w:r>
      <w:r w:rsidRPr="00EB4EB7">
        <w:rPr>
          <w:rFonts w:ascii="Times New Roman" w:hAnsi="Times New Roman" w:cs="Times New Roman"/>
          <w:sz w:val="24"/>
          <w:szCs w:val="24"/>
        </w:rPr>
        <w:t xml:space="preserve">, </w:t>
      </w:r>
      <w:r w:rsidRPr="00EB4EB7">
        <w:rPr>
          <w:rFonts w:ascii="Times New Roman" w:hAnsi="Times New Roman" w:cs="Times New Roman"/>
          <w:sz w:val="24"/>
          <w:szCs w:val="24"/>
        </w:rPr>
        <w:fldChar w:fldCharType="begin" w:fldLock="1"/>
      </w:r>
      <w:r w:rsidRPr="00EB4EB7">
        <w:rPr>
          <w:rFonts w:ascii="Times New Roman" w:hAnsi="Times New Roman" w:cs="Times New Roman"/>
          <w:sz w:val="24"/>
          <w:szCs w:val="24"/>
        </w:rPr>
        <w:instrText>ADDIN CSL_CITATION {"citationItems":[{"id":"ITEM-1","itemData":{"author":[{"dropping-particle":"","family":"Chen","given":"Y","non-dropping-particle":"","parse-names":false,"suffix":""},{"dropping-particle":"","family":"Du","given":"J","non-dropping-particle":"","parse-names":false,"suffix":""}],"container-title":"Data Envelopment Analysis. A Handbook of Models and Methods","id":"ITEM-1","issued":{"date-parts":[["2015"]]},"page":"381-414","publisher":"Springer","title":"Super-Efficiency in Data Envelopment Analysis","type":"chapter"},"uris":["http://www.mendeley.com/documents/?uuid=a459af2a-0235-4cdb-9a6a-8d7aa1d9b5e7"]}],"mendeley":{"formattedCitation":"(Chen &amp; Du, 2015)","manualFormatting":"Chen y Du (2015)","plainTextFormattedCitation":"(Chen &amp; Du, 2015)","previouslyFormattedCitation":"(Chen &amp; Du, 2015)"},"properties":{"noteIndex":0},"schema":"https://github.com/citation-style-language/schema/raw/master/csl-citation.json"}</w:instrText>
      </w:r>
      <w:r w:rsidRPr="00EB4EB7">
        <w:rPr>
          <w:rFonts w:ascii="Times New Roman" w:hAnsi="Times New Roman" w:cs="Times New Roman"/>
          <w:sz w:val="24"/>
          <w:szCs w:val="24"/>
        </w:rPr>
        <w:fldChar w:fldCharType="separate"/>
      </w:r>
      <w:r w:rsidRPr="00EB4EB7">
        <w:rPr>
          <w:rFonts w:ascii="Times New Roman" w:hAnsi="Times New Roman" w:cs="Times New Roman"/>
          <w:noProof/>
          <w:sz w:val="24"/>
          <w:szCs w:val="24"/>
        </w:rPr>
        <w:t>Chen y Du (2015)</w:t>
      </w:r>
      <w:r w:rsidRPr="00EB4EB7">
        <w:rPr>
          <w:rFonts w:ascii="Times New Roman" w:hAnsi="Times New Roman" w:cs="Times New Roman"/>
          <w:sz w:val="24"/>
          <w:szCs w:val="24"/>
        </w:rPr>
        <w:fldChar w:fldCharType="end"/>
      </w:r>
      <w:r w:rsidRPr="00EB4EB7">
        <w:rPr>
          <w:rFonts w:ascii="Times New Roman" w:hAnsi="Times New Roman" w:cs="Times New Roman"/>
          <w:sz w:val="24"/>
          <w:szCs w:val="24"/>
        </w:rPr>
        <w:t xml:space="preserve">, </w:t>
      </w:r>
      <w:r w:rsidRPr="00EB4EB7">
        <w:rPr>
          <w:rFonts w:ascii="Times New Roman" w:hAnsi="Times New Roman" w:cs="Times New Roman"/>
          <w:sz w:val="24"/>
          <w:szCs w:val="24"/>
        </w:rPr>
        <w:fldChar w:fldCharType="begin" w:fldLock="1"/>
      </w:r>
      <w:r w:rsidRPr="00EB4EB7">
        <w:rPr>
          <w:rFonts w:ascii="Times New Roman" w:hAnsi="Times New Roman" w:cs="Times New Roman"/>
          <w:sz w:val="24"/>
          <w:szCs w:val="24"/>
        </w:rPr>
        <w:instrText>ADDIN CSL_CITATION {"citationItems":[{"id":"ITEM-1","itemData":{"DOI":"10.1016/j.omega.2015.01.015","ISSN":"03050483","abstract":"In this paper we consider the use of data envelopment analysis (DEA) for the assessment of efficiency of units whose output profiles exhibit specialisation. An example of this is found in agriculture where a large number of different crops may be produced in a particular region, but only a few farms actually produce each particular crop. Because of the large number of outputs, the use of conventional DEA models in such applications results in a poor efficiency discrimination. We overcome this problem by specifying production trade-offs between different outputs, relying on the methodology of Podinovski (J Oper Res Soc 2004;55:1311–22). The main idea of our approach is to relate various outputs to the production of the main output. We illustrate this methodology by an application of DEA involving agricultural farms in different regions of Turkey. An integral part of this application is the elicitation of expert judgements in order to formulate the required production trade-offs. Their use in DEA models results in a significant improvement of the efficiency discrimination. The proposed methodology should also be of interest to other applications of DEA where units may exhibit specialization, such as applications involving hospitals or bank branches.","author":[{"dropping-particle":"","family":"Atici","given":"Kazim Baris","non-dropping-particle":"","parse-names":false,"suffix":""},{"dropping-particle":"V.","family":"Podinovski","given":"Victor","non-dropping-particle":"","parse-names":false,"suffix":""}],"container-title":"Omega","id":"ITEM-1","issued":{"date-parts":[["2015"]]},"page":"72-83","publisher":"Elsevier","title":"Using data envelopment analysis for the assessment of technical efficiency of units with different specialisations: An application to agriculture","type":"article-journal","volume":"54"},"uris":["http://www.mendeley.com/documents/?uuid=5e31dc9e-c000-4cca-9ddd-589464114873","http://www.mendeley.com/documents/?uuid=09de13b2-d030-4fce-bc57-6509834149e6"]}],"mendeley":{"formattedCitation":"(Atici &amp; Podinovski, 2015)","manualFormatting":"Atici y Podinovski (2015)","plainTextFormattedCitation":"(Atici &amp; Podinovski, 2015)","previouslyFormattedCitation":"(Atici &amp; Podinovski, 2015)"},"properties":{"noteIndex":0},"schema":"https://github.com/citation-style-language/schema/raw/master/csl-citation.json"}</w:instrText>
      </w:r>
      <w:r w:rsidRPr="00EB4EB7">
        <w:rPr>
          <w:rFonts w:ascii="Times New Roman" w:hAnsi="Times New Roman" w:cs="Times New Roman"/>
          <w:sz w:val="24"/>
          <w:szCs w:val="24"/>
        </w:rPr>
        <w:fldChar w:fldCharType="separate"/>
      </w:r>
      <w:r w:rsidRPr="00EB4EB7">
        <w:rPr>
          <w:rFonts w:ascii="Times New Roman" w:hAnsi="Times New Roman" w:cs="Times New Roman"/>
          <w:noProof/>
          <w:sz w:val="24"/>
          <w:szCs w:val="24"/>
        </w:rPr>
        <w:t>Atici y Podinovski (2015)</w:t>
      </w:r>
      <w:r w:rsidRPr="00EB4EB7">
        <w:rPr>
          <w:rFonts w:ascii="Times New Roman" w:hAnsi="Times New Roman" w:cs="Times New Roman"/>
          <w:sz w:val="24"/>
          <w:szCs w:val="24"/>
        </w:rPr>
        <w:fldChar w:fldCharType="end"/>
      </w:r>
      <w:r w:rsidRPr="00EB4EB7">
        <w:rPr>
          <w:rFonts w:ascii="Times New Roman" w:hAnsi="Times New Roman" w:cs="Times New Roman"/>
          <w:sz w:val="24"/>
          <w:szCs w:val="24"/>
        </w:rPr>
        <w:t xml:space="preserve">, </w:t>
      </w:r>
      <w:r w:rsidRPr="00EB4EB7">
        <w:rPr>
          <w:rFonts w:ascii="Times New Roman" w:hAnsi="Times New Roman" w:cs="Times New Roman"/>
          <w:sz w:val="24"/>
          <w:szCs w:val="24"/>
        </w:rPr>
        <w:fldChar w:fldCharType="begin" w:fldLock="1"/>
      </w:r>
      <w:r w:rsidRPr="00EB4EB7">
        <w:rPr>
          <w:rFonts w:ascii="Times New Roman" w:hAnsi="Times New Roman" w:cs="Times New Roman"/>
          <w:sz w:val="24"/>
          <w:szCs w:val="24"/>
        </w:rPr>
        <w:instrText>ADDIN CSL_CITATION {"citationItems":[{"id":"ITEM-1","itemData":{"DOI":"10.1016/j.apm.2014.12.053","ISSN":"0307904X","author":[{"dropping-particle":"","family":"Shabani","given":"Amir","non-dropping-particle":"","parse-names":false,"suffix":""},{"dropping-particle":"","family":"Torabipour","given":"Seyed Mohammad Reza","non-dropping-particle":"","parse-names":false,"suffix":""},{"dropping-particle":"","family":"Farzipoor Saen","given":"Reza","non-dropping-particle":"","parse-names":false,"suffix":""},{"dropping-particle":"","family":"Khodakarami","given":"Mohsen","non-dropping-particle":"","parse-names":false,"suffix":""}],"container-title":"Applied Mathematical Modelling","id":"ITEM-1","issue":"15","issued":{"date-parts":[["2015"]]},"page":"4385-4404","publisher":"Elsevier Inc.","title":"Distinctive data envelopment analysis model for evaluating global environment performance","type":"article-journal","volume":"39"},"uris":["http://www.mendeley.com/documents/?uuid=41c97ed7-087d-41be-9318-a4838db7dc53","http://www.mendeley.com/documents/?uuid=2860161f-49a6-482b-a78d-82152cdefdc1"]}],"mendeley":{"formattedCitation":"(Shabani, Torabipour, Farzipoor Saen, &amp; Khodakarami, 2015)","manualFormatting":"Shabani et al. (2015)","plainTextFormattedCitation":"(Shabani, Torabipour, Farzipoor Saen, &amp; Khodakarami, 2015)","previouslyFormattedCitation":"(Shabani, Torabipour, Farzipoor Saen, &amp; Khodakarami, 2015)"},"properties":{"noteIndex":0},"schema":"https://github.com/citation-style-language/schema/raw/master/csl-citation.json"}</w:instrText>
      </w:r>
      <w:r w:rsidRPr="00EB4EB7">
        <w:rPr>
          <w:rFonts w:ascii="Times New Roman" w:hAnsi="Times New Roman" w:cs="Times New Roman"/>
          <w:sz w:val="24"/>
          <w:szCs w:val="24"/>
        </w:rPr>
        <w:fldChar w:fldCharType="separate"/>
      </w:r>
      <w:r w:rsidRPr="00EB4EB7">
        <w:rPr>
          <w:rFonts w:ascii="Times New Roman" w:hAnsi="Times New Roman" w:cs="Times New Roman"/>
          <w:noProof/>
          <w:sz w:val="24"/>
          <w:szCs w:val="24"/>
        </w:rPr>
        <w:t xml:space="preserve">Shabani et al. </w:t>
      </w:r>
      <w:r w:rsidRPr="0030281C">
        <w:rPr>
          <w:rFonts w:ascii="Times New Roman" w:hAnsi="Times New Roman" w:cs="Times New Roman"/>
          <w:noProof/>
          <w:sz w:val="24"/>
          <w:szCs w:val="24"/>
        </w:rPr>
        <w:t>(2015)</w:t>
      </w:r>
      <w:r w:rsidRPr="00EB4EB7">
        <w:rPr>
          <w:rFonts w:ascii="Times New Roman" w:hAnsi="Times New Roman" w:cs="Times New Roman"/>
          <w:sz w:val="24"/>
          <w:szCs w:val="24"/>
        </w:rPr>
        <w:fldChar w:fldCharType="end"/>
      </w:r>
      <w:r w:rsidRPr="0030281C">
        <w:rPr>
          <w:rFonts w:ascii="Times New Roman" w:hAnsi="Times New Roman" w:cs="Times New Roman"/>
          <w:sz w:val="24"/>
          <w:szCs w:val="24"/>
        </w:rPr>
        <w:t xml:space="preserve">  and other in following fields: sport, health, industry, education, etc. </w:t>
      </w:r>
      <w:r w:rsidRPr="009758E4">
        <w:rPr>
          <w:rFonts w:ascii="Times New Roman" w:hAnsi="Times New Roman" w:cs="Times New Roman"/>
          <w:sz w:val="24"/>
          <w:szCs w:val="24"/>
          <w:lang w:val="en-US"/>
        </w:rPr>
        <w:t xml:space="preserve">However, to apply this methodology it needs basic knowledge in any software for solve linear programming problem (MATLAB, GAMS, MSES). Also, its necessary spend time to run all models and get the solution. On the other hand, in a literature review was found many software (DEA Solver Pro, Frontier Analyst, OnFront, DEA Excel Solver) that can be very useful for calculate efficiency using any DEA model. However, some programs are commercial and other has some limitations according quantity of DMUs and/or inputs/outputs. </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lastRenderedPageBreak/>
        <w:t xml:space="preserve">Considering previous aspects, the main objective of these paper is to propose an informatics tool DEA 1.0 (developed with Python 3.6) which only needs the input data to make all calculation and get technical efficiency. </w:t>
      </w:r>
    </w:p>
    <w:p w:rsidR="00DF5EAF" w:rsidRPr="009A3149" w:rsidRDefault="00DF5EAF" w:rsidP="00DF5EAF">
      <w:pPr>
        <w:spacing w:after="0" w:line="360" w:lineRule="auto"/>
        <w:jc w:val="both"/>
        <w:rPr>
          <w:rFonts w:ascii="Times New Roman" w:hAnsi="Times New Roman" w:cs="Times New Roman"/>
          <w:b/>
          <w:sz w:val="24"/>
          <w:szCs w:val="24"/>
          <w:lang w:val="en-US"/>
        </w:rPr>
      </w:pPr>
      <w:r w:rsidRPr="009A3149">
        <w:rPr>
          <w:rFonts w:ascii="Times New Roman" w:hAnsi="Times New Roman" w:cs="Times New Roman"/>
          <w:b/>
          <w:sz w:val="24"/>
          <w:szCs w:val="24"/>
          <w:lang w:val="en-US"/>
        </w:rPr>
        <w:t>2. Theoretical background</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The productivity of a particular productive unit is defined as the relationship between the results obtained and the resources involved in its production. The evaluation of productivity is useful when the productive unit to which we refer has the ability to decide to modify well the amount of each one of the resources that are being used, for a quantity of produced results. For this reason, to the productive unit is added the qualifier of decision with the name of Decision Making Unit (DMU).</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 xml:space="preserve">Modern efficiency measurement begins with </w:t>
      </w:r>
      <w:r w:rsidRPr="0080649A">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{"citationItems":[{"id":"ITEM-1","itemData":{"ISBN":"0035-9238","author":[{"dropping-particle":"","family":"Farrell","given":"Michael James","non-dropping-particle":"","parse-names":false,"suffix":""}],"container-title":"Journal of the Royal Statistical Society. Series A (General)","id":"ITEM-1","issued":{"date-parts":[["1957"]]},"page":"253-290","title":"The measurement of productive efficiency","type":"article-journal"},"uris":["http://www.mendeley.com/documents/?uuid=5ae365d1-9097-42ef-a919-6df535d7cae3"]}],"mendeley":{"formattedCitation":"(Farrell, 1957)","manualFormatting":"Farrell (1957)","plainTextFormattedCitation":"(Farrell, 1957)","previouslyFormattedCitation":"(Farrell, 1957)"},"properties":{"noteIndex":0},"schema":"https://github.com/citation-style-language/schema/raw/master/csl-citation.json"}</w:instrText>
      </w:r>
      <w:r w:rsidRPr="0080649A">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Farrell (1957)</w:t>
      </w:r>
      <w:r w:rsidRPr="0080649A">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who drew upon the work of </w:t>
      </w:r>
      <w:r w:rsidRPr="0080649A">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{"citationItems":[{"id":"ITEM-1","itemData":{"author":[{"dropping-particle":"","family":"Debreu","given":"Gerard","non-dropping-particle":"","parse-names":false,"suffix":""}],"container-title":"Econometrica: Journal of the Econometric Society","id":"ITEM-1","issued":{"date-parts":[["1951"]]},"page":"273-292","title":"The coefficient of resource utilization","type":"article-journal","volume":"1951"},"uris":["http://www.mendeley.com/documents/?uuid=16cdd61d-23d3-472a-b639-90ef9dc6fa84"]}],"mendeley":{"formattedCitation":"(Debreu, 1951)","manualFormatting":"Debreu (1951)","plainTextFormattedCitation":"(Debreu, 1951)","previouslyFormattedCitation":"(Debreu, 1951)"},"properties":{"noteIndex":0},"schema":"https://github.com/citation-style-language/schema/raw/master/csl-citation.json"}</w:instrText>
      </w:r>
      <w:r w:rsidRPr="0080649A">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Debreu (1951)</w:t>
      </w:r>
      <w:r w:rsidRPr="0080649A">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and </w:t>
      </w:r>
      <w:r w:rsidRPr="0080649A">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{"citationItems":[{"id":"ITEM-1","itemData":{"author":[{"dropping-particle":"","family":"Koopmans","given":"T.C.","non-dropping-particle":"","parse-names":false,"suffix":""}],"container-title":"Activity analysis of Production and Allocation","edition":"T.C. Koopm","editor":[{"dropping-particle":"","family":"Wiley","given":"","non-dropping-particle":"","parse-names":false,"suffix":""}],"id":"ITEM-1","issued":{"date-parts":[["1951"]]},"publisher-place":"New York","title":"An analysis of Production as an Efficient Combination of Activities","type":"chapter"},"uris":["http://www.mendeley.com/documents/?uuid=f4f853bf-27e9-4789-86b3-4c4937abc35c"]}],"mendeley":{"formattedCitation":"(Koopmans, 1951)","manualFormatting":"Koopmans (1951)","plainTextFormattedCitation":"(Koopmans, 1951)","previouslyFormattedCitation":"(Koopmans, 1951)"},"properties":{"noteIndex":0},"schema":"https://github.com/citation-style-language/schema/raw/master/csl-citation.json"}</w:instrText>
      </w:r>
      <w:r w:rsidRPr="0080649A">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Koopmans (1951)</w:t>
      </w:r>
      <w:r w:rsidRPr="0080649A">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to define a simple measure of firm efficiency which could account for multiple inputs. He proposed that a component inside the efficiency firm is technical efficiency, which reflects the ability of a firm to obtain maximal output from given set of inputs. This is the main principle of DEA which is the non-parametric technique for the performance assessment of a set of Decision Making Units, each of which consumes multiple inputs to produce multiple outputs. The CCR </w:t>
      </w:r>
      <w:r w:rsidRPr="0080649A">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{"citationItems":[{"id":"ITEM-1","itemData":{"ISBN":"0377-2217","author":[{"dropping-particle":"","family":"Charnes","given":"Abraham","non-dropping-particle":"","parse-names":false,"suffix":""},{"dropping-particle":"","family":"Cooper","given":"William W","non-dropping-particle":"","parse-names":false,"suffix":""},{"dropping-particle":"","family":"Rhodes","given":"Edwardo","non-dropping-particle":"","parse-names":false,"suffix":""}],"container-title":"European Journal of Operational Research","id":"ITEM-1","issue":"6","issued":{"date-parts":[["1978"]]},"page":"429-444","title":"Measuring the efficiency of decision making units","type":"article-journal","volume":"2"},"uris":["http://www.mendeley.com/documents/?uuid=2dcad691-00b2-4c96-ab7e-cc5bdeaa6cb8"]}],"mendeley":{"formattedCitation":"(Charnes et al., 1978)","manualFormatting":"Charnes et al. (1978)","plainTextFormattedCitation":"(Charnes et al., 1978)","previouslyFormattedCitation":"(Charnes et al., 1978)"},"properties":{"noteIndex":0},"schema":"https://github.com/citation-style-language/schema/raw/master/csl-citation.json"}</w:instrText>
      </w:r>
      <w:r w:rsidRPr="0080649A">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Charnes et al. (1978)</w:t>
      </w:r>
      <w:r w:rsidRPr="0080649A">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and </w:t>
      </w:r>
      <w:r w:rsidRPr="0080649A">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author":[{"dropping-particle":"","family":"Banker","given":"RD","non-dropping-particle":"","parse-names":false,"suffix":""},{"dropping-particle":"","family":"Charnes","given":"A","non-dropping-particle":"","parse-names":false,"suffix":""},{"dropping-particle":"","family":"Cooper","given":"WW","non-dropping-particle":"","parse-names":false,"suffix":""}],"container-title":"Management science","id":"ITEM-1","issue":"9","issued":{"date-parts":[["1984"]]},"page":"1078 - 1092","title":"Some models for estimating technical and scale inefficiencies in data envelopment analysis","type":"article-journal","volume":"30"},"uris":["http://www.mendeley.com/documents/?uuid=542e217c-6873-4932-9305-ffc9e687e6aa"]}],"mendeley":{"formattedCitation":"(Banker, Charnes, &amp; Cooper, 1984)","manualFormatting":"Banker et al. (1984)","plainTextFormattedCitation":"(Banker, Charnes, &amp; Cooper, 1984)","previouslyFormattedCitation":"(Banker, Charnes, &amp; Cooper, 1984)"},"properties":{"noteIndex":0},"schema":"https://github.com/citation-style-language/schema/raw/master/csl-citation.json"}</w:instrText>
      </w:r>
      <w:r w:rsidRPr="0080649A">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Banker et al. (1984)</w:t>
      </w:r>
      <w:r w:rsidRPr="0080649A">
        <w:rPr>
          <w:rFonts w:ascii="Times New Roman" w:hAnsi="Times New Roman" w:cs="Times New Roman"/>
          <w:sz w:val="24"/>
          <w:szCs w:val="24"/>
        </w:rPr>
        <w:fldChar w:fldCharType="end"/>
      </w:r>
      <w:r w:rsidRPr="009758E4">
        <w:rPr>
          <w:rFonts w:ascii="Times New Roman" w:hAnsi="Times New Roman" w:cs="Times New Roman"/>
          <w:sz w:val="24"/>
          <w:szCs w:val="24"/>
          <w:lang w:val="en-US"/>
        </w:rPr>
        <w:t xml:space="preserve"> models are two basic radial models under constant returns to scale (RTS) and variable RTS, respectively. </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 xml:space="preserve">Actually, the classic DEA models developed with the assumption that all inputs and outputs are non-negative, whereas, this assumption is very restrictive and is not always hold in the real world. For example, the net profit as one of the components of output vector can take a negative value at some DMUs. So, the need to handle negative data and adapt the DEA models has been an attractive issue in DEA literature </w:t>
      </w:r>
      <w:r w:rsidRPr="0080649A">
        <w:rPr>
          <w:rFonts w:ascii="Times New Roman" w:hAnsi="Times New Roman" w:cs="Times New Roman"/>
          <w:sz w:val="24"/>
          <w:szCs w:val="24"/>
        </w:rPr>
        <w:fldChar w:fldCharType="begin" w:fldLock="1"/>
      </w:r>
      <w:r w:rsidRPr="009758E4">
        <w:rPr>
          <w:rFonts w:ascii="Times New Roman" w:hAnsi="Times New Roman" w:cs="Times New Roman"/>
          <w:sz w:val="24"/>
          <w:szCs w:val="24"/>
          <w:lang w:val="en-US"/>
        </w:rPr>
        <w:instrText>ADDIN CSL_CITATION {"citationItems":[{"id":"ITEM-1","itemData":{"DOI":"10.1016/j.cie.2015.01.022","ISSN":"03608352","author":[{"dropping-particle":"","family":"Allahyar","given":"Maryam","non-dropping-particle":"","parse-names":false,"suffix":""},{"dropping-particle":"","family":"Rostamy-Malkhalifeh","given":"Mohsen","non-dropping-particle":"","parse-names":false,"suffix":""}],"container-title":"Computers &amp; Industrial Engineering","id":"ITEM-1","issued":{"date-parts":[["2015"]]},"page":"78-81","publisher":"Elsevier Ltd","title":"Negative data in data envelopment analysis: Efficiency analysis and estimating returns to scale","type":"article-journal","volume":"82"},"uris":["http://www.mendeley.com/documents/?uuid=209dcef9-5114-4351-83bc-888757c8541c"]}],"mendeley":{"formattedCitation":"(Allahyar &amp; Rostamy-Malkhalifeh, 2015)","plainTextFormattedCitation":"(Allahyar &amp; Rostamy-Malkhalifeh, 2015)","previouslyFormattedCitation":"(Allahyar &amp; Rostamy-Malkhalifeh, 2015)"},"properties":{"noteIndex":0},"schema":"https://github.com/citation-style-language/schema/raw/master/csl-citation.json"}</w:instrText>
      </w:r>
      <w:r w:rsidRPr="0080649A">
        <w:rPr>
          <w:rFonts w:ascii="Times New Roman" w:hAnsi="Times New Roman" w:cs="Times New Roman"/>
          <w:sz w:val="24"/>
          <w:szCs w:val="24"/>
        </w:rPr>
        <w:fldChar w:fldCharType="separate"/>
      </w:r>
      <w:r w:rsidRPr="009758E4">
        <w:rPr>
          <w:rFonts w:ascii="Times New Roman" w:hAnsi="Times New Roman" w:cs="Times New Roman"/>
          <w:noProof/>
          <w:sz w:val="24"/>
          <w:szCs w:val="24"/>
          <w:lang w:val="en-US"/>
        </w:rPr>
        <w:t>(Allahyar &amp; Rostamy-Malkhalifeh, 2015)</w:t>
      </w:r>
      <w:r w:rsidRPr="0080649A">
        <w:rPr>
          <w:rFonts w:ascii="Times New Roman" w:hAnsi="Times New Roman" w:cs="Times New Roman"/>
          <w:sz w:val="24"/>
          <w:szCs w:val="24"/>
        </w:rPr>
        <w:fldChar w:fldCharType="end"/>
      </w:r>
      <w:r w:rsidRPr="009758E4">
        <w:rPr>
          <w:rFonts w:ascii="Times New Roman" w:hAnsi="Times New Roman" w:cs="Times New Roman"/>
          <w:sz w:val="24"/>
          <w:szCs w:val="24"/>
          <w:lang w:val="en-US"/>
        </w:rPr>
        <w:t>.</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 xml:space="preserve">As the field of Data Envelopment Analysis has grown and blossomed, so have the varieties of models, data, and types of analyses. Similarly, as DEA software technology has emerged from its academic roots into production usage, it has been accompanied by expectations of advanced modeling options and professional implementations, including </w:t>
      </w:r>
      <w:r w:rsidRPr="009758E4">
        <w:rPr>
          <w:rFonts w:ascii="Times New Roman" w:hAnsi="Times New Roman" w:cs="Times New Roman"/>
          <w:sz w:val="24"/>
          <w:szCs w:val="24"/>
          <w:lang w:val="en-US"/>
        </w:rPr>
        <w:lastRenderedPageBreak/>
        <w:t>graphical user interfaces, interoperability with other applications, and the ability to quickly evaluate large populations.</w:t>
      </w:r>
    </w:p>
    <w:p w:rsidR="00DF5EAF" w:rsidRPr="009758E4" w:rsidRDefault="00DF5EAF" w:rsidP="00DF5EAF">
      <w:pPr>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This epigraph surveys the best of the commercial and non-commercial DEA tools available today</w:t>
      </w:r>
      <w:r>
        <w:rPr>
          <w:rFonts w:ascii="Times New Roman" w:hAnsi="Times New Roman" w:cs="Times New Roman"/>
          <w:sz w:val="24"/>
          <w:szCs w:val="24"/>
          <w:lang w:val="en-US"/>
        </w:rPr>
        <w:t xml:space="preserve"> in table 1 according with </w:t>
      </w:r>
      <w:r w:rsidRPr="009758E4">
        <w:rPr>
          <w:rFonts w:ascii="Times New Roman" w:hAnsi="Times New Roman" w:cs="Times New Roman"/>
          <w:sz w:val="24"/>
          <w:szCs w:val="24"/>
          <w:lang w:val="en-US"/>
        </w:rPr>
        <w:t xml:space="preserve">. Provided are descriptions of individual packages, comparisons of their features and capabilities, and links to further information on each.  This </w:t>
      </w:r>
      <w:r w:rsidRPr="009758E4">
        <w:rPr>
          <w:rStyle w:val="tlid-translation"/>
          <w:rFonts w:ascii="Times New Roman" w:hAnsi="Times New Roman" w:cs="Times New Roman"/>
          <w:sz w:val="24"/>
          <w:szCs w:val="24"/>
          <w:lang w:val="en-US"/>
        </w:rPr>
        <w:t xml:space="preserve">comparison </w:t>
      </w:r>
      <w:r w:rsidRPr="009758E4">
        <w:rPr>
          <w:rFonts w:ascii="Times New Roman" w:hAnsi="Times New Roman" w:cs="Times New Roman"/>
          <w:sz w:val="24"/>
          <w:szCs w:val="24"/>
          <w:lang w:val="en-US"/>
        </w:rPr>
        <w:t>is based in seven variables: available models, key DEA features and capabilities, user interface, reporting, documentation and support, and availability.</w:t>
      </w:r>
    </w:p>
    <w:p w:rsidR="00DF5EAF" w:rsidRPr="009758E4" w:rsidRDefault="00DF5EAF" w:rsidP="00DF5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hAnsi="Times New Roman" w:cs="Times New Roman"/>
          <w:sz w:val="24"/>
          <w:szCs w:val="24"/>
          <w:lang w:val="en-US"/>
        </w:rPr>
      </w:pPr>
      <w:r w:rsidRPr="009758E4">
        <w:rPr>
          <w:rFonts w:ascii="Times New Roman" w:hAnsi="Times New Roman" w:cs="Times New Roman"/>
          <w:sz w:val="24"/>
          <w:szCs w:val="24"/>
          <w:lang w:val="en-US"/>
        </w:rPr>
        <w:t>Table 1. Comparison of computer tools for DAE analysis</w:t>
      </w:r>
    </w:p>
    <w:tbl>
      <w:tblPr>
        <w:tblStyle w:val="TableGrid"/>
        <w:tblW w:w="8722" w:type="dxa"/>
        <w:tblLook w:val="04A0" w:firstRow="1" w:lastRow="0" w:firstColumn="1" w:lastColumn="0" w:noHBand="0" w:noVBand="1"/>
      </w:tblPr>
      <w:tblGrid>
        <w:gridCol w:w="2090"/>
        <w:gridCol w:w="1099"/>
        <w:gridCol w:w="1133"/>
        <w:gridCol w:w="962"/>
        <w:gridCol w:w="1084"/>
        <w:gridCol w:w="864"/>
        <w:gridCol w:w="791"/>
        <w:gridCol w:w="699"/>
      </w:tblGrid>
      <w:tr w:rsidR="00DF5EAF" w:rsidRPr="00050161" w:rsidTr="00FE5124">
        <w:trPr>
          <w:trHeight w:val="255"/>
        </w:trPr>
        <w:tc>
          <w:tcPr>
            <w:tcW w:w="2090" w:type="dxa"/>
            <w:tcBorders>
              <w:top w:val="nil"/>
              <w:left w:val="nil"/>
              <w:bottom w:val="nil"/>
              <w:right w:val="single" w:sz="4" w:space="0" w:color="auto"/>
            </w:tcBorders>
          </w:tcPr>
          <w:p w:rsidR="00DF5EAF" w:rsidRPr="00050161" w:rsidRDefault="00DF5EAF" w:rsidP="00FE5124">
            <w:pPr>
              <w:rPr>
                <w:rFonts w:ascii="Times New Roman" w:hAnsi="Times New Roman" w:cs="Times New Roman"/>
              </w:rPr>
            </w:pPr>
          </w:p>
        </w:tc>
        <w:tc>
          <w:tcPr>
            <w:tcW w:w="4278" w:type="dxa"/>
            <w:gridSpan w:val="4"/>
            <w:tcBorders>
              <w:left w:val="single" w:sz="4" w:space="0" w:color="auto"/>
            </w:tcBorders>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COMMERCIAL</w:t>
            </w:r>
          </w:p>
        </w:tc>
        <w:tc>
          <w:tcPr>
            <w:tcW w:w="2354" w:type="dxa"/>
            <w:gridSpan w:val="3"/>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NON-COMMERCIAL</w:t>
            </w:r>
          </w:p>
        </w:tc>
      </w:tr>
      <w:tr w:rsidR="00DF5EAF" w:rsidRPr="00050161" w:rsidTr="00FE5124">
        <w:trPr>
          <w:trHeight w:val="729"/>
        </w:trPr>
        <w:tc>
          <w:tcPr>
            <w:tcW w:w="2090" w:type="dxa"/>
            <w:tcBorders>
              <w:top w:val="nil"/>
              <w:left w:val="nil"/>
              <w:bottom w:val="nil"/>
              <w:right w:val="single" w:sz="4" w:space="0" w:color="auto"/>
            </w:tcBorders>
          </w:tcPr>
          <w:p w:rsidR="00DF5EAF" w:rsidRPr="00050161" w:rsidRDefault="00DF5EAF" w:rsidP="00FE5124">
            <w:pPr>
              <w:rPr>
                <w:rFonts w:ascii="Times New Roman" w:hAnsi="Times New Roman" w:cs="Times New Roman"/>
              </w:rPr>
            </w:pPr>
          </w:p>
        </w:tc>
        <w:tc>
          <w:tcPr>
            <w:tcW w:w="1099" w:type="dxa"/>
            <w:tcBorders>
              <w:left w:val="single" w:sz="4" w:space="0" w:color="auto"/>
            </w:tcBorders>
          </w:tcPr>
          <w:p w:rsidR="00DF5EAF" w:rsidRPr="00050161" w:rsidRDefault="00DF5EAF" w:rsidP="00FE5124">
            <w:pPr>
              <w:rPr>
                <w:rFonts w:ascii="Times New Roman" w:hAnsi="Times New Roman" w:cs="Times New Roman"/>
              </w:rPr>
            </w:pPr>
            <w:r w:rsidRPr="00050161">
              <w:rPr>
                <w:rFonts w:ascii="Times New Roman" w:hAnsi="Times New Roman" w:cs="Times New Roman"/>
              </w:rPr>
              <w:t>DEA Solver Pro 4.0</w:t>
            </w:r>
          </w:p>
        </w:tc>
        <w:tc>
          <w:tcPr>
            <w:tcW w:w="1133"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Frontier Analyst 3.1.5</w:t>
            </w:r>
          </w:p>
        </w:tc>
        <w:tc>
          <w:tcPr>
            <w:tcW w:w="0" w:type="auto"/>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OnFront 20</w:t>
            </w:r>
          </w:p>
        </w:tc>
        <w:tc>
          <w:tcPr>
            <w:tcW w:w="0" w:type="auto"/>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Warwick DEA</w:t>
            </w:r>
          </w:p>
        </w:tc>
        <w:tc>
          <w:tcPr>
            <w:tcW w:w="0" w:type="auto"/>
          </w:tcPr>
          <w:p w:rsidR="00DF5EAF" w:rsidRPr="00050161" w:rsidRDefault="00DF5EAF" w:rsidP="00FE5124">
            <w:pPr>
              <w:rPr>
                <w:rFonts w:ascii="Times New Roman" w:hAnsi="Times New Roman" w:cs="Times New Roman"/>
              </w:rPr>
            </w:pPr>
            <w:r w:rsidRPr="00050161">
              <w:rPr>
                <w:rFonts w:ascii="Times New Roman" w:hAnsi="Times New Roman" w:cs="Times New Roman"/>
              </w:rPr>
              <w:t>DEA Excel Solver</w:t>
            </w:r>
          </w:p>
        </w:tc>
        <w:tc>
          <w:tcPr>
            <w:tcW w:w="0" w:type="auto"/>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DEAP</w:t>
            </w:r>
          </w:p>
        </w:tc>
        <w:tc>
          <w:tcPr>
            <w:tcW w:w="0" w:type="auto"/>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EMS</w:t>
            </w:r>
          </w:p>
        </w:tc>
      </w:tr>
      <w:tr w:rsidR="00DF5EAF" w:rsidRPr="00050161" w:rsidTr="00FE5124">
        <w:trPr>
          <w:trHeight w:val="255"/>
        </w:trPr>
        <w:tc>
          <w:tcPr>
            <w:tcW w:w="8722" w:type="dxa"/>
            <w:gridSpan w:val="8"/>
          </w:tcPr>
          <w:p w:rsidR="00DF5EAF" w:rsidRPr="00050161" w:rsidRDefault="00DF5EAF" w:rsidP="00FE5124">
            <w:pPr>
              <w:jc w:val="both"/>
              <w:rPr>
                <w:rFonts w:ascii="Times New Roman" w:hAnsi="Times New Roman" w:cs="Times New Roman"/>
                <w:b/>
              </w:rPr>
            </w:pPr>
            <w:r w:rsidRPr="00050161">
              <w:rPr>
                <w:rFonts w:ascii="Times New Roman" w:hAnsi="Times New Roman" w:cs="Times New Roman"/>
                <w:b/>
              </w:rPr>
              <w:t>MODELS</w:t>
            </w:r>
          </w:p>
        </w:tc>
      </w:tr>
      <w:tr w:rsidR="00DF5EAF" w:rsidRPr="00050161" w:rsidTr="00FE5124">
        <w:trPr>
          <w:trHeight w:val="255"/>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NIRS,NDRS,GRS</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511"/>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Additive/slack-based method</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255"/>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Malmquist</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218"/>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Non-convex</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255"/>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Non-radial</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248"/>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Free-disposal hull</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255"/>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Cost efficiency</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252"/>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Revenue efficiency</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302"/>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 xml:space="preserve">Profit, </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246"/>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Capacity utilization</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264"/>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 xml:space="preserve">Minimum-efficiency </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218"/>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Value chain</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255"/>
        </w:trPr>
        <w:tc>
          <w:tcPr>
            <w:tcW w:w="8722" w:type="dxa"/>
            <w:gridSpan w:val="8"/>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b/>
              </w:rPr>
              <w:t>FEATURES</w:t>
            </w:r>
          </w:p>
        </w:tc>
      </w:tr>
      <w:tr w:rsidR="00DF5EAF" w:rsidRPr="00050161" w:rsidTr="00FE5124">
        <w:trPr>
          <w:trHeight w:val="511"/>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Window/multi-period analysis</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511"/>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Super-efficiency scores</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256"/>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 xml:space="preserve">Categorical variables </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255"/>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Variable priorities</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306"/>
        </w:trPr>
        <w:tc>
          <w:tcPr>
            <w:tcW w:w="2090" w:type="dxa"/>
          </w:tcPr>
          <w:p w:rsidR="00DF5EAF" w:rsidRPr="00050161" w:rsidRDefault="00DF5EAF" w:rsidP="00FE5124">
            <w:pPr>
              <w:jc w:val="both"/>
              <w:rPr>
                <w:rFonts w:ascii="Times New Roman" w:hAnsi="Times New Roman" w:cs="Times New Roman"/>
              </w:rPr>
            </w:pPr>
            <w:r w:rsidRPr="00050161">
              <w:rPr>
                <w:rFonts w:ascii="Times New Roman" w:hAnsi="Times New Roman" w:cs="Times New Roman"/>
              </w:rPr>
              <w:t>Sensitivity analysis</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511"/>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 xml:space="preserve">Disposability controls </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31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Scenario comparison</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255"/>
        </w:trPr>
        <w:tc>
          <w:tcPr>
            <w:tcW w:w="8722" w:type="dxa"/>
            <w:gridSpan w:val="8"/>
          </w:tcPr>
          <w:p w:rsidR="00DF5EAF" w:rsidRPr="00050161" w:rsidRDefault="00DF5EAF" w:rsidP="00FE5124">
            <w:pPr>
              <w:jc w:val="both"/>
              <w:rPr>
                <w:rFonts w:ascii="Times New Roman" w:hAnsi="Times New Roman" w:cs="Times New Roman"/>
                <w:b/>
              </w:rPr>
            </w:pPr>
            <w:r w:rsidRPr="00050161">
              <w:rPr>
                <w:rFonts w:ascii="Times New Roman" w:hAnsi="Times New Roman" w:cs="Times New Roman"/>
                <w:b/>
              </w:rPr>
              <w:t>PLATFORM AND INTEROPERABILITY</w:t>
            </w:r>
          </w:p>
        </w:tc>
      </w:tr>
      <w:tr w:rsidR="00DF5EAF" w:rsidRPr="00050161" w:rsidTr="00FE5124">
        <w:trPr>
          <w:trHeight w:val="1290"/>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 xml:space="preserve">Input file types: </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SS, manual</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TXT,Clip, SS, SS select, SPSS, manual</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 Clip, manual</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SS, manual</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 SS</w:t>
            </w:r>
          </w:p>
        </w:tc>
      </w:tr>
      <w:tr w:rsidR="00DF5EAF" w:rsidRPr="00050161" w:rsidTr="00FE5124">
        <w:trPr>
          <w:trHeight w:val="630"/>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lastRenderedPageBreak/>
              <w:t>Output file types</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SS</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SS, TXT, PDF, HTML</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SS</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TXT</w:t>
            </w:r>
          </w:p>
        </w:tc>
      </w:tr>
      <w:tr w:rsidR="00DF5EAF" w:rsidRPr="00050161" w:rsidTr="00FE5124">
        <w:trPr>
          <w:trHeight w:val="138"/>
        </w:trPr>
        <w:tc>
          <w:tcPr>
            <w:tcW w:w="8722" w:type="dxa"/>
            <w:gridSpan w:val="8"/>
          </w:tcPr>
          <w:p w:rsidR="00DF5EAF" w:rsidRPr="00050161" w:rsidRDefault="00DF5EAF" w:rsidP="00FE5124">
            <w:pPr>
              <w:rPr>
                <w:rFonts w:ascii="Times New Roman" w:hAnsi="Times New Roman" w:cs="Times New Roman"/>
                <w:b/>
              </w:rPr>
            </w:pPr>
            <w:r w:rsidRPr="00050161">
              <w:rPr>
                <w:rFonts w:ascii="Times New Roman" w:hAnsi="Times New Roman" w:cs="Times New Roman"/>
                <w:b/>
              </w:rPr>
              <w:t>USER INTERFACE</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GU I</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Spreadsheet format</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individual observation editing</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Data and results sorting</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limited capability</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138"/>
        </w:trPr>
        <w:tc>
          <w:tcPr>
            <w:tcW w:w="8722" w:type="dxa"/>
            <w:gridSpan w:val="8"/>
          </w:tcPr>
          <w:p w:rsidR="00DF5EAF" w:rsidRPr="00050161" w:rsidRDefault="00DF5EAF" w:rsidP="00FE5124">
            <w:pPr>
              <w:rPr>
                <w:rFonts w:ascii="Times New Roman" w:hAnsi="Times New Roman" w:cs="Times New Roman"/>
                <w:b/>
              </w:rPr>
            </w:pPr>
            <w:r w:rsidRPr="00050161">
              <w:rPr>
                <w:rFonts w:ascii="Times New Roman" w:hAnsi="Times New Roman" w:cs="Times New Roman"/>
                <w:b/>
              </w:rPr>
              <w:t>REPORTING</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 xml:space="preserve">Custom reports </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optional</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limited capability</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Excel</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Efficiency scores report</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Projected/target factors report</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Optimal factor weights report</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Efficient reference sets report</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138"/>
        </w:trPr>
        <w:tc>
          <w:tcPr>
            <w:tcW w:w="8722" w:type="dxa"/>
            <w:gridSpan w:val="8"/>
          </w:tcPr>
          <w:p w:rsidR="00DF5EAF" w:rsidRPr="00050161" w:rsidRDefault="00DF5EAF" w:rsidP="00FE5124">
            <w:pPr>
              <w:rPr>
                <w:rFonts w:ascii="Times New Roman" w:hAnsi="Times New Roman" w:cs="Times New Roman"/>
              </w:rPr>
            </w:pPr>
            <w:r w:rsidRPr="00050161">
              <w:rPr>
                <w:rFonts w:ascii="Times New Roman" w:hAnsi="Times New Roman" w:cs="Times New Roman"/>
                <w:b/>
              </w:rPr>
              <w:t>DOCUMENTATION AND SUPPORT</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Users guide</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 xml:space="preserve">Built-in help </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b/>
              </w:rPr>
            </w:pPr>
            <w:r w:rsidRPr="00050161">
              <w:rPr>
                <w:rFonts w:ascii="Times New Roman" w:hAnsi="Times New Roman" w:cs="Times New Roman"/>
              </w:rPr>
              <w:t>Technical support</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Web site tech info</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138"/>
        </w:trPr>
        <w:tc>
          <w:tcPr>
            <w:tcW w:w="8722" w:type="dxa"/>
            <w:gridSpan w:val="8"/>
          </w:tcPr>
          <w:p w:rsidR="00DF5EAF" w:rsidRPr="00050161" w:rsidRDefault="00DF5EAF" w:rsidP="00FE5124">
            <w:pPr>
              <w:rPr>
                <w:rFonts w:ascii="Times New Roman" w:hAnsi="Times New Roman" w:cs="Times New Roman"/>
              </w:rPr>
            </w:pPr>
            <w:r w:rsidRPr="00050161">
              <w:rPr>
                <w:rFonts w:ascii="Times New Roman" w:hAnsi="Times New Roman" w:cs="Times New Roman"/>
                <w:b/>
              </w:rPr>
              <w:t>AVAILABILITY</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 xml:space="preserve">Free demo available </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r>
      <w:tr w:rsidR="00DF5EAF" w:rsidRPr="00050161" w:rsidTr="00FE5124">
        <w:trPr>
          <w:trHeight w:val="138"/>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Comal license cost</w:t>
            </w:r>
          </w:p>
        </w:tc>
        <w:tc>
          <w:tcPr>
            <w:tcW w:w="1099"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$1600</w:t>
            </w: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$395</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$1750</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$500</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r w:rsidR="00DF5EAF" w:rsidRPr="00050161" w:rsidTr="00FE5124">
        <w:trPr>
          <w:trHeight w:val="511"/>
        </w:trPr>
        <w:tc>
          <w:tcPr>
            <w:tcW w:w="2090" w:type="dxa"/>
          </w:tcPr>
          <w:p w:rsidR="00DF5EAF" w:rsidRPr="00050161" w:rsidRDefault="00DF5EAF" w:rsidP="00FE5124">
            <w:pPr>
              <w:rPr>
                <w:rFonts w:ascii="Times New Roman" w:hAnsi="Times New Roman" w:cs="Times New Roman"/>
              </w:rPr>
            </w:pPr>
            <w:r w:rsidRPr="00050161">
              <w:rPr>
                <w:rFonts w:ascii="Times New Roman" w:hAnsi="Times New Roman" w:cs="Times New Roman"/>
              </w:rPr>
              <w:t>Maintenance available</w:t>
            </w:r>
          </w:p>
        </w:tc>
        <w:tc>
          <w:tcPr>
            <w:tcW w:w="1099" w:type="dxa"/>
          </w:tcPr>
          <w:p w:rsidR="00DF5EAF" w:rsidRPr="00050161" w:rsidRDefault="00DF5EAF" w:rsidP="00FE5124">
            <w:pPr>
              <w:jc w:val="center"/>
              <w:rPr>
                <w:rFonts w:ascii="Times New Roman" w:hAnsi="Times New Roman" w:cs="Times New Roman"/>
              </w:rPr>
            </w:pPr>
          </w:p>
        </w:tc>
        <w:tc>
          <w:tcPr>
            <w:tcW w:w="1133" w:type="dxa"/>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r w:rsidRPr="00050161">
              <w:rPr>
                <w:rFonts w:ascii="Times New Roman" w:hAnsi="Times New Roman" w:cs="Times New Roman"/>
              </w:rPr>
              <w:t>x</w:t>
            </w: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c>
          <w:tcPr>
            <w:tcW w:w="0" w:type="auto"/>
          </w:tcPr>
          <w:p w:rsidR="00DF5EAF" w:rsidRPr="00050161" w:rsidRDefault="00DF5EAF" w:rsidP="00FE5124">
            <w:pPr>
              <w:jc w:val="center"/>
              <w:rPr>
                <w:rFonts w:ascii="Times New Roman" w:hAnsi="Times New Roman" w:cs="Times New Roman"/>
              </w:rPr>
            </w:pPr>
          </w:p>
        </w:tc>
      </w:tr>
    </w:tbl>
    <w:p w:rsidR="00DF5EAF" w:rsidRDefault="00DF5EAF" w:rsidP="00DF5EA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Source: Modified by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{"citationItems":[{"id":"ITEM-1","itemData":{"DOI":"10.1007/1-4020-7798-X_18","ISBN":"978-1-4020-7798-2","abstract":"Today’s DEA practitioners and researchers have a wide range of solution technology choices. Clearly, software is no longer an impediment to the incorporation of DEA into decision-support systems and benchmarking processes. This is evidenced by the availability of interoperable tools with a variety of user interfaces, advanced modeling options, and the power to evaluate large-scale data sets on inexpensive computing platforms. This survey describes and critiques prominent DEA software packages, both commercial and non-commercial, and summarizes the current state of the art.","author":[{"dropping-particle":"","family":"Barr","given":"Richard S","non-dropping-particle":"","parse-names":false,"suffix":""}],"editor":[{"dropping-particle":"","family":"Cooper","given":"William W","non-dropping-particle":"","parse-names":false,"suffix":""},{"dropping-particle":"","family":"Seiford","given":"Lawrence M","non-dropping-particle":"","parse-names":false,"suffix":""},{"dropping-particle":"","family":"Zhu","given":"Joe","non-dropping-particle":"","parse-names":false,"suffix":""}],"id":"ITEM-1","issued":{"date-parts":[["2004"]]},"page":"539-566","publisher":"Springer US","publisher-place":"Boston, MA","title":"Dea Software Tools and Technology BT  - Handbook on Data Envelopment Analysis","type":"chapter"},"uris":["http://www.mendeley.com/documents/?uuid=80301d3a-20be-4240-b1cc-eb2468429f8c"]}],"mendeley":{"formattedCitation":"(Barr, 2004)","manualFormatting":"Barr (2004)","plainTextFormattedCitation":"(Barr, 2004)"},"properties":{"noteIndex":0},"schema":"https://github.com/citation-style-language/schema/raw/master/csl-citation.json"}</w:instrText>
      </w:r>
      <w:r>
        <w:rPr>
          <w:rFonts w:ascii="Times New Roman" w:hAnsi="Times New Roman" w:cs="Times New Roman"/>
          <w:sz w:val="24"/>
          <w:lang w:val="en-US"/>
        </w:rPr>
        <w:fldChar w:fldCharType="separate"/>
      </w:r>
      <w:r>
        <w:rPr>
          <w:rFonts w:ascii="Times New Roman" w:hAnsi="Times New Roman" w:cs="Times New Roman"/>
          <w:noProof/>
          <w:sz w:val="24"/>
          <w:lang w:val="en-US"/>
        </w:rPr>
        <w:t>Barr</w:t>
      </w:r>
      <w:r w:rsidRPr="00D21583">
        <w:rPr>
          <w:rFonts w:ascii="Times New Roman" w:hAnsi="Times New Roman" w:cs="Times New Roman"/>
          <w:noProof/>
          <w:sz w:val="24"/>
          <w:lang w:val="en-US"/>
        </w:rPr>
        <w:t xml:space="preserve"> </w:t>
      </w:r>
      <w:r>
        <w:rPr>
          <w:rFonts w:ascii="Times New Roman" w:hAnsi="Times New Roman" w:cs="Times New Roman"/>
          <w:noProof/>
          <w:sz w:val="24"/>
          <w:lang w:val="en-US"/>
        </w:rPr>
        <w:t>(</w:t>
      </w:r>
      <w:r w:rsidRPr="00D21583">
        <w:rPr>
          <w:rFonts w:ascii="Times New Roman" w:hAnsi="Times New Roman" w:cs="Times New Roman"/>
          <w:noProof/>
          <w:sz w:val="24"/>
          <w:lang w:val="en-US"/>
        </w:rPr>
        <w:t>2004)</w:t>
      </w:r>
      <w:r>
        <w:rPr>
          <w:rFonts w:ascii="Times New Roman" w:hAnsi="Times New Roman" w:cs="Times New Roman"/>
          <w:sz w:val="24"/>
          <w:lang w:val="en-US"/>
        </w:rPr>
        <w:fldChar w:fldCharType="end"/>
      </w:r>
    </w:p>
    <w:p w:rsidR="00DF5EAF" w:rsidRPr="000A45AB" w:rsidRDefault="00DF5EAF" w:rsidP="00DF5EAF">
      <w:pPr>
        <w:spacing w:after="0" w:line="360" w:lineRule="auto"/>
        <w:jc w:val="both"/>
        <w:rPr>
          <w:rFonts w:ascii="Times New Roman" w:hAnsi="Times New Roman" w:cs="Times New Roman"/>
          <w:sz w:val="24"/>
          <w:lang w:val="en-US"/>
        </w:rPr>
      </w:pPr>
      <w:r w:rsidRPr="000A45AB">
        <w:rPr>
          <w:rFonts w:ascii="Times New Roman" w:hAnsi="Times New Roman" w:cs="Times New Roman"/>
          <w:sz w:val="24"/>
          <w:lang w:val="en-US"/>
        </w:rPr>
        <w:t xml:space="preserve">The software packages vary widely in their selection of available DEA models. The classics—CCR/CRS and BCC/VRS—are universally included, but others vary by package. Evaluation Criteria Category Models contains a non-exhaustive list of DEA models and indicates those that are included with each code. There are variants of the models listed in this category —such as input- or output-orientation—listed in the other category as DEA features.  All codes allow selection of input or output orientation (and possibly non-oriented). </w:t>
      </w:r>
    </w:p>
    <w:p w:rsidR="00DF5EAF" w:rsidRPr="000A45AB" w:rsidRDefault="00DF5EAF" w:rsidP="00DF5EAF">
      <w:pPr>
        <w:spacing w:after="0" w:line="360" w:lineRule="auto"/>
        <w:jc w:val="both"/>
        <w:rPr>
          <w:rFonts w:ascii="Times New Roman" w:hAnsi="Times New Roman" w:cs="Times New Roman"/>
          <w:sz w:val="24"/>
          <w:lang w:val="en-US"/>
        </w:rPr>
      </w:pPr>
      <w:r w:rsidRPr="000A45AB">
        <w:rPr>
          <w:rFonts w:ascii="Times New Roman" w:hAnsi="Times New Roman" w:cs="Times New Roman"/>
          <w:sz w:val="24"/>
          <w:lang w:val="en-US"/>
        </w:rPr>
        <w:t xml:space="preserve">User interfaces can range from elaborate graphical user interfaces (GUIs) to simple command-line controls. Two of these DEA packages use Microsoft Excel as a GUI for data entry, reporting, and graphics and its Solver tool as a linear program optimizer. The advantages of Excel-based products are: input and output are simplified, reports and </w:t>
      </w:r>
      <w:r w:rsidRPr="000A45AB">
        <w:rPr>
          <w:rFonts w:ascii="Times New Roman" w:hAnsi="Times New Roman" w:cs="Times New Roman"/>
          <w:sz w:val="24"/>
          <w:lang w:val="en-US"/>
        </w:rPr>
        <w:lastRenderedPageBreak/>
        <w:t>graphs can be easily added by the developer and user, interoperability with other Microsoft products is straightforward, and connection to enterprise data sources via ODBC is possible. The disadvantages of the Excel environment are: the default Excel Solver limits application to small populations, larger instances require purchase of a replacement optimizer, and the interpreted execution speed is typically slower than compiled, stand-alone applications.</w:t>
      </w:r>
    </w:p>
    <w:p w:rsidR="00DF5EAF" w:rsidRDefault="00DF5EAF" w:rsidP="00DF5EAF">
      <w:pPr>
        <w:spacing w:after="0" w:line="360" w:lineRule="auto"/>
        <w:jc w:val="both"/>
        <w:rPr>
          <w:rFonts w:ascii="Times New Roman" w:hAnsi="Times New Roman" w:cs="Times New Roman"/>
          <w:sz w:val="24"/>
          <w:lang w:val="en-US"/>
        </w:rPr>
      </w:pPr>
      <w:r w:rsidRPr="00C4799F">
        <w:rPr>
          <w:rFonts w:ascii="Times New Roman" w:hAnsi="Times New Roman" w:cs="Times New Roman"/>
          <w:sz w:val="24"/>
          <w:lang w:val="en-US"/>
        </w:rPr>
        <w:t>Th</w:t>
      </w:r>
      <w:r>
        <w:rPr>
          <w:rFonts w:ascii="Times New Roman" w:hAnsi="Times New Roman" w:cs="Times New Roman"/>
          <w:sz w:val="24"/>
          <w:lang w:val="en-US"/>
        </w:rPr>
        <w:t xml:space="preserve">ese </w:t>
      </w:r>
      <w:r w:rsidRPr="004809E2">
        <w:rPr>
          <w:rFonts w:ascii="Times New Roman" w:hAnsi="Times New Roman" w:cs="Times New Roman"/>
          <w:sz w:val="24"/>
          <w:lang w:val="en-US"/>
        </w:rPr>
        <w:t>software require the user to have knowledge about its operation and programming. As well as a limited number in number of DMU inputs / outputs.</w:t>
      </w:r>
      <w:r w:rsidRPr="009758E4">
        <w:rPr>
          <w:rFonts w:ascii="Times New Roman" w:hAnsi="Times New Roman" w:cs="Times New Roman"/>
          <w:sz w:val="24"/>
          <w:lang w:val="en-US"/>
        </w:rPr>
        <w:t xml:space="preserve"> </w:t>
      </w:r>
    </w:p>
    <w:p w:rsidR="00DF5EAF" w:rsidRDefault="00DF5EAF" w:rsidP="00DF5EAF">
      <w:pPr>
        <w:spacing w:after="0" w:line="360" w:lineRule="auto"/>
        <w:jc w:val="both"/>
        <w:rPr>
          <w:rFonts w:ascii="Times New Roman" w:hAnsi="Times New Roman" w:cs="Times New Roman"/>
          <w:sz w:val="24"/>
          <w:lang w:val="en-US"/>
        </w:rPr>
      </w:pPr>
      <w:r w:rsidRPr="00F737F7">
        <w:rPr>
          <w:rFonts w:ascii="Times New Roman" w:hAnsi="Times New Roman" w:cs="Times New Roman"/>
          <w:sz w:val="24"/>
          <w:lang w:val="en-US"/>
        </w:rPr>
        <w:t xml:space="preserve">The commercial packages explored are: DEA-Solver-Pro 4.0 from SAITECH, Frontier Analyst®8 3.1.5 from Banxia Software, OnFront 2.02 from Economic Measurement and Quality Corporation, and Warwick DEA from Warwick University. </w:t>
      </w:r>
      <w:r w:rsidRPr="004809E2">
        <w:rPr>
          <w:rFonts w:ascii="Times New Roman" w:hAnsi="Times New Roman" w:cs="Times New Roman"/>
          <w:sz w:val="24"/>
          <w:lang w:val="en-US"/>
        </w:rPr>
        <w:t xml:space="preserve">One problem in this area is the non-disclosure of the source code of the designed programs. </w:t>
      </w:r>
    </w:p>
    <w:p w:rsidR="00DF5EAF" w:rsidRDefault="00DF5EAF" w:rsidP="00DF5EAF">
      <w:pPr>
        <w:spacing w:after="0" w:line="360" w:lineRule="auto"/>
        <w:jc w:val="both"/>
        <w:rPr>
          <w:rFonts w:ascii="Times New Roman" w:hAnsi="Times New Roman" w:cs="Times New Roman"/>
          <w:sz w:val="24"/>
          <w:lang w:val="en-US"/>
        </w:rPr>
      </w:pPr>
      <w:r w:rsidRPr="004809E2">
        <w:rPr>
          <w:rFonts w:ascii="Times New Roman" w:hAnsi="Times New Roman" w:cs="Times New Roman"/>
          <w:sz w:val="24"/>
          <w:lang w:val="en-US"/>
        </w:rPr>
        <w:t>The design of the DEA v1.0 software is shown in the following epigraph.</w:t>
      </w:r>
      <w:r>
        <w:rPr>
          <w:rFonts w:ascii="Times New Roman" w:hAnsi="Times New Roman" w:cs="Times New Roman"/>
          <w:sz w:val="24"/>
          <w:lang w:val="en-US"/>
        </w:rPr>
        <w:t xml:space="preserve"> DEA was</w:t>
      </w:r>
      <w:r w:rsidRPr="004809E2">
        <w:rPr>
          <w:rFonts w:ascii="Times New Roman" w:hAnsi="Times New Roman" w:cs="Times New Roman"/>
          <w:sz w:val="24"/>
          <w:lang w:val="en-US"/>
        </w:rPr>
        <w:t xml:space="preserve"> </w:t>
      </w:r>
      <w:r>
        <w:rPr>
          <w:rFonts w:ascii="Times New Roman" w:hAnsi="Times New Roman" w:cs="Times New Roman"/>
          <w:sz w:val="24"/>
          <w:lang w:val="en-US"/>
        </w:rPr>
        <w:t>r</w:t>
      </w:r>
      <w:r w:rsidRPr="004809E2">
        <w:rPr>
          <w:rFonts w:ascii="Times New Roman" w:hAnsi="Times New Roman" w:cs="Times New Roman"/>
          <w:sz w:val="24"/>
          <w:lang w:val="en-US"/>
        </w:rPr>
        <w:t xml:space="preserve">egistered </w:t>
      </w:r>
      <w:r>
        <w:rPr>
          <w:rFonts w:ascii="Times New Roman" w:hAnsi="Times New Roman" w:cs="Times New Roman"/>
          <w:sz w:val="24"/>
          <w:lang w:val="en-US"/>
        </w:rPr>
        <w:t xml:space="preserve">in </w:t>
      </w:r>
      <w:r w:rsidRPr="004809E2">
        <w:rPr>
          <w:rFonts w:ascii="Times New Roman" w:hAnsi="Times New Roman" w:cs="Times New Roman"/>
          <w:sz w:val="24"/>
          <w:lang w:val="en-US"/>
        </w:rPr>
        <w:t>CENDA (national center of copyright in Cuba) referred this free software to the registration 0520-02-2019</w:t>
      </w:r>
      <w:r>
        <w:rPr>
          <w:rFonts w:ascii="Times New Roman" w:hAnsi="Times New Roman" w:cs="Times New Roman"/>
          <w:sz w:val="24"/>
          <w:lang w:val="en-US"/>
        </w:rPr>
        <w:t xml:space="preserve">. </w:t>
      </w:r>
    </w:p>
    <w:p w:rsidR="00DF5EAF" w:rsidRDefault="00DF5EAF" w:rsidP="00DF5EAF">
      <w:pPr>
        <w:spacing w:after="0" w:line="360" w:lineRule="auto"/>
        <w:jc w:val="both"/>
        <w:rPr>
          <w:rFonts w:ascii="Times New Roman" w:hAnsi="Times New Roman" w:cs="Times New Roman"/>
          <w:sz w:val="24"/>
          <w:lang w:val="en-US"/>
        </w:rPr>
      </w:pPr>
    </w:p>
    <w:p w:rsidR="00DF5EAF" w:rsidRPr="009758E4" w:rsidRDefault="00DF5EAF" w:rsidP="00DF5EAF">
      <w:pPr>
        <w:pStyle w:val="HTMLPreformatted"/>
        <w:spacing w:line="360" w:lineRule="auto"/>
        <w:rPr>
          <w:rFonts w:ascii="Times New Roman" w:hAnsi="Times New Roman" w:cs="Times New Roman"/>
          <w:b/>
          <w:sz w:val="24"/>
          <w:szCs w:val="24"/>
          <w:lang w:val="en-US"/>
        </w:rPr>
      </w:pPr>
      <w:r w:rsidRPr="009758E4">
        <w:rPr>
          <w:rFonts w:ascii="Times New Roman" w:hAnsi="Times New Roman" w:cs="Times New Roman"/>
          <w:b/>
          <w:sz w:val="24"/>
          <w:szCs w:val="24"/>
          <w:lang w:val="en-US"/>
        </w:rPr>
        <w:t>3. Results and discussion</w:t>
      </w:r>
    </w:p>
    <w:p w:rsidR="00DF5EAF" w:rsidRPr="009758E4" w:rsidRDefault="00DF5EAF" w:rsidP="00DF5EAF">
      <w:pPr>
        <w:autoSpaceDE w:val="0"/>
        <w:autoSpaceDN w:val="0"/>
        <w:adjustRightInd w:val="0"/>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 xml:space="preserve">The DEA v1.0 software, was written in Python programming environment. It has three languages (English, Spanish and German) interface, doesn't require installation and is registered. The program uses DEA model (CCR and BCC with input and output orientation) and allow calculating efficiency of any quantity of DMU. To show how the program works, we will use an example with three DMUs, two inputs, one output and the efficiency will be calculated by CCR-Input. The welcome window of software after we start the program is figure 1. </w:t>
      </w:r>
    </w:p>
    <w:p w:rsidR="00DF5EAF" w:rsidRPr="00327CC1" w:rsidRDefault="00DF5EAF" w:rsidP="00DF5EAF">
      <w:pPr>
        <w:autoSpaceDE w:val="0"/>
        <w:autoSpaceDN w:val="0"/>
        <w:adjustRightInd w:val="0"/>
        <w:spacing w:after="0" w:line="360" w:lineRule="auto"/>
        <w:jc w:val="center"/>
        <w:rPr>
          <w:rFonts w:ascii="Times New Roman" w:hAnsi="Times New Roman" w:cs="Times New Roman"/>
          <w:sz w:val="24"/>
          <w:szCs w:val="24"/>
        </w:rPr>
      </w:pPr>
      <w:r w:rsidRPr="00327CC1">
        <w:rPr>
          <w:rFonts w:ascii="Times New Roman" w:hAnsi="Times New Roman" w:cs="Times New Roman"/>
          <w:noProof/>
          <w:sz w:val="24"/>
          <w:szCs w:val="24"/>
          <w:lang w:val="en-US"/>
        </w:rPr>
        <w:lastRenderedPageBreak/>
        <w:drawing>
          <wp:inline distT="0" distB="0" distL="0" distR="0" wp14:anchorId="6C19E550" wp14:editId="387F220D">
            <wp:extent cx="5106311" cy="3135086"/>
            <wp:effectExtent l="0" t="0" r="0" b="8255"/>
            <wp:docPr id="6" name="Picture 1" descr="C:\Users\andreyvz\AppData\Local\Microsoft\Windows\INetCache\Content.Word\1-firs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yvz\AppData\Local\Microsoft\Windows\INetCache\Content.Word\1-first-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1630" cy="3144491"/>
                    </a:xfrm>
                    <a:prstGeom prst="rect">
                      <a:avLst/>
                    </a:prstGeom>
                    <a:noFill/>
                    <a:ln>
                      <a:noFill/>
                    </a:ln>
                  </pic:spPr>
                </pic:pic>
              </a:graphicData>
            </a:graphic>
          </wp:inline>
        </w:drawing>
      </w:r>
    </w:p>
    <w:p w:rsidR="00DF5EAF" w:rsidRPr="009758E4" w:rsidRDefault="00DF5EAF" w:rsidP="00DF5EAF">
      <w:pPr>
        <w:autoSpaceDE w:val="0"/>
        <w:autoSpaceDN w:val="0"/>
        <w:adjustRightInd w:val="0"/>
        <w:spacing w:after="0" w:line="360" w:lineRule="auto"/>
        <w:jc w:val="center"/>
        <w:rPr>
          <w:rFonts w:ascii="Times New Roman" w:hAnsi="Times New Roman" w:cs="Times New Roman"/>
          <w:sz w:val="20"/>
          <w:szCs w:val="24"/>
          <w:lang w:val="en-US"/>
        </w:rPr>
      </w:pPr>
      <w:r w:rsidRPr="009758E4">
        <w:rPr>
          <w:rFonts w:ascii="Times New Roman" w:hAnsi="Times New Roman" w:cs="Times New Roman"/>
          <w:sz w:val="20"/>
          <w:szCs w:val="24"/>
          <w:lang w:val="en-US"/>
        </w:rPr>
        <w:t>Figure 1: Welcome window of software DEA v1.0</w:t>
      </w:r>
    </w:p>
    <w:p w:rsidR="00DF5EAF" w:rsidRPr="009758E4" w:rsidRDefault="00DF5EAF" w:rsidP="00DF5EAF">
      <w:pPr>
        <w:autoSpaceDE w:val="0"/>
        <w:autoSpaceDN w:val="0"/>
        <w:adjustRightInd w:val="0"/>
        <w:spacing w:after="0" w:line="360" w:lineRule="auto"/>
        <w:rPr>
          <w:rFonts w:ascii="Times New Roman" w:hAnsi="Times New Roman" w:cs="Times New Roman"/>
          <w:sz w:val="24"/>
          <w:szCs w:val="24"/>
          <w:lang w:val="en-US"/>
        </w:rPr>
      </w:pPr>
      <w:r w:rsidRPr="009758E4">
        <w:rPr>
          <w:rFonts w:ascii="Times New Roman" w:hAnsi="Times New Roman" w:cs="Times New Roman"/>
          <w:sz w:val="24"/>
          <w:szCs w:val="24"/>
          <w:lang w:val="en-US"/>
        </w:rPr>
        <w:t>After we press the button Next, we move to the Data entry window (DeW) and enter the data (figure 2).</w:t>
      </w:r>
    </w:p>
    <w:p w:rsidR="00DF5EAF" w:rsidRPr="00327CC1" w:rsidRDefault="00DF5EAF" w:rsidP="00DF5EAF">
      <w:pPr>
        <w:autoSpaceDE w:val="0"/>
        <w:autoSpaceDN w:val="0"/>
        <w:adjustRightInd w:val="0"/>
        <w:spacing w:after="0" w:line="360" w:lineRule="auto"/>
        <w:rPr>
          <w:rFonts w:ascii="Times New Roman" w:hAnsi="Times New Roman" w:cs="Times New Roman"/>
          <w:sz w:val="24"/>
          <w:szCs w:val="24"/>
        </w:rPr>
      </w:pPr>
      <w:r w:rsidRPr="00327CC1">
        <w:rPr>
          <w:rFonts w:ascii="Times New Roman" w:hAnsi="Times New Roman" w:cs="Times New Roman"/>
          <w:noProof/>
          <w:sz w:val="24"/>
          <w:szCs w:val="24"/>
          <w:lang w:val="en-US"/>
        </w:rPr>
        <w:drawing>
          <wp:inline distT="0" distB="0" distL="0" distR="0" wp14:anchorId="004A2D76" wp14:editId="38BEA816">
            <wp:extent cx="5328746" cy="3279228"/>
            <wp:effectExtent l="0" t="0" r="5715" b="0"/>
            <wp:docPr id="2" name="Picture 2" descr="C:\Users\andreyvz\AppData\Local\Microsoft\Windows\INetCache\Content.Word\2-Data-entry-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yvz\AppData\Local\Microsoft\Windows\INetCache\Content.Word\2-Data-entry-empt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746" cy="3279228"/>
                    </a:xfrm>
                    <a:prstGeom prst="rect">
                      <a:avLst/>
                    </a:prstGeom>
                    <a:noFill/>
                    <a:ln>
                      <a:noFill/>
                    </a:ln>
                  </pic:spPr>
                </pic:pic>
              </a:graphicData>
            </a:graphic>
          </wp:inline>
        </w:drawing>
      </w:r>
    </w:p>
    <w:p w:rsidR="00DF5EAF" w:rsidRPr="009758E4" w:rsidRDefault="00DF5EAF" w:rsidP="00DF5EAF">
      <w:pPr>
        <w:autoSpaceDE w:val="0"/>
        <w:autoSpaceDN w:val="0"/>
        <w:adjustRightInd w:val="0"/>
        <w:spacing w:after="0" w:line="360" w:lineRule="auto"/>
        <w:jc w:val="center"/>
        <w:rPr>
          <w:rFonts w:ascii="Times New Roman" w:hAnsi="Times New Roman" w:cs="Times New Roman"/>
          <w:sz w:val="20"/>
          <w:szCs w:val="24"/>
          <w:lang w:val="en-US"/>
        </w:rPr>
      </w:pPr>
      <w:r w:rsidRPr="009758E4">
        <w:rPr>
          <w:rFonts w:ascii="Times New Roman" w:hAnsi="Times New Roman" w:cs="Times New Roman"/>
          <w:sz w:val="20"/>
          <w:szCs w:val="24"/>
          <w:lang w:val="en-US"/>
        </w:rPr>
        <w:t>Figure 2: Data entry and configuration window of software DEA v1.0.</w:t>
      </w:r>
    </w:p>
    <w:p w:rsidR="00DF5EAF" w:rsidRPr="00327CC1" w:rsidRDefault="00DF5EAF" w:rsidP="00DF5EAF">
      <w:pPr>
        <w:pStyle w:val="ListParagraph"/>
        <w:numPr>
          <w:ilvl w:val="0"/>
          <w:numId w:val="7"/>
        </w:numPr>
        <w:autoSpaceDE w:val="0"/>
        <w:autoSpaceDN w:val="0"/>
        <w:adjustRightInd w:val="0"/>
        <w:spacing w:after="0" w:line="360" w:lineRule="auto"/>
        <w:ind w:left="360"/>
        <w:rPr>
          <w:rFonts w:ascii="Times New Roman" w:hAnsi="Times New Roman" w:cs="Times New Roman"/>
          <w:b/>
          <w:sz w:val="24"/>
          <w:szCs w:val="24"/>
        </w:rPr>
      </w:pPr>
      <w:r w:rsidRPr="00327CC1">
        <w:rPr>
          <w:rFonts w:ascii="Times New Roman" w:hAnsi="Times New Roman" w:cs="Times New Roman"/>
          <w:b/>
          <w:sz w:val="24"/>
          <w:szCs w:val="24"/>
        </w:rPr>
        <w:t>Data entry</w:t>
      </w:r>
    </w:p>
    <w:p w:rsidR="00DF5EAF" w:rsidRPr="009758E4" w:rsidRDefault="00DF5EAF" w:rsidP="00DF5EAF">
      <w:pPr>
        <w:autoSpaceDE w:val="0"/>
        <w:autoSpaceDN w:val="0"/>
        <w:adjustRightInd w:val="0"/>
        <w:spacing w:after="0" w:line="360" w:lineRule="auto"/>
        <w:rPr>
          <w:rFonts w:ascii="Times New Roman" w:hAnsi="Times New Roman" w:cs="Times New Roman"/>
          <w:sz w:val="24"/>
          <w:szCs w:val="24"/>
          <w:lang w:val="en-US"/>
        </w:rPr>
      </w:pPr>
      <w:r w:rsidRPr="009758E4">
        <w:rPr>
          <w:rFonts w:ascii="Times New Roman" w:hAnsi="Times New Roman" w:cs="Times New Roman"/>
          <w:sz w:val="24"/>
          <w:szCs w:val="24"/>
          <w:lang w:val="en-US"/>
        </w:rPr>
        <w:t>To enter data into program both by hand as well as to extract it from Excel file.</w:t>
      </w:r>
    </w:p>
    <w:p w:rsidR="00DF5EAF" w:rsidRPr="00327CC1" w:rsidRDefault="00DF5EAF" w:rsidP="00DF5EAF">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9758E4">
        <w:rPr>
          <w:rFonts w:ascii="Times New Roman" w:hAnsi="Times New Roman" w:cs="Times New Roman"/>
          <w:sz w:val="24"/>
          <w:szCs w:val="24"/>
          <w:lang w:val="en-US"/>
        </w:rPr>
        <w:lastRenderedPageBreak/>
        <w:t xml:space="preserve">By hand: Typing cell by cell on table Resources (INPUT/OUTPUT) located in (DeW (1)). </w:t>
      </w:r>
      <w:r w:rsidRPr="00327CC1">
        <w:rPr>
          <w:rFonts w:ascii="Times New Roman" w:hAnsi="Times New Roman" w:cs="Times New Roman"/>
          <w:sz w:val="24"/>
          <w:szCs w:val="24"/>
        </w:rPr>
        <w:t>The table can be cleared by click on (DeW (4)).</w:t>
      </w:r>
    </w:p>
    <w:p w:rsidR="00DF5EAF" w:rsidRPr="009758E4" w:rsidRDefault="00DF5EAF" w:rsidP="00DF5EAF">
      <w:pPr>
        <w:pStyle w:val="ListParagraph"/>
        <w:numPr>
          <w:ilvl w:val="0"/>
          <w:numId w:val="5"/>
        </w:numPr>
        <w:autoSpaceDE w:val="0"/>
        <w:autoSpaceDN w:val="0"/>
        <w:adjustRightInd w:val="0"/>
        <w:spacing w:after="0" w:line="360" w:lineRule="auto"/>
        <w:rPr>
          <w:rFonts w:ascii="Times New Roman" w:hAnsi="Times New Roman" w:cs="Times New Roman"/>
          <w:sz w:val="24"/>
          <w:szCs w:val="24"/>
          <w:lang w:val="en-US"/>
        </w:rPr>
      </w:pPr>
      <w:r w:rsidRPr="009758E4">
        <w:rPr>
          <w:rFonts w:ascii="Times New Roman" w:hAnsi="Times New Roman" w:cs="Times New Roman"/>
          <w:sz w:val="24"/>
          <w:szCs w:val="24"/>
          <w:lang w:val="en-US"/>
        </w:rPr>
        <w:t>Extracted from Microsoft Excel file: For import data you have to follow those steps:</w:t>
      </w:r>
    </w:p>
    <w:p w:rsidR="00DF5EAF" w:rsidRPr="009758E4" w:rsidRDefault="00DF5EAF" w:rsidP="00DF5EAF">
      <w:pPr>
        <w:pStyle w:val="ListParagraph"/>
        <w:numPr>
          <w:ilvl w:val="0"/>
          <w:numId w:val="6"/>
        </w:numPr>
        <w:autoSpaceDE w:val="0"/>
        <w:autoSpaceDN w:val="0"/>
        <w:adjustRightInd w:val="0"/>
        <w:spacing w:after="0" w:line="360" w:lineRule="auto"/>
        <w:ind w:left="990" w:hanging="180"/>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Open the XLSX file (Microsoft Excel) by clicking on button (DeW (2)) to open DEA-data.XLSX file as show in figure 3. After, you must to paste all your data in this excel file (DEA-data.XLSX) you must save the document.</w:t>
      </w:r>
    </w:p>
    <w:p w:rsidR="00DF5EAF" w:rsidRDefault="00DF5EAF" w:rsidP="00DF5EAF">
      <w:pPr>
        <w:pStyle w:val="ListParagraph"/>
        <w:numPr>
          <w:ilvl w:val="0"/>
          <w:numId w:val="6"/>
        </w:numPr>
        <w:autoSpaceDE w:val="0"/>
        <w:autoSpaceDN w:val="0"/>
        <w:adjustRightInd w:val="0"/>
        <w:spacing w:after="0" w:line="360" w:lineRule="auto"/>
        <w:ind w:left="990" w:hanging="180"/>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Extract data. After save excel file, click on button (DeW (3)) and all your data will appear on table (DeW (1)) in figure 2.</w:t>
      </w:r>
    </w:p>
    <w:p w:rsidR="00DF5EAF" w:rsidRPr="00327CC1" w:rsidRDefault="00DF5EAF" w:rsidP="00DF5EAF">
      <w:pPr>
        <w:pStyle w:val="ListParagraph"/>
        <w:numPr>
          <w:ilvl w:val="0"/>
          <w:numId w:val="6"/>
        </w:numPr>
        <w:autoSpaceDE w:val="0"/>
        <w:autoSpaceDN w:val="0"/>
        <w:adjustRightInd w:val="0"/>
        <w:spacing w:after="0" w:line="360" w:lineRule="auto"/>
        <w:jc w:val="both"/>
        <w:rPr>
          <w:rFonts w:ascii="Times New Roman" w:hAnsi="Times New Roman" w:cs="Times New Roman"/>
          <w:b/>
          <w:sz w:val="24"/>
          <w:szCs w:val="24"/>
        </w:rPr>
      </w:pPr>
      <w:r w:rsidRPr="00327CC1">
        <w:rPr>
          <w:rFonts w:ascii="Times New Roman" w:hAnsi="Times New Roman" w:cs="Times New Roman"/>
          <w:b/>
          <w:sz w:val="24"/>
          <w:szCs w:val="24"/>
        </w:rPr>
        <w:t>Configuring model to be applied</w:t>
      </w:r>
    </w:p>
    <w:p w:rsidR="00DF5EAF" w:rsidRPr="009758E4" w:rsidRDefault="00DF5EAF" w:rsidP="00DF5EAF">
      <w:pPr>
        <w:autoSpaceDE w:val="0"/>
        <w:autoSpaceDN w:val="0"/>
        <w:adjustRightInd w:val="0"/>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The dimension of model (quantity of input, output and Decisions Making Units (DMU)) can by specified on text boxes located in (DeW (5)). The kind of model can be selected by (DeW (6)), where the user can choose between CCR or BCC model with input or output orientation. In (DeW (7)), can be checked average or variance to calculate those parameters with efficiency. Initially, the button "</w:t>
      </w:r>
      <w:r w:rsidRPr="009758E4">
        <w:rPr>
          <w:rFonts w:ascii="Times New Roman" w:hAnsi="Times New Roman" w:cs="Times New Roman"/>
          <w:b/>
          <w:sz w:val="24"/>
          <w:szCs w:val="24"/>
          <w:lang w:val="en-US"/>
        </w:rPr>
        <w:t>SOLVE</w:t>
      </w:r>
      <w:r w:rsidRPr="009758E4">
        <w:rPr>
          <w:rFonts w:ascii="Times New Roman" w:hAnsi="Times New Roman" w:cs="Times New Roman"/>
          <w:sz w:val="24"/>
          <w:szCs w:val="24"/>
          <w:lang w:val="en-US"/>
        </w:rPr>
        <w:t xml:space="preserve">" won’t be activated and will be activated when the data and model configuration is ready. In this time, you will be able to click it and the solution will appear in form shown in </w:t>
      </w:r>
      <w:r w:rsidRPr="009758E4">
        <w:rPr>
          <w:rFonts w:ascii="Times New Roman" w:hAnsi="Times New Roman" w:cs="Times New Roman"/>
          <w:b/>
          <w:sz w:val="24"/>
          <w:szCs w:val="24"/>
          <w:lang w:val="en-US"/>
        </w:rPr>
        <w:t>Result</w:t>
      </w:r>
      <w:r w:rsidRPr="009758E4">
        <w:rPr>
          <w:rFonts w:ascii="Times New Roman" w:hAnsi="Times New Roman" w:cs="Times New Roman"/>
          <w:sz w:val="24"/>
          <w:szCs w:val="24"/>
          <w:lang w:val="en-US"/>
        </w:rPr>
        <w:t xml:space="preserve"> form (Figure 5).</w:t>
      </w:r>
    </w:p>
    <w:p w:rsidR="00DF5EAF" w:rsidRPr="00327CC1" w:rsidRDefault="00DF5EAF" w:rsidP="00DF5EAF">
      <w:pPr>
        <w:autoSpaceDE w:val="0"/>
        <w:autoSpaceDN w:val="0"/>
        <w:adjustRightInd w:val="0"/>
        <w:spacing w:after="0" w:line="240" w:lineRule="auto"/>
        <w:jc w:val="center"/>
        <w:rPr>
          <w:rFonts w:ascii="Times New Roman" w:hAnsi="Times New Roman" w:cs="Times New Roman"/>
          <w:sz w:val="24"/>
          <w:szCs w:val="24"/>
        </w:rPr>
      </w:pPr>
      <w:r w:rsidRPr="00327CC1">
        <w:rPr>
          <w:rFonts w:ascii="Times New Roman" w:hAnsi="Times New Roman" w:cs="Times New Roman"/>
          <w:noProof/>
          <w:sz w:val="24"/>
          <w:szCs w:val="24"/>
          <w:lang w:val="en-US"/>
        </w:rPr>
        <w:drawing>
          <wp:inline distT="0" distB="0" distL="0" distR="0" wp14:anchorId="054331E2" wp14:editId="7DDD5D73">
            <wp:extent cx="4792285" cy="2238451"/>
            <wp:effectExtent l="19050" t="19050" r="27940" b="9525"/>
            <wp:docPr id="10" name="Picture 10" descr="C:\Users\andreyvz\AppData\Local\Microsoft\Windows\INetCache\Content.Word\3-Excel-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yvz\AppData\Local\Microsoft\Windows\INetCache\Content.Word\3-Excel-fil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 r="-4"/>
                    <a:stretch/>
                  </pic:blipFill>
                  <pic:spPr bwMode="auto">
                    <a:xfrm>
                      <a:off x="0" y="0"/>
                      <a:ext cx="4794045" cy="2239273"/>
                    </a:xfrm>
                    <a:prstGeom prst="rect">
                      <a:avLst/>
                    </a:prstGeom>
                    <a:noFill/>
                    <a:ln>
                      <a:solidFill>
                        <a:schemeClr val="tx1"/>
                      </a:solidFill>
                    </a:ln>
                  </pic:spPr>
                </pic:pic>
              </a:graphicData>
            </a:graphic>
          </wp:inline>
        </w:drawing>
      </w:r>
    </w:p>
    <w:p w:rsidR="00DF5EAF" w:rsidRPr="009758E4" w:rsidRDefault="00DF5EAF" w:rsidP="00DF5EAF">
      <w:pPr>
        <w:autoSpaceDE w:val="0"/>
        <w:autoSpaceDN w:val="0"/>
        <w:adjustRightInd w:val="0"/>
        <w:spacing w:after="0" w:line="240" w:lineRule="auto"/>
        <w:jc w:val="center"/>
        <w:rPr>
          <w:rFonts w:ascii="Times New Roman" w:hAnsi="Times New Roman" w:cs="Times New Roman"/>
          <w:sz w:val="20"/>
          <w:szCs w:val="24"/>
          <w:lang w:val="en-US"/>
        </w:rPr>
      </w:pPr>
      <w:r w:rsidRPr="009758E4">
        <w:rPr>
          <w:rFonts w:ascii="Times New Roman" w:hAnsi="Times New Roman" w:cs="Times New Roman"/>
          <w:sz w:val="20"/>
          <w:szCs w:val="24"/>
          <w:lang w:val="en-US"/>
        </w:rPr>
        <w:t>Figure 3: Results exported as excel file</w:t>
      </w:r>
    </w:p>
    <w:p w:rsidR="00DF5EAF" w:rsidRDefault="00DF5EAF" w:rsidP="00DF5EAF">
      <w:pPr>
        <w:autoSpaceDE w:val="0"/>
        <w:autoSpaceDN w:val="0"/>
        <w:adjustRightInd w:val="0"/>
        <w:spacing w:after="0" w:line="240" w:lineRule="auto"/>
        <w:jc w:val="center"/>
        <w:rPr>
          <w:rFonts w:ascii="Times New Roman" w:hAnsi="Times New Roman" w:cs="Times New Roman"/>
          <w:sz w:val="24"/>
          <w:szCs w:val="24"/>
        </w:rPr>
      </w:pPr>
      <w:r w:rsidRPr="00327CC1">
        <w:rPr>
          <w:rFonts w:ascii="Times New Roman" w:hAnsi="Times New Roman" w:cs="Times New Roman"/>
          <w:b/>
          <w:noProof/>
          <w:sz w:val="24"/>
          <w:szCs w:val="24"/>
          <w:lang w:val="en-US"/>
        </w:rPr>
        <w:lastRenderedPageBreak/>
        <w:drawing>
          <wp:inline distT="0" distB="0" distL="0" distR="0" wp14:anchorId="30570761" wp14:editId="15C2DECB">
            <wp:extent cx="4083532" cy="2755075"/>
            <wp:effectExtent l="0" t="0" r="0" b="7620"/>
            <wp:docPr id="5" name="Picture 5" descr="C:\Users\andreyvz\AppData\Local\Microsoft\Windows\INetCache\Content.Word\4-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ndreyvz\AppData\Local\Microsoft\Windows\INetCache\Content.Word\4-Result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8855" cy="2758667"/>
                    </a:xfrm>
                    <a:prstGeom prst="rect">
                      <a:avLst/>
                    </a:prstGeom>
                    <a:noFill/>
                    <a:ln>
                      <a:noFill/>
                    </a:ln>
                  </pic:spPr>
                </pic:pic>
              </a:graphicData>
            </a:graphic>
          </wp:inline>
        </w:drawing>
      </w:r>
    </w:p>
    <w:p w:rsidR="00DF5EAF" w:rsidRPr="009758E4" w:rsidRDefault="00DF5EAF" w:rsidP="00DF5EAF">
      <w:pPr>
        <w:autoSpaceDE w:val="0"/>
        <w:autoSpaceDN w:val="0"/>
        <w:adjustRightInd w:val="0"/>
        <w:spacing w:after="0" w:line="240" w:lineRule="auto"/>
        <w:jc w:val="center"/>
        <w:rPr>
          <w:rFonts w:ascii="Times New Roman" w:hAnsi="Times New Roman" w:cs="Times New Roman"/>
          <w:sz w:val="20"/>
          <w:szCs w:val="24"/>
          <w:lang w:val="en-US"/>
        </w:rPr>
      </w:pPr>
      <w:r w:rsidRPr="009758E4">
        <w:rPr>
          <w:rFonts w:ascii="Times New Roman" w:hAnsi="Times New Roman" w:cs="Times New Roman"/>
          <w:sz w:val="20"/>
          <w:szCs w:val="24"/>
          <w:lang w:val="en-US"/>
        </w:rPr>
        <w:t>Figure 5: Results window of software DEA v1.0</w:t>
      </w:r>
    </w:p>
    <w:p w:rsidR="00DF5EAF" w:rsidRPr="009758E4" w:rsidRDefault="00DF5EAF" w:rsidP="00DF5EAF">
      <w:pPr>
        <w:autoSpaceDE w:val="0"/>
        <w:autoSpaceDN w:val="0"/>
        <w:adjustRightInd w:val="0"/>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On left side in Results window (RW), there is a panel located in (</w:t>
      </w:r>
      <w:r w:rsidRPr="009758E4">
        <w:rPr>
          <w:rFonts w:ascii="Times New Roman" w:hAnsi="Times New Roman" w:cs="Times New Roman"/>
          <w:b/>
          <w:sz w:val="24"/>
          <w:szCs w:val="24"/>
          <w:lang w:val="en-US"/>
        </w:rPr>
        <w:t>RW (1)</w:t>
      </w:r>
      <w:r w:rsidRPr="009758E4">
        <w:rPr>
          <w:rFonts w:ascii="Times New Roman" w:hAnsi="Times New Roman" w:cs="Times New Roman"/>
          <w:sz w:val="24"/>
          <w:szCs w:val="24"/>
          <w:lang w:val="en-US"/>
        </w:rPr>
        <w:t xml:space="preserve">) that shows all information (solution, error message, calculation time, etc.). On right side are the options to export results. In </w:t>
      </w:r>
      <w:r w:rsidRPr="009758E4">
        <w:rPr>
          <w:rFonts w:ascii="Times New Roman" w:hAnsi="Times New Roman" w:cs="Times New Roman"/>
          <w:b/>
          <w:sz w:val="24"/>
          <w:szCs w:val="24"/>
          <w:lang w:val="en-US"/>
        </w:rPr>
        <w:t>RW (2)</w:t>
      </w:r>
      <w:r w:rsidRPr="009758E4">
        <w:rPr>
          <w:rFonts w:ascii="Times New Roman" w:hAnsi="Times New Roman" w:cs="Times New Roman"/>
          <w:sz w:val="24"/>
          <w:szCs w:val="24"/>
          <w:lang w:val="en-US"/>
        </w:rPr>
        <w:t xml:space="preserve"> on this form you can export the results as excel file (see figure 6). The result can be exported as LATEX code in text file (figure 7) or as chart in </w:t>
      </w:r>
      <w:r w:rsidRPr="009758E4">
        <w:rPr>
          <w:rFonts w:ascii="Times New Roman" w:hAnsi="Times New Roman" w:cs="Times New Roman"/>
          <w:b/>
          <w:sz w:val="24"/>
          <w:szCs w:val="24"/>
          <w:lang w:val="en-US"/>
        </w:rPr>
        <w:t>RW (3)</w:t>
      </w:r>
      <w:r w:rsidRPr="009758E4">
        <w:rPr>
          <w:rFonts w:ascii="Times New Roman" w:hAnsi="Times New Roman" w:cs="Times New Roman"/>
          <w:sz w:val="24"/>
          <w:szCs w:val="24"/>
          <w:lang w:val="en-US"/>
        </w:rPr>
        <w:t>.</w:t>
      </w:r>
    </w:p>
    <w:p w:rsidR="00DF5EAF" w:rsidRPr="00327CC1" w:rsidRDefault="00DF5EAF" w:rsidP="00DF5EAF">
      <w:pPr>
        <w:autoSpaceDE w:val="0"/>
        <w:autoSpaceDN w:val="0"/>
        <w:adjustRightInd w:val="0"/>
        <w:spacing w:after="0" w:line="360" w:lineRule="auto"/>
        <w:jc w:val="both"/>
        <w:rPr>
          <w:rFonts w:ascii="Times New Roman" w:hAnsi="Times New Roman" w:cs="Times New Roman"/>
          <w:sz w:val="24"/>
          <w:szCs w:val="24"/>
        </w:rPr>
      </w:pPr>
      <w:r w:rsidRPr="00327CC1">
        <w:rPr>
          <w:rFonts w:ascii="Times New Roman" w:hAnsi="Times New Roman" w:cs="Times New Roman"/>
          <w:noProof/>
          <w:sz w:val="24"/>
          <w:szCs w:val="24"/>
          <w:lang w:val="en-US"/>
        </w:rPr>
        <w:drawing>
          <wp:inline distT="0" distB="0" distL="0" distR="0" wp14:anchorId="6FE9E151" wp14:editId="7A75DCE1">
            <wp:extent cx="5381625" cy="1199515"/>
            <wp:effectExtent l="0" t="0" r="9525" b="635"/>
            <wp:docPr id="9" name="Imagen 9" descr="6-txt-fil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txt-file-cr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1625" cy="1199515"/>
                    </a:xfrm>
                    <a:prstGeom prst="rect">
                      <a:avLst/>
                    </a:prstGeom>
                    <a:noFill/>
                    <a:ln>
                      <a:noFill/>
                    </a:ln>
                  </pic:spPr>
                </pic:pic>
              </a:graphicData>
            </a:graphic>
          </wp:inline>
        </w:drawing>
      </w:r>
    </w:p>
    <w:p w:rsidR="00DF5EAF" w:rsidRPr="00327CC1" w:rsidRDefault="00DF5EAF" w:rsidP="00DF5EAF">
      <w:pPr>
        <w:autoSpaceDE w:val="0"/>
        <w:autoSpaceDN w:val="0"/>
        <w:adjustRightInd w:val="0"/>
        <w:spacing w:after="0" w:line="360" w:lineRule="auto"/>
        <w:jc w:val="center"/>
        <w:rPr>
          <w:rFonts w:ascii="Times New Roman" w:hAnsi="Times New Roman" w:cs="Times New Roman"/>
          <w:b/>
          <w:sz w:val="24"/>
          <w:szCs w:val="24"/>
        </w:rPr>
      </w:pPr>
      <w:r w:rsidRPr="00327CC1">
        <w:rPr>
          <w:rFonts w:ascii="Times New Roman" w:hAnsi="Times New Roman" w:cs="Times New Roman"/>
          <w:b/>
          <w:sz w:val="24"/>
          <w:szCs w:val="24"/>
        </w:rPr>
        <w:t>-A-</w:t>
      </w:r>
    </w:p>
    <w:p w:rsidR="00DF5EAF" w:rsidRPr="00327CC1" w:rsidRDefault="00DF5EAF" w:rsidP="00DF5EAF">
      <w:pPr>
        <w:autoSpaceDE w:val="0"/>
        <w:autoSpaceDN w:val="0"/>
        <w:adjustRightInd w:val="0"/>
        <w:spacing w:after="0" w:line="360" w:lineRule="auto"/>
        <w:jc w:val="both"/>
        <w:rPr>
          <w:rFonts w:ascii="Times New Roman" w:hAnsi="Times New Roman" w:cs="Times New Roman"/>
          <w:sz w:val="24"/>
          <w:szCs w:val="24"/>
        </w:rPr>
      </w:pPr>
      <w:r w:rsidRPr="00327CC1">
        <w:rPr>
          <w:rFonts w:ascii="Times New Roman" w:hAnsi="Times New Roman" w:cs="Times New Roman"/>
          <w:noProof/>
          <w:sz w:val="24"/>
          <w:szCs w:val="24"/>
          <w:lang w:val="en-US"/>
        </w:rPr>
        <w:drawing>
          <wp:inline distT="0" distB="0" distL="0" distR="0" wp14:anchorId="16A798B4" wp14:editId="3699F9B3">
            <wp:extent cx="5372100" cy="658495"/>
            <wp:effectExtent l="0" t="0" r="0" b="8255"/>
            <wp:docPr id="7" name="Imagen 7" descr="7-latex-a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latex-as-p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658495"/>
                    </a:xfrm>
                    <a:prstGeom prst="rect">
                      <a:avLst/>
                    </a:prstGeom>
                    <a:noFill/>
                    <a:ln>
                      <a:noFill/>
                    </a:ln>
                  </pic:spPr>
                </pic:pic>
              </a:graphicData>
            </a:graphic>
          </wp:inline>
        </w:drawing>
      </w:r>
    </w:p>
    <w:p w:rsidR="00DF5EAF" w:rsidRPr="009758E4" w:rsidRDefault="00DF5EAF" w:rsidP="00DF5EAF">
      <w:pPr>
        <w:autoSpaceDE w:val="0"/>
        <w:autoSpaceDN w:val="0"/>
        <w:adjustRightInd w:val="0"/>
        <w:spacing w:after="0" w:line="360" w:lineRule="auto"/>
        <w:jc w:val="center"/>
        <w:rPr>
          <w:rFonts w:ascii="Times New Roman" w:hAnsi="Times New Roman" w:cs="Times New Roman"/>
          <w:b/>
          <w:sz w:val="24"/>
          <w:szCs w:val="24"/>
          <w:lang w:val="en-US"/>
        </w:rPr>
      </w:pPr>
      <w:r w:rsidRPr="009758E4">
        <w:rPr>
          <w:rFonts w:ascii="Times New Roman" w:hAnsi="Times New Roman" w:cs="Times New Roman"/>
          <w:b/>
          <w:sz w:val="24"/>
          <w:szCs w:val="24"/>
          <w:lang w:val="en-US"/>
        </w:rPr>
        <w:t>-B-</w:t>
      </w:r>
    </w:p>
    <w:p w:rsidR="00DF5EAF" w:rsidRPr="009758E4" w:rsidRDefault="00DF5EAF" w:rsidP="00DF5EAF">
      <w:pPr>
        <w:autoSpaceDE w:val="0"/>
        <w:autoSpaceDN w:val="0"/>
        <w:adjustRightInd w:val="0"/>
        <w:spacing w:after="0" w:line="360" w:lineRule="auto"/>
        <w:jc w:val="center"/>
        <w:rPr>
          <w:rFonts w:ascii="Times New Roman" w:hAnsi="Times New Roman" w:cs="Times New Roman"/>
          <w:sz w:val="20"/>
          <w:szCs w:val="24"/>
          <w:lang w:val="en-US"/>
        </w:rPr>
      </w:pPr>
      <w:r w:rsidRPr="009758E4">
        <w:rPr>
          <w:rFonts w:ascii="Times New Roman" w:hAnsi="Times New Roman" w:cs="Times New Roman"/>
          <w:sz w:val="20"/>
          <w:szCs w:val="24"/>
          <w:lang w:val="en-US"/>
        </w:rPr>
        <w:t>Figure 7: LATEX code (-A-) and table after compiled (-B-) in any software editor of TEX file</w:t>
      </w:r>
    </w:p>
    <w:p w:rsidR="00DF5EAF" w:rsidRPr="009758E4" w:rsidRDefault="00DF5EAF" w:rsidP="00DF5EAF">
      <w:pPr>
        <w:autoSpaceDE w:val="0"/>
        <w:autoSpaceDN w:val="0"/>
        <w:adjustRightInd w:val="0"/>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 xml:space="preserve">In those options, you can select type of _le (png, jpg, svg, ps, pdf), kind of graphics (line or column) and color of column or line (black, blue, red, yellow, green, brown, gray, cyan and purple). In </w:t>
      </w:r>
      <w:r w:rsidRPr="009758E4">
        <w:rPr>
          <w:rFonts w:ascii="Times New Roman" w:hAnsi="Times New Roman" w:cs="Times New Roman"/>
          <w:b/>
          <w:sz w:val="24"/>
          <w:szCs w:val="24"/>
          <w:lang w:val="en-US"/>
        </w:rPr>
        <w:t>RW (4)</w:t>
      </w:r>
      <w:r w:rsidRPr="009758E4">
        <w:rPr>
          <w:rFonts w:ascii="Times New Roman" w:hAnsi="Times New Roman" w:cs="Times New Roman"/>
          <w:sz w:val="24"/>
          <w:szCs w:val="24"/>
          <w:lang w:val="en-US"/>
        </w:rPr>
        <w:t xml:space="preserve"> will be configured the title of chart, horizontal and vertical axis. And in </w:t>
      </w:r>
      <w:r w:rsidRPr="009758E4">
        <w:rPr>
          <w:rFonts w:ascii="Times New Roman" w:hAnsi="Times New Roman" w:cs="Times New Roman"/>
          <w:b/>
          <w:sz w:val="24"/>
          <w:szCs w:val="24"/>
          <w:lang w:val="en-US"/>
        </w:rPr>
        <w:t>RW (5)</w:t>
      </w:r>
      <w:r w:rsidRPr="009758E4">
        <w:rPr>
          <w:rFonts w:ascii="Times New Roman" w:hAnsi="Times New Roman" w:cs="Times New Roman"/>
          <w:sz w:val="24"/>
          <w:szCs w:val="24"/>
          <w:lang w:val="en-US"/>
        </w:rPr>
        <w:t xml:space="preserve"> can be changed the size fonts inside chart and decimal places of efficiency value inside chart (see figure 8).</w:t>
      </w:r>
    </w:p>
    <w:p w:rsidR="00DF5EAF" w:rsidRPr="009758E4" w:rsidRDefault="00DF5EAF" w:rsidP="00DF5EAF">
      <w:pPr>
        <w:autoSpaceDE w:val="0"/>
        <w:autoSpaceDN w:val="0"/>
        <w:adjustRightInd w:val="0"/>
        <w:spacing w:after="0" w:line="360" w:lineRule="auto"/>
        <w:jc w:val="both"/>
        <w:rPr>
          <w:rFonts w:ascii="Times New Roman" w:hAnsi="Times New Roman" w:cs="Times New Roman"/>
          <w:b/>
          <w:sz w:val="24"/>
          <w:szCs w:val="24"/>
          <w:lang w:val="en-US"/>
        </w:rPr>
      </w:pPr>
      <w:r w:rsidRPr="009758E4">
        <w:rPr>
          <w:rFonts w:ascii="Times New Roman" w:hAnsi="Times New Roman" w:cs="Times New Roman"/>
          <w:b/>
          <w:sz w:val="24"/>
          <w:szCs w:val="24"/>
          <w:lang w:val="en-US"/>
        </w:rPr>
        <w:lastRenderedPageBreak/>
        <w:t>Example</w:t>
      </w:r>
    </w:p>
    <w:p w:rsidR="00DF5EAF" w:rsidRPr="00DF5EAF" w:rsidRDefault="00DF5EAF" w:rsidP="00DF5EAF">
      <w:pPr>
        <w:pStyle w:val="Heading1"/>
        <w:shd w:val="clear" w:color="auto" w:fill="FFFFFF"/>
        <w:spacing w:before="0" w:line="360" w:lineRule="auto"/>
        <w:jc w:val="both"/>
        <w:rPr>
          <w:b/>
          <w:sz w:val="24"/>
          <w:szCs w:val="24"/>
          <w:lang w:val="en-US"/>
        </w:rPr>
      </w:pPr>
      <w:r w:rsidRPr="00DF5EAF">
        <w:rPr>
          <w:rFonts w:eastAsiaTheme="minorHAnsi"/>
          <w:sz w:val="24"/>
          <w:szCs w:val="24"/>
          <w:lang w:val="en-US"/>
        </w:rPr>
        <w:t xml:space="preserve">For testing the software, we take some data from Major League Baseball corresponding to 2018 MLB Team pitching Statistics located in </w:t>
      </w:r>
      <w:hyperlink r:id="rId17" w:history="1">
        <w:r w:rsidRPr="00DF5EAF">
          <w:rPr>
            <w:rStyle w:val="Hyperlink"/>
            <w:sz w:val="24"/>
            <w:szCs w:val="24"/>
            <w:lang w:val="en-US"/>
          </w:rPr>
          <w:t>https://www.baseball-reference.com/leagues/MLB/2018.shtml</w:t>
        </w:r>
      </w:hyperlink>
      <w:r w:rsidRPr="00DF5EAF">
        <w:rPr>
          <w:sz w:val="24"/>
          <w:szCs w:val="24"/>
          <w:lang w:val="en-US"/>
        </w:rPr>
        <w:t>. The pitching efficiency will be considered in this paper as the capacity of the team’s pitchers to don’t earn runs in tied games or the capacity to preserve any advantage when team is winning. According to this definition was selected for DEA model as input: Bases on Balls (BB), homeruns (HR), Hit by a Pitch (HBP) and Fielding Independent Pitching (FIP). The selected outputs were Wins (W) and Saves (SV) as show in table 2. The data corresponding to inputs and outputs are in green cells.</w:t>
      </w:r>
    </w:p>
    <w:p w:rsidR="00DF5EAF" w:rsidRPr="00DF5EAF" w:rsidRDefault="00DF5EAF" w:rsidP="00DF5EAF">
      <w:pPr>
        <w:pStyle w:val="Heading1"/>
        <w:shd w:val="clear" w:color="auto" w:fill="FFFFFF"/>
        <w:spacing w:before="0" w:line="360" w:lineRule="auto"/>
        <w:jc w:val="both"/>
        <w:rPr>
          <w:sz w:val="24"/>
          <w:szCs w:val="24"/>
          <w:lang w:val="en-US"/>
        </w:rPr>
      </w:pPr>
    </w:p>
    <w:p w:rsidR="00DF5EAF" w:rsidRPr="009758E4" w:rsidRDefault="00DF5EAF" w:rsidP="00DF5EAF">
      <w:pPr>
        <w:autoSpaceDE w:val="0"/>
        <w:autoSpaceDN w:val="0"/>
        <w:adjustRightInd w:val="0"/>
        <w:spacing w:after="0" w:line="360" w:lineRule="auto"/>
        <w:jc w:val="center"/>
        <w:rPr>
          <w:rFonts w:ascii="Times New Roman" w:hAnsi="Times New Roman" w:cs="Times New Roman"/>
          <w:sz w:val="24"/>
          <w:szCs w:val="24"/>
          <w:lang w:val="en-US"/>
        </w:rPr>
      </w:pPr>
      <w:r w:rsidRPr="009758E4">
        <w:rPr>
          <w:rFonts w:ascii="Times New Roman" w:hAnsi="Times New Roman" w:cs="Times New Roman"/>
          <w:sz w:val="24"/>
          <w:szCs w:val="24"/>
          <w:lang w:val="en-US"/>
        </w:rPr>
        <w:t>Table 2.  Statistics data for pitching by team</w:t>
      </w:r>
    </w:p>
    <w:tbl>
      <w:tblPr>
        <w:tblStyle w:val="TableGrid"/>
        <w:tblW w:w="7465" w:type="dxa"/>
        <w:jc w:val="center"/>
        <w:tblLook w:val="04A0" w:firstRow="1" w:lastRow="0" w:firstColumn="1" w:lastColumn="0" w:noHBand="0" w:noVBand="1"/>
      </w:tblPr>
      <w:tblGrid>
        <w:gridCol w:w="960"/>
        <w:gridCol w:w="546"/>
        <w:gridCol w:w="546"/>
        <w:gridCol w:w="669"/>
        <w:gridCol w:w="595"/>
        <w:gridCol w:w="630"/>
        <w:gridCol w:w="1157"/>
        <w:gridCol w:w="681"/>
        <w:gridCol w:w="1681"/>
      </w:tblGrid>
      <w:tr w:rsidR="00DF5EAF" w:rsidRPr="00E5265C" w:rsidTr="00FE5124">
        <w:trPr>
          <w:trHeight w:val="300"/>
          <w:jc w:val="center"/>
        </w:trPr>
        <w:tc>
          <w:tcPr>
            <w:tcW w:w="960" w:type="dxa"/>
            <w:noWrap/>
            <w:hideMark/>
          </w:tcPr>
          <w:p w:rsidR="00DF5EAF" w:rsidRPr="00E5265C" w:rsidRDefault="00DF5EAF" w:rsidP="00FE5124">
            <w:pPr>
              <w:rPr>
                <w:rFonts w:ascii="Times New Roman" w:eastAsia="Times New Roman" w:hAnsi="Times New Roman" w:cs="Times New Roman"/>
              </w:rPr>
            </w:pPr>
          </w:p>
        </w:tc>
        <w:tc>
          <w:tcPr>
            <w:tcW w:w="546"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BB</w:t>
            </w:r>
          </w:p>
        </w:tc>
        <w:tc>
          <w:tcPr>
            <w:tcW w:w="546"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HR</w:t>
            </w:r>
          </w:p>
        </w:tc>
        <w:tc>
          <w:tcPr>
            <w:tcW w:w="669"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HBP</w:t>
            </w:r>
          </w:p>
        </w:tc>
        <w:tc>
          <w:tcPr>
            <w:tcW w:w="595" w:type="dxa"/>
            <w:noWrap/>
            <w:hideMark/>
          </w:tcPr>
          <w:p w:rsidR="00DF5EAF" w:rsidRPr="00E5265C" w:rsidRDefault="00DF5EAF" w:rsidP="00FE5124">
            <w:pP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W</w:t>
            </w:r>
          </w:p>
        </w:tc>
        <w:tc>
          <w:tcPr>
            <w:tcW w:w="63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SV</w:t>
            </w:r>
          </w:p>
        </w:tc>
        <w:tc>
          <w:tcPr>
            <w:tcW w:w="1157" w:type="dxa"/>
          </w:tcPr>
          <w:p w:rsidR="00DF5EAF" w:rsidRPr="00E5265C" w:rsidRDefault="00DF5EAF" w:rsidP="00FE5124">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Efficiency</w:t>
            </w:r>
          </w:p>
        </w:tc>
        <w:tc>
          <w:tcPr>
            <w:tcW w:w="681" w:type="dxa"/>
          </w:tcPr>
          <w:p w:rsidR="00DF5EAF" w:rsidRPr="00630C4D" w:rsidRDefault="00DF5EAF" w:rsidP="00FE5124">
            <w:pPr>
              <w:autoSpaceDE w:val="0"/>
              <w:autoSpaceDN w:val="0"/>
              <w:adjustRightInd w:val="0"/>
              <w:jc w:val="center"/>
              <w:rPr>
                <w:rFonts w:ascii="Times New Roman" w:hAnsi="Times New Roman" w:cs="Times New Roman"/>
                <w:b/>
                <w:bCs/>
                <w:color w:val="000000"/>
              </w:rPr>
            </w:pPr>
            <w:r w:rsidRPr="00630C4D">
              <w:rPr>
                <w:rFonts w:ascii="Times New Roman" w:hAnsi="Times New Roman" w:cs="Times New Roman"/>
                <w:b/>
                <w:bCs/>
                <w:color w:val="000000"/>
              </w:rPr>
              <w:t>ERA</w:t>
            </w:r>
          </w:p>
        </w:tc>
        <w:tc>
          <w:tcPr>
            <w:tcW w:w="1681" w:type="dxa"/>
          </w:tcPr>
          <w:p w:rsidR="00DF5EAF" w:rsidRPr="00630C4D" w:rsidRDefault="00DF5EAF" w:rsidP="00FE5124">
            <w:pPr>
              <w:autoSpaceDE w:val="0"/>
              <w:autoSpaceDN w:val="0"/>
              <w:adjustRightInd w:val="0"/>
              <w:jc w:val="center"/>
              <w:rPr>
                <w:rFonts w:ascii="Times New Roman" w:hAnsi="Times New Roman" w:cs="Times New Roman"/>
                <w:b/>
                <w:bCs/>
                <w:color w:val="000000"/>
              </w:rPr>
            </w:pPr>
            <w:r>
              <w:rPr>
                <w:rFonts w:ascii="Times New Roman" w:hAnsi="Times New Roman" w:cs="Times New Roman"/>
                <w:b/>
                <w:bCs/>
                <w:color w:val="000000"/>
              </w:rPr>
              <w:t>POS by Wins</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ARI</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522</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174</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57</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82</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39</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0.832</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3.72</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ATL</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635</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153</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52</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90</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40</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1.000</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3.75</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BAL</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589</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234</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67</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47</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28</w:t>
            </w:r>
          </w:p>
        </w:tc>
        <w:tc>
          <w:tcPr>
            <w:tcW w:w="1157" w:type="dxa"/>
            <w:shd w:val="clear" w:color="auto" w:fill="943634" w:themeFill="accent2" w:themeFillShade="BF"/>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0.437</w:t>
            </w:r>
          </w:p>
        </w:tc>
        <w:tc>
          <w:tcPr>
            <w:tcW w:w="681" w:type="dxa"/>
            <w:shd w:val="clear" w:color="auto" w:fill="365F91" w:themeFill="accent1" w:themeFillShade="BF"/>
          </w:tcPr>
          <w:p w:rsidR="00DF5EAF" w:rsidRPr="00606106" w:rsidRDefault="00DF5EAF" w:rsidP="00FE5124">
            <w:pPr>
              <w:autoSpaceDE w:val="0"/>
              <w:autoSpaceDN w:val="0"/>
              <w:adjustRightInd w:val="0"/>
              <w:jc w:val="center"/>
              <w:rPr>
                <w:rFonts w:ascii="Times New Roman" w:hAnsi="Times New Roman" w:cs="Times New Roman"/>
                <w:color w:val="000000"/>
                <w:u w:val="single"/>
              </w:rPr>
            </w:pPr>
            <w:r w:rsidRPr="00606106">
              <w:rPr>
                <w:rFonts w:ascii="Times New Roman" w:hAnsi="Times New Roman" w:cs="Times New Roman"/>
                <w:color w:val="000000"/>
                <w:u w:val="single"/>
              </w:rPr>
              <w:t>5.18</w:t>
            </w:r>
          </w:p>
        </w:tc>
        <w:tc>
          <w:tcPr>
            <w:tcW w:w="1681" w:type="dxa"/>
            <w:shd w:val="clear" w:color="auto" w:fill="808080" w:themeFill="background1" w:themeFillShade="80"/>
          </w:tcPr>
          <w:p w:rsidR="00DF5EAF" w:rsidRPr="00606106" w:rsidRDefault="00DF5EAF" w:rsidP="00FE5124">
            <w:pPr>
              <w:autoSpaceDE w:val="0"/>
              <w:autoSpaceDN w:val="0"/>
              <w:adjustRightInd w:val="0"/>
              <w:jc w:val="center"/>
              <w:rPr>
                <w:rFonts w:ascii="Times New Roman" w:hAnsi="Times New Roman" w:cs="Times New Roman"/>
                <w:color w:val="000000"/>
                <w:u w:val="single"/>
              </w:rPr>
            </w:pPr>
            <w:r>
              <w:rPr>
                <w:rFonts w:ascii="Times New Roman" w:hAnsi="Times New Roman" w:cs="Times New Roman"/>
                <w:color w:val="000000"/>
                <w:u w:val="single"/>
              </w:rPr>
              <w:t>30</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BOS</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512</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176</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84</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108</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46</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0.906</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3.75</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CHC</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622</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157</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66</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95</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46</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0.953</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3.65</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CHW</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653</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196</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89</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62</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34</w:t>
            </w:r>
          </w:p>
        </w:tc>
        <w:tc>
          <w:tcPr>
            <w:tcW w:w="1157" w:type="dxa"/>
            <w:shd w:val="clear" w:color="auto" w:fill="943634" w:themeFill="accent2" w:themeFillShade="BF"/>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0.552</w:t>
            </w:r>
          </w:p>
        </w:tc>
        <w:tc>
          <w:tcPr>
            <w:tcW w:w="681" w:type="dxa"/>
            <w:shd w:val="clear" w:color="auto" w:fill="365F91" w:themeFill="accent1" w:themeFillShade="BF"/>
          </w:tcPr>
          <w:p w:rsidR="00DF5EAF" w:rsidRPr="00606106" w:rsidRDefault="00DF5EAF" w:rsidP="00FE5124">
            <w:pPr>
              <w:autoSpaceDE w:val="0"/>
              <w:autoSpaceDN w:val="0"/>
              <w:adjustRightInd w:val="0"/>
              <w:jc w:val="center"/>
              <w:rPr>
                <w:rFonts w:ascii="Times New Roman" w:hAnsi="Times New Roman" w:cs="Times New Roman"/>
                <w:color w:val="000000"/>
                <w:u w:val="single"/>
              </w:rPr>
            </w:pPr>
            <w:r w:rsidRPr="00606106">
              <w:rPr>
                <w:rFonts w:ascii="Times New Roman" w:hAnsi="Times New Roman" w:cs="Times New Roman"/>
                <w:color w:val="000000"/>
                <w:u w:val="single"/>
              </w:rPr>
              <w:t>4.84</w:t>
            </w:r>
          </w:p>
        </w:tc>
        <w:tc>
          <w:tcPr>
            <w:tcW w:w="1681" w:type="dxa"/>
            <w:shd w:val="clear" w:color="auto" w:fill="808080" w:themeFill="background1" w:themeFillShade="80"/>
          </w:tcPr>
          <w:p w:rsidR="00DF5EAF" w:rsidRPr="00606106" w:rsidRDefault="00DF5EAF" w:rsidP="00FE5124">
            <w:pPr>
              <w:autoSpaceDE w:val="0"/>
              <w:autoSpaceDN w:val="0"/>
              <w:adjustRightInd w:val="0"/>
              <w:jc w:val="center"/>
              <w:rPr>
                <w:rFonts w:ascii="Times New Roman" w:hAnsi="Times New Roman" w:cs="Times New Roman"/>
                <w:color w:val="000000"/>
                <w:u w:val="single"/>
              </w:rPr>
            </w:pPr>
            <w:r>
              <w:rPr>
                <w:rFonts w:ascii="Times New Roman" w:hAnsi="Times New Roman" w:cs="Times New Roman"/>
                <w:color w:val="000000"/>
                <w:u w:val="single"/>
              </w:rPr>
              <w:t>28</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CIN</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532</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228</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50</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67</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38</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0.775</w:t>
            </w:r>
          </w:p>
        </w:tc>
        <w:tc>
          <w:tcPr>
            <w:tcW w:w="681" w:type="dxa"/>
            <w:shd w:val="clear" w:color="auto" w:fill="365F91" w:themeFill="accent1" w:themeFillShade="BF"/>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4.63</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24</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CLE</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407</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200</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59</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91</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41</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0.969</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3.77</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COL</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525</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184</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52</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91</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51</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1.000</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4.33</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DET</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491</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216</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60</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64</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37</w:t>
            </w:r>
          </w:p>
        </w:tc>
        <w:tc>
          <w:tcPr>
            <w:tcW w:w="1157" w:type="dxa"/>
            <w:shd w:val="clear" w:color="auto" w:fill="943634" w:themeFill="accent2" w:themeFillShade="BF"/>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0.676</w:t>
            </w:r>
          </w:p>
        </w:tc>
        <w:tc>
          <w:tcPr>
            <w:tcW w:w="681" w:type="dxa"/>
            <w:shd w:val="clear" w:color="auto" w:fill="365F91" w:themeFill="accent1" w:themeFillShade="BF"/>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4.58</w:t>
            </w:r>
          </w:p>
        </w:tc>
        <w:tc>
          <w:tcPr>
            <w:tcW w:w="1681" w:type="dxa"/>
            <w:shd w:val="clear" w:color="auto" w:fill="808080" w:themeFill="background1" w:themeFillShade="80"/>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26</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HOU</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435</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152</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66</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103</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46</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1.000</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3.11</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KCR</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549</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205</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51</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58</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33</w:t>
            </w:r>
          </w:p>
        </w:tc>
        <w:tc>
          <w:tcPr>
            <w:tcW w:w="1157" w:type="dxa"/>
            <w:shd w:val="clear" w:color="auto" w:fill="943634" w:themeFill="accent2" w:themeFillShade="BF"/>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0.660</w:t>
            </w:r>
          </w:p>
        </w:tc>
        <w:tc>
          <w:tcPr>
            <w:tcW w:w="681" w:type="dxa"/>
            <w:shd w:val="clear" w:color="auto" w:fill="365F91" w:themeFill="accent1" w:themeFillShade="BF"/>
          </w:tcPr>
          <w:p w:rsidR="00DF5EAF" w:rsidRPr="004A20D7" w:rsidRDefault="00DF5EAF" w:rsidP="00FE5124">
            <w:pPr>
              <w:autoSpaceDE w:val="0"/>
              <w:autoSpaceDN w:val="0"/>
              <w:adjustRightInd w:val="0"/>
              <w:jc w:val="center"/>
              <w:rPr>
                <w:rFonts w:ascii="Times New Roman" w:hAnsi="Times New Roman" w:cs="Times New Roman"/>
                <w:color w:val="000000"/>
                <w:u w:val="single"/>
              </w:rPr>
            </w:pPr>
            <w:r w:rsidRPr="004A20D7">
              <w:rPr>
                <w:rFonts w:ascii="Times New Roman" w:hAnsi="Times New Roman" w:cs="Times New Roman"/>
                <w:color w:val="000000"/>
                <w:u w:val="single"/>
              </w:rPr>
              <w:t>4.94</w:t>
            </w:r>
          </w:p>
        </w:tc>
        <w:tc>
          <w:tcPr>
            <w:tcW w:w="1681" w:type="dxa"/>
            <w:shd w:val="clear" w:color="auto" w:fill="808080" w:themeFill="background1" w:themeFillShade="80"/>
          </w:tcPr>
          <w:p w:rsidR="00DF5EAF" w:rsidRPr="004A20D7" w:rsidRDefault="00DF5EAF" w:rsidP="00FE5124">
            <w:pPr>
              <w:autoSpaceDE w:val="0"/>
              <w:autoSpaceDN w:val="0"/>
              <w:adjustRightInd w:val="0"/>
              <w:jc w:val="center"/>
              <w:rPr>
                <w:rFonts w:ascii="Times New Roman" w:hAnsi="Times New Roman" w:cs="Times New Roman"/>
                <w:color w:val="000000"/>
                <w:u w:val="single"/>
              </w:rPr>
            </w:pPr>
            <w:r w:rsidRPr="004A20D7">
              <w:rPr>
                <w:rFonts w:ascii="Times New Roman" w:hAnsi="Times New Roman" w:cs="Times New Roman"/>
                <w:color w:val="000000"/>
                <w:u w:val="single"/>
              </w:rPr>
              <w:t>29</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LAA</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546</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205</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65</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80</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35</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0.706</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4.15</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LAD</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422</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179</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61</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92</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48</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0.998</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3.38</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MIA</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605</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192</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71</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63</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30</w:t>
            </w:r>
          </w:p>
        </w:tc>
        <w:tc>
          <w:tcPr>
            <w:tcW w:w="1157" w:type="dxa"/>
            <w:shd w:val="clear" w:color="auto" w:fill="943634" w:themeFill="accent2" w:themeFillShade="BF"/>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0.538</w:t>
            </w:r>
          </w:p>
        </w:tc>
        <w:tc>
          <w:tcPr>
            <w:tcW w:w="681" w:type="dxa"/>
            <w:shd w:val="clear" w:color="auto" w:fill="365F91" w:themeFill="accent1" w:themeFillShade="BF"/>
          </w:tcPr>
          <w:p w:rsidR="00DF5EAF" w:rsidRPr="00606106" w:rsidRDefault="00DF5EAF" w:rsidP="00FE5124">
            <w:pPr>
              <w:autoSpaceDE w:val="0"/>
              <w:autoSpaceDN w:val="0"/>
              <w:adjustRightInd w:val="0"/>
              <w:jc w:val="center"/>
              <w:rPr>
                <w:rFonts w:ascii="Times New Roman" w:hAnsi="Times New Roman" w:cs="Times New Roman"/>
                <w:color w:val="000000"/>
                <w:u w:val="single"/>
              </w:rPr>
            </w:pPr>
            <w:r w:rsidRPr="00606106">
              <w:rPr>
                <w:rFonts w:ascii="Times New Roman" w:hAnsi="Times New Roman" w:cs="Times New Roman"/>
                <w:color w:val="000000"/>
                <w:u w:val="single"/>
              </w:rPr>
              <w:t>4.76</w:t>
            </w:r>
          </w:p>
        </w:tc>
        <w:tc>
          <w:tcPr>
            <w:tcW w:w="1681" w:type="dxa"/>
            <w:shd w:val="clear" w:color="auto" w:fill="808080" w:themeFill="background1" w:themeFillShade="80"/>
          </w:tcPr>
          <w:p w:rsidR="00DF5EAF" w:rsidRPr="00606106" w:rsidRDefault="00DF5EAF" w:rsidP="00FE5124">
            <w:pPr>
              <w:autoSpaceDE w:val="0"/>
              <w:autoSpaceDN w:val="0"/>
              <w:adjustRightInd w:val="0"/>
              <w:jc w:val="center"/>
              <w:rPr>
                <w:rFonts w:ascii="Times New Roman" w:hAnsi="Times New Roman" w:cs="Times New Roman"/>
                <w:color w:val="000000"/>
                <w:u w:val="single"/>
              </w:rPr>
            </w:pPr>
            <w:r>
              <w:rPr>
                <w:rFonts w:ascii="Times New Roman" w:hAnsi="Times New Roman" w:cs="Times New Roman"/>
                <w:color w:val="000000"/>
                <w:u w:val="single"/>
              </w:rPr>
              <w:t>27</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MIL</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553</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173</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61</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96</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49</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0.949</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3.73</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MIN</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573</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198</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80</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78</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37</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0.614</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4.5</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NYM</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484</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185</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71</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77</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41</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0.728</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4.07</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NYY</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494</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177</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58</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100</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49</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1.000</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3.78</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OAK</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474</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184</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53</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97</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44</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1.000</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3.81</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PHI</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500</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171</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60</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80</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44</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0.823</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4.14</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17</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PIT</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497</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174</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69</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82</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40</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0.753</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15</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SDP</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519</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185</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68</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66</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36</w:t>
            </w:r>
          </w:p>
        </w:tc>
        <w:tc>
          <w:tcPr>
            <w:tcW w:w="1157" w:type="dxa"/>
            <w:shd w:val="clear" w:color="auto" w:fill="943634" w:themeFill="accent2" w:themeFillShade="BF"/>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0.626</w:t>
            </w:r>
          </w:p>
        </w:tc>
        <w:tc>
          <w:tcPr>
            <w:tcW w:w="681" w:type="dxa"/>
            <w:shd w:val="clear" w:color="auto" w:fill="365F91" w:themeFill="accent1" w:themeFillShade="BF"/>
          </w:tcPr>
          <w:p w:rsidR="00DF5EAF" w:rsidRPr="00F65C8B" w:rsidRDefault="00DF5EAF" w:rsidP="00FE5124">
            <w:pPr>
              <w:autoSpaceDE w:val="0"/>
              <w:autoSpaceDN w:val="0"/>
              <w:adjustRightInd w:val="0"/>
              <w:jc w:val="center"/>
              <w:rPr>
                <w:rFonts w:ascii="Times New Roman" w:hAnsi="Times New Roman" w:cs="Times New Roman"/>
                <w:color w:val="000000"/>
                <w:u w:val="single"/>
              </w:rPr>
            </w:pPr>
            <w:r w:rsidRPr="00F65C8B">
              <w:rPr>
                <w:rFonts w:ascii="Times New Roman" w:hAnsi="Times New Roman" w:cs="Times New Roman"/>
                <w:color w:val="000000"/>
                <w:u w:val="single"/>
              </w:rPr>
              <w:t>4.4</w:t>
            </w:r>
          </w:p>
        </w:tc>
        <w:tc>
          <w:tcPr>
            <w:tcW w:w="1681" w:type="dxa"/>
            <w:shd w:val="clear" w:color="auto" w:fill="808080" w:themeFill="background1" w:themeFillShade="80"/>
          </w:tcPr>
          <w:p w:rsidR="00DF5EAF" w:rsidRPr="00F65C8B" w:rsidRDefault="00DF5EAF" w:rsidP="00FE5124">
            <w:pPr>
              <w:autoSpaceDE w:val="0"/>
              <w:autoSpaceDN w:val="0"/>
              <w:adjustRightInd w:val="0"/>
              <w:jc w:val="center"/>
              <w:rPr>
                <w:rFonts w:ascii="Times New Roman" w:hAnsi="Times New Roman" w:cs="Times New Roman"/>
                <w:color w:val="000000"/>
                <w:u w:val="single"/>
              </w:rPr>
            </w:pPr>
            <w:r w:rsidRPr="00F65C8B">
              <w:rPr>
                <w:rFonts w:ascii="Times New Roman" w:hAnsi="Times New Roman" w:cs="Times New Roman"/>
                <w:color w:val="000000"/>
                <w:u w:val="single"/>
              </w:rPr>
              <w:t>25</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SEA</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400</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195</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72</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89</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60</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1.000</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4.13</w:t>
            </w:r>
          </w:p>
        </w:tc>
        <w:tc>
          <w:tcPr>
            <w:tcW w:w="1681" w:type="dxa"/>
            <w:shd w:val="clear" w:color="auto" w:fill="FFFFFF" w:themeFill="background1"/>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SFG</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524</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156</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45</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73</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36</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0.903</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3.95</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21</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lastRenderedPageBreak/>
              <w:t>STL</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593</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144</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67</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88</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43</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0.970</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3.85</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TBR</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501</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164</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53</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90</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52</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1.000</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3.74</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TEX</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491</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222</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72</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67</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42</w:t>
            </w:r>
          </w:p>
        </w:tc>
        <w:tc>
          <w:tcPr>
            <w:tcW w:w="1157" w:type="dxa"/>
            <w:shd w:val="clear" w:color="auto" w:fill="943634" w:themeFill="accent2" w:themeFillShade="BF"/>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0.667</w:t>
            </w:r>
          </w:p>
        </w:tc>
        <w:tc>
          <w:tcPr>
            <w:tcW w:w="681" w:type="dxa"/>
            <w:shd w:val="clear" w:color="auto" w:fill="365F91" w:themeFill="accent1" w:themeFillShade="BF"/>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4.92</w:t>
            </w:r>
          </w:p>
        </w:tc>
        <w:tc>
          <w:tcPr>
            <w:tcW w:w="1681" w:type="dxa"/>
            <w:shd w:val="clear" w:color="auto" w:fill="808080" w:themeFill="background1" w:themeFillShade="80"/>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23</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TOR</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551</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208</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67</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73</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39</w:t>
            </w:r>
          </w:p>
        </w:tc>
        <w:tc>
          <w:tcPr>
            <w:tcW w:w="1157" w:type="dxa"/>
            <w:shd w:val="clear" w:color="auto" w:fill="943634" w:themeFill="accent2" w:themeFillShade="BF"/>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0.665</w:t>
            </w:r>
          </w:p>
        </w:tc>
        <w:tc>
          <w:tcPr>
            <w:tcW w:w="681" w:type="dxa"/>
            <w:shd w:val="clear" w:color="auto" w:fill="365F91" w:themeFill="accent1" w:themeFillShade="BF"/>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4.85</w:t>
            </w:r>
          </w:p>
        </w:tc>
        <w:tc>
          <w:tcPr>
            <w:tcW w:w="1681" w:type="dxa"/>
            <w:shd w:val="clear" w:color="auto" w:fill="808080" w:themeFill="background1" w:themeFillShade="80"/>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22</w:t>
            </w:r>
          </w:p>
        </w:tc>
      </w:tr>
      <w:tr w:rsidR="00DF5EAF" w:rsidRPr="00E5265C" w:rsidTr="00FE5124">
        <w:trPr>
          <w:trHeight w:val="300"/>
          <w:jc w:val="center"/>
        </w:trPr>
        <w:tc>
          <w:tcPr>
            <w:tcW w:w="960" w:type="dxa"/>
            <w:hideMark/>
          </w:tcPr>
          <w:p w:rsidR="00DF5EAF" w:rsidRPr="00E5265C" w:rsidRDefault="00DF5EAF" w:rsidP="00FE5124">
            <w:pPr>
              <w:jc w:val="center"/>
              <w:rPr>
                <w:rFonts w:ascii="Times New Roman" w:eastAsia="Times New Roman" w:hAnsi="Times New Roman" w:cs="Times New Roman"/>
                <w:b/>
                <w:bCs/>
                <w:color w:val="000000"/>
              </w:rPr>
            </w:pPr>
            <w:r w:rsidRPr="00E5265C">
              <w:rPr>
                <w:rFonts w:ascii="Times New Roman" w:eastAsia="Times New Roman" w:hAnsi="Times New Roman" w:cs="Times New Roman"/>
                <w:b/>
                <w:bCs/>
                <w:color w:val="000000"/>
              </w:rPr>
              <w:t>WSN</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487</w:t>
            </w:r>
          </w:p>
        </w:tc>
        <w:tc>
          <w:tcPr>
            <w:tcW w:w="546"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198</w:t>
            </w:r>
          </w:p>
        </w:tc>
        <w:tc>
          <w:tcPr>
            <w:tcW w:w="669" w:type="dxa"/>
            <w:shd w:val="clear" w:color="auto" w:fill="FABF8F" w:themeFill="accent6" w:themeFillTint="99"/>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76</w:t>
            </w:r>
          </w:p>
        </w:tc>
        <w:tc>
          <w:tcPr>
            <w:tcW w:w="595"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82</w:t>
            </w:r>
          </w:p>
        </w:tc>
        <w:tc>
          <w:tcPr>
            <w:tcW w:w="630" w:type="dxa"/>
            <w:shd w:val="clear" w:color="auto" w:fill="FABF8F" w:themeFill="accent6" w:themeFillTint="99"/>
            <w:noWrap/>
            <w:hideMark/>
          </w:tcPr>
          <w:p w:rsidR="00DF5EAF" w:rsidRPr="00E5265C" w:rsidRDefault="00DF5EAF" w:rsidP="00FE5124">
            <w:pPr>
              <w:jc w:val="right"/>
              <w:rPr>
                <w:rFonts w:ascii="Times New Roman" w:eastAsia="Times New Roman" w:hAnsi="Times New Roman" w:cs="Times New Roman"/>
                <w:color w:val="000000"/>
              </w:rPr>
            </w:pPr>
            <w:r w:rsidRPr="00E5265C">
              <w:rPr>
                <w:rFonts w:ascii="Times New Roman" w:eastAsia="Times New Roman" w:hAnsi="Times New Roman" w:cs="Times New Roman"/>
                <w:color w:val="000000"/>
              </w:rPr>
              <w:t>40</w:t>
            </w:r>
          </w:p>
        </w:tc>
        <w:tc>
          <w:tcPr>
            <w:tcW w:w="1157" w:type="dxa"/>
            <w:vAlign w:val="bottom"/>
          </w:tcPr>
          <w:p w:rsidR="00DF5EAF" w:rsidRPr="00630C4D" w:rsidRDefault="00DF5EAF" w:rsidP="00FE5124">
            <w:pPr>
              <w:jc w:val="center"/>
              <w:rPr>
                <w:rFonts w:ascii="Times New Roman" w:hAnsi="Times New Roman" w:cs="Times New Roman"/>
                <w:b/>
                <w:color w:val="000000"/>
              </w:rPr>
            </w:pPr>
            <w:r w:rsidRPr="00630C4D">
              <w:rPr>
                <w:rFonts w:ascii="Times New Roman" w:hAnsi="Times New Roman" w:cs="Times New Roman"/>
                <w:b/>
                <w:color w:val="000000"/>
              </w:rPr>
              <w:t>0.722</w:t>
            </w:r>
          </w:p>
        </w:tc>
        <w:tc>
          <w:tcPr>
            <w:tcW w:w="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sidRPr="00630C4D">
              <w:rPr>
                <w:rFonts w:ascii="Times New Roman" w:hAnsi="Times New Roman" w:cs="Times New Roman"/>
                <w:color w:val="000000"/>
              </w:rPr>
              <w:t>4.04</w:t>
            </w:r>
          </w:p>
        </w:tc>
        <w:tc>
          <w:tcPr>
            <w:tcW w:w="1681" w:type="dxa"/>
          </w:tcPr>
          <w:p w:rsidR="00DF5EAF" w:rsidRPr="00630C4D" w:rsidRDefault="00DF5EAF" w:rsidP="00FE512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16</w:t>
            </w:r>
          </w:p>
        </w:tc>
      </w:tr>
    </w:tbl>
    <w:p w:rsidR="00DF5EAF" w:rsidRDefault="00DF5EAF" w:rsidP="00DF5EAF">
      <w:pPr>
        <w:autoSpaceDE w:val="0"/>
        <w:autoSpaceDN w:val="0"/>
        <w:adjustRightInd w:val="0"/>
        <w:spacing w:after="0" w:line="240" w:lineRule="auto"/>
        <w:jc w:val="both"/>
        <w:rPr>
          <w:rFonts w:ascii="Times New Roman" w:hAnsi="Times New Roman" w:cs="Times New Roman"/>
        </w:rPr>
      </w:pPr>
    </w:p>
    <w:p w:rsidR="00DF5EAF" w:rsidRPr="009758E4" w:rsidRDefault="00DF5EAF" w:rsidP="00DF5EAF">
      <w:pPr>
        <w:autoSpaceDE w:val="0"/>
        <w:autoSpaceDN w:val="0"/>
        <w:adjustRightInd w:val="0"/>
        <w:spacing w:after="0" w:line="360" w:lineRule="auto"/>
        <w:jc w:val="both"/>
        <w:rPr>
          <w:rFonts w:ascii="Times New Roman" w:hAnsi="Times New Roman" w:cs="Times New Roman"/>
          <w:sz w:val="24"/>
          <w:lang w:val="en-US"/>
        </w:rPr>
      </w:pPr>
      <w:r w:rsidRPr="009758E4">
        <w:rPr>
          <w:rFonts w:ascii="Times New Roman" w:hAnsi="Times New Roman" w:cs="Times New Roman"/>
          <w:sz w:val="24"/>
          <w:lang w:val="en-US"/>
        </w:rPr>
        <w:t>After run the software (with three inputs, two outputs, thirty DMUs and CCR model with input orientation) the efficiency by team can be seen in figure 8. The worst team</w:t>
      </w:r>
      <w:r>
        <w:rPr>
          <w:rFonts w:ascii="Times New Roman" w:hAnsi="Times New Roman" w:cs="Times New Roman"/>
          <w:sz w:val="24"/>
          <w:lang w:val="en-US"/>
        </w:rPr>
        <w:t>s</w:t>
      </w:r>
      <w:r w:rsidRPr="009758E4">
        <w:rPr>
          <w:rFonts w:ascii="Times New Roman" w:hAnsi="Times New Roman" w:cs="Times New Roman"/>
          <w:sz w:val="24"/>
          <w:lang w:val="en-US"/>
        </w:rPr>
        <w:t xml:space="preserve"> was Baltimore (0.43), Chicago (0.55) and Miami </w:t>
      </w:r>
      <w:r>
        <w:rPr>
          <w:rFonts w:ascii="Times New Roman" w:hAnsi="Times New Roman" w:cs="Times New Roman"/>
          <w:sz w:val="24"/>
          <w:lang w:val="en-US"/>
        </w:rPr>
        <w:t>(0.53). At same time, in table 2</w:t>
      </w:r>
      <w:r w:rsidRPr="009758E4">
        <w:rPr>
          <w:rFonts w:ascii="Times New Roman" w:hAnsi="Times New Roman" w:cs="Times New Roman"/>
          <w:sz w:val="24"/>
          <w:lang w:val="en-US"/>
        </w:rPr>
        <w:t>, orange cell represents the lowest efficiency, blue cells are the team with worst ERA and gray cell represents the worst team</w:t>
      </w:r>
      <w:r>
        <w:rPr>
          <w:rFonts w:ascii="Times New Roman" w:hAnsi="Times New Roman" w:cs="Times New Roman"/>
          <w:sz w:val="24"/>
          <w:lang w:val="en-US"/>
        </w:rPr>
        <w:t>s</w:t>
      </w:r>
      <w:r w:rsidRPr="009758E4">
        <w:rPr>
          <w:rFonts w:ascii="Times New Roman" w:hAnsi="Times New Roman" w:cs="Times New Roman"/>
          <w:sz w:val="24"/>
          <w:lang w:val="en-US"/>
        </w:rPr>
        <w:t xml:space="preserve"> according their wins.  As we can see, the teams with lowest efficiency, worst ERA and</w:t>
      </w:r>
      <w:r>
        <w:rPr>
          <w:rFonts w:ascii="Times New Roman" w:hAnsi="Times New Roman" w:cs="Times New Roman"/>
          <w:sz w:val="24"/>
          <w:lang w:val="en-US"/>
        </w:rPr>
        <w:t xml:space="preserve"> worst</w:t>
      </w:r>
      <w:r w:rsidRPr="009758E4">
        <w:rPr>
          <w:rFonts w:ascii="Times New Roman" w:hAnsi="Times New Roman" w:cs="Times New Roman"/>
          <w:sz w:val="24"/>
          <w:lang w:val="en-US"/>
        </w:rPr>
        <w:t xml:space="preserve"> wins corresponding to the same teams.</w:t>
      </w:r>
      <w:r>
        <w:rPr>
          <w:rFonts w:ascii="Times New Roman" w:hAnsi="Times New Roman" w:cs="Times New Roman"/>
          <w:sz w:val="24"/>
          <w:lang w:val="en-US"/>
        </w:rPr>
        <w:t xml:space="preserve"> </w:t>
      </w:r>
    </w:p>
    <w:p w:rsidR="00DF5EAF" w:rsidRDefault="00DF5EAF" w:rsidP="00DF5EAF">
      <w:pPr>
        <w:autoSpaceDE w:val="0"/>
        <w:autoSpaceDN w:val="0"/>
        <w:adjustRightInd w:val="0"/>
        <w:spacing w:after="0" w:line="240" w:lineRule="auto"/>
        <w:jc w:val="center"/>
        <w:rPr>
          <w:rFonts w:ascii="Times New Roman" w:hAnsi="Times New Roman" w:cs="Times New Roman"/>
        </w:rPr>
      </w:pPr>
      <w:r>
        <w:rPr>
          <w:noProof/>
          <w:lang w:val="en-US"/>
        </w:rPr>
        <w:drawing>
          <wp:inline distT="0" distB="0" distL="0" distR="0" wp14:anchorId="4C0D065E" wp14:editId="2ABA22C9">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5EAF" w:rsidRPr="009758E4" w:rsidRDefault="00DF5EAF" w:rsidP="00DF5EAF">
      <w:pPr>
        <w:autoSpaceDE w:val="0"/>
        <w:autoSpaceDN w:val="0"/>
        <w:adjustRightInd w:val="0"/>
        <w:spacing w:after="0" w:line="240" w:lineRule="auto"/>
        <w:jc w:val="center"/>
        <w:rPr>
          <w:rFonts w:ascii="Times New Roman" w:hAnsi="Times New Roman" w:cs="Times New Roman"/>
          <w:sz w:val="20"/>
          <w:lang w:val="en-US"/>
        </w:rPr>
      </w:pPr>
      <w:r w:rsidRPr="009758E4">
        <w:rPr>
          <w:rFonts w:ascii="Times New Roman" w:hAnsi="Times New Roman" w:cs="Times New Roman"/>
          <w:sz w:val="20"/>
          <w:lang w:val="en-US"/>
        </w:rPr>
        <w:t>Figure 8. Efficiency by team</w:t>
      </w:r>
    </w:p>
    <w:p w:rsidR="00DF5EAF" w:rsidRPr="009758E4" w:rsidRDefault="00DF5EAF" w:rsidP="00DF5EAF">
      <w:pPr>
        <w:autoSpaceDE w:val="0"/>
        <w:autoSpaceDN w:val="0"/>
        <w:adjustRightInd w:val="0"/>
        <w:spacing w:after="0" w:line="240" w:lineRule="auto"/>
        <w:jc w:val="both"/>
        <w:rPr>
          <w:rFonts w:ascii="Times New Roman" w:hAnsi="Times New Roman" w:cs="Times New Roman"/>
          <w:lang w:val="en-US"/>
        </w:rPr>
      </w:pPr>
    </w:p>
    <w:p w:rsidR="00DF5EAF" w:rsidRPr="009758E4" w:rsidRDefault="00DF5EAF" w:rsidP="00DF5EAF">
      <w:pPr>
        <w:spacing w:after="0" w:line="360" w:lineRule="auto"/>
        <w:jc w:val="both"/>
        <w:rPr>
          <w:rFonts w:ascii="Times New Roman" w:hAnsi="Times New Roman" w:cs="Times New Roman"/>
          <w:b/>
          <w:sz w:val="24"/>
          <w:szCs w:val="24"/>
          <w:lang w:val="en-US"/>
        </w:rPr>
      </w:pPr>
      <w:r w:rsidRPr="009758E4">
        <w:rPr>
          <w:rFonts w:ascii="Times New Roman" w:hAnsi="Times New Roman" w:cs="Times New Roman"/>
          <w:b/>
          <w:sz w:val="24"/>
          <w:szCs w:val="24"/>
          <w:lang w:val="en-US"/>
        </w:rPr>
        <w:t>4. Conclusion</w:t>
      </w:r>
    </w:p>
    <w:p w:rsidR="00DF5EAF" w:rsidRDefault="00DF5EAF" w:rsidP="00DF5EAF">
      <w:pPr>
        <w:autoSpaceDE w:val="0"/>
        <w:autoSpaceDN w:val="0"/>
        <w:adjustRightInd w:val="0"/>
        <w:spacing w:after="0" w:line="360" w:lineRule="auto"/>
        <w:jc w:val="both"/>
        <w:rPr>
          <w:rFonts w:ascii="Times New Roman" w:hAnsi="Times New Roman" w:cs="Times New Roman"/>
          <w:sz w:val="24"/>
          <w:szCs w:val="24"/>
          <w:lang w:val="en-US"/>
        </w:rPr>
      </w:pPr>
      <w:r w:rsidRPr="009758E4">
        <w:rPr>
          <w:rFonts w:ascii="Times New Roman" w:hAnsi="Times New Roman" w:cs="Times New Roman"/>
          <w:sz w:val="24"/>
          <w:szCs w:val="24"/>
          <w:lang w:val="en-US"/>
        </w:rPr>
        <w:t>The article presents the latest version of the software DEA. Software is dedicated for calculate technical efficiency by Data Envelopment Analysis model. The use of software makes easier and faster the calculating. The software is being wildly tested. Actually, the author is working to calculate efficiency by dual model using those DEA models. Also, for future versions the software will have options to save and open files previously saved and configured.</w:t>
      </w:r>
    </w:p>
    <w:p w:rsidR="00DF5EAF" w:rsidRPr="009758E4" w:rsidRDefault="00DF5EAF" w:rsidP="00DF5EAF">
      <w:pPr>
        <w:autoSpaceDE w:val="0"/>
        <w:autoSpaceDN w:val="0"/>
        <w:adjustRightInd w:val="0"/>
        <w:spacing w:after="0" w:line="360" w:lineRule="auto"/>
        <w:jc w:val="both"/>
        <w:rPr>
          <w:rFonts w:ascii="Times New Roman" w:hAnsi="Times New Roman" w:cs="Times New Roman"/>
          <w:sz w:val="24"/>
          <w:szCs w:val="24"/>
          <w:lang w:val="en-US"/>
        </w:rPr>
      </w:pPr>
    </w:p>
    <w:p w:rsidR="00DF5EAF" w:rsidRPr="009758E4" w:rsidRDefault="00DF5EAF" w:rsidP="00DF5EAF">
      <w:pPr>
        <w:rPr>
          <w:rFonts w:ascii="Times New Roman" w:hAnsi="Times New Roman" w:cs="Times New Roman"/>
          <w:b/>
          <w:sz w:val="24"/>
          <w:szCs w:val="24"/>
          <w:lang w:val="en-US"/>
        </w:rPr>
      </w:pPr>
      <w:r w:rsidRPr="009758E4">
        <w:rPr>
          <w:rFonts w:ascii="Times New Roman" w:hAnsi="Times New Roman" w:cs="Times New Roman"/>
          <w:b/>
          <w:sz w:val="24"/>
          <w:szCs w:val="24"/>
          <w:lang w:val="en-US"/>
        </w:rPr>
        <w:t>5. Bibliography</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C6191C">
        <w:rPr>
          <w:rFonts w:ascii="Times New Roman" w:hAnsi="Times New Roman" w:cs="Times New Roman"/>
          <w:sz w:val="24"/>
        </w:rPr>
        <w:fldChar w:fldCharType="begin" w:fldLock="1"/>
      </w:r>
      <w:r w:rsidRPr="009758E4">
        <w:rPr>
          <w:rFonts w:ascii="Times New Roman" w:hAnsi="Times New Roman" w:cs="Times New Roman"/>
          <w:sz w:val="24"/>
          <w:lang w:val="en-US"/>
        </w:rPr>
        <w:instrText xml:space="preserve">ADDIN Mendeley Bibliography CSL_BIBLIOGRAPHY </w:instrText>
      </w:r>
      <w:r w:rsidRPr="00C6191C">
        <w:rPr>
          <w:rFonts w:ascii="Times New Roman" w:hAnsi="Times New Roman" w:cs="Times New Roman"/>
          <w:sz w:val="24"/>
        </w:rPr>
        <w:fldChar w:fldCharType="separate"/>
      </w:r>
      <w:r w:rsidRPr="0030281C">
        <w:rPr>
          <w:rFonts w:ascii="Times New Roman" w:hAnsi="Times New Roman" w:cs="Times New Roman"/>
          <w:noProof/>
          <w:sz w:val="24"/>
          <w:szCs w:val="24"/>
          <w:lang w:val="en-US"/>
        </w:rPr>
        <w:t xml:space="preserve">Allahyar, M., &amp; Rostamy-Malkhalifeh, M. (2015). Negative data in data envelopment </w:t>
      </w:r>
      <w:r w:rsidRPr="0030281C">
        <w:rPr>
          <w:rFonts w:ascii="Times New Roman" w:hAnsi="Times New Roman" w:cs="Times New Roman"/>
          <w:noProof/>
          <w:sz w:val="24"/>
          <w:szCs w:val="24"/>
          <w:lang w:val="en-US"/>
        </w:rPr>
        <w:lastRenderedPageBreak/>
        <w:t xml:space="preserve">analysis: Efficiency analysis and estimating returns to scale. </w:t>
      </w:r>
      <w:r w:rsidRPr="0030281C">
        <w:rPr>
          <w:rFonts w:ascii="Times New Roman" w:hAnsi="Times New Roman" w:cs="Times New Roman"/>
          <w:i/>
          <w:iCs/>
          <w:noProof/>
          <w:sz w:val="24"/>
          <w:szCs w:val="24"/>
          <w:lang w:val="en-US"/>
        </w:rPr>
        <w:t>Computers &amp; Industrial Engineering</w:t>
      </w:r>
      <w:r w:rsidRPr="0030281C">
        <w:rPr>
          <w:rFonts w:ascii="Times New Roman" w:hAnsi="Times New Roman" w:cs="Times New Roman"/>
          <w:noProof/>
          <w:sz w:val="24"/>
          <w:szCs w:val="24"/>
          <w:lang w:val="en-US"/>
        </w:rPr>
        <w:t xml:space="preserve">, </w:t>
      </w:r>
      <w:r w:rsidRPr="0030281C">
        <w:rPr>
          <w:rFonts w:ascii="Times New Roman" w:hAnsi="Times New Roman" w:cs="Times New Roman"/>
          <w:i/>
          <w:iCs/>
          <w:noProof/>
          <w:sz w:val="24"/>
          <w:szCs w:val="24"/>
          <w:lang w:val="en-US"/>
        </w:rPr>
        <w:t>82</w:t>
      </w:r>
      <w:r w:rsidRPr="0030281C">
        <w:rPr>
          <w:rFonts w:ascii="Times New Roman" w:hAnsi="Times New Roman" w:cs="Times New Roman"/>
          <w:noProof/>
          <w:sz w:val="24"/>
          <w:szCs w:val="24"/>
          <w:lang w:val="en-US"/>
        </w:rPr>
        <w:t>, 78–81. https://doi.org/10.1016/j.cie.2015.01.022</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Atici, K. B., &amp; Podinovski, V. V. (2015). Using data envelopment analysis for the assessment of technical efficiency of units with different specialisations: An application to agriculture. </w:t>
      </w:r>
      <w:r w:rsidRPr="0030281C">
        <w:rPr>
          <w:rFonts w:ascii="Times New Roman" w:hAnsi="Times New Roman" w:cs="Times New Roman"/>
          <w:i/>
          <w:iCs/>
          <w:noProof/>
          <w:sz w:val="24"/>
          <w:szCs w:val="24"/>
          <w:lang w:val="en-US"/>
        </w:rPr>
        <w:t>Omega</w:t>
      </w:r>
      <w:r w:rsidRPr="0030281C">
        <w:rPr>
          <w:rFonts w:ascii="Times New Roman" w:hAnsi="Times New Roman" w:cs="Times New Roman"/>
          <w:noProof/>
          <w:sz w:val="24"/>
          <w:szCs w:val="24"/>
          <w:lang w:val="en-US"/>
        </w:rPr>
        <w:t xml:space="preserve">, </w:t>
      </w:r>
      <w:r w:rsidRPr="0030281C">
        <w:rPr>
          <w:rFonts w:ascii="Times New Roman" w:hAnsi="Times New Roman" w:cs="Times New Roman"/>
          <w:i/>
          <w:iCs/>
          <w:noProof/>
          <w:sz w:val="24"/>
          <w:szCs w:val="24"/>
          <w:lang w:val="en-US"/>
        </w:rPr>
        <w:t>54</w:t>
      </w:r>
      <w:r w:rsidRPr="0030281C">
        <w:rPr>
          <w:rFonts w:ascii="Times New Roman" w:hAnsi="Times New Roman" w:cs="Times New Roman"/>
          <w:noProof/>
          <w:sz w:val="24"/>
          <w:szCs w:val="24"/>
          <w:lang w:val="en-US"/>
        </w:rPr>
        <w:t>, 72–83. https://doi.org/10.1016/j.omega.2015.01.015</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Azizi, H., &amp; Wang, Y.-M. (2013). Improved DEA models for measuring interval efficiencies of decision-making units. </w:t>
      </w:r>
      <w:r w:rsidRPr="0030281C">
        <w:rPr>
          <w:rFonts w:ascii="Times New Roman" w:hAnsi="Times New Roman" w:cs="Times New Roman"/>
          <w:i/>
          <w:iCs/>
          <w:noProof/>
          <w:sz w:val="24"/>
          <w:szCs w:val="24"/>
          <w:lang w:val="en-US"/>
        </w:rPr>
        <w:t>Measurement</w:t>
      </w:r>
      <w:r w:rsidRPr="0030281C">
        <w:rPr>
          <w:rFonts w:ascii="Times New Roman" w:hAnsi="Times New Roman" w:cs="Times New Roman"/>
          <w:noProof/>
          <w:sz w:val="24"/>
          <w:szCs w:val="24"/>
          <w:lang w:val="en-US"/>
        </w:rPr>
        <w:t xml:space="preserve">, </w:t>
      </w:r>
      <w:r w:rsidRPr="0030281C">
        <w:rPr>
          <w:rFonts w:ascii="Times New Roman" w:hAnsi="Times New Roman" w:cs="Times New Roman"/>
          <w:i/>
          <w:iCs/>
          <w:noProof/>
          <w:sz w:val="24"/>
          <w:szCs w:val="24"/>
          <w:lang w:val="en-US"/>
        </w:rPr>
        <w:t>46</w:t>
      </w:r>
      <w:r w:rsidRPr="0030281C">
        <w:rPr>
          <w:rFonts w:ascii="Times New Roman" w:hAnsi="Times New Roman" w:cs="Times New Roman"/>
          <w:noProof/>
          <w:sz w:val="24"/>
          <w:szCs w:val="24"/>
          <w:lang w:val="en-US"/>
        </w:rPr>
        <w:t>(3), 1325–1332.</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Banker, R., Charnes, A., &amp; Cooper, W. (1984). Some models for estimating technical and scale inefficiencies in data envelopment analysis. </w:t>
      </w:r>
      <w:r w:rsidRPr="0030281C">
        <w:rPr>
          <w:rFonts w:ascii="Times New Roman" w:hAnsi="Times New Roman" w:cs="Times New Roman"/>
          <w:i/>
          <w:iCs/>
          <w:noProof/>
          <w:sz w:val="24"/>
          <w:szCs w:val="24"/>
          <w:lang w:val="en-US"/>
        </w:rPr>
        <w:t>Management Science</w:t>
      </w:r>
      <w:r w:rsidRPr="0030281C">
        <w:rPr>
          <w:rFonts w:ascii="Times New Roman" w:hAnsi="Times New Roman" w:cs="Times New Roman"/>
          <w:noProof/>
          <w:sz w:val="24"/>
          <w:szCs w:val="24"/>
          <w:lang w:val="en-US"/>
        </w:rPr>
        <w:t xml:space="preserve">, </w:t>
      </w:r>
      <w:r w:rsidRPr="0030281C">
        <w:rPr>
          <w:rFonts w:ascii="Times New Roman" w:hAnsi="Times New Roman" w:cs="Times New Roman"/>
          <w:i/>
          <w:iCs/>
          <w:noProof/>
          <w:sz w:val="24"/>
          <w:szCs w:val="24"/>
          <w:lang w:val="en-US"/>
        </w:rPr>
        <w:t>30</w:t>
      </w:r>
      <w:r w:rsidRPr="0030281C">
        <w:rPr>
          <w:rFonts w:ascii="Times New Roman" w:hAnsi="Times New Roman" w:cs="Times New Roman"/>
          <w:noProof/>
          <w:sz w:val="24"/>
          <w:szCs w:val="24"/>
          <w:lang w:val="en-US"/>
        </w:rPr>
        <w:t>(9), 1078–1092. Retrieved from http://pubsonline.informs.org/doi/abs/10.1287/mnsc.30.9.1078</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Barr, R. S. (2004). Dea Software Tools and Technology BT  - Handbook on Data Envelopment Analysis. In W. W. Cooper, L. M. Seiford, &amp; J. Zhu (Eds.) (pp. 539–566). Boston, MA: Springer US. https://doi.org/10.1007/1-4020-7798-X_18</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Charnes, A., Cooper, W. W., &amp; Rhodes, E. (1978). Measuring the efficiency of decision making units. </w:t>
      </w:r>
      <w:r w:rsidRPr="0030281C">
        <w:rPr>
          <w:rFonts w:ascii="Times New Roman" w:hAnsi="Times New Roman" w:cs="Times New Roman"/>
          <w:i/>
          <w:iCs/>
          <w:noProof/>
          <w:sz w:val="24"/>
          <w:szCs w:val="24"/>
          <w:lang w:val="en-US"/>
        </w:rPr>
        <w:t>European Journal of Operational Research</w:t>
      </w:r>
      <w:r w:rsidRPr="0030281C">
        <w:rPr>
          <w:rFonts w:ascii="Times New Roman" w:hAnsi="Times New Roman" w:cs="Times New Roman"/>
          <w:noProof/>
          <w:sz w:val="24"/>
          <w:szCs w:val="24"/>
          <w:lang w:val="en-US"/>
        </w:rPr>
        <w:t xml:space="preserve">, </w:t>
      </w:r>
      <w:r w:rsidRPr="0030281C">
        <w:rPr>
          <w:rFonts w:ascii="Times New Roman" w:hAnsi="Times New Roman" w:cs="Times New Roman"/>
          <w:i/>
          <w:iCs/>
          <w:noProof/>
          <w:sz w:val="24"/>
          <w:szCs w:val="24"/>
          <w:lang w:val="en-US"/>
        </w:rPr>
        <w:t>2</w:t>
      </w:r>
      <w:r w:rsidRPr="0030281C">
        <w:rPr>
          <w:rFonts w:ascii="Times New Roman" w:hAnsi="Times New Roman" w:cs="Times New Roman"/>
          <w:noProof/>
          <w:sz w:val="24"/>
          <w:szCs w:val="24"/>
          <w:lang w:val="en-US"/>
        </w:rPr>
        <w:t>(6), 429–444.</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Chen, Y., &amp; Du, J. (2015). Super-Efficiency in Data Envelopment Analysis. In </w:t>
      </w:r>
      <w:r w:rsidRPr="0030281C">
        <w:rPr>
          <w:rFonts w:ascii="Times New Roman" w:hAnsi="Times New Roman" w:cs="Times New Roman"/>
          <w:i/>
          <w:iCs/>
          <w:noProof/>
          <w:sz w:val="24"/>
          <w:szCs w:val="24"/>
          <w:lang w:val="en-US"/>
        </w:rPr>
        <w:t>Data Envelopment Analysis. A Handbook of Models and Methods</w:t>
      </w:r>
      <w:r w:rsidRPr="0030281C">
        <w:rPr>
          <w:rFonts w:ascii="Times New Roman" w:hAnsi="Times New Roman" w:cs="Times New Roman"/>
          <w:noProof/>
          <w:sz w:val="24"/>
          <w:szCs w:val="24"/>
          <w:lang w:val="en-US"/>
        </w:rPr>
        <w:t xml:space="preserve"> (pp. 381–414). Springer. Retrieved from http://link.springer.com/chapter/10.1007/978-1-4899-7553-9_14</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Cook, W. D., &amp; Seiford, L. M. (2009). Data envelopment analysis (DEA)–Thirty years on. </w:t>
      </w:r>
      <w:r w:rsidRPr="0030281C">
        <w:rPr>
          <w:rFonts w:ascii="Times New Roman" w:hAnsi="Times New Roman" w:cs="Times New Roman"/>
          <w:i/>
          <w:iCs/>
          <w:noProof/>
          <w:sz w:val="24"/>
          <w:szCs w:val="24"/>
          <w:lang w:val="en-US"/>
        </w:rPr>
        <w:t>European Journal of Operational Research</w:t>
      </w:r>
      <w:r w:rsidRPr="0030281C">
        <w:rPr>
          <w:rFonts w:ascii="Times New Roman" w:hAnsi="Times New Roman" w:cs="Times New Roman"/>
          <w:noProof/>
          <w:sz w:val="24"/>
          <w:szCs w:val="24"/>
          <w:lang w:val="en-US"/>
        </w:rPr>
        <w:t xml:space="preserve">, </w:t>
      </w:r>
      <w:r w:rsidRPr="0030281C">
        <w:rPr>
          <w:rFonts w:ascii="Times New Roman" w:hAnsi="Times New Roman" w:cs="Times New Roman"/>
          <w:i/>
          <w:iCs/>
          <w:noProof/>
          <w:sz w:val="24"/>
          <w:szCs w:val="24"/>
          <w:lang w:val="en-US"/>
        </w:rPr>
        <w:t>192</w:t>
      </w:r>
      <w:r w:rsidRPr="0030281C">
        <w:rPr>
          <w:rFonts w:ascii="Times New Roman" w:hAnsi="Times New Roman" w:cs="Times New Roman"/>
          <w:noProof/>
          <w:sz w:val="24"/>
          <w:szCs w:val="24"/>
          <w:lang w:val="en-US"/>
        </w:rPr>
        <w:t>(1), 1–17.</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Cooper, W. W., Li, S., Seiford, L. M., Tone, K., Thrall, R. M., &amp; Zhu, J. (2001). Sensitivity and stability analysis in DEA: some recent developments. </w:t>
      </w:r>
      <w:r w:rsidRPr="0030281C">
        <w:rPr>
          <w:rFonts w:ascii="Times New Roman" w:hAnsi="Times New Roman" w:cs="Times New Roman"/>
          <w:i/>
          <w:iCs/>
          <w:noProof/>
          <w:sz w:val="24"/>
          <w:szCs w:val="24"/>
          <w:lang w:val="en-US"/>
        </w:rPr>
        <w:t>Journal of Productivity Analysis</w:t>
      </w:r>
      <w:r w:rsidRPr="0030281C">
        <w:rPr>
          <w:rFonts w:ascii="Times New Roman" w:hAnsi="Times New Roman" w:cs="Times New Roman"/>
          <w:noProof/>
          <w:sz w:val="24"/>
          <w:szCs w:val="24"/>
          <w:lang w:val="en-US"/>
        </w:rPr>
        <w:t xml:space="preserve">, </w:t>
      </w:r>
      <w:r w:rsidRPr="0030281C">
        <w:rPr>
          <w:rFonts w:ascii="Times New Roman" w:hAnsi="Times New Roman" w:cs="Times New Roman"/>
          <w:i/>
          <w:iCs/>
          <w:noProof/>
          <w:sz w:val="24"/>
          <w:szCs w:val="24"/>
          <w:lang w:val="en-US"/>
        </w:rPr>
        <w:t>15</w:t>
      </w:r>
      <w:r w:rsidRPr="0030281C">
        <w:rPr>
          <w:rFonts w:ascii="Times New Roman" w:hAnsi="Times New Roman" w:cs="Times New Roman"/>
          <w:noProof/>
          <w:sz w:val="24"/>
          <w:szCs w:val="24"/>
          <w:lang w:val="en-US"/>
        </w:rPr>
        <w:t>(3), 217–246.</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Cooper, W. W., Seiford, L. M., &amp; Tone, K. (2006a). </w:t>
      </w:r>
      <w:r w:rsidRPr="0030281C">
        <w:rPr>
          <w:rFonts w:ascii="Times New Roman" w:hAnsi="Times New Roman" w:cs="Times New Roman"/>
          <w:i/>
          <w:iCs/>
          <w:noProof/>
          <w:sz w:val="24"/>
          <w:szCs w:val="24"/>
          <w:lang w:val="en-US"/>
        </w:rPr>
        <w:t>Data envelopment analysis: a comprehensive text with models, applications, references and DEA-solver software</w:t>
      </w:r>
      <w:r w:rsidRPr="0030281C">
        <w:rPr>
          <w:rFonts w:ascii="Times New Roman" w:hAnsi="Times New Roman" w:cs="Times New Roman"/>
          <w:noProof/>
          <w:sz w:val="24"/>
          <w:szCs w:val="24"/>
          <w:lang w:val="en-US"/>
        </w:rPr>
        <w:t>. Springer.</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lastRenderedPageBreak/>
        <w:t xml:space="preserve">Cooper, W. W., Seiford, L. M., &amp; Tone, K. (2006b). The basic CCR model. In </w:t>
      </w:r>
      <w:r w:rsidRPr="0030281C">
        <w:rPr>
          <w:rFonts w:ascii="Times New Roman" w:hAnsi="Times New Roman" w:cs="Times New Roman"/>
          <w:i/>
          <w:iCs/>
          <w:noProof/>
          <w:sz w:val="24"/>
          <w:szCs w:val="24"/>
          <w:lang w:val="en-US"/>
        </w:rPr>
        <w:t>Introduction to Data Envelopment Analysis and Its Uses: With DEA-Solver Software and References</w:t>
      </w:r>
      <w:r w:rsidRPr="0030281C">
        <w:rPr>
          <w:rFonts w:ascii="Times New Roman" w:hAnsi="Times New Roman" w:cs="Times New Roman"/>
          <w:noProof/>
          <w:sz w:val="24"/>
          <w:szCs w:val="24"/>
          <w:lang w:val="en-US"/>
        </w:rPr>
        <w:t xml:space="preserve"> (pp. 21–39).</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Debreu, G. (1951). The coefficient of resource utilization. </w:t>
      </w:r>
      <w:r w:rsidRPr="0030281C">
        <w:rPr>
          <w:rFonts w:ascii="Times New Roman" w:hAnsi="Times New Roman" w:cs="Times New Roman"/>
          <w:i/>
          <w:iCs/>
          <w:noProof/>
          <w:sz w:val="24"/>
          <w:szCs w:val="24"/>
          <w:lang w:val="en-US"/>
        </w:rPr>
        <w:t>Econometrica: Journal of the Econometric Society</w:t>
      </w:r>
      <w:r w:rsidRPr="0030281C">
        <w:rPr>
          <w:rFonts w:ascii="Times New Roman" w:hAnsi="Times New Roman" w:cs="Times New Roman"/>
          <w:noProof/>
          <w:sz w:val="24"/>
          <w:szCs w:val="24"/>
          <w:lang w:val="en-US"/>
        </w:rPr>
        <w:t xml:space="preserve">, </w:t>
      </w:r>
      <w:r w:rsidRPr="0030281C">
        <w:rPr>
          <w:rFonts w:ascii="Times New Roman" w:hAnsi="Times New Roman" w:cs="Times New Roman"/>
          <w:i/>
          <w:iCs/>
          <w:noProof/>
          <w:sz w:val="24"/>
          <w:szCs w:val="24"/>
          <w:lang w:val="en-US"/>
        </w:rPr>
        <w:t>1951</w:t>
      </w:r>
      <w:r w:rsidRPr="0030281C">
        <w:rPr>
          <w:rFonts w:ascii="Times New Roman" w:hAnsi="Times New Roman" w:cs="Times New Roman"/>
          <w:noProof/>
          <w:sz w:val="24"/>
          <w:szCs w:val="24"/>
          <w:lang w:val="en-US"/>
        </w:rPr>
        <w:t>, 273–292.</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Farrell, M. J. (1957). The measurement of productive efficiency. </w:t>
      </w:r>
      <w:r w:rsidRPr="0030281C">
        <w:rPr>
          <w:rFonts w:ascii="Times New Roman" w:hAnsi="Times New Roman" w:cs="Times New Roman"/>
          <w:i/>
          <w:iCs/>
          <w:noProof/>
          <w:sz w:val="24"/>
          <w:szCs w:val="24"/>
          <w:lang w:val="en-US"/>
        </w:rPr>
        <w:t>Journal of the Royal Statistical Society. Series A (General)</w:t>
      </w:r>
      <w:r w:rsidRPr="0030281C">
        <w:rPr>
          <w:rFonts w:ascii="Times New Roman" w:hAnsi="Times New Roman" w:cs="Times New Roman"/>
          <w:noProof/>
          <w:sz w:val="24"/>
          <w:szCs w:val="24"/>
          <w:lang w:val="en-US"/>
        </w:rPr>
        <w:t>, 253–290.</w:t>
      </w:r>
    </w:p>
    <w:p w:rsidR="00DF5EAF" w:rsidRPr="0030281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Koopmans, T. C. (1951). An analysis of Production as an Efficient Combination of Activities. In Wiley (Ed.), </w:t>
      </w:r>
      <w:r w:rsidRPr="0030281C">
        <w:rPr>
          <w:rFonts w:ascii="Times New Roman" w:hAnsi="Times New Roman" w:cs="Times New Roman"/>
          <w:i/>
          <w:iCs/>
          <w:noProof/>
          <w:sz w:val="24"/>
          <w:szCs w:val="24"/>
          <w:lang w:val="en-US"/>
        </w:rPr>
        <w:t>Activity analysis of Production and Allocation</w:t>
      </w:r>
      <w:r w:rsidRPr="0030281C">
        <w:rPr>
          <w:rFonts w:ascii="Times New Roman" w:hAnsi="Times New Roman" w:cs="Times New Roman"/>
          <w:noProof/>
          <w:sz w:val="24"/>
          <w:szCs w:val="24"/>
          <w:lang w:val="en-US"/>
        </w:rPr>
        <w:t xml:space="preserve"> (T.C. Koopm). New York.</w:t>
      </w:r>
    </w:p>
    <w:p w:rsidR="00DF5EAF" w:rsidRPr="00EB28A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30281C">
        <w:rPr>
          <w:rFonts w:ascii="Times New Roman" w:hAnsi="Times New Roman" w:cs="Times New Roman"/>
          <w:noProof/>
          <w:sz w:val="24"/>
          <w:szCs w:val="24"/>
          <w:lang w:val="en-US"/>
        </w:rPr>
        <w:t xml:space="preserve">Liu, J. S., Lu, L. Y. Y., Lu, W.-M., &amp; Lin, B. J. Y. (2013). Data envelopment analysis 1978–2010: A citation-based literature survey. </w:t>
      </w:r>
      <w:r w:rsidRPr="00EB28AC">
        <w:rPr>
          <w:rFonts w:ascii="Times New Roman" w:hAnsi="Times New Roman" w:cs="Times New Roman"/>
          <w:i/>
          <w:iCs/>
          <w:noProof/>
          <w:sz w:val="24"/>
          <w:szCs w:val="24"/>
          <w:lang w:val="en-US"/>
        </w:rPr>
        <w:t>Omega</w:t>
      </w:r>
      <w:r w:rsidRPr="00EB28AC">
        <w:rPr>
          <w:rFonts w:ascii="Times New Roman" w:hAnsi="Times New Roman" w:cs="Times New Roman"/>
          <w:noProof/>
          <w:sz w:val="24"/>
          <w:szCs w:val="24"/>
          <w:lang w:val="en-US"/>
        </w:rPr>
        <w:t xml:space="preserve">, </w:t>
      </w:r>
      <w:r w:rsidRPr="00EB28AC">
        <w:rPr>
          <w:rFonts w:ascii="Times New Roman" w:hAnsi="Times New Roman" w:cs="Times New Roman"/>
          <w:i/>
          <w:iCs/>
          <w:noProof/>
          <w:sz w:val="24"/>
          <w:szCs w:val="24"/>
          <w:lang w:val="en-US"/>
        </w:rPr>
        <w:t>41</w:t>
      </w:r>
      <w:r w:rsidRPr="00EB28AC">
        <w:rPr>
          <w:rFonts w:ascii="Times New Roman" w:hAnsi="Times New Roman" w:cs="Times New Roman"/>
          <w:noProof/>
          <w:sz w:val="24"/>
          <w:szCs w:val="24"/>
          <w:lang w:val="en-US"/>
        </w:rPr>
        <w:t>(2013), 3–15. https://doi.org/10.1016/j.omega.2010.12.006</w:t>
      </w:r>
    </w:p>
    <w:p w:rsidR="00DF5EAF" w:rsidRPr="00EB28A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EB28AC">
        <w:rPr>
          <w:rFonts w:ascii="Times New Roman" w:hAnsi="Times New Roman" w:cs="Times New Roman"/>
          <w:noProof/>
          <w:sz w:val="24"/>
          <w:szCs w:val="24"/>
          <w:lang w:val="en-US"/>
        </w:rPr>
        <w:t xml:space="preserve">Sadjadi, S. J., Omrani, H., Abdollahzadeh, S., Alinaghian, M., &amp; Mohammadi, H. (2011). A robust super-efficiency data envelopment analysis model for ranking of provincial gas companies in Iran. </w:t>
      </w:r>
      <w:r w:rsidRPr="00EB28AC">
        <w:rPr>
          <w:rFonts w:ascii="Times New Roman" w:hAnsi="Times New Roman" w:cs="Times New Roman"/>
          <w:i/>
          <w:iCs/>
          <w:noProof/>
          <w:sz w:val="24"/>
          <w:szCs w:val="24"/>
          <w:lang w:val="en-US"/>
        </w:rPr>
        <w:t>Expert Systems with Applications</w:t>
      </w:r>
      <w:r w:rsidRPr="00EB28AC">
        <w:rPr>
          <w:rFonts w:ascii="Times New Roman" w:hAnsi="Times New Roman" w:cs="Times New Roman"/>
          <w:noProof/>
          <w:sz w:val="24"/>
          <w:szCs w:val="24"/>
          <w:lang w:val="en-US"/>
        </w:rPr>
        <w:t xml:space="preserve">, </w:t>
      </w:r>
      <w:r w:rsidRPr="00EB28AC">
        <w:rPr>
          <w:rFonts w:ascii="Times New Roman" w:hAnsi="Times New Roman" w:cs="Times New Roman"/>
          <w:i/>
          <w:iCs/>
          <w:noProof/>
          <w:sz w:val="24"/>
          <w:szCs w:val="24"/>
          <w:lang w:val="en-US"/>
        </w:rPr>
        <w:t>38</w:t>
      </w:r>
      <w:r w:rsidRPr="00EB28AC">
        <w:rPr>
          <w:rFonts w:ascii="Times New Roman" w:hAnsi="Times New Roman" w:cs="Times New Roman"/>
          <w:noProof/>
          <w:sz w:val="24"/>
          <w:szCs w:val="24"/>
          <w:lang w:val="en-US"/>
        </w:rPr>
        <w:t>(9), 10875–10881. https://doi.org/10.1016/j.eswa.2011.02.120</w:t>
      </w:r>
    </w:p>
    <w:p w:rsidR="00DF5EAF" w:rsidRPr="00EB28A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EB28AC">
        <w:rPr>
          <w:rFonts w:ascii="Times New Roman" w:hAnsi="Times New Roman" w:cs="Times New Roman"/>
          <w:noProof/>
          <w:sz w:val="24"/>
          <w:szCs w:val="24"/>
          <w:lang w:val="en-US"/>
        </w:rPr>
        <w:t xml:space="preserve">Shabani, A., Torabipour, S. M. R., Farzipoor Saen, R., &amp; Khodakarami, M. (2015). Distinctive data envelopment analysis model for evaluating global environment performance. </w:t>
      </w:r>
      <w:r w:rsidRPr="00EB28AC">
        <w:rPr>
          <w:rFonts w:ascii="Times New Roman" w:hAnsi="Times New Roman" w:cs="Times New Roman"/>
          <w:i/>
          <w:iCs/>
          <w:noProof/>
          <w:sz w:val="24"/>
          <w:szCs w:val="24"/>
          <w:lang w:val="en-US"/>
        </w:rPr>
        <w:t>Applied Mathematical Modelling</w:t>
      </w:r>
      <w:r w:rsidRPr="00EB28AC">
        <w:rPr>
          <w:rFonts w:ascii="Times New Roman" w:hAnsi="Times New Roman" w:cs="Times New Roman"/>
          <w:noProof/>
          <w:sz w:val="24"/>
          <w:szCs w:val="24"/>
          <w:lang w:val="en-US"/>
        </w:rPr>
        <w:t xml:space="preserve">, </w:t>
      </w:r>
      <w:r w:rsidRPr="00EB28AC">
        <w:rPr>
          <w:rFonts w:ascii="Times New Roman" w:hAnsi="Times New Roman" w:cs="Times New Roman"/>
          <w:i/>
          <w:iCs/>
          <w:noProof/>
          <w:sz w:val="24"/>
          <w:szCs w:val="24"/>
          <w:lang w:val="en-US"/>
        </w:rPr>
        <w:t>39</w:t>
      </w:r>
      <w:r w:rsidRPr="00EB28AC">
        <w:rPr>
          <w:rFonts w:ascii="Times New Roman" w:hAnsi="Times New Roman" w:cs="Times New Roman"/>
          <w:noProof/>
          <w:sz w:val="24"/>
          <w:szCs w:val="24"/>
          <w:lang w:val="en-US"/>
        </w:rPr>
        <w:t>(15), 4385–4404. https://doi.org/10.1016/j.apm.2014.12.053</w:t>
      </w:r>
    </w:p>
    <w:p w:rsidR="00DF5EAF" w:rsidRPr="00EB28A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EB28AC">
        <w:rPr>
          <w:rFonts w:ascii="Times New Roman" w:hAnsi="Times New Roman" w:cs="Times New Roman"/>
          <w:noProof/>
          <w:sz w:val="24"/>
          <w:szCs w:val="24"/>
          <w:lang w:val="en-US"/>
        </w:rPr>
        <w:t xml:space="preserve">Shafiee, M., Hosseinzadeh Lotfi, F., &amp; Saleh, H. (2014). Supply chain performance evaluation with data envelopment analysis and balanced scorecard approach. </w:t>
      </w:r>
      <w:r w:rsidRPr="00EB28AC">
        <w:rPr>
          <w:rFonts w:ascii="Times New Roman" w:hAnsi="Times New Roman" w:cs="Times New Roman"/>
          <w:i/>
          <w:iCs/>
          <w:noProof/>
          <w:sz w:val="24"/>
          <w:szCs w:val="24"/>
          <w:lang w:val="en-US"/>
        </w:rPr>
        <w:t>Applied Mathematical Modelling</w:t>
      </w:r>
      <w:r w:rsidRPr="00EB28AC">
        <w:rPr>
          <w:rFonts w:ascii="Times New Roman" w:hAnsi="Times New Roman" w:cs="Times New Roman"/>
          <w:noProof/>
          <w:sz w:val="24"/>
          <w:szCs w:val="24"/>
          <w:lang w:val="en-US"/>
        </w:rPr>
        <w:t xml:space="preserve">, </w:t>
      </w:r>
      <w:r w:rsidRPr="00EB28AC">
        <w:rPr>
          <w:rFonts w:ascii="Times New Roman" w:hAnsi="Times New Roman" w:cs="Times New Roman"/>
          <w:i/>
          <w:iCs/>
          <w:noProof/>
          <w:sz w:val="24"/>
          <w:szCs w:val="24"/>
          <w:lang w:val="en-US"/>
        </w:rPr>
        <w:t>38</w:t>
      </w:r>
      <w:r w:rsidRPr="00EB28AC">
        <w:rPr>
          <w:rFonts w:ascii="Times New Roman" w:hAnsi="Times New Roman" w:cs="Times New Roman"/>
          <w:noProof/>
          <w:sz w:val="24"/>
          <w:szCs w:val="24"/>
          <w:lang w:val="en-US"/>
        </w:rPr>
        <w:t>(21–22), 5092–5112. https://doi.org/10.1016/j.apm.2014.03.023</w:t>
      </w:r>
    </w:p>
    <w:p w:rsidR="00DF5EAF" w:rsidRPr="00EB28A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lang w:val="en-US"/>
        </w:rPr>
      </w:pPr>
      <w:r w:rsidRPr="00EB28AC">
        <w:rPr>
          <w:rFonts w:ascii="Times New Roman" w:hAnsi="Times New Roman" w:cs="Times New Roman"/>
          <w:noProof/>
          <w:sz w:val="24"/>
          <w:szCs w:val="24"/>
          <w:lang w:val="en-US"/>
        </w:rPr>
        <w:t xml:space="preserve">Smirlis, Y. G., Maragos, E. K., &amp; Despotis, D. K. (2006). Data envelopment analysis with missing values: an interval DEA approach. </w:t>
      </w:r>
      <w:r w:rsidRPr="00EB28AC">
        <w:rPr>
          <w:rFonts w:ascii="Times New Roman" w:hAnsi="Times New Roman" w:cs="Times New Roman"/>
          <w:i/>
          <w:iCs/>
          <w:noProof/>
          <w:sz w:val="24"/>
          <w:szCs w:val="24"/>
          <w:lang w:val="en-US"/>
        </w:rPr>
        <w:t>Applied Mathematics and Computation</w:t>
      </w:r>
      <w:r w:rsidRPr="00EB28AC">
        <w:rPr>
          <w:rFonts w:ascii="Times New Roman" w:hAnsi="Times New Roman" w:cs="Times New Roman"/>
          <w:noProof/>
          <w:sz w:val="24"/>
          <w:szCs w:val="24"/>
          <w:lang w:val="en-US"/>
        </w:rPr>
        <w:t xml:space="preserve">, </w:t>
      </w:r>
      <w:r w:rsidRPr="00EB28AC">
        <w:rPr>
          <w:rFonts w:ascii="Times New Roman" w:hAnsi="Times New Roman" w:cs="Times New Roman"/>
          <w:i/>
          <w:iCs/>
          <w:noProof/>
          <w:sz w:val="24"/>
          <w:szCs w:val="24"/>
          <w:lang w:val="en-US"/>
        </w:rPr>
        <w:t>177</w:t>
      </w:r>
      <w:r w:rsidRPr="00EB28AC">
        <w:rPr>
          <w:rFonts w:ascii="Times New Roman" w:hAnsi="Times New Roman" w:cs="Times New Roman"/>
          <w:noProof/>
          <w:sz w:val="24"/>
          <w:szCs w:val="24"/>
          <w:lang w:val="en-US"/>
        </w:rPr>
        <w:t>(1), 1–10.</w:t>
      </w:r>
    </w:p>
    <w:p w:rsidR="00DF5EAF" w:rsidRPr="00D21583"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szCs w:val="24"/>
        </w:rPr>
      </w:pPr>
      <w:r w:rsidRPr="00EB28AC">
        <w:rPr>
          <w:rFonts w:ascii="Times New Roman" w:hAnsi="Times New Roman" w:cs="Times New Roman"/>
          <w:noProof/>
          <w:sz w:val="24"/>
          <w:szCs w:val="24"/>
          <w:lang w:val="en-US"/>
        </w:rPr>
        <w:t xml:space="preserve">Wu, J., Liang, L., &amp; Chen, Y. (2009). DEA game cross-efficiency approach to Olympic </w:t>
      </w:r>
      <w:r w:rsidRPr="00EB28AC">
        <w:rPr>
          <w:rFonts w:ascii="Times New Roman" w:hAnsi="Times New Roman" w:cs="Times New Roman"/>
          <w:noProof/>
          <w:sz w:val="24"/>
          <w:szCs w:val="24"/>
          <w:lang w:val="en-US"/>
        </w:rPr>
        <w:lastRenderedPageBreak/>
        <w:t xml:space="preserve">rankings. </w:t>
      </w:r>
      <w:r w:rsidRPr="00D21583">
        <w:rPr>
          <w:rFonts w:ascii="Times New Roman" w:hAnsi="Times New Roman" w:cs="Times New Roman"/>
          <w:i/>
          <w:iCs/>
          <w:noProof/>
          <w:sz w:val="24"/>
          <w:szCs w:val="24"/>
        </w:rPr>
        <w:t>Omega</w:t>
      </w:r>
      <w:r w:rsidRPr="00D21583">
        <w:rPr>
          <w:rFonts w:ascii="Times New Roman" w:hAnsi="Times New Roman" w:cs="Times New Roman"/>
          <w:noProof/>
          <w:sz w:val="24"/>
          <w:szCs w:val="24"/>
        </w:rPr>
        <w:t xml:space="preserve">, </w:t>
      </w:r>
      <w:r w:rsidRPr="00D21583">
        <w:rPr>
          <w:rFonts w:ascii="Times New Roman" w:hAnsi="Times New Roman" w:cs="Times New Roman"/>
          <w:i/>
          <w:iCs/>
          <w:noProof/>
          <w:sz w:val="24"/>
          <w:szCs w:val="24"/>
        </w:rPr>
        <w:t>37</w:t>
      </w:r>
      <w:r w:rsidRPr="00D21583">
        <w:rPr>
          <w:rFonts w:ascii="Times New Roman" w:hAnsi="Times New Roman" w:cs="Times New Roman"/>
          <w:noProof/>
          <w:sz w:val="24"/>
          <w:szCs w:val="24"/>
        </w:rPr>
        <w:t>(4), 909–918. https://doi.org/http://dx.doi.org/10.1016/j.omega.2008.07.001</w:t>
      </w:r>
    </w:p>
    <w:p w:rsidR="00DF5EAF" w:rsidRPr="00EB28AC" w:rsidRDefault="00DF5EAF" w:rsidP="00DF5EAF">
      <w:pPr>
        <w:widowControl w:val="0"/>
        <w:autoSpaceDE w:val="0"/>
        <w:autoSpaceDN w:val="0"/>
        <w:adjustRightInd w:val="0"/>
        <w:spacing w:after="120" w:line="360" w:lineRule="auto"/>
        <w:ind w:left="480" w:hanging="480"/>
        <w:rPr>
          <w:rFonts w:ascii="Times New Roman" w:hAnsi="Times New Roman" w:cs="Times New Roman"/>
          <w:noProof/>
          <w:sz w:val="24"/>
          <w:lang w:val="en-US"/>
        </w:rPr>
      </w:pPr>
      <w:r w:rsidRPr="00EB28AC">
        <w:rPr>
          <w:rFonts w:ascii="Times New Roman" w:hAnsi="Times New Roman" w:cs="Times New Roman"/>
          <w:noProof/>
          <w:sz w:val="24"/>
          <w:szCs w:val="24"/>
          <w:lang w:val="en-US"/>
        </w:rPr>
        <w:t xml:space="preserve">Yang, M., Li, Y., Chen, Y., &amp; Liang, L. (2014). An equilibrium efficiency frontier data envelopment analysis approach for evaluating decision-making units with fixed-sum outputs. </w:t>
      </w:r>
      <w:r w:rsidRPr="00EB28AC">
        <w:rPr>
          <w:rFonts w:ascii="Times New Roman" w:hAnsi="Times New Roman" w:cs="Times New Roman"/>
          <w:i/>
          <w:iCs/>
          <w:noProof/>
          <w:sz w:val="24"/>
          <w:szCs w:val="24"/>
          <w:lang w:val="en-US"/>
        </w:rPr>
        <w:t>European Journal of Operational Research</w:t>
      </w:r>
      <w:r w:rsidRPr="00EB28AC">
        <w:rPr>
          <w:rFonts w:ascii="Times New Roman" w:hAnsi="Times New Roman" w:cs="Times New Roman"/>
          <w:noProof/>
          <w:sz w:val="24"/>
          <w:szCs w:val="24"/>
          <w:lang w:val="en-US"/>
        </w:rPr>
        <w:t xml:space="preserve">, </w:t>
      </w:r>
      <w:r w:rsidRPr="00EB28AC">
        <w:rPr>
          <w:rFonts w:ascii="Times New Roman" w:hAnsi="Times New Roman" w:cs="Times New Roman"/>
          <w:i/>
          <w:iCs/>
          <w:noProof/>
          <w:sz w:val="24"/>
          <w:szCs w:val="24"/>
          <w:lang w:val="en-US"/>
        </w:rPr>
        <w:t>239</w:t>
      </w:r>
      <w:r w:rsidRPr="00EB28AC">
        <w:rPr>
          <w:rFonts w:ascii="Times New Roman" w:hAnsi="Times New Roman" w:cs="Times New Roman"/>
          <w:noProof/>
          <w:sz w:val="24"/>
          <w:szCs w:val="24"/>
          <w:lang w:val="en-US"/>
        </w:rPr>
        <w:t>(2), 479–489. https://doi.org/10.1016/j.ejor.2014.05.013</w:t>
      </w:r>
    </w:p>
    <w:p w:rsidR="00DF5EAF" w:rsidRPr="00E44DC1" w:rsidRDefault="00DF5EAF" w:rsidP="00DF5EAF">
      <w:pPr>
        <w:spacing w:after="120" w:line="360" w:lineRule="auto"/>
        <w:jc w:val="both"/>
        <w:rPr>
          <w:rFonts w:ascii="Times New Roman" w:hAnsi="Times New Roman" w:cs="Times New Roman"/>
          <w:sz w:val="24"/>
          <w:lang w:val="en-US"/>
        </w:rPr>
      </w:pPr>
      <w:r w:rsidRPr="00C6191C">
        <w:rPr>
          <w:rFonts w:ascii="Times New Roman" w:hAnsi="Times New Roman" w:cs="Times New Roman"/>
          <w:sz w:val="24"/>
        </w:rPr>
        <w:fldChar w:fldCharType="end"/>
      </w:r>
    </w:p>
    <w:sectPr w:rsidR="00DF5EAF" w:rsidRPr="00E44DC1" w:rsidSect="00C8585B">
      <w:headerReference w:type="default" r:id="rId19"/>
      <w:footerReference w:type="default" r:id="rId2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EB1" w:rsidRDefault="006A4EB1" w:rsidP="00C8585B">
      <w:pPr>
        <w:spacing w:after="0" w:line="240" w:lineRule="auto"/>
      </w:pPr>
      <w:r>
        <w:separator/>
      </w:r>
    </w:p>
  </w:endnote>
  <w:endnote w:type="continuationSeparator" w:id="0">
    <w:p w:rsidR="006A4EB1" w:rsidRDefault="006A4EB1"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Content>
      <w:p w:rsidR="0004552C" w:rsidRDefault="0004552C">
        <w:pPr>
          <w:pStyle w:val="Footer"/>
          <w:jc w:val="right"/>
        </w:pPr>
        <w:r>
          <w:fldChar w:fldCharType="begin"/>
        </w:r>
        <w:r>
          <w:instrText xml:space="preserve"> PAGE   \* MERGEFORMAT </w:instrText>
        </w:r>
        <w:r>
          <w:fldChar w:fldCharType="separate"/>
        </w:r>
        <w:r w:rsidR="007F7D03">
          <w:rPr>
            <w:noProof/>
          </w:rPr>
          <w:t>2</w:t>
        </w:r>
        <w:r>
          <w:rPr>
            <w:noProof/>
          </w:rPr>
          <w:fldChar w:fldCharType="end"/>
        </w:r>
      </w:p>
    </w:sdtContent>
  </w:sdt>
  <w:p w:rsidR="0004552C" w:rsidRPr="00C8585B" w:rsidRDefault="0004552C" w:rsidP="00C8585B">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rsidR="0004552C" w:rsidRPr="00C8585B" w:rsidRDefault="0004552C"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04552C" w:rsidRDefault="0004552C" w:rsidP="00671849">
    <w:pPr>
      <w:pStyle w:val="Footer"/>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EB1" w:rsidRDefault="006A4EB1" w:rsidP="00C8585B">
      <w:pPr>
        <w:spacing w:after="0" w:line="240" w:lineRule="auto"/>
      </w:pPr>
      <w:r>
        <w:separator/>
      </w:r>
    </w:p>
  </w:footnote>
  <w:footnote w:type="continuationSeparator" w:id="0">
    <w:p w:rsidR="006A4EB1" w:rsidRDefault="006A4EB1"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04552C" w:rsidRPr="007F7D03" w:rsidTr="00F31B37">
      <w:trPr>
        <w:trHeight w:val="1114"/>
        <w:jc w:val="center"/>
      </w:trPr>
      <w:tc>
        <w:tcPr>
          <w:tcW w:w="1425" w:type="dxa"/>
        </w:tcPr>
        <w:p w:rsidR="0004552C" w:rsidRPr="004D77C8" w:rsidRDefault="0004552C" w:rsidP="00C8585B">
          <w:pPr>
            <w:pStyle w:val="Header"/>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5824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04552C" w:rsidRDefault="0004552C" w:rsidP="00F31B37">
          <w:pPr>
            <w:pStyle w:val="Header"/>
            <w:jc w:val="center"/>
            <w:rPr>
              <w:rFonts w:ascii="Verdana" w:hAnsi="Verdana"/>
              <w:b/>
              <w:sz w:val="16"/>
              <w:szCs w:val="16"/>
              <w:lang w:val="es-ES_tradnl"/>
            </w:rPr>
          </w:pPr>
        </w:p>
        <w:p w:rsidR="0004552C" w:rsidRPr="00C8585B" w:rsidRDefault="0004552C" w:rsidP="00F31B37">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04552C" w:rsidRPr="00C8585B" w:rsidRDefault="0004552C"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7F7D03" w:rsidRPr="007F7D03" w:rsidRDefault="007F7D03" w:rsidP="007F7D03">
          <w:pPr>
            <w:jc w:val="center"/>
            <w:rPr>
              <w:rFonts w:ascii="Verdana" w:hAnsi="Verdana"/>
              <w:b/>
              <w:sz w:val="16"/>
              <w:szCs w:val="16"/>
              <w:lang w:val="es-ES_tradnl"/>
            </w:rPr>
          </w:pPr>
          <w:r w:rsidRPr="007F7D03">
            <w:rPr>
              <w:rFonts w:ascii="Verdana" w:hAnsi="Verdana"/>
              <w:b/>
              <w:sz w:val="16"/>
              <w:szCs w:val="16"/>
              <w:lang w:val="es-ES_tradnl"/>
            </w:rPr>
            <w:t>Software for calculating technical efficiency by Data Envelopment Analysis (DEA)</w:t>
          </w:r>
        </w:p>
        <w:p w:rsidR="0004552C" w:rsidRPr="007F7D03" w:rsidRDefault="0004552C" w:rsidP="00F31B37">
          <w:pPr>
            <w:pStyle w:val="Header"/>
            <w:jc w:val="center"/>
            <w:rPr>
              <w:rFonts w:ascii="Verdana" w:hAnsi="Verdana"/>
              <w:b/>
              <w:sz w:val="18"/>
              <w:szCs w:val="18"/>
              <w:lang w:val="en-US"/>
            </w:rPr>
          </w:pPr>
        </w:p>
      </w:tc>
    </w:tr>
  </w:tbl>
  <w:p w:rsidR="0004552C" w:rsidRPr="007F7D03" w:rsidRDefault="0004552C">
    <w:pPr>
      <w:pStyle w:val="Head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00B35"/>
    <w:multiLevelType w:val="hybridMultilevel"/>
    <w:tmpl w:val="42C4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C0521"/>
    <w:multiLevelType w:val="hybridMultilevel"/>
    <w:tmpl w:val="00761B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5656FC"/>
    <w:multiLevelType w:val="hybridMultilevel"/>
    <w:tmpl w:val="D4869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391D29"/>
    <w:multiLevelType w:val="hybridMultilevel"/>
    <w:tmpl w:val="5EDA5028"/>
    <w:lvl w:ilvl="0" w:tplc="21901094">
      <w:start w:val="1"/>
      <w:numFmt w:val="decimal"/>
      <w:lvlText w:val="Botó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D04C0E"/>
    <w:multiLevelType w:val="hybridMultilevel"/>
    <w:tmpl w:val="00C04212"/>
    <w:lvl w:ilvl="0" w:tplc="54B40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B401EEE"/>
    <w:multiLevelType w:val="hybridMultilevel"/>
    <w:tmpl w:val="3334C096"/>
    <w:lvl w:ilvl="0" w:tplc="C93A72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BD14FD2"/>
    <w:multiLevelType w:val="hybridMultilevel"/>
    <w:tmpl w:val="C2E6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1"/>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552C"/>
    <w:rsid w:val="00046F14"/>
    <w:rsid w:val="00077E1C"/>
    <w:rsid w:val="000A6EC7"/>
    <w:rsid w:val="000C14DC"/>
    <w:rsid w:val="000C6A4B"/>
    <w:rsid w:val="000E43CE"/>
    <w:rsid w:val="00140D21"/>
    <w:rsid w:val="001637E9"/>
    <w:rsid w:val="002E0882"/>
    <w:rsid w:val="002E272A"/>
    <w:rsid w:val="00310921"/>
    <w:rsid w:val="00330C7A"/>
    <w:rsid w:val="00341C08"/>
    <w:rsid w:val="003B7545"/>
    <w:rsid w:val="003C58EC"/>
    <w:rsid w:val="00403285"/>
    <w:rsid w:val="004A409B"/>
    <w:rsid w:val="005754D8"/>
    <w:rsid w:val="006271E4"/>
    <w:rsid w:val="00647840"/>
    <w:rsid w:val="00667F10"/>
    <w:rsid w:val="00671849"/>
    <w:rsid w:val="006873DC"/>
    <w:rsid w:val="006A4EB1"/>
    <w:rsid w:val="006E3FA7"/>
    <w:rsid w:val="007455FF"/>
    <w:rsid w:val="00755CB3"/>
    <w:rsid w:val="00767F67"/>
    <w:rsid w:val="007A6339"/>
    <w:rsid w:val="007E6BD2"/>
    <w:rsid w:val="007F7D03"/>
    <w:rsid w:val="00815971"/>
    <w:rsid w:val="00842796"/>
    <w:rsid w:val="00860816"/>
    <w:rsid w:val="0088159E"/>
    <w:rsid w:val="008A1C16"/>
    <w:rsid w:val="009061A5"/>
    <w:rsid w:val="0091621C"/>
    <w:rsid w:val="00925B21"/>
    <w:rsid w:val="00997750"/>
    <w:rsid w:val="009B1EF2"/>
    <w:rsid w:val="009D5E02"/>
    <w:rsid w:val="009D67CD"/>
    <w:rsid w:val="00A156A5"/>
    <w:rsid w:val="00A21A1F"/>
    <w:rsid w:val="00A27814"/>
    <w:rsid w:val="00A62A14"/>
    <w:rsid w:val="00AE534B"/>
    <w:rsid w:val="00B2024E"/>
    <w:rsid w:val="00B80E97"/>
    <w:rsid w:val="00BA2FAA"/>
    <w:rsid w:val="00BC770B"/>
    <w:rsid w:val="00C17100"/>
    <w:rsid w:val="00C30372"/>
    <w:rsid w:val="00C55900"/>
    <w:rsid w:val="00C75B83"/>
    <w:rsid w:val="00C8585B"/>
    <w:rsid w:val="00CD2BC3"/>
    <w:rsid w:val="00D36D1C"/>
    <w:rsid w:val="00D73DE9"/>
    <w:rsid w:val="00DF5EAF"/>
    <w:rsid w:val="00E40131"/>
    <w:rsid w:val="00E912D0"/>
    <w:rsid w:val="00EB6B86"/>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07CC6"/>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Heading1">
    <w:name w:val="heading 1"/>
    <w:basedOn w:val="Normal"/>
    <w:next w:val="Normal"/>
    <w:link w:val="Heading1Char"/>
    <w:uiPriority w:val="9"/>
    <w:qFormat/>
    <w:rsid w:val="00A278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E6BD2"/>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character" w:customStyle="1" w:styleId="Heading4Char">
    <w:name w:val="Heading 4 Char"/>
    <w:basedOn w:val="DefaultParagraphFont"/>
    <w:link w:val="Heading4"/>
    <w:uiPriority w:val="9"/>
    <w:rsid w:val="007E6BD2"/>
    <w:rPr>
      <w:rFonts w:ascii="Times New Roman" w:eastAsia="Times New Roman" w:hAnsi="Times New Roman" w:cs="Times New Roman"/>
      <w:b/>
      <w:bCs/>
      <w:sz w:val="24"/>
      <w:szCs w:val="24"/>
      <w:lang w:val="en-US"/>
    </w:rPr>
  </w:style>
  <w:style w:type="character" w:customStyle="1" w:styleId="Heading1Char">
    <w:name w:val="Heading 1 Char"/>
    <w:basedOn w:val="DefaultParagraphFont"/>
    <w:link w:val="Heading1"/>
    <w:uiPriority w:val="9"/>
    <w:rsid w:val="00A27814"/>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DF5EAF"/>
    <w:rPr>
      <w:sz w:val="16"/>
      <w:szCs w:val="16"/>
    </w:rPr>
  </w:style>
  <w:style w:type="paragraph" w:styleId="CommentText">
    <w:name w:val="annotation text"/>
    <w:basedOn w:val="Normal"/>
    <w:link w:val="CommentTextChar"/>
    <w:uiPriority w:val="99"/>
    <w:semiHidden/>
    <w:unhideWhenUsed/>
    <w:rsid w:val="00DF5EAF"/>
    <w:pPr>
      <w:spacing w:line="240" w:lineRule="auto"/>
    </w:pPr>
    <w:rPr>
      <w:sz w:val="20"/>
      <w:szCs w:val="20"/>
    </w:rPr>
  </w:style>
  <w:style w:type="character" w:customStyle="1" w:styleId="CommentTextChar">
    <w:name w:val="Comment Text Char"/>
    <w:basedOn w:val="DefaultParagraphFont"/>
    <w:link w:val="CommentText"/>
    <w:uiPriority w:val="99"/>
    <w:semiHidden/>
    <w:rsid w:val="00DF5EAF"/>
    <w:rPr>
      <w:sz w:val="20"/>
      <w:szCs w:val="20"/>
    </w:rPr>
  </w:style>
  <w:style w:type="paragraph" w:styleId="CommentSubject">
    <w:name w:val="annotation subject"/>
    <w:basedOn w:val="CommentText"/>
    <w:next w:val="CommentText"/>
    <w:link w:val="CommentSubjectChar"/>
    <w:uiPriority w:val="99"/>
    <w:semiHidden/>
    <w:unhideWhenUsed/>
    <w:rsid w:val="00DF5EAF"/>
    <w:rPr>
      <w:b/>
      <w:bCs/>
    </w:rPr>
  </w:style>
  <w:style w:type="character" w:customStyle="1" w:styleId="CommentSubjectChar">
    <w:name w:val="Comment Subject Char"/>
    <w:basedOn w:val="CommentTextChar"/>
    <w:link w:val="CommentSubject"/>
    <w:uiPriority w:val="99"/>
    <w:semiHidden/>
    <w:rsid w:val="00DF5EAF"/>
    <w:rPr>
      <w:b/>
      <w:bCs/>
      <w:sz w:val="20"/>
      <w:szCs w:val="20"/>
    </w:rPr>
  </w:style>
  <w:style w:type="character" w:customStyle="1" w:styleId="tlid-translation">
    <w:name w:val="tlid-translation"/>
    <w:basedOn w:val="DefaultParagraphFont"/>
    <w:rsid w:val="00DF5EAF"/>
  </w:style>
  <w:style w:type="table" w:styleId="TableGrid">
    <w:name w:val="Table Grid"/>
    <w:basedOn w:val="TableNormal"/>
    <w:uiPriority w:val="39"/>
    <w:rsid w:val="00DF5E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F5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DF5EAF"/>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365310">
      <w:bodyDiv w:val="1"/>
      <w:marLeft w:val="0"/>
      <w:marRight w:val="0"/>
      <w:marTop w:val="0"/>
      <w:marBottom w:val="0"/>
      <w:divBdr>
        <w:top w:val="none" w:sz="0" w:space="0" w:color="auto"/>
        <w:left w:val="none" w:sz="0" w:space="0" w:color="auto"/>
        <w:bottom w:val="none" w:sz="0" w:space="0" w:color="auto"/>
        <w:right w:val="none" w:sz="0" w:space="0" w:color="auto"/>
      </w:divBdr>
    </w:div>
    <w:div w:id="985470243">
      <w:bodyDiv w:val="1"/>
      <w:marLeft w:val="0"/>
      <w:marRight w:val="0"/>
      <w:marTop w:val="0"/>
      <w:marBottom w:val="0"/>
      <w:divBdr>
        <w:top w:val="none" w:sz="0" w:space="0" w:color="auto"/>
        <w:left w:val="none" w:sz="0" w:space="0" w:color="auto"/>
        <w:bottom w:val="none" w:sz="0" w:space="0" w:color="auto"/>
        <w:right w:val="none" w:sz="0" w:space="0" w:color="auto"/>
      </w:divBdr>
    </w:div>
    <w:div w:id="186640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ssette@uclv.cu" TargetMode="Externa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ndreyvz@uclv.edu.cu" TargetMode="External"/><Relationship Id="rId12" Type="http://schemas.openxmlformats.org/officeDocument/2006/relationships/image" Target="media/image2.png"/><Relationship Id="rId17" Type="http://schemas.openxmlformats.org/officeDocument/2006/relationships/hyperlink" Target="https://www.baseball-reference.com/leagues/MLB/2018.s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elke.glistau@ovgu.d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orgec@uclv.edu.cu"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_Documents%20and%20workings\_PhD\_Papers\DEA%20SOFTWARE\efficiency%20FI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ARI</c:v>
                </c:pt>
              </c:strCache>
            </c:strRef>
          </c:tx>
          <c:spPr>
            <a:solidFill>
              <a:schemeClr val="accent1"/>
            </a:solidFill>
            <a:ln>
              <a:noFill/>
            </a:ln>
            <a:effectLst/>
          </c:spPr>
          <c:invertIfNegative val="0"/>
          <c:cat>
            <c:strRef>
              <c:f>Sheet1!$I$1</c:f>
              <c:strCache>
                <c:ptCount val="1"/>
                <c:pt idx="0">
                  <c:v>Efficiency by team</c:v>
                </c:pt>
              </c:strCache>
            </c:strRef>
          </c:cat>
          <c:val>
            <c:numRef>
              <c:f>Sheet1!$I$2</c:f>
              <c:numCache>
                <c:formatCode>General</c:formatCode>
                <c:ptCount val="1"/>
                <c:pt idx="0">
                  <c:v>0.83080859398177287</c:v>
                </c:pt>
              </c:numCache>
            </c:numRef>
          </c:val>
          <c:extLst>
            <c:ext xmlns:c16="http://schemas.microsoft.com/office/drawing/2014/chart" uri="{C3380CC4-5D6E-409C-BE32-E72D297353CC}">
              <c16:uniqueId val="{00000000-2FA2-40EE-813C-F0F708D9B7BB}"/>
            </c:ext>
          </c:extLst>
        </c:ser>
        <c:ser>
          <c:idx val="1"/>
          <c:order val="1"/>
          <c:tx>
            <c:strRef>
              <c:f>Sheet1!$A$3</c:f>
              <c:strCache>
                <c:ptCount val="1"/>
                <c:pt idx="0">
                  <c:v>ATL</c:v>
                </c:pt>
              </c:strCache>
            </c:strRef>
          </c:tx>
          <c:spPr>
            <a:solidFill>
              <a:schemeClr val="accent2"/>
            </a:solidFill>
            <a:ln>
              <a:noFill/>
            </a:ln>
            <a:effectLst/>
          </c:spPr>
          <c:invertIfNegative val="0"/>
          <c:cat>
            <c:strRef>
              <c:f>Sheet1!$I$1</c:f>
              <c:strCache>
                <c:ptCount val="1"/>
                <c:pt idx="0">
                  <c:v>Efficiency by team</c:v>
                </c:pt>
              </c:strCache>
            </c:strRef>
          </c:cat>
          <c:val>
            <c:numRef>
              <c:f>Sheet1!$I$3</c:f>
              <c:numCache>
                <c:formatCode>General</c:formatCode>
                <c:ptCount val="1"/>
                <c:pt idx="0">
                  <c:v>1.0000003000001201</c:v>
                </c:pt>
              </c:numCache>
            </c:numRef>
          </c:val>
          <c:extLst>
            <c:ext xmlns:c16="http://schemas.microsoft.com/office/drawing/2014/chart" uri="{C3380CC4-5D6E-409C-BE32-E72D297353CC}">
              <c16:uniqueId val="{00000001-2FA2-40EE-813C-F0F708D9B7BB}"/>
            </c:ext>
          </c:extLst>
        </c:ser>
        <c:ser>
          <c:idx val="2"/>
          <c:order val="2"/>
          <c:tx>
            <c:strRef>
              <c:f>Sheet1!$A$4</c:f>
              <c:strCache>
                <c:ptCount val="1"/>
                <c:pt idx="0">
                  <c:v>BAL</c:v>
                </c:pt>
              </c:strCache>
            </c:strRef>
          </c:tx>
          <c:spPr>
            <a:solidFill>
              <a:schemeClr val="accent3"/>
            </a:solidFill>
            <a:ln>
              <a:noFill/>
            </a:ln>
            <a:effectLst/>
          </c:spPr>
          <c:invertIfNegative val="0"/>
          <c:cat>
            <c:strRef>
              <c:f>Sheet1!$I$1</c:f>
              <c:strCache>
                <c:ptCount val="1"/>
                <c:pt idx="0">
                  <c:v>Efficiency by team</c:v>
                </c:pt>
              </c:strCache>
            </c:strRef>
          </c:cat>
          <c:val>
            <c:numRef>
              <c:f>Sheet1!$I$4</c:f>
              <c:numCache>
                <c:formatCode>General</c:formatCode>
                <c:ptCount val="1"/>
                <c:pt idx="0">
                  <c:v>0.43713002725556399</c:v>
                </c:pt>
              </c:numCache>
            </c:numRef>
          </c:val>
          <c:extLst>
            <c:ext xmlns:c16="http://schemas.microsoft.com/office/drawing/2014/chart" uri="{C3380CC4-5D6E-409C-BE32-E72D297353CC}">
              <c16:uniqueId val="{00000002-2FA2-40EE-813C-F0F708D9B7BB}"/>
            </c:ext>
          </c:extLst>
        </c:ser>
        <c:ser>
          <c:idx val="3"/>
          <c:order val="3"/>
          <c:tx>
            <c:strRef>
              <c:f>Sheet1!$A$5</c:f>
              <c:strCache>
                <c:ptCount val="1"/>
                <c:pt idx="0">
                  <c:v>BOS</c:v>
                </c:pt>
              </c:strCache>
            </c:strRef>
          </c:tx>
          <c:spPr>
            <a:solidFill>
              <a:schemeClr val="accent4"/>
            </a:solidFill>
            <a:ln>
              <a:noFill/>
            </a:ln>
            <a:effectLst/>
          </c:spPr>
          <c:invertIfNegative val="0"/>
          <c:cat>
            <c:strRef>
              <c:f>Sheet1!$I$1</c:f>
              <c:strCache>
                <c:ptCount val="1"/>
                <c:pt idx="0">
                  <c:v>Efficiency by team</c:v>
                </c:pt>
              </c:strCache>
            </c:strRef>
          </c:cat>
          <c:val>
            <c:numRef>
              <c:f>Sheet1!$I$5</c:f>
              <c:numCache>
                <c:formatCode>General</c:formatCode>
                <c:ptCount val="1"/>
                <c:pt idx="0">
                  <c:v>0.90556027022071339</c:v>
                </c:pt>
              </c:numCache>
            </c:numRef>
          </c:val>
          <c:extLst>
            <c:ext xmlns:c16="http://schemas.microsoft.com/office/drawing/2014/chart" uri="{C3380CC4-5D6E-409C-BE32-E72D297353CC}">
              <c16:uniqueId val="{00000003-2FA2-40EE-813C-F0F708D9B7BB}"/>
            </c:ext>
          </c:extLst>
        </c:ser>
        <c:ser>
          <c:idx val="4"/>
          <c:order val="4"/>
          <c:tx>
            <c:strRef>
              <c:f>Sheet1!$A$6</c:f>
              <c:strCache>
                <c:ptCount val="1"/>
                <c:pt idx="0">
                  <c:v>CHC</c:v>
                </c:pt>
              </c:strCache>
            </c:strRef>
          </c:tx>
          <c:spPr>
            <a:solidFill>
              <a:schemeClr val="accent5"/>
            </a:solidFill>
            <a:ln>
              <a:noFill/>
            </a:ln>
            <a:effectLst/>
          </c:spPr>
          <c:invertIfNegative val="0"/>
          <c:cat>
            <c:strRef>
              <c:f>Sheet1!$I$1</c:f>
              <c:strCache>
                <c:ptCount val="1"/>
                <c:pt idx="0">
                  <c:v>Efficiency by team</c:v>
                </c:pt>
              </c:strCache>
            </c:strRef>
          </c:cat>
          <c:val>
            <c:numRef>
              <c:f>Sheet1!$I$6</c:f>
              <c:numCache>
                <c:formatCode>General</c:formatCode>
                <c:ptCount val="1"/>
                <c:pt idx="0">
                  <c:v>0.95306752393556271</c:v>
                </c:pt>
              </c:numCache>
            </c:numRef>
          </c:val>
          <c:extLst>
            <c:ext xmlns:c16="http://schemas.microsoft.com/office/drawing/2014/chart" uri="{C3380CC4-5D6E-409C-BE32-E72D297353CC}">
              <c16:uniqueId val="{00000004-2FA2-40EE-813C-F0F708D9B7BB}"/>
            </c:ext>
          </c:extLst>
        </c:ser>
        <c:ser>
          <c:idx val="5"/>
          <c:order val="5"/>
          <c:tx>
            <c:strRef>
              <c:f>Sheet1!$A$7</c:f>
              <c:strCache>
                <c:ptCount val="1"/>
                <c:pt idx="0">
                  <c:v>CHW</c:v>
                </c:pt>
              </c:strCache>
            </c:strRef>
          </c:tx>
          <c:spPr>
            <a:solidFill>
              <a:schemeClr val="accent6"/>
            </a:solidFill>
            <a:ln>
              <a:noFill/>
            </a:ln>
            <a:effectLst/>
          </c:spPr>
          <c:invertIfNegative val="0"/>
          <c:cat>
            <c:strRef>
              <c:f>Sheet1!$I$1</c:f>
              <c:strCache>
                <c:ptCount val="1"/>
                <c:pt idx="0">
                  <c:v>Efficiency by team</c:v>
                </c:pt>
              </c:strCache>
            </c:strRef>
          </c:cat>
          <c:val>
            <c:numRef>
              <c:f>Sheet1!$I$7</c:f>
              <c:numCache>
                <c:formatCode>General</c:formatCode>
                <c:ptCount val="1"/>
                <c:pt idx="0">
                  <c:v>0.55185940829750535</c:v>
                </c:pt>
              </c:numCache>
            </c:numRef>
          </c:val>
          <c:extLst>
            <c:ext xmlns:c16="http://schemas.microsoft.com/office/drawing/2014/chart" uri="{C3380CC4-5D6E-409C-BE32-E72D297353CC}">
              <c16:uniqueId val="{00000005-2FA2-40EE-813C-F0F708D9B7BB}"/>
            </c:ext>
          </c:extLst>
        </c:ser>
        <c:ser>
          <c:idx val="6"/>
          <c:order val="6"/>
          <c:tx>
            <c:strRef>
              <c:f>Sheet1!$A$8</c:f>
              <c:strCache>
                <c:ptCount val="1"/>
                <c:pt idx="0">
                  <c:v>CIN</c:v>
                </c:pt>
              </c:strCache>
            </c:strRef>
          </c:tx>
          <c:spPr>
            <a:solidFill>
              <a:schemeClr val="accent1">
                <a:lumMod val="60000"/>
              </a:schemeClr>
            </a:solidFill>
            <a:ln>
              <a:noFill/>
            </a:ln>
            <a:effectLst/>
          </c:spPr>
          <c:invertIfNegative val="0"/>
          <c:cat>
            <c:strRef>
              <c:f>Sheet1!$I$1</c:f>
              <c:strCache>
                <c:ptCount val="1"/>
                <c:pt idx="0">
                  <c:v>Efficiency by team</c:v>
                </c:pt>
              </c:strCache>
            </c:strRef>
          </c:cat>
          <c:val>
            <c:numRef>
              <c:f>Sheet1!$I$8</c:f>
              <c:numCache>
                <c:formatCode>General</c:formatCode>
                <c:ptCount val="1"/>
                <c:pt idx="0">
                  <c:v>0.77478924999999998</c:v>
                </c:pt>
              </c:numCache>
            </c:numRef>
          </c:val>
          <c:extLst>
            <c:ext xmlns:c16="http://schemas.microsoft.com/office/drawing/2014/chart" uri="{C3380CC4-5D6E-409C-BE32-E72D297353CC}">
              <c16:uniqueId val="{00000006-2FA2-40EE-813C-F0F708D9B7BB}"/>
            </c:ext>
          </c:extLst>
        </c:ser>
        <c:ser>
          <c:idx val="7"/>
          <c:order val="7"/>
          <c:tx>
            <c:strRef>
              <c:f>Sheet1!$A$9</c:f>
              <c:strCache>
                <c:ptCount val="1"/>
                <c:pt idx="0">
                  <c:v>CLE</c:v>
                </c:pt>
              </c:strCache>
            </c:strRef>
          </c:tx>
          <c:spPr>
            <a:solidFill>
              <a:schemeClr val="accent2">
                <a:lumMod val="60000"/>
              </a:schemeClr>
            </a:solidFill>
            <a:ln>
              <a:noFill/>
            </a:ln>
            <a:effectLst/>
          </c:spPr>
          <c:invertIfNegative val="0"/>
          <c:cat>
            <c:strRef>
              <c:f>Sheet1!$I$1</c:f>
              <c:strCache>
                <c:ptCount val="1"/>
                <c:pt idx="0">
                  <c:v>Efficiency by team</c:v>
                </c:pt>
              </c:strCache>
            </c:strRef>
          </c:cat>
          <c:val>
            <c:numRef>
              <c:f>Sheet1!$I$9</c:f>
              <c:numCache>
                <c:formatCode>General</c:formatCode>
                <c:ptCount val="1"/>
                <c:pt idx="0">
                  <c:v>0.96850930874719454</c:v>
                </c:pt>
              </c:numCache>
            </c:numRef>
          </c:val>
          <c:extLst>
            <c:ext xmlns:c16="http://schemas.microsoft.com/office/drawing/2014/chart" uri="{C3380CC4-5D6E-409C-BE32-E72D297353CC}">
              <c16:uniqueId val="{00000007-2FA2-40EE-813C-F0F708D9B7BB}"/>
            </c:ext>
          </c:extLst>
        </c:ser>
        <c:ser>
          <c:idx val="8"/>
          <c:order val="8"/>
          <c:tx>
            <c:strRef>
              <c:f>Sheet1!$A$10</c:f>
              <c:strCache>
                <c:ptCount val="1"/>
                <c:pt idx="0">
                  <c:v>COL</c:v>
                </c:pt>
              </c:strCache>
            </c:strRef>
          </c:tx>
          <c:spPr>
            <a:solidFill>
              <a:schemeClr val="accent3">
                <a:lumMod val="60000"/>
              </a:schemeClr>
            </a:solidFill>
            <a:ln>
              <a:noFill/>
            </a:ln>
            <a:effectLst/>
          </c:spPr>
          <c:invertIfNegative val="0"/>
          <c:cat>
            <c:strRef>
              <c:f>Sheet1!$I$1</c:f>
              <c:strCache>
                <c:ptCount val="1"/>
                <c:pt idx="0">
                  <c:v>Efficiency by team</c:v>
                </c:pt>
              </c:strCache>
            </c:strRef>
          </c:cat>
          <c:val>
            <c:numRef>
              <c:f>Sheet1!$I$10</c:f>
              <c:numCache>
                <c:formatCode>General</c:formatCode>
                <c:ptCount val="1"/>
                <c:pt idx="0">
                  <c:v>0.99999908000069915</c:v>
                </c:pt>
              </c:numCache>
            </c:numRef>
          </c:val>
          <c:extLst>
            <c:ext xmlns:c16="http://schemas.microsoft.com/office/drawing/2014/chart" uri="{C3380CC4-5D6E-409C-BE32-E72D297353CC}">
              <c16:uniqueId val="{00000008-2FA2-40EE-813C-F0F708D9B7BB}"/>
            </c:ext>
          </c:extLst>
        </c:ser>
        <c:ser>
          <c:idx val="9"/>
          <c:order val="9"/>
          <c:tx>
            <c:strRef>
              <c:f>Sheet1!$A$11</c:f>
              <c:strCache>
                <c:ptCount val="1"/>
                <c:pt idx="0">
                  <c:v>DET</c:v>
                </c:pt>
              </c:strCache>
            </c:strRef>
          </c:tx>
          <c:spPr>
            <a:solidFill>
              <a:schemeClr val="accent4">
                <a:lumMod val="60000"/>
              </a:schemeClr>
            </a:solidFill>
            <a:ln>
              <a:noFill/>
            </a:ln>
            <a:effectLst/>
          </c:spPr>
          <c:invertIfNegative val="0"/>
          <c:cat>
            <c:strRef>
              <c:f>Sheet1!$I$1</c:f>
              <c:strCache>
                <c:ptCount val="1"/>
                <c:pt idx="0">
                  <c:v>Efficiency by team</c:v>
                </c:pt>
              </c:strCache>
            </c:strRef>
          </c:cat>
          <c:val>
            <c:numRef>
              <c:f>Sheet1!$I$11</c:f>
              <c:numCache>
                <c:formatCode>General</c:formatCode>
                <c:ptCount val="1"/>
                <c:pt idx="0">
                  <c:v>0.67598536961966371</c:v>
                </c:pt>
              </c:numCache>
            </c:numRef>
          </c:val>
          <c:extLst>
            <c:ext xmlns:c16="http://schemas.microsoft.com/office/drawing/2014/chart" uri="{C3380CC4-5D6E-409C-BE32-E72D297353CC}">
              <c16:uniqueId val="{00000009-2FA2-40EE-813C-F0F708D9B7BB}"/>
            </c:ext>
          </c:extLst>
        </c:ser>
        <c:ser>
          <c:idx val="10"/>
          <c:order val="10"/>
          <c:tx>
            <c:strRef>
              <c:f>Sheet1!$A$12</c:f>
              <c:strCache>
                <c:ptCount val="1"/>
                <c:pt idx="0">
                  <c:v>HOU</c:v>
                </c:pt>
              </c:strCache>
            </c:strRef>
          </c:tx>
          <c:spPr>
            <a:solidFill>
              <a:schemeClr val="accent5">
                <a:lumMod val="60000"/>
              </a:schemeClr>
            </a:solidFill>
            <a:ln>
              <a:noFill/>
            </a:ln>
            <a:effectLst/>
          </c:spPr>
          <c:invertIfNegative val="0"/>
          <c:cat>
            <c:strRef>
              <c:f>Sheet1!$I$1</c:f>
              <c:strCache>
                <c:ptCount val="1"/>
                <c:pt idx="0">
                  <c:v>Efficiency by team</c:v>
                </c:pt>
              </c:strCache>
            </c:strRef>
          </c:cat>
          <c:val>
            <c:numRef>
              <c:f>Sheet1!$I$12</c:f>
              <c:numCache>
                <c:formatCode>General</c:formatCode>
                <c:ptCount val="1"/>
                <c:pt idx="0">
                  <c:v>1.000000470000117</c:v>
                </c:pt>
              </c:numCache>
            </c:numRef>
          </c:val>
          <c:extLst>
            <c:ext xmlns:c16="http://schemas.microsoft.com/office/drawing/2014/chart" uri="{C3380CC4-5D6E-409C-BE32-E72D297353CC}">
              <c16:uniqueId val="{0000000A-2FA2-40EE-813C-F0F708D9B7BB}"/>
            </c:ext>
          </c:extLst>
        </c:ser>
        <c:ser>
          <c:idx val="11"/>
          <c:order val="11"/>
          <c:tx>
            <c:strRef>
              <c:f>Sheet1!$A$13</c:f>
              <c:strCache>
                <c:ptCount val="1"/>
                <c:pt idx="0">
                  <c:v>KCR</c:v>
                </c:pt>
              </c:strCache>
            </c:strRef>
          </c:tx>
          <c:spPr>
            <a:solidFill>
              <a:schemeClr val="accent6">
                <a:lumMod val="60000"/>
              </a:schemeClr>
            </a:solidFill>
            <a:ln>
              <a:noFill/>
            </a:ln>
            <a:effectLst/>
          </c:spPr>
          <c:invertIfNegative val="0"/>
          <c:cat>
            <c:strRef>
              <c:f>Sheet1!$I$1</c:f>
              <c:strCache>
                <c:ptCount val="1"/>
                <c:pt idx="0">
                  <c:v>Efficiency by team</c:v>
                </c:pt>
              </c:strCache>
            </c:strRef>
          </c:cat>
          <c:val>
            <c:numRef>
              <c:f>Sheet1!$I$13</c:f>
              <c:numCache>
                <c:formatCode>General</c:formatCode>
                <c:ptCount val="1"/>
                <c:pt idx="0">
                  <c:v>0.65962443553990957</c:v>
                </c:pt>
              </c:numCache>
            </c:numRef>
          </c:val>
          <c:extLst>
            <c:ext xmlns:c16="http://schemas.microsoft.com/office/drawing/2014/chart" uri="{C3380CC4-5D6E-409C-BE32-E72D297353CC}">
              <c16:uniqueId val="{0000000B-2FA2-40EE-813C-F0F708D9B7BB}"/>
            </c:ext>
          </c:extLst>
        </c:ser>
        <c:ser>
          <c:idx val="12"/>
          <c:order val="12"/>
          <c:tx>
            <c:strRef>
              <c:f>Sheet1!$A$14</c:f>
              <c:strCache>
                <c:ptCount val="1"/>
                <c:pt idx="0">
                  <c:v>LAA</c:v>
                </c:pt>
              </c:strCache>
            </c:strRef>
          </c:tx>
          <c:spPr>
            <a:solidFill>
              <a:schemeClr val="accent1">
                <a:lumMod val="80000"/>
                <a:lumOff val="20000"/>
              </a:schemeClr>
            </a:solidFill>
            <a:ln>
              <a:noFill/>
            </a:ln>
            <a:effectLst/>
          </c:spPr>
          <c:invertIfNegative val="0"/>
          <c:cat>
            <c:strRef>
              <c:f>Sheet1!$I$1</c:f>
              <c:strCache>
                <c:ptCount val="1"/>
                <c:pt idx="0">
                  <c:v>Efficiency by team</c:v>
                </c:pt>
              </c:strCache>
            </c:strRef>
          </c:cat>
          <c:val>
            <c:numRef>
              <c:f>Sheet1!$I$14</c:f>
              <c:numCache>
                <c:formatCode>General</c:formatCode>
                <c:ptCount val="1"/>
                <c:pt idx="0">
                  <c:v>0.70034597850637736</c:v>
                </c:pt>
              </c:numCache>
            </c:numRef>
          </c:val>
          <c:extLst>
            <c:ext xmlns:c16="http://schemas.microsoft.com/office/drawing/2014/chart" uri="{C3380CC4-5D6E-409C-BE32-E72D297353CC}">
              <c16:uniqueId val="{0000000C-2FA2-40EE-813C-F0F708D9B7BB}"/>
            </c:ext>
          </c:extLst>
        </c:ser>
        <c:ser>
          <c:idx val="13"/>
          <c:order val="13"/>
          <c:tx>
            <c:strRef>
              <c:f>Sheet1!$A$15</c:f>
              <c:strCache>
                <c:ptCount val="1"/>
                <c:pt idx="0">
                  <c:v>LAD</c:v>
                </c:pt>
              </c:strCache>
            </c:strRef>
          </c:tx>
          <c:spPr>
            <a:solidFill>
              <a:schemeClr val="accent2">
                <a:lumMod val="80000"/>
                <a:lumOff val="20000"/>
              </a:schemeClr>
            </a:solidFill>
            <a:ln>
              <a:noFill/>
            </a:ln>
            <a:effectLst/>
          </c:spPr>
          <c:invertIfNegative val="0"/>
          <c:cat>
            <c:strRef>
              <c:f>Sheet1!$I$1</c:f>
              <c:strCache>
                <c:ptCount val="1"/>
                <c:pt idx="0">
                  <c:v>Efficiency by team</c:v>
                </c:pt>
              </c:strCache>
            </c:strRef>
          </c:cat>
          <c:val>
            <c:numRef>
              <c:f>Sheet1!$I$15</c:f>
              <c:numCache>
                <c:formatCode>General</c:formatCode>
                <c:ptCount val="1"/>
                <c:pt idx="0">
                  <c:v>0.9938251416054632</c:v>
                </c:pt>
              </c:numCache>
            </c:numRef>
          </c:val>
          <c:extLst>
            <c:ext xmlns:c16="http://schemas.microsoft.com/office/drawing/2014/chart" uri="{C3380CC4-5D6E-409C-BE32-E72D297353CC}">
              <c16:uniqueId val="{0000000D-2FA2-40EE-813C-F0F708D9B7BB}"/>
            </c:ext>
          </c:extLst>
        </c:ser>
        <c:ser>
          <c:idx val="14"/>
          <c:order val="14"/>
          <c:tx>
            <c:strRef>
              <c:f>Sheet1!$A$16</c:f>
              <c:strCache>
                <c:ptCount val="1"/>
                <c:pt idx="0">
                  <c:v>MIA</c:v>
                </c:pt>
              </c:strCache>
            </c:strRef>
          </c:tx>
          <c:spPr>
            <a:solidFill>
              <a:schemeClr val="accent3">
                <a:lumMod val="80000"/>
                <a:lumOff val="20000"/>
              </a:schemeClr>
            </a:solidFill>
            <a:ln>
              <a:noFill/>
            </a:ln>
            <a:effectLst/>
          </c:spPr>
          <c:invertIfNegative val="0"/>
          <c:cat>
            <c:strRef>
              <c:f>Sheet1!$I$1</c:f>
              <c:strCache>
                <c:ptCount val="1"/>
                <c:pt idx="0">
                  <c:v>Efficiency by team</c:v>
                </c:pt>
              </c:strCache>
            </c:strRef>
          </c:cat>
          <c:val>
            <c:numRef>
              <c:f>Sheet1!$I$16</c:f>
              <c:numCache>
                <c:formatCode>General</c:formatCode>
                <c:ptCount val="1"/>
                <c:pt idx="0">
                  <c:v>0.5381636088498063</c:v>
                </c:pt>
              </c:numCache>
            </c:numRef>
          </c:val>
          <c:extLst>
            <c:ext xmlns:c16="http://schemas.microsoft.com/office/drawing/2014/chart" uri="{C3380CC4-5D6E-409C-BE32-E72D297353CC}">
              <c16:uniqueId val="{0000000E-2FA2-40EE-813C-F0F708D9B7BB}"/>
            </c:ext>
          </c:extLst>
        </c:ser>
        <c:ser>
          <c:idx val="15"/>
          <c:order val="15"/>
          <c:tx>
            <c:strRef>
              <c:f>Sheet1!$A$17</c:f>
              <c:strCache>
                <c:ptCount val="1"/>
                <c:pt idx="0">
                  <c:v>MIL</c:v>
                </c:pt>
              </c:strCache>
            </c:strRef>
          </c:tx>
          <c:spPr>
            <a:solidFill>
              <a:schemeClr val="accent4">
                <a:lumMod val="80000"/>
                <a:lumOff val="20000"/>
              </a:schemeClr>
            </a:solidFill>
            <a:ln>
              <a:noFill/>
            </a:ln>
            <a:effectLst/>
          </c:spPr>
          <c:invertIfNegative val="0"/>
          <c:cat>
            <c:strRef>
              <c:f>Sheet1!$I$1</c:f>
              <c:strCache>
                <c:ptCount val="1"/>
                <c:pt idx="0">
                  <c:v>Efficiency by team</c:v>
                </c:pt>
              </c:strCache>
            </c:strRef>
          </c:cat>
          <c:val>
            <c:numRef>
              <c:f>Sheet1!$I$17</c:f>
              <c:numCache>
                <c:formatCode>General</c:formatCode>
                <c:ptCount val="1"/>
                <c:pt idx="0">
                  <c:v>0.94434472150115767</c:v>
                </c:pt>
              </c:numCache>
            </c:numRef>
          </c:val>
          <c:extLst>
            <c:ext xmlns:c16="http://schemas.microsoft.com/office/drawing/2014/chart" uri="{C3380CC4-5D6E-409C-BE32-E72D297353CC}">
              <c16:uniqueId val="{0000000F-2FA2-40EE-813C-F0F708D9B7BB}"/>
            </c:ext>
          </c:extLst>
        </c:ser>
        <c:ser>
          <c:idx val="16"/>
          <c:order val="16"/>
          <c:tx>
            <c:strRef>
              <c:f>Sheet1!$A$18</c:f>
              <c:strCache>
                <c:ptCount val="1"/>
                <c:pt idx="0">
                  <c:v>MIN</c:v>
                </c:pt>
              </c:strCache>
            </c:strRef>
          </c:tx>
          <c:spPr>
            <a:solidFill>
              <a:schemeClr val="accent5">
                <a:lumMod val="80000"/>
                <a:lumOff val="20000"/>
              </a:schemeClr>
            </a:solidFill>
            <a:ln>
              <a:noFill/>
            </a:ln>
            <a:effectLst/>
          </c:spPr>
          <c:invertIfNegative val="0"/>
          <c:cat>
            <c:strRef>
              <c:f>Sheet1!$I$1</c:f>
              <c:strCache>
                <c:ptCount val="1"/>
                <c:pt idx="0">
                  <c:v>Efficiency by team</c:v>
                </c:pt>
              </c:strCache>
            </c:strRef>
          </c:cat>
          <c:val>
            <c:numRef>
              <c:f>Sheet1!$I$18</c:f>
              <c:numCache>
                <c:formatCode>General</c:formatCode>
                <c:ptCount val="1"/>
                <c:pt idx="0">
                  <c:v>0.61362172428348649</c:v>
                </c:pt>
              </c:numCache>
            </c:numRef>
          </c:val>
          <c:extLst>
            <c:ext xmlns:c16="http://schemas.microsoft.com/office/drawing/2014/chart" uri="{C3380CC4-5D6E-409C-BE32-E72D297353CC}">
              <c16:uniqueId val="{00000010-2FA2-40EE-813C-F0F708D9B7BB}"/>
            </c:ext>
          </c:extLst>
        </c:ser>
        <c:ser>
          <c:idx val="17"/>
          <c:order val="17"/>
          <c:tx>
            <c:strRef>
              <c:f>Sheet1!$A$19</c:f>
              <c:strCache>
                <c:ptCount val="1"/>
                <c:pt idx="0">
                  <c:v>NYM</c:v>
                </c:pt>
              </c:strCache>
            </c:strRef>
          </c:tx>
          <c:spPr>
            <a:solidFill>
              <a:schemeClr val="accent6">
                <a:lumMod val="80000"/>
                <a:lumOff val="20000"/>
              </a:schemeClr>
            </a:solidFill>
            <a:ln>
              <a:noFill/>
            </a:ln>
            <a:effectLst/>
          </c:spPr>
          <c:invertIfNegative val="0"/>
          <c:cat>
            <c:strRef>
              <c:f>Sheet1!$I$1</c:f>
              <c:strCache>
                <c:ptCount val="1"/>
                <c:pt idx="0">
                  <c:v>Efficiency by team</c:v>
                </c:pt>
              </c:strCache>
            </c:strRef>
          </c:cat>
          <c:val>
            <c:numRef>
              <c:f>Sheet1!$I$19</c:f>
              <c:numCache>
                <c:formatCode>General</c:formatCode>
                <c:ptCount val="1"/>
                <c:pt idx="0">
                  <c:v>0.72839896926617553</c:v>
                </c:pt>
              </c:numCache>
            </c:numRef>
          </c:val>
          <c:extLst>
            <c:ext xmlns:c16="http://schemas.microsoft.com/office/drawing/2014/chart" uri="{C3380CC4-5D6E-409C-BE32-E72D297353CC}">
              <c16:uniqueId val="{00000011-2FA2-40EE-813C-F0F708D9B7BB}"/>
            </c:ext>
          </c:extLst>
        </c:ser>
        <c:ser>
          <c:idx val="18"/>
          <c:order val="18"/>
          <c:tx>
            <c:strRef>
              <c:f>Sheet1!$A$20</c:f>
              <c:strCache>
                <c:ptCount val="1"/>
                <c:pt idx="0">
                  <c:v>NYY</c:v>
                </c:pt>
              </c:strCache>
            </c:strRef>
          </c:tx>
          <c:spPr>
            <a:solidFill>
              <a:schemeClr val="accent1">
                <a:lumMod val="80000"/>
              </a:schemeClr>
            </a:solidFill>
            <a:ln>
              <a:noFill/>
            </a:ln>
            <a:effectLst/>
          </c:spPr>
          <c:invertIfNegative val="0"/>
          <c:cat>
            <c:strRef>
              <c:f>Sheet1!$I$1</c:f>
              <c:strCache>
                <c:ptCount val="1"/>
                <c:pt idx="0">
                  <c:v>Efficiency by team</c:v>
                </c:pt>
              </c:strCache>
            </c:strRef>
          </c:cat>
          <c:val>
            <c:numRef>
              <c:f>Sheet1!$I$20</c:f>
              <c:numCache>
                <c:formatCode>General</c:formatCode>
                <c:ptCount val="1"/>
                <c:pt idx="0">
                  <c:v>0.99999999914100013</c:v>
                </c:pt>
              </c:numCache>
            </c:numRef>
          </c:val>
          <c:extLst>
            <c:ext xmlns:c16="http://schemas.microsoft.com/office/drawing/2014/chart" uri="{C3380CC4-5D6E-409C-BE32-E72D297353CC}">
              <c16:uniqueId val="{00000012-2FA2-40EE-813C-F0F708D9B7BB}"/>
            </c:ext>
          </c:extLst>
        </c:ser>
        <c:ser>
          <c:idx val="19"/>
          <c:order val="19"/>
          <c:tx>
            <c:strRef>
              <c:f>Sheet1!$A$21</c:f>
              <c:strCache>
                <c:ptCount val="1"/>
                <c:pt idx="0">
                  <c:v>OAK</c:v>
                </c:pt>
              </c:strCache>
            </c:strRef>
          </c:tx>
          <c:spPr>
            <a:solidFill>
              <a:schemeClr val="accent2">
                <a:lumMod val="80000"/>
              </a:schemeClr>
            </a:solidFill>
            <a:ln>
              <a:noFill/>
            </a:ln>
            <a:effectLst/>
          </c:spPr>
          <c:invertIfNegative val="0"/>
          <c:cat>
            <c:strRef>
              <c:f>Sheet1!$I$1</c:f>
              <c:strCache>
                <c:ptCount val="1"/>
                <c:pt idx="0">
                  <c:v>Efficiency by team</c:v>
                </c:pt>
              </c:strCache>
            </c:strRef>
          </c:cat>
          <c:val>
            <c:numRef>
              <c:f>Sheet1!$I$21</c:f>
              <c:numCache>
                <c:formatCode>General</c:formatCode>
                <c:ptCount val="1"/>
                <c:pt idx="0">
                  <c:v>0.99999940000045606</c:v>
                </c:pt>
              </c:numCache>
            </c:numRef>
          </c:val>
          <c:extLst>
            <c:ext xmlns:c16="http://schemas.microsoft.com/office/drawing/2014/chart" uri="{C3380CC4-5D6E-409C-BE32-E72D297353CC}">
              <c16:uniqueId val="{00000013-2FA2-40EE-813C-F0F708D9B7BB}"/>
            </c:ext>
          </c:extLst>
        </c:ser>
        <c:ser>
          <c:idx val="20"/>
          <c:order val="20"/>
          <c:tx>
            <c:strRef>
              <c:f>Sheet1!$A$22</c:f>
              <c:strCache>
                <c:ptCount val="1"/>
                <c:pt idx="0">
                  <c:v>PHI</c:v>
                </c:pt>
              </c:strCache>
            </c:strRef>
          </c:tx>
          <c:spPr>
            <a:solidFill>
              <a:schemeClr val="accent3">
                <a:lumMod val="80000"/>
              </a:schemeClr>
            </a:solidFill>
            <a:ln>
              <a:noFill/>
            </a:ln>
            <a:effectLst/>
          </c:spPr>
          <c:invertIfNegative val="0"/>
          <c:cat>
            <c:strRef>
              <c:f>Sheet1!$I$1</c:f>
              <c:strCache>
                <c:ptCount val="1"/>
                <c:pt idx="0">
                  <c:v>Efficiency by team</c:v>
                </c:pt>
              </c:strCache>
            </c:strRef>
          </c:cat>
          <c:val>
            <c:numRef>
              <c:f>Sheet1!$I$22</c:f>
              <c:numCache>
                <c:formatCode>General</c:formatCode>
                <c:ptCount val="1"/>
                <c:pt idx="0">
                  <c:v>0.82291346823527578</c:v>
                </c:pt>
              </c:numCache>
            </c:numRef>
          </c:val>
          <c:extLst>
            <c:ext xmlns:c16="http://schemas.microsoft.com/office/drawing/2014/chart" uri="{C3380CC4-5D6E-409C-BE32-E72D297353CC}">
              <c16:uniqueId val="{00000014-2FA2-40EE-813C-F0F708D9B7BB}"/>
            </c:ext>
          </c:extLst>
        </c:ser>
        <c:ser>
          <c:idx val="21"/>
          <c:order val="21"/>
          <c:tx>
            <c:strRef>
              <c:f>Sheet1!$A$23</c:f>
              <c:strCache>
                <c:ptCount val="1"/>
                <c:pt idx="0">
                  <c:v>PIT</c:v>
                </c:pt>
              </c:strCache>
            </c:strRef>
          </c:tx>
          <c:spPr>
            <a:solidFill>
              <a:schemeClr val="accent4">
                <a:lumMod val="80000"/>
              </a:schemeClr>
            </a:solidFill>
            <a:ln>
              <a:noFill/>
            </a:ln>
            <a:effectLst/>
          </c:spPr>
          <c:invertIfNegative val="0"/>
          <c:cat>
            <c:strRef>
              <c:f>Sheet1!$I$1</c:f>
              <c:strCache>
                <c:ptCount val="1"/>
                <c:pt idx="0">
                  <c:v>Efficiency by team</c:v>
                </c:pt>
              </c:strCache>
            </c:strRef>
          </c:cat>
          <c:val>
            <c:numRef>
              <c:f>Sheet1!$I$23</c:f>
              <c:numCache>
                <c:formatCode>General</c:formatCode>
                <c:ptCount val="1"/>
                <c:pt idx="0">
                  <c:v>0.75336843480950355</c:v>
                </c:pt>
              </c:numCache>
            </c:numRef>
          </c:val>
          <c:extLst>
            <c:ext xmlns:c16="http://schemas.microsoft.com/office/drawing/2014/chart" uri="{C3380CC4-5D6E-409C-BE32-E72D297353CC}">
              <c16:uniqueId val="{00000015-2FA2-40EE-813C-F0F708D9B7BB}"/>
            </c:ext>
          </c:extLst>
        </c:ser>
        <c:ser>
          <c:idx val="22"/>
          <c:order val="22"/>
          <c:tx>
            <c:strRef>
              <c:f>Sheet1!$A$24</c:f>
              <c:strCache>
                <c:ptCount val="1"/>
                <c:pt idx="0">
                  <c:v>SDP</c:v>
                </c:pt>
              </c:strCache>
            </c:strRef>
          </c:tx>
          <c:spPr>
            <a:solidFill>
              <a:schemeClr val="accent5">
                <a:lumMod val="80000"/>
              </a:schemeClr>
            </a:solidFill>
            <a:ln>
              <a:noFill/>
            </a:ln>
            <a:effectLst/>
          </c:spPr>
          <c:invertIfNegative val="0"/>
          <c:cat>
            <c:strRef>
              <c:f>Sheet1!$I$1</c:f>
              <c:strCache>
                <c:ptCount val="1"/>
                <c:pt idx="0">
                  <c:v>Efficiency by team</c:v>
                </c:pt>
              </c:strCache>
            </c:strRef>
          </c:cat>
          <c:val>
            <c:numRef>
              <c:f>Sheet1!$I$24</c:f>
              <c:numCache>
                <c:formatCode>General</c:formatCode>
                <c:ptCount val="1"/>
                <c:pt idx="0">
                  <c:v>0.62584646830137181</c:v>
                </c:pt>
              </c:numCache>
            </c:numRef>
          </c:val>
          <c:extLst>
            <c:ext xmlns:c16="http://schemas.microsoft.com/office/drawing/2014/chart" uri="{C3380CC4-5D6E-409C-BE32-E72D297353CC}">
              <c16:uniqueId val="{00000016-2FA2-40EE-813C-F0F708D9B7BB}"/>
            </c:ext>
          </c:extLst>
        </c:ser>
        <c:ser>
          <c:idx val="23"/>
          <c:order val="23"/>
          <c:tx>
            <c:strRef>
              <c:f>Sheet1!$A$25</c:f>
              <c:strCache>
                <c:ptCount val="1"/>
                <c:pt idx="0">
                  <c:v>SEA</c:v>
                </c:pt>
              </c:strCache>
            </c:strRef>
          </c:tx>
          <c:spPr>
            <a:solidFill>
              <a:schemeClr val="accent6">
                <a:lumMod val="80000"/>
              </a:schemeClr>
            </a:solidFill>
            <a:ln>
              <a:noFill/>
            </a:ln>
            <a:effectLst/>
          </c:spPr>
          <c:invertIfNegative val="0"/>
          <c:cat>
            <c:strRef>
              <c:f>Sheet1!$I$1</c:f>
              <c:strCache>
                <c:ptCount val="1"/>
                <c:pt idx="0">
                  <c:v>Efficiency by team</c:v>
                </c:pt>
              </c:strCache>
            </c:strRef>
          </c:cat>
          <c:val>
            <c:numRef>
              <c:f>Sheet1!$I$25</c:f>
              <c:numCache>
                <c:formatCode>General</c:formatCode>
                <c:ptCount val="1"/>
                <c:pt idx="0">
                  <c:v>1.0000003099999999</c:v>
                </c:pt>
              </c:numCache>
            </c:numRef>
          </c:val>
          <c:extLst>
            <c:ext xmlns:c16="http://schemas.microsoft.com/office/drawing/2014/chart" uri="{C3380CC4-5D6E-409C-BE32-E72D297353CC}">
              <c16:uniqueId val="{00000017-2FA2-40EE-813C-F0F708D9B7BB}"/>
            </c:ext>
          </c:extLst>
        </c:ser>
        <c:ser>
          <c:idx val="24"/>
          <c:order val="24"/>
          <c:tx>
            <c:strRef>
              <c:f>Sheet1!$A$26</c:f>
              <c:strCache>
                <c:ptCount val="1"/>
                <c:pt idx="0">
                  <c:v>SFG</c:v>
                </c:pt>
              </c:strCache>
            </c:strRef>
          </c:tx>
          <c:spPr>
            <a:solidFill>
              <a:schemeClr val="accent1">
                <a:lumMod val="60000"/>
                <a:lumOff val="40000"/>
              </a:schemeClr>
            </a:solidFill>
            <a:ln>
              <a:noFill/>
            </a:ln>
            <a:effectLst/>
          </c:spPr>
          <c:invertIfNegative val="0"/>
          <c:cat>
            <c:strRef>
              <c:f>Sheet1!$I$1</c:f>
              <c:strCache>
                <c:ptCount val="1"/>
                <c:pt idx="0">
                  <c:v>Efficiency by team</c:v>
                </c:pt>
              </c:strCache>
            </c:strRef>
          </c:cat>
          <c:val>
            <c:numRef>
              <c:f>Sheet1!$I$26</c:f>
              <c:numCache>
                <c:formatCode>General</c:formatCode>
                <c:ptCount val="1"/>
                <c:pt idx="0">
                  <c:v>0.90278244819645281</c:v>
                </c:pt>
              </c:numCache>
            </c:numRef>
          </c:val>
          <c:extLst>
            <c:ext xmlns:c16="http://schemas.microsoft.com/office/drawing/2014/chart" uri="{C3380CC4-5D6E-409C-BE32-E72D297353CC}">
              <c16:uniqueId val="{00000018-2FA2-40EE-813C-F0F708D9B7BB}"/>
            </c:ext>
          </c:extLst>
        </c:ser>
        <c:ser>
          <c:idx val="25"/>
          <c:order val="25"/>
          <c:tx>
            <c:strRef>
              <c:f>Sheet1!$A$27</c:f>
              <c:strCache>
                <c:ptCount val="1"/>
                <c:pt idx="0">
                  <c:v>STL</c:v>
                </c:pt>
              </c:strCache>
            </c:strRef>
          </c:tx>
          <c:spPr>
            <a:solidFill>
              <a:schemeClr val="accent2">
                <a:lumMod val="60000"/>
                <a:lumOff val="40000"/>
              </a:schemeClr>
            </a:solidFill>
            <a:ln>
              <a:solidFill>
                <a:schemeClr val="tx1"/>
              </a:solidFill>
            </a:ln>
            <a:effectLst/>
          </c:spPr>
          <c:invertIfNegative val="0"/>
          <c:cat>
            <c:strRef>
              <c:f>Sheet1!$I$1</c:f>
              <c:strCache>
                <c:ptCount val="1"/>
                <c:pt idx="0">
                  <c:v>Efficiency by team</c:v>
                </c:pt>
              </c:strCache>
            </c:strRef>
          </c:cat>
          <c:val>
            <c:numRef>
              <c:f>Sheet1!$I$27</c:f>
              <c:numCache>
                <c:formatCode>General</c:formatCode>
                <c:ptCount val="1"/>
                <c:pt idx="0">
                  <c:v>0.96968692059962924</c:v>
                </c:pt>
              </c:numCache>
            </c:numRef>
          </c:val>
          <c:extLst>
            <c:ext xmlns:c16="http://schemas.microsoft.com/office/drawing/2014/chart" uri="{C3380CC4-5D6E-409C-BE32-E72D297353CC}">
              <c16:uniqueId val="{00000019-2FA2-40EE-813C-F0F708D9B7BB}"/>
            </c:ext>
          </c:extLst>
        </c:ser>
        <c:ser>
          <c:idx val="26"/>
          <c:order val="26"/>
          <c:tx>
            <c:strRef>
              <c:f>Sheet1!$A$28</c:f>
              <c:strCache>
                <c:ptCount val="1"/>
                <c:pt idx="0">
                  <c:v>TBR</c:v>
                </c:pt>
              </c:strCache>
            </c:strRef>
          </c:tx>
          <c:spPr>
            <a:solidFill>
              <a:schemeClr val="accent3">
                <a:lumMod val="60000"/>
                <a:lumOff val="40000"/>
              </a:schemeClr>
            </a:solidFill>
            <a:ln>
              <a:noFill/>
            </a:ln>
            <a:effectLst/>
          </c:spPr>
          <c:invertIfNegative val="0"/>
          <c:cat>
            <c:strRef>
              <c:f>Sheet1!$I$1</c:f>
              <c:strCache>
                <c:ptCount val="1"/>
                <c:pt idx="0">
                  <c:v>Efficiency by team</c:v>
                </c:pt>
              </c:strCache>
            </c:strRef>
          </c:cat>
          <c:val>
            <c:numRef>
              <c:f>Sheet1!$I$28</c:f>
              <c:numCache>
                <c:formatCode>General</c:formatCode>
                <c:ptCount val="1"/>
                <c:pt idx="0">
                  <c:v>0.99999999880580015</c:v>
                </c:pt>
              </c:numCache>
            </c:numRef>
          </c:val>
          <c:extLst>
            <c:ext xmlns:c16="http://schemas.microsoft.com/office/drawing/2014/chart" uri="{C3380CC4-5D6E-409C-BE32-E72D297353CC}">
              <c16:uniqueId val="{0000001A-2FA2-40EE-813C-F0F708D9B7BB}"/>
            </c:ext>
          </c:extLst>
        </c:ser>
        <c:ser>
          <c:idx val="27"/>
          <c:order val="27"/>
          <c:tx>
            <c:strRef>
              <c:f>Sheet1!$A$29</c:f>
              <c:strCache>
                <c:ptCount val="1"/>
                <c:pt idx="0">
                  <c:v>TEX</c:v>
                </c:pt>
              </c:strCache>
            </c:strRef>
          </c:tx>
          <c:spPr>
            <a:solidFill>
              <a:schemeClr val="accent4">
                <a:lumMod val="60000"/>
                <a:lumOff val="40000"/>
              </a:schemeClr>
            </a:solidFill>
            <a:ln>
              <a:noFill/>
            </a:ln>
            <a:effectLst/>
          </c:spPr>
          <c:invertIfNegative val="0"/>
          <c:cat>
            <c:strRef>
              <c:f>Sheet1!$I$1</c:f>
              <c:strCache>
                <c:ptCount val="1"/>
                <c:pt idx="0">
                  <c:v>Efficiency by team</c:v>
                </c:pt>
              </c:strCache>
            </c:strRef>
          </c:cat>
          <c:val>
            <c:numRef>
              <c:f>Sheet1!$I$29</c:f>
              <c:numCache>
                <c:formatCode>General</c:formatCode>
                <c:ptCount val="1"/>
                <c:pt idx="0">
                  <c:v>0.66684858631920019</c:v>
                </c:pt>
              </c:numCache>
            </c:numRef>
          </c:val>
          <c:extLst>
            <c:ext xmlns:c16="http://schemas.microsoft.com/office/drawing/2014/chart" uri="{C3380CC4-5D6E-409C-BE32-E72D297353CC}">
              <c16:uniqueId val="{0000001B-2FA2-40EE-813C-F0F708D9B7BB}"/>
            </c:ext>
          </c:extLst>
        </c:ser>
        <c:ser>
          <c:idx val="28"/>
          <c:order val="28"/>
          <c:tx>
            <c:strRef>
              <c:f>Sheet1!$A$30</c:f>
              <c:strCache>
                <c:ptCount val="1"/>
                <c:pt idx="0">
                  <c:v>TOR</c:v>
                </c:pt>
              </c:strCache>
            </c:strRef>
          </c:tx>
          <c:spPr>
            <a:solidFill>
              <a:schemeClr val="accent5">
                <a:lumMod val="60000"/>
                <a:lumOff val="40000"/>
              </a:schemeClr>
            </a:solidFill>
            <a:ln>
              <a:noFill/>
            </a:ln>
            <a:effectLst/>
          </c:spPr>
          <c:invertIfNegative val="0"/>
          <c:cat>
            <c:strRef>
              <c:f>Sheet1!$I$1</c:f>
              <c:strCache>
                <c:ptCount val="1"/>
                <c:pt idx="0">
                  <c:v>Efficiency by team</c:v>
                </c:pt>
              </c:strCache>
            </c:strRef>
          </c:cat>
          <c:val>
            <c:numRef>
              <c:f>Sheet1!$I$30</c:f>
              <c:numCache>
                <c:formatCode>General</c:formatCode>
                <c:ptCount val="1"/>
                <c:pt idx="0">
                  <c:v>0.66540807731920459</c:v>
                </c:pt>
              </c:numCache>
            </c:numRef>
          </c:val>
          <c:extLst>
            <c:ext xmlns:c16="http://schemas.microsoft.com/office/drawing/2014/chart" uri="{C3380CC4-5D6E-409C-BE32-E72D297353CC}">
              <c16:uniqueId val="{0000001C-2FA2-40EE-813C-F0F708D9B7BB}"/>
            </c:ext>
          </c:extLst>
        </c:ser>
        <c:ser>
          <c:idx val="29"/>
          <c:order val="29"/>
          <c:tx>
            <c:strRef>
              <c:f>Sheet1!$A$31</c:f>
              <c:strCache>
                <c:ptCount val="1"/>
                <c:pt idx="0">
                  <c:v>WSN</c:v>
                </c:pt>
              </c:strCache>
            </c:strRef>
          </c:tx>
          <c:spPr>
            <a:solidFill>
              <a:schemeClr val="accent6">
                <a:lumMod val="60000"/>
                <a:lumOff val="40000"/>
              </a:schemeClr>
            </a:solidFill>
            <a:ln>
              <a:noFill/>
            </a:ln>
            <a:effectLst/>
          </c:spPr>
          <c:invertIfNegative val="0"/>
          <c:cat>
            <c:strRef>
              <c:f>Sheet1!$I$1</c:f>
              <c:strCache>
                <c:ptCount val="1"/>
                <c:pt idx="0">
                  <c:v>Efficiency by team</c:v>
                </c:pt>
              </c:strCache>
            </c:strRef>
          </c:cat>
          <c:val>
            <c:numRef>
              <c:f>Sheet1!$I$31</c:f>
              <c:numCache>
                <c:formatCode>General</c:formatCode>
                <c:ptCount val="1"/>
                <c:pt idx="0">
                  <c:v>0.72183261489480599</c:v>
                </c:pt>
              </c:numCache>
            </c:numRef>
          </c:val>
          <c:extLst>
            <c:ext xmlns:c16="http://schemas.microsoft.com/office/drawing/2014/chart" uri="{C3380CC4-5D6E-409C-BE32-E72D297353CC}">
              <c16:uniqueId val="{0000001D-2FA2-40EE-813C-F0F708D9B7BB}"/>
            </c:ext>
          </c:extLst>
        </c:ser>
        <c:dLbls>
          <c:showLegendKey val="0"/>
          <c:showVal val="0"/>
          <c:showCatName val="0"/>
          <c:showSerName val="0"/>
          <c:showPercent val="0"/>
          <c:showBubbleSize val="0"/>
        </c:dLbls>
        <c:gapWidth val="219"/>
        <c:overlap val="-27"/>
        <c:axId val="366448943"/>
        <c:axId val="366458511"/>
      </c:barChart>
      <c:catAx>
        <c:axId val="36644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58511"/>
        <c:crosses val="autoZero"/>
        <c:auto val="1"/>
        <c:lblAlgn val="ctr"/>
        <c:lblOffset val="100"/>
        <c:noMultiLvlLbl val="0"/>
      </c:catAx>
      <c:valAx>
        <c:axId val="366458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48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8188</Words>
  <Characters>46673</Characters>
  <Application>Microsoft Office Word</Application>
  <DocSecurity>0</DocSecurity>
  <Lines>388</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54752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andreyvz</cp:lastModifiedBy>
  <cp:revision>2</cp:revision>
  <dcterms:created xsi:type="dcterms:W3CDTF">2021-09-15T18:50:00Z</dcterms:created>
  <dcterms:modified xsi:type="dcterms:W3CDTF">2021-09-15T18:50:00Z</dcterms:modified>
</cp:coreProperties>
</file>